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C571E7">
      <w:pPr>
        <w:pStyle w:val="MediaNeutralStyle"/>
      </w:pPr>
      <w:bookmarkStart w:id="0" w:name="MNC"/>
      <w:r>
        <w:t>Telstra Corporation Limited v Australian Competiti</w:t>
      </w:r>
      <w:r w:rsidR="009114B7">
        <w:t xml:space="preserve">on and Consumer Commission </w:t>
      </w:r>
      <w:r w:rsidR="00D83ADD">
        <w:t xml:space="preserve">(No 2) </w:t>
      </w:r>
      <w:r w:rsidR="009114B7">
        <w:t>[2017</w:t>
      </w:r>
      <w:r>
        <w:t xml:space="preserve">] FCA </w:t>
      </w:r>
      <w:r w:rsidR="00E203B9">
        <w:t>430</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E638F3">
        <w:tc>
          <w:tcPr>
            <w:tcW w:w="3085" w:type="dxa"/>
            <w:shd w:val="clear" w:color="auto" w:fill="auto"/>
          </w:tcPr>
          <w:p w:rsidR="00395B24" w:rsidRDefault="00B34815" w:rsidP="00663878">
            <w:pPr>
              <w:pStyle w:val="Normal1linespace"/>
              <w:widowControl w:val="0"/>
              <w:jc w:val="left"/>
            </w:pPr>
            <w:r>
              <w:t>File number</w:t>
            </w:r>
            <w:r w:rsidR="002C7385">
              <w:t>:</w:t>
            </w:r>
          </w:p>
        </w:tc>
        <w:tc>
          <w:tcPr>
            <w:tcW w:w="5989" w:type="dxa"/>
            <w:shd w:val="clear" w:color="auto" w:fill="auto"/>
          </w:tcPr>
          <w:p w:rsidR="00395B24" w:rsidRPr="00B34815" w:rsidRDefault="00F30FC5" w:rsidP="00B34815">
            <w:pPr>
              <w:pStyle w:val="Normal1linespace"/>
              <w:jc w:val="left"/>
            </w:pPr>
            <w:fldSimple w:instr=" REF  FileNo  \* MERGEFORMAT " w:fldLock="1">
              <w:r w:rsidR="00B34815" w:rsidRPr="00B34815">
                <w:t>NSD 1338 of 2015</w:t>
              </w:r>
            </w:fldSimple>
          </w:p>
        </w:tc>
      </w:tr>
      <w:tr w:rsidR="00395B24" w:rsidTr="00E638F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638F3">
        <w:tc>
          <w:tcPr>
            <w:tcW w:w="3085" w:type="dxa"/>
            <w:shd w:val="clear" w:color="auto" w:fill="auto"/>
          </w:tcPr>
          <w:p w:rsidR="00395B24" w:rsidRDefault="00B34815"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B34815">
              <w:rPr>
                <w:b/>
              </w:rPr>
              <w:fldChar w:fldCharType="begin" w:fldLock="1"/>
            </w:r>
            <w:r w:rsidRPr="00B34815">
              <w:rPr>
                <w:b/>
              </w:rPr>
              <w:instrText xml:space="preserve"> REF  Judge  \* MERGEFORMAT </w:instrText>
            </w:r>
            <w:r w:rsidRPr="00B34815">
              <w:rPr>
                <w:b/>
              </w:rPr>
              <w:fldChar w:fldCharType="separate"/>
            </w:r>
            <w:r w:rsidR="00B34815" w:rsidRPr="00B34815">
              <w:rPr>
                <w:b/>
                <w:caps/>
                <w:szCs w:val="24"/>
              </w:rPr>
              <w:t>FOSTER J</w:t>
            </w:r>
            <w:r w:rsidRPr="00B34815">
              <w:rPr>
                <w:b/>
              </w:rPr>
              <w:fldChar w:fldCharType="end"/>
            </w:r>
          </w:p>
        </w:tc>
      </w:tr>
      <w:tr w:rsidR="00395B24" w:rsidTr="00E638F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638F3">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D01491" w:rsidP="00A3576D">
            <w:pPr>
              <w:pStyle w:val="Normal1linespace"/>
              <w:widowControl w:val="0"/>
              <w:jc w:val="left"/>
            </w:pPr>
            <w:bookmarkStart w:id="1" w:name="JudgmentDate"/>
            <w:bookmarkEnd w:id="1"/>
            <w:r>
              <w:t>2</w:t>
            </w:r>
            <w:r w:rsidR="00A3576D">
              <w:t>7 April 2017</w:t>
            </w:r>
          </w:p>
        </w:tc>
      </w:tr>
      <w:tr w:rsidR="00395B24" w:rsidTr="00E638F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E638F3" w:rsidTr="00E638F3">
        <w:tc>
          <w:tcPr>
            <w:tcW w:w="3085" w:type="dxa"/>
            <w:shd w:val="clear" w:color="auto" w:fill="auto"/>
          </w:tcPr>
          <w:p w:rsidR="00E638F3" w:rsidRDefault="00E638F3" w:rsidP="00986A29">
            <w:pPr>
              <w:pStyle w:val="Normal1linespace"/>
              <w:widowControl w:val="0"/>
              <w:jc w:val="left"/>
            </w:pPr>
            <w:r>
              <w:t>Catchwords:</w:t>
            </w:r>
          </w:p>
        </w:tc>
        <w:tc>
          <w:tcPr>
            <w:tcW w:w="5989" w:type="dxa"/>
            <w:shd w:val="clear" w:color="auto" w:fill="auto"/>
          </w:tcPr>
          <w:p w:rsidR="00E638F3" w:rsidRDefault="00096710" w:rsidP="00E638F3">
            <w:pPr>
              <w:pStyle w:val="Normal1linespace"/>
              <w:widowControl w:val="0"/>
              <w:jc w:val="left"/>
            </w:pPr>
            <w:bookmarkStart w:id="2" w:name="Catchwords"/>
            <w:r>
              <w:rPr>
                <w:b/>
              </w:rPr>
              <w:t>COSTS</w:t>
            </w:r>
            <w:r>
              <w:t xml:space="preserve"> – whether an applicant for judicial review of a regulatory decision, having failed to obtain any relief by way of judicial review, should pay the costs of certain entities who were added as parties to the proceeding upon their own application after the proceeding had been commenced in circumstances where those entities had taken a substantial role in the public inquiry which had led to the regulatory decision and where they had an obvious legitimate commercial interest in the outcome of the inquiry and of the judicial review proceeding</w:t>
            </w:r>
            <w:r w:rsidR="00E638F3">
              <w:rPr>
                <w:b/>
              </w:rPr>
              <w:t xml:space="preserve"> </w:t>
            </w:r>
            <w:bookmarkEnd w:id="2"/>
          </w:p>
        </w:tc>
      </w:tr>
      <w:tr w:rsidR="00E638F3" w:rsidTr="00E638F3">
        <w:tc>
          <w:tcPr>
            <w:tcW w:w="3085" w:type="dxa"/>
            <w:shd w:val="clear" w:color="auto" w:fill="auto"/>
          </w:tcPr>
          <w:p w:rsidR="00E638F3" w:rsidRDefault="00E638F3" w:rsidP="00986A29">
            <w:pPr>
              <w:pStyle w:val="Normal1linespace"/>
              <w:widowControl w:val="0"/>
              <w:jc w:val="left"/>
            </w:pPr>
          </w:p>
        </w:tc>
        <w:tc>
          <w:tcPr>
            <w:tcW w:w="5989" w:type="dxa"/>
            <w:shd w:val="clear" w:color="auto" w:fill="auto"/>
          </w:tcPr>
          <w:p w:rsidR="00E638F3" w:rsidRPr="00332180" w:rsidRDefault="00E638F3" w:rsidP="00663878">
            <w:pPr>
              <w:pStyle w:val="Normal1linespace"/>
              <w:widowControl w:val="0"/>
              <w:jc w:val="left"/>
              <w:rPr>
                <w:b/>
              </w:rPr>
            </w:pPr>
          </w:p>
        </w:tc>
      </w:tr>
      <w:tr w:rsidR="00E638F3" w:rsidTr="00E638F3">
        <w:tc>
          <w:tcPr>
            <w:tcW w:w="3085" w:type="dxa"/>
            <w:shd w:val="clear" w:color="auto" w:fill="auto"/>
          </w:tcPr>
          <w:p w:rsidR="00E638F3" w:rsidRDefault="00E638F3" w:rsidP="00663878">
            <w:pPr>
              <w:pStyle w:val="Normal1linespace"/>
              <w:widowControl w:val="0"/>
              <w:jc w:val="left"/>
            </w:pPr>
            <w:r>
              <w:t>Cases cited:</w:t>
            </w:r>
          </w:p>
        </w:tc>
        <w:tc>
          <w:tcPr>
            <w:tcW w:w="5989" w:type="dxa"/>
            <w:shd w:val="clear" w:color="auto" w:fill="auto"/>
          </w:tcPr>
          <w:p w:rsidR="00C6674F" w:rsidRDefault="00A31240" w:rsidP="00A31240">
            <w:pPr>
              <w:pStyle w:val="CasesLegislationAppealFrom"/>
              <w:spacing w:after="60"/>
            </w:pPr>
            <w:bookmarkStart w:id="3" w:name="Cases_Cited"/>
            <w:r w:rsidRPr="00A31240">
              <w:rPr>
                <w:i/>
              </w:rPr>
              <w:t>Telstra Corporation Limited v Australian Competition and Consumer Commission</w:t>
            </w:r>
            <w:r>
              <w:t xml:space="preserve"> [2017] FCA 316</w:t>
            </w:r>
          </w:p>
          <w:p w:rsidR="00D452F2" w:rsidRDefault="00D452F2" w:rsidP="00C6674F">
            <w:pPr>
              <w:pStyle w:val="CasesLegislationAppealFrom"/>
              <w:spacing w:after="60"/>
            </w:pPr>
            <w:r w:rsidRPr="00D452F2">
              <w:rPr>
                <w:i/>
              </w:rPr>
              <w:t>Credit Lyonnais Australia Ltd v Darling</w:t>
            </w:r>
            <w:r>
              <w:t xml:space="preserve"> (1991) 5 ACSR 703</w:t>
            </w:r>
          </w:p>
          <w:p w:rsidR="00C6674F" w:rsidRDefault="00C6674F" w:rsidP="00C6674F">
            <w:pPr>
              <w:pStyle w:val="CasesLegislationAppealFrom"/>
              <w:spacing w:after="60"/>
            </w:pPr>
            <w:r>
              <w:rPr>
                <w:i/>
              </w:rPr>
              <w:t xml:space="preserve">R v Australian Broadcasting Tribunal; Ex parte </w:t>
            </w:r>
            <w:proofErr w:type="spellStart"/>
            <w:r>
              <w:rPr>
                <w:i/>
              </w:rPr>
              <w:t>Hardiman</w:t>
            </w:r>
            <w:proofErr w:type="spellEnd"/>
            <w:r>
              <w:t xml:space="preserve"> (1980) 144 CLR 1</w:t>
            </w:r>
          </w:p>
          <w:p w:rsidR="00E638F3" w:rsidRDefault="00C6674F" w:rsidP="00C6674F">
            <w:pPr>
              <w:pStyle w:val="CasesLegislationAppealFrom"/>
              <w:spacing w:after="60"/>
            </w:pPr>
            <w:r>
              <w:rPr>
                <w:i/>
              </w:rPr>
              <w:t xml:space="preserve">State of Victoria v </w:t>
            </w:r>
            <w:proofErr w:type="spellStart"/>
            <w:r>
              <w:rPr>
                <w:i/>
              </w:rPr>
              <w:t>Sportsbet</w:t>
            </w:r>
            <w:proofErr w:type="spellEnd"/>
            <w:r>
              <w:rPr>
                <w:i/>
              </w:rPr>
              <w:t xml:space="preserve"> Pty Ltd (No 2)</w:t>
            </w:r>
            <w:r>
              <w:t xml:space="preserve"> [2012] FCAFC 174</w:t>
            </w:r>
            <w:r w:rsidR="00667CB2">
              <w:t xml:space="preserve"> </w:t>
            </w:r>
            <w:r w:rsidR="00E638F3">
              <w:t xml:space="preserve"> </w:t>
            </w:r>
            <w:bookmarkEnd w:id="3"/>
          </w:p>
        </w:tc>
      </w:tr>
      <w:tr w:rsidR="00E638F3" w:rsidRPr="0035276E" w:rsidTr="00E638F3">
        <w:tc>
          <w:tcPr>
            <w:tcW w:w="3085" w:type="dxa"/>
            <w:shd w:val="clear" w:color="auto" w:fill="auto"/>
          </w:tcPr>
          <w:p w:rsidR="00E638F3" w:rsidRPr="0035276E" w:rsidRDefault="00E638F3" w:rsidP="0035276E">
            <w:pPr>
              <w:pStyle w:val="Normal1linespace"/>
              <w:jc w:val="left"/>
            </w:pPr>
          </w:p>
        </w:tc>
        <w:tc>
          <w:tcPr>
            <w:tcW w:w="5989" w:type="dxa"/>
            <w:shd w:val="clear" w:color="auto" w:fill="auto"/>
          </w:tcPr>
          <w:p w:rsidR="00E638F3" w:rsidRPr="0035276E" w:rsidRDefault="00E638F3" w:rsidP="0035276E">
            <w:pPr>
              <w:pStyle w:val="Normal1linespace"/>
              <w:jc w:val="left"/>
            </w:pPr>
          </w:p>
        </w:tc>
      </w:tr>
      <w:tr w:rsidR="00E638F3" w:rsidRPr="0035276E" w:rsidTr="00E638F3">
        <w:tc>
          <w:tcPr>
            <w:tcW w:w="3085" w:type="dxa"/>
            <w:shd w:val="clear" w:color="auto" w:fill="auto"/>
          </w:tcPr>
          <w:p w:rsidR="00E638F3" w:rsidRPr="0035276E" w:rsidRDefault="00E638F3" w:rsidP="0035276E">
            <w:pPr>
              <w:pStyle w:val="Normal1linespace"/>
              <w:jc w:val="left"/>
            </w:pPr>
            <w:bookmarkStart w:id="4" w:name="CounselDate" w:colFirst="0" w:colLast="2"/>
            <w:r w:rsidRPr="0035276E">
              <w:t>Date of hearing:</w:t>
            </w:r>
          </w:p>
        </w:tc>
        <w:tc>
          <w:tcPr>
            <w:tcW w:w="5989" w:type="dxa"/>
            <w:shd w:val="clear" w:color="auto" w:fill="auto"/>
          </w:tcPr>
          <w:p w:rsidR="00E638F3" w:rsidRPr="0035276E" w:rsidRDefault="00D452F2" w:rsidP="00D452F2">
            <w:pPr>
              <w:pStyle w:val="Normal1linespace"/>
              <w:jc w:val="left"/>
            </w:pPr>
            <w:bookmarkStart w:id="5" w:name="HearingDate"/>
            <w:r>
              <w:t>Decided on the papers</w:t>
            </w:r>
            <w:r w:rsidR="004B1262">
              <w:t xml:space="preserve"> </w:t>
            </w:r>
            <w:bookmarkEnd w:id="5"/>
          </w:p>
        </w:tc>
      </w:tr>
      <w:tr w:rsidR="00E638F3" w:rsidRPr="0035276E" w:rsidTr="00E638F3">
        <w:tc>
          <w:tcPr>
            <w:tcW w:w="3085" w:type="dxa"/>
            <w:shd w:val="clear" w:color="auto" w:fill="auto"/>
          </w:tcPr>
          <w:p w:rsidR="00E638F3" w:rsidRPr="0035276E" w:rsidRDefault="00E638F3" w:rsidP="0035276E">
            <w:pPr>
              <w:pStyle w:val="Normal1linespace"/>
              <w:jc w:val="left"/>
            </w:pPr>
          </w:p>
        </w:tc>
        <w:tc>
          <w:tcPr>
            <w:tcW w:w="5989" w:type="dxa"/>
            <w:shd w:val="clear" w:color="auto" w:fill="auto"/>
          </w:tcPr>
          <w:p w:rsidR="00E638F3" w:rsidRPr="0035276E" w:rsidRDefault="00E638F3" w:rsidP="0035276E">
            <w:pPr>
              <w:pStyle w:val="Normal1linespace"/>
              <w:jc w:val="left"/>
            </w:pPr>
          </w:p>
        </w:tc>
      </w:tr>
      <w:bookmarkEnd w:id="4"/>
      <w:tr w:rsidR="00E638F3" w:rsidTr="00E638F3">
        <w:tc>
          <w:tcPr>
            <w:tcW w:w="3085" w:type="dxa"/>
            <w:shd w:val="clear" w:color="auto" w:fill="auto"/>
          </w:tcPr>
          <w:p w:rsidR="00E638F3" w:rsidRDefault="00E638F3" w:rsidP="0035276E">
            <w:pPr>
              <w:pStyle w:val="Normal1linespace"/>
              <w:widowControl w:val="0"/>
              <w:jc w:val="left"/>
            </w:pPr>
            <w:r>
              <w:t>Registry:</w:t>
            </w:r>
          </w:p>
        </w:tc>
        <w:tc>
          <w:tcPr>
            <w:tcW w:w="5989" w:type="dxa"/>
            <w:shd w:val="clear" w:color="auto" w:fill="auto"/>
          </w:tcPr>
          <w:p w:rsidR="00E638F3" w:rsidRPr="00F17599" w:rsidRDefault="00F30FC5" w:rsidP="0035276E">
            <w:pPr>
              <w:pStyle w:val="Normal1linespace"/>
              <w:widowControl w:val="0"/>
              <w:jc w:val="left"/>
            </w:pPr>
            <w:fldSimple w:instr=" DOCPROPERTY  Registry ">
              <w:r w:rsidR="00E638F3">
                <w:t>New South Wales</w:t>
              </w:r>
            </w:fldSimple>
          </w:p>
        </w:tc>
      </w:tr>
      <w:tr w:rsidR="00E638F3" w:rsidTr="00E638F3">
        <w:tc>
          <w:tcPr>
            <w:tcW w:w="3085" w:type="dxa"/>
            <w:shd w:val="clear" w:color="auto" w:fill="auto"/>
          </w:tcPr>
          <w:p w:rsidR="00E638F3" w:rsidRDefault="00E638F3" w:rsidP="0035276E">
            <w:pPr>
              <w:pStyle w:val="Normal1linespace"/>
              <w:widowControl w:val="0"/>
              <w:jc w:val="left"/>
            </w:pPr>
          </w:p>
        </w:tc>
        <w:tc>
          <w:tcPr>
            <w:tcW w:w="5989" w:type="dxa"/>
            <w:shd w:val="clear" w:color="auto" w:fill="auto"/>
          </w:tcPr>
          <w:p w:rsidR="00E638F3" w:rsidRDefault="00E638F3" w:rsidP="0035276E">
            <w:pPr>
              <w:pStyle w:val="Normal1linespace"/>
              <w:widowControl w:val="0"/>
              <w:jc w:val="left"/>
            </w:pPr>
          </w:p>
        </w:tc>
      </w:tr>
      <w:tr w:rsidR="00E638F3" w:rsidTr="00E638F3">
        <w:tc>
          <w:tcPr>
            <w:tcW w:w="3085" w:type="dxa"/>
            <w:shd w:val="clear" w:color="auto" w:fill="auto"/>
          </w:tcPr>
          <w:p w:rsidR="00E638F3" w:rsidRDefault="00E638F3" w:rsidP="0035276E">
            <w:pPr>
              <w:pStyle w:val="Normal1linespace"/>
              <w:widowControl w:val="0"/>
              <w:jc w:val="left"/>
            </w:pPr>
            <w:r>
              <w:t>Division:</w:t>
            </w:r>
          </w:p>
        </w:tc>
        <w:tc>
          <w:tcPr>
            <w:tcW w:w="5989" w:type="dxa"/>
            <w:shd w:val="clear" w:color="auto" w:fill="auto"/>
          </w:tcPr>
          <w:p w:rsidR="00E638F3" w:rsidRPr="00F17599" w:rsidRDefault="00F30FC5" w:rsidP="0035276E">
            <w:pPr>
              <w:pStyle w:val="Normal1linespace"/>
              <w:widowControl w:val="0"/>
              <w:jc w:val="left"/>
            </w:pPr>
            <w:fldSimple w:instr=" DOCPROPERTY  Division ">
              <w:r w:rsidR="00E638F3">
                <w:t>General Division</w:t>
              </w:r>
            </w:fldSimple>
          </w:p>
        </w:tc>
      </w:tr>
      <w:tr w:rsidR="00E638F3" w:rsidTr="00E638F3">
        <w:tc>
          <w:tcPr>
            <w:tcW w:w="3085" w:type="dxa"/>
            <w:shd w:val="clear" w:color="auto" w:fill="auto"/>
          </w:tcPr>
          <w:p w:rsidR="00E638F3" w:rsidRDefault="00E638F3" w:rsidP="0035276E">
            <w:pPr>
              <w:pStyle w:val="Normal1linespace"/>
              <w:widowControl w:val="0"/>
              <w:jc w:val="left"/>
            </w:pPr>
          </w:p>
        </w:tc>
        <w:tc>
          <w:tcPr>
            <w:tcW w:w="5989" w:type="dxa"/>
            <w:shd w:val="clear" w:color="auto" w:fill="auto"/>
          </w:tcPr>
          <w:p w:rsidR="00E638F3" w:rsidRPr="00F17599" w:rsidRDefault="00E638F3" w:rsidP="0035276E">
            <w:pPr>
              <w:pStyle w:val="Normal1linespace"/>
              <w:widowControl w:val="0"/>
              <w:jc w:val="left"/>
              <w:rPr>
                <w:b/>
              </w:rPr>
            </w:pPr>
          </w:p>
        </w:tc>
      </w:tr>
      <w:tr w:rsidR="00E638F3" w:rsidTr="00E638F3">
        <w:tc>
          <w:tcPr>
            <w:tcW w:w="3085" w:type="dxa"/>
            <w:shd w:val="clear" w:color="auto" w:fill="auto"/>
          </w:tcPr>
          <w:p w:rsidR="00E638F3" w:rsidRDefault="00E638F3" w:rsidP="0035276E">
            <w:pPr>
              <w:pStyle w:val="Normal1linespace"/>
              <w:widowControl w:val="0"/>
              <w:jc w:val="left"/>
            </w:pPr>
            <w:r>
              <w:t>National Practice Area:</w:t>
            </w:r>
          </w:p>
        </w:tc>
        <w:tc>
          <w:tcPr>
            <w:tcW w:w="5989" w:type="dxa"/>
            <w:shd w:val="clear" w:color="auto" w:fill="auto"/>
          </w:tcPr>
          <w:p w:rsidR="00E638F3" w:rsidRPr="00F17599" w:rsidRDefault="00F30FC5" w:rsidP="0035276E">
            <w:pPr>
              <w:pStyle w:val="Normal1linespace"/>
              <w:widowControl w:val="0"/>
              <w:jc w:val="left"/>
              <w:rPr>
                <w:b/>
              </w:rPr>
            </w:pPr>
            <w:fldSimple w:instr=" DOCPROPERTY  &quot;Practice Area&quot;  \* MERGEFORMAT ">
              <w:r w:rsidR="00E638F3">
                <w:t>Commercial and Corporations</w:t>
              </w:r>
            </w:fldSimple>
          </w:p>
        </w:tc>
      </w:tr>
      <w:tr w:rsidR="00E638F3" w:rsidTr="00E638F3">
        <w:tc>
          <w:tcPr>
            <w:tcW w:w="3085" w:type="dxa"/>
            <w:shd w:val="clear" w:color="auto" w:fill="auto"/>
          </w:tcPr>
          <w:p w:rsidR="00E638F3" w:rsidRDefault="00E638F3" w:rsidP="0035276E">
            <w:pPr>
              <w:pStyle w:val="Normal1linespace"/>
              <w:widowControl w:val="0"/>
              <w:jc w:val="left"/>
            </w:pPr>
          </w:p>
        </w:tc>
        <w:tc>
          <w:tcPr>
            <w:tcW w:w="5989" w:type="dxa"/>
            <w:shd w:val="clear" w:color="auto" w:fill="auto"/>
          </w:tcPr>
          <w:p w:rsidR="00E638F3" w:rsidRDefault="00E638F3" w:rsidP="0035276E">
            <w:pPr>
              <w:pStyle w:val="Normal1linespace"/>
              <w:widowControl w:val="0"/>
              <w:jc w:val="left"/>
            </w:pPr>
          </w:p>
        </w:tc>
      </w:tr>
      <w:tr w:rsidR="00E638F3" w:rsidTr="00E638F3">
        <w:tc>
          <w:tcPr>
            <w:tcW w:w="3085" w:type="dxa"/>
            <w:shd w:val="clear" w:color="auto" w:fill="auto"/>
          </w:tcPr>
          <w:p w:rsidR="00E638F3" w:rsidRDefault="00E638F3" w:rsidP="0035276E">
            <w:pPr>
              <w:pStyle w:val="Normal1linespace"/>
              <w:widowControl w:val="0"/>
              <w:jc w:val="left"/>
            </w:pPr>
            <w:r>
              <w:t>Sub-area:</w:t>
            </w:r>
          </w:p>
        </w:tc>
        <w:tc>
          <w:tcPr>
            <w:tcW w:w="5989" w:type="dxa"/>
            <w:shd w:val="clear" w:color="auto" w:fill="auto"/>
          </w:tcPr>
          <w:p w:rsidR="00E638F3" w:rsidRPr="00435936" w:rsidRDefault="00F30FC5" w:rsidP="0035276E">
            <w:pPr>
              <w:pStyle w:val="Normal1linespace"/>
              <w:widowControl w:val="0"/>
              <w:jc w:val="left"/>
            </w:pPr>
            <w:fldSimple w:instr=" DOCPROPERTY  &quot;Sub Area&quot;  \* MERGEFORMAT ">
              <w:r w:rsidR="00E638F3" w:rsidRPr="0035276E">
                <w:rPr>
                  <w:bCs/>
                  <w:lang w:val="en-US"/>
                </w:rPr>
                <w:t xml:space="preserve">Economic Regulator, </w:t>
              </w:r>
              <w:r w:rsidR="00E638F3">
                <w:t>Competition and Access</w:t>
              </w:r>
            </w:fldSimple>
          </w:p>
        </w:tc>
      </w:tr>
      <w:tr w:rsidR="00E638F3" w:rsidTr="00E638F3">
        <w:tc>
          <w:tcPr>
            <w:tcW w:w="3085" w:type="dxa"/>
            <w:shd w:val="clear" w:color="auto" w:fill="auto"/>
          </w:tcPr>
          <w:p w:rsidR="00E638F3" w:rsidRDefault="00E638F3" w:rsidP="0035276E">
            <w:pPr>
              <w:pStyle w:val="Normal1linespace"/>
              <w:widowControl w:val="0"/>
              <w:jc w:val="left"/>
            </w:pPr>
          </w:p>
        </w:tc>
        <w:tc>
          <w:tcPr>
            <w:tcW w:w="5989" w:type="dxa"/>
            <w:shd w:val="clear" w:color="auto" w:fill="auto"/>
          </w:tcPr>
          <w:p w:rsidR="00E638F3" w:rsidRDefault="00E638F3" w:rsidP="0035276E">
            <w:pPr>
              <w:pStyle w:val="Normal1linespace"/>
              <w:widowControl w:val="0"/>
              <w:jc w:val="left"/>
              <w:rPr>
                <w:b/>
              </w:rPr>
            </w:pPr>
          </w:p>
        </w:tc>
      </w:tr>
      <w:tr w:rsidR="00E638F3" w:rsidTr="00E638F3">
        <w:tc>
          <w:tcPr>
            <w:tcW w:w="3085" w:type="dxa"/>
            <w:shd w:val="clear" w:color="auto" w:fill="auto"/>
          </w:tcPr>
          <w:p w:rsidR="00E638F3" w:rsidRDefault="00E638F3" w:rsidP="0035276E">
            <w:pPr>
              <w:pStyle w:val="Normal1linespace"/>
              <w:widowControl w:val="0"/>
              <w:jc w:val="left"/>
            </w:pPr>
            <w:r>
              <w:t>Category:</w:t>
            </w:r>
          </w:p>
        </w:tc>
        <w:tc>
          <w:tcPr>
            <w:tcW w:w="5989" w:type="dxa"/>
            <w:shd w:val="clear" w:color="auto" w:fill="auto"/>
          </w:tcPr>
          <w:p w:rsidR="00E638F3" w:rsidRDefault="00E638F3" w:rsidP="0035276E">
            <w:pPr>
              <w:pStyle w:val="Normal1linespace"/>
              <w:widowControl w:val="0"/>
              <w:jc w:val="left"/>
            </w:pPr>
            <w:r>
              <w:t>Catchwords</w:t>
            </w:r>
          </w:p>
        </w:tc>
      </w:tr>
      <w:tr w:rsidR="00E638F3" w:rsidTr="00E638F3">
        <w:tc>
          <w:tcPr>
            <w:tcW w:w="3085" w:type="dxa"/>
            <w:shd w:val="clear" w:color="auto" w:fill="auto"/>
          </w:tcPr>
          <w:p w:rsidR="00E638F3" w:rsidRDefault="00E638F3" w:rsidP="0035276E">
            <w:pPr>
              <w:pStyle w:val="Normal1linespace"/>
              <w:widowControl w:val="0"/>
              <w:jc w:val="left"/>
            </w:pPr>
          </w:p>
        </w:tc>
        <w:tc>
          <w:tcPr>
            <w:tcW w:w="5989" w:type="dxa"/>
            <w:shd w:val="clear" w:color="auto" w:fill="auto"/>
          </w:tcPr>
          <w:p w:rsidR="00E638F3" w:rsidRDefault="00E638F3" w:rsidP="0035276E">
            <w:pPr>
              <w:pStyle w:val="Normal1linespace"/>
              <w:widowControl w:val="0"/>
              <w:jc w:val="left"/>
            </w:pPr>
          </w:p>
        </w:tc>
      </w:tr>
      <w:tr w:rsidR="00E638F3" w:rsidTr="00E638F3">
        <w:tc>
          <w:tcPr>
            <w:tcW w:w="3085" w:type="dxa"/>
            <w:shd w:val="clear" w:color="auto" w:fill="auto"/>
          </w:tcPr>
          <w:p w:rsidR="00E638F3" w:rsidRDefault="00E638F3" w:rsidP="0035276E">
            <w:pPr>
              <w:pStyle w:val="Normal1linespace"/>
              <w:widowControl w:val="0"/>
              <w:jc w:val="left"/>
            </w:pPr>
            <w:r>
              <w:t>Number of paragraphs:</w:t>
            </w:r>
          </w:p>
        </w:tc>
        <w:tc>
          <w:tcPr>
            <w:tcW w:w="5989" w:type="dxa"/>
            <w:shd w:val="clear" w:color="auto" w:fill="auto"/>
          </w:tcPr>
          <w:p w:rsidR="00E638F3" w:rsidRDefault="00DE4C17" w:rsidP="0035276E">
            <w:pPr>
              <w:pStyle w:val="Normal1linespace"/>
              <w:widowControl w:val="0"/>
              <w:jc w:val="left"/>
            </w:pPr>
            <w:bookmarkStart w:id="6" w:name="PlaceCategoryParagraphs"/>
            <w:r>
              <w:t>20</w:t>
            </w:r>
            <w:bookmarkEnd w:id="6"/>
          </w:p>
        </w:tc>
      </w:tr>
      <w:tr w:rsidR="00E638F3" w:rsidTr="00E638F3">
        <w:tc>
          <w:tcPr>
            <w:tcW w:w="3085" w:type="dxa"/>
            <w:shd w:val="clear" w:color="auto" w:fill="auto"/>
          </w:tcPr>
          <w:p w:rsidR="00E638F3" w:rsidRDefault="00E638F3" w:rsidP="004B75F6">
            <w:pPr>
              <w:pStyle w:val="Normal1linespace"/>
              <w:widowControl w:val="0"/>
              <w:jc w:val="left"/>
            </w:pPr>
          </w:p>
        </w:tc>
        <w:tc>
          <w:tcPr>
            <w:tcW w:w="5989" w:type="dxa"/>
            <w:shd w:val="clear" w:color="auto" w:fill="auto"/>
          </w:tcPr>
          <w:p w:rsidR="00E638F3" w:rsidRDefault="00E638F3" w:rsidP="004B75F6">
            <w:pPr>
              <w:pStyle w:val="Normal1linespace"/>
              <w:widowControl w:val="0"/>
              <w:jc w:val="left"/>
            </w:pPr>
          </w:p>
        </w:tc>
      </w:tr>
      <w:tr w:rsidR="00E638F3" w:rsidTr="00E638F3">
        <w:tc>
          <w:tcPr>
            <w:tcW w:w="3085" w:type="dxa"/>
            <w:shd w:val="clear" w:color="auto" w:fill="auto"/>
          </w:tcPr>
          <w:p w:rsidR="00E638F3" w:rsidRDefault="00E638F3" w:rsidP="004B75F6">
            <w:pPr>
              <w:pStyle w:val="Normal1linespace"/>
              <w:widowControl w:val="0"/>
              <w:jc w:val="left"/>
            </w:pPr>
            <w:bookmarkStart w:id="7" w:name="Counsel" w:colFirst="0" w:colLast="2"/>
            <w:r>
              <w:t>Counsel for the Applicant:</w:t>
            </w:r>
          </w:p>
        </w:tc>
        <w:tc>
          <w:tcPr>
            <w:tcW w:w="5989" w:type="dxa"/>
            <w:shd w:val="clear" w:color="auto" w:fill="auto"/>
          </w:tcPr>
          <w:p w:rsidR="00E638F3" w:rsidRDefault="00E638F3" w:rsidP="004B75F6">
            <w:pPr>
              <w:pStyle w:val="Normal1linespace"/>
              <w:widowControl w:val="0"/>
              <w:jc w:val="left"/>
            </w:pPr>
            <w:bookmarkStart w:id="8" w:name="AppCounsel"/>
            <w:bookmarkEnd w:id="8"/>
            <w:r>
              <w:t>Mr AC Archibald QC and Ms TL Wong</w:t>
            </w:r>
          </w:p>
        </w:tc>
      </w:tr>
      <w:bookmarkEnd w:id="7"/>
      <w:tr w:rsidR="00E638F3" w:rsidTr="00E638F3">
        <w:tc>
          <w:tcPr>
            <w:tcW w:w="3085" w:type="dxa"/>
            <w:shd w:val="clear" w:color="auto" w:fill="auto"/>
          </w:tcPr>
          <w:p w:rsidR="00E638F3" w:rsidRDefault="00E638F3" w:rsidP="0035276E">
            <w:pPr>
              <w:pStyle w:val="Normal1linespace"/>
              <w:widowControl w:val="0"/>
              <w:jc w:val="left"/>
            </w:pPr>
          </w:p>
        </w:tc>
        <w:tc>
          <w:tcPr>
            <w:tcW w:w="5989" w:type="dxa"/>
            <w:shd w:val="clear" w:color="auto" w:fill="auto"/>
          </w:tcPr>
          <w:p w:rsidR="00E638F3" w:rsidRDefault="00E638F3" w:rsidP="0035276E">
            <w:pPr>
              <w:pStyle w:val="Normal1linespace"/>
              <w:widowControl w:val="0"/>
              <w:jc w:val="left"/>
            </w:pPr>
          </w:p>
        </w:tc>
      </w:tr>
      <w:tr w:rsidR="00E638F3" w:rsidTr="00E638F3">
        <w:tc>
          <w:tcPr>
            <w:tcW w:w="3085" w:type="dxa"/>
            <w:shd w:val="clear" w:color="auto" w:fill="auto"/>
          </w:tcPr>
          <w:p w:rsidR="00E638F3" w:rsidRDefault="00E638F3" w:rsidP="0035276E">
            <w:pPr>
              <w:pStyle w:val="Normal1linespace"/>
              <w:widowControl w:val="0"/>
              <w:jc w:val="left"/>
            </w:pPr>
            <w:r>
              <w:lastRenderedPageBreak/>
              <w:t>Solicitor for the Applicant:</w:t>
            </w:r>
          </w:p>
        </w:tc>
        <w:tc>
          <w:tcPr>
            <w:tcW w:w="5989" w:type="dxa"/>
            <w:shd w:val="clear" w:color="auto" w:fill="auto"/>
          </w:tcPr>
          <w:p w:rsidR="00E638F3" w:rsidRDefault="00E638F3" w:rsidP="0035276E">
            <w:pPr>
              <w:pStyle w:val="Normal1linespace"/>
              <w:widowControl w:val="0"/>
              <w:jc w:val="left"/>
            </w:pPr>
            <w:r>
              <w:t>Gilbert + Tobin Lawyers</w:t>
            </w:r>
          </w:p>
        </w:tc>
      </w:tr>
      <w:tr w:rsidR="00E638F3" w:rsidTr="00E638F3">
        <w:tc>
          <w:tcPr>
            <w:tcW w:w="3085" w:type="dxa"/>
            <w:shd w:val="clear" w:color="auto" w:fill="auto"/>
          </w:tcPr>
          <w:p w:rsidR="00E638F3" w:rsidRDefault="00E638F3" w:rsidP="0035276E">
            <w:pPr>
              <w:pStyle w:val="Normal1linespace"/>
              <w:widowControl w:val="0"/>
              <w:jc w:val="left"/>
            </w:pPr>
          </w:p>
        </w:tc>
        <w:tc>
          <w:tcPr>
            <w:tcW w:w="5989" w:type="dxa"/>
            <w:shd w:val="clear" w:color="auto" w:fill="auto"/>
          </w:tcPr>
          <w:p w:rsidR="00E638F3" w:rsidRDefault="00E638F3" w:rsidP="0035276E">
            <w:pPr>
              <w:pStyle w:val="Normal1linespace"/>
              <w:widowControl w:val="0"/>
              <w:jc w:val="left"/>
            </w:pPr>
          </w:p>
        </w:tc>
      </w:tr>
      <w:tr w:rsidR="00E638F3" w:rsidTr="00E638F3">
        <w:tc>
          <w:tcPr>
            <w:tcW w:w="3085" w:type="dxa"/>
            <w:shd w:val="clear" w:color="auto" w:fill="auto"/>
          </w:tcPr>
          <w:p w:rsidR="00E638F3" w:rsidRDefault="00E638F3" w:rsidP="0035276E">
            <w:pPr>
              <w:pStyle w:val="Normal1linespace"/>
              <w:widowControl w:val="0"/>
              <w:jc w:val="left"/>
            </w:pPr>
            <w:r>
              <w:t>Counsel for the First Respondent:</w:t>
            </w:r>
          </w:p>
        </w:tc>
        <w:tc>
          <w:tcPr>
            <w:tcW w:w="5989" w:type="dxa"/>
            <w:shd w:val="clear" w:color="auto" w:fill="auto"/>
          </w:tcPr>
          <w:p w:rsidR="00E638F3" w:rsidRDefault="00E638F3" w:rsidP="0035276E">
            <w:pPr>
              <w:pStyle w:val="Normal1linespace"/>
              <w:widowControl w:val="0"/>
              <w:jc w:val="left"/>
            </w:pPr>
            <w:r>
              <w:t xml:space="preserve">Mr NJ Williams SC and Ms AM </w:t>
            </w:r>
            <w:proofErr w:type="spellStart"/>
            <w:r>
              <w:t>Mitchelmore</w:t>
            </w:r>
            <w:proofErr w:type="spellEnd"/>
          </w:p>
        </w:tc>
      </w:tr>
      <w:tr w:rsidR="00E638F3" w:rsidTr="00E638F3">
        <w:tc>
          <w:tcPr>
            <w:tcW w:w="3085" w:type="dxa"/>
            <w:shd w:val="clear" w:color="auto" w:fill="auto"/>
          </w:tcPr>
          <w:p w:rsidR="00E638F3" w:rsidRDefault="00E638F3" w:rsidP="0035276E">
            <w:pPr>
              <w:pStyle w:val="Normal1linespace"/>
              <w:widowControl w:val="0"/>
              <w:jc w:val="left"/>
            </w:pPr>
          </w:p>
        </w:tc>
        <w:tc>
          <w:tcPr>
            <w:tcW w:w="5989" w:type="dxa"/>
            <w:shd w:val="clear" w:color="auto" w:fill="auto"/>
          </w:tcPr>
          <w:p w:rsidR="00E638F3" w:rsidRDefault="00E638F3" w:rsidP="0035276E">
            <w:pPr>
              <w:pStyle w:val="Normal1linespace"/>
              <w:widowControl w:val="0"/>
              <w:jc w:val="left"/>
            </w:pPr>
          </w:p>
        </w:tc>
      </w:tr>
      <w:tr w:rsidR="00E638F3" w:rsidTr="00E638F3">
        <w:tc>
          <w:tcPr>
            <w:tcW w:w="3085" w:type="dxa"/>
            <w:shd w:val="clear" w:color="auto" w:fill="auto"/>
          </w:tcPr>
          <w:p w:rsidR="00E638F3" w:rsidRDefault="00E638F3" w:rsidP="0035276E">
            <w:pPr>
              <w:pStyle w:val="Normal1linespace"/>
              <w:widowControl w:val="0"/>
              <w:jc w:val="left"/>
            </w:pPr>
            <w:r>
              <w:t>Solicitor for the First Respondent:</w:t>
            </w:r>
          </w:p>
        </w:tc>
        <w:tc>
          <w:tcPr>
            <w:tcW w:w="5989" w:type="dxa"/>
            <w:shd w:val="clear" w:color="auto" w:fill="auto"/>
          </w:tcPr>
          <w:p w:rsidR="00E638F3" w:rsidRDefault="00E638F3" w:rsidP="0035276E">
            <w:pPr>
              <w:pStyle w:val="Normal1linespace"/>
              <w:widowControl w:val="0"/>
              <w:jc w:val="left"/>
            </w:pPr>
            <w:r>
              <w:t xml:space="preserve">DLA Piper </w:t>
            </w:r>
          </w:p>
        </w:tc>
      </w:tr>
      <w:tr w:rsidR="00E638F3" w:rsidTr="00E638F3">
        <w:tc>
          <w:tcPr>
            <w:tcW w:w="3085" w:type="dxa"/>
            <w:shd w:val="clear" w:color="auto" w:fill="auto"/>
          </w:tcPr>
          <w:p w:rsidR="00E638F3" w:rsidRDefault="00E638F3" w:rsidP="0035276E">
            <w:pPr>
              <w:pStyle w:val="Normal1linespace"/>
              <w:widowControl w:val="0"/>
              <w:jc w:val="left"/>
            </w:pPr>
          </w:p>
        </w:tc>
        <w:tc>
          <w:tcPr>
            <w:tcW w:w="5989" w:type="dxa"/>
            <w:shd w:val="clear" w:color="auto" w:fill="auto"/>
          </w:tcPr>
          <w:p w:rsidR="00E638F3" w:rsidRDefault="00E638F3" w:rsidP="0035276E">
            <w:pPr>
              <w:pStyle w:val="Normal1linespace"/>
              <w:widowControl w:val="0"/>
              <w:jc w:val="left"/>
            </w:pPr>
          </w:p>
        </w:tc>
      </w:tr>
      <w:tr w:rsidR="00E638F3" w:rsidTr="00E638F3">
        <w:tc>
          <w:tcPr>
            <w:tcW w:w="3085" w:type="dxa"/>
            <w:shd w:val="clear" w:color="auto" w:fill="auto"/>
          </w:tcPr>
          <w:p w:rsidR="00E638F3" w:rsidRDefault="00E638F3" w:rsidP="0035276E">
            <w:pPr>
              <w:pStyle w:val="Normal1linespace"/>
              <w:widowControl w:val="0"/>
              <w:jc w:val="left"/>
            </w:pPr>
            <w:r>
              <w:t>Counsel for the Second Respondent:</w:t>
            </w:r>
          </w:p>
        </w:tc>
        <w:tc>
          <w:tcPr>
            <w:tcW w:w="5989" w:type="dxa"/>
            <w:shd w:val="clear" w:color="auto" w:fill="auto"/>
          </w:tcPr>
          <w:p w:rsidR="00E638F3" w:rsidRDefault="00E638F3" w:rsidP="0035276E">
            <w:pPr>
              <w:pStyle w:val="Normal1linespace"/>
              <w:widowControl w:val="0"/>
              <w:jc w:val="left"/>
            </w:pPr>
            <w:r>
              <w:t>Mr R Lancaster SC and Mr CG Arnott</w:t>
            </w:r>
          </w:p>
        </w:tc>
      </w:tr>
      <w:tr w:rsidR="00E638F3" w:rsidTr="00E638F3">
        <w:tc>
          <w:tcPr>
            <w:tcW w:w="3085" w:type="dxa"/>
            <w:shd w:val="clear" w:color="auto" w:fill="auto"/>
          </w:tcPr>
          <w:p w:rsidR="00E638F3" w:rsidRDefault="00E638F3" w:rsidP="0035276E">
            <w:pPr>
              <w:pStyle w:val="Normal1linespace"/>
              <w:widowControl w:val="0"/>
              <w:jc w:val="left"/>
            </w:pPr>
          </w:p>
        </w:tc>
        <w:tc>
          <w:tcPr>
            <w:tcW w:w="5989" w:type="dxa"/>
            <w:shd w:val="clear" w:color="auto" w:fill="auto"/>
          </w:tcPr>
          <w:p w:rsidR="00E638F3" w:rsidRDefault="00E638F3" w:rsidP="0035276E">
            <w:pPr>
              <w:pStyle w:val="Normal1linespace"/>
              <w:widowControl w:val="0"/>
              <w:jc w:val="left"/>
            </w:pPr>
          </w:p>
        </w:tc>
      </w:tr>
      <w:tr w:rsidR="00E638F3" w:rsidTr="00E638F3">
        <w:tc>
          <w:tcPr>
            <w:tcW w:w="3085" w:type="dxa"/>
            <w:shd w:val="clear" w:color="auto" w:fill="auto"/>
          </w:tcPr>
          <w:p w:rsidR="00E638F3" w:rsidRDefault="00E638F3" w:rsidP="0035276E">
            <w:pPr>
              <w:pStyle w:val="Normal1linespace"/>
              <w:widowControl w:val="0"/>
              <w:jc w:val="left"/>
            </w:pPr>
            <w:r>
              <w:t>Solicitor for the Second Respondent:</w:t>
            </w:r>
          </w:p>
        </w:tc>
        <w:tc>
          <w:tcPr>
            <w:tcW w:w="5989" w:type="dxa"/>
            <w:shd w:val="clear" w:color="auto" w:fill="auto"/>
          </w:tcPr>
          <w:p w:rsidR="00E638F3" w:rsidRDefault="00E638F3" w:rsidP="0035276E">
            <w:pPr>
              <w:pStyle w:val="Normal1linespace"/>
              <w:widowControl w:val="0"/>
              <w:jc w:val="left"/>
            </w:pPr>
            <w:proofErr w:type="spellStart"/>
            <w:r>
              <w:t>Maddocks</w:t>
            </w:r>
            <w:proofErr w:type="spellEnd"/>
            <w:r>
              <w:t xml:space="preserve"> Lawyers</w:t>
            </w:r>
          </w:p>
        </w:tc>
      </w:tr>
      <w:tr w:rsidR="00E638F3" w:rsidTr="00E638F3">
        <w:tc>
          <w:tcPr>
            <w:tcW w:w="3085" w:type="dxa"/>
            <w:shd w:val="clear" w:color="auto" w:fill="auto"/>
          </w:tcPr>
          <w:p w:rsidR="00E638F3" w:rsidRDefault="00E638F3" w:rsidP="0035276E">
            <w:pPr>
              <w:pStyle w:val="Normal1linespace"/>
              <w:widowControl w:val="0"/>
              <w:jc w:val="left"/>
            </w:pPr>
          </w:p>
        </w:tc>
        <w:tc>
          <w:tcPr>
            <w:tcW w:w="5989" w:type="dxa"/>
            <w:shd w:val="clear" w:color="auto" w:fill="auto"/>
          </w:tcPr>
          <w:p w:rsidR="00E638F3" w:rsidRDefault="00E638F3" w:rsidP="0035276E">
            <w:pPr>
              <w:pStyle w:val="Normal1linespace"/>
              <w:widowControl w:val="0"/>
              <w:jc w:val="left"/>
            </w:pPr>
          </w:p>
        </w:tc>
      </w:tr>
      <w:tr w:rsidR="00E638F3" w:rsidTr="00E638F3">
        <w:tc>
          <w:tcPr>
            <w:tcW w:w="3085" w:type="dxa"/>
            <w:shd w:val="clear" w:color="auto" w:fill="auto"/>
          </w:tcPr>
          <w:p w:rsidR="00E638F3" w:rsidRDefault="00E638F3" w:rsidP="0035276E">
            <w:pPr>
              <w:pStyle w:val="Normal1linespace"/>
              <w:widowControl w:val="0"/>
              <w:jc w:val="left"/>
            </w:pPr>
            <w:r>
              <w:t>Counsel for the Third Respondent:</w:t>
            </w:r>
          </w:p>
        </w:tc>
        <w:tc>
          <w:tcPr>
            <w:tcW w:w="5989" w:type="dxa"/>
            <w:shd w:val="clear" w:color="auto" w:fill="auto"/>
          </w:tcPr>
          <w:p w:rsidR="00E638F3" w:rsidRDefault="00E638F3" w:rsidP="0035276E">
            <w:pPr>
              <w:pStyle w:val="Normal1linespace"/>
              <w:widowControl w:val="0"/>
              <w:jc w:val="left"/>
            </w:pPr>
            <w:r>
              <w:t xml:space="preserve">Mr B Walker SC and Mr AK </w:t>
            </w:r>
            <w:proofErr w:type="spellStart"/>
            <w:r>
              <w:t>Flecknoe</w:t>
            </w:r>
            <w:proofErr w:type="spellEnd"/>
            <w:r>
              <w:t>-Brown</w:t>
            </w:r>
          </w:p>
        </w:tc>
      </w:tr>
      <w:tr w:rsidR="00E638F3" w:rsidTr="00E638F3">
        <w:tc>
          <w:tcPr>
            <w:tcW w:w="3085" w:type="dxa"/>
            <w:shd w:val="clear" w:color="auto" w:fill="auto"/>
          </w:tcPr>
          <w:p w:rsidR="00E638F3" w:rsidRDefault="00E638F3" w:rsidP="0035276E">
            <w:pPr>
              <w:pStyle w:val="Normal1linespace"/>
              <w:widowControl w:val="0"/>
              <w:jc w:val="left"/>
            </w:pPr>
          </w:p>
        </w:tc>
        <w:tc>
          <w:tcPr>
            <w:tcW w:w="5989" w:type="dxa"/>
            <w:shd w:val="clear" w:color="auto" w:fill="auto"/>
          </w:tcPr>
          <w:p w:rsidR="00E638F3" w:rsidRDefault="00E638F3" w:rsidP="0035276E">
            <w:pPr>
              <w:pStyle w:val="Normal1linespace"/>
              <w:widowControl w:val="0"/>
              <w:jc w:val="left"/>
            </w:pPr>
          </w:p>
        </w:tc>
      </w:tr>
      <w:tr w:rsidR="00E638F3" w:rsidTr="00E638F3">
        <w:tc>
          <w:tcPr>
            <w:tcW w:w="3085" w:type="dxa"/>
            <w:shd w:val="clear" w:color="auto" w:fill="auto"/>
          </w:tcPr>
          <w:p w:rsidR="00E638F3" w:rsidRDefault="00E638F3" w:rsidP="0035276E">
            <w:pPr>
              <w:pStyle w:val="Normal1linespace"/>
              <w:widowControl w:val="0"/>
              <w:jc w:val="left"/>
            </w:pPr>
            <w:r>
              <w:t>Solicitor for the Third Respondent:</w:t>
            </w:r>
          </w:p>
        </w:tc>
        <w:tc>
          <w:tcPr>
            <w:tcW w:w="5989" w:type="dxa"/>
            <w:shd w:val="clear" w:color="auto" w:fill="auto"/>
          </w:tcPr>
          <w:p w:rsidR="00E638F3" w:rsidRDefault="00E638F3" w:rsidP="0035276E">
            <w:pPr>
              <w:pStyle w:val="Normal1linespace"/>
              <w:widowControl w:val="0"/>
              <w:jc w:val="left"/>
            </w:pPr>
            <w:r>
              <w:t>Thomson Geer</w:t>
            </w:r>
          </w:p>
        </w:tc>
      </w:tr>
      <w:tr w:rsidR="00E638F3" w:rsidTr="00E638F3">
        <w:tc>
          <w:tcPr>
            <w:tcW w:w="3085" w:type="dxa"/>
            <w:shd w:val="clear" w:color="auto" w:fill="auto"/>
          </w:tcPr>
          <w:p w:rsidR="00E638F3" w:rsidRDefault="00E638F3" w:rsidP="0035276E">
            <w:pPr>
              <w:pStyle w:val="Normal1linespace"/>
              <w:widowControl w:val="0"/>
              <w:jc w:val="left"/>
            </w:pPr>
          </w:p>
        </w:tc>
        <w:tc>
          <w:tcPr>
            <w:tcW w:w="5989" w:type="dxa"/>
            <w:shd w:val="clear" w:color="auto" w:fill="auto"/>
          </w:tcPr>
          <w:p w:rsidR="00E638F3" w:rsidRDefault="00E638F3" w:rsidP="0035276E">
            <w:pPr>
              <w:pStyle w:val="Normal1linespace"/>
              <w:widowControl w:val="0"/>
              <w:jc w:val="left"/>
            </w:pPr>
          </w:p>
        </w:tc>
      </w:tr>
      <w:tr w:rsidR="00E638F3" w:rsidTr="00E638F3">
        <w:tc>
          <w:tcPr>
            <w:tcW w:w="3085" w:type="dxa"/>
            <w:shd w:val="clear" w:color="auto" w:fill="auto"/>
          </w:tcPr>
          <w:p w:rsidR="00E638F3" w:rsidRDefault="00E638F3" w:rsidP="0035276E">
            <w:pPr>
              <w:pStyle w:val="Normal1linespace"/>
              <w:widowControl w:val="0"/>
              <w:jc w:val="left"/>
            </w:pPr>
            <w:r>
              <w:t>Counsel for the Fourth to Sixth Respondents:</w:t>
            </w:r>
          </w:p>
        </w:tc>
        <w:tc>
          <w:tcPr>
            <w:tcW w:w="5989" w:type="dxa"/>
            <w:shd w:val="clear" w:color="auto" w:fill="auto"/>
          </w:tcPr>
          <w:p w:rsidR="00E638F3" w:rsidRDefault="00E638F3" w:rsidP="0035276E">
            <w:pPr>
              <w:pStyle w:val="Normal1linespace"/>
              <w:widowControl w:val="0"/>
              <w:jc w:val="left"/>
            </w:pPr>
            <w:r>
              <w:t>Mr SJ Free</w:t>
            </w:r>
          </w:p>
        </w:tc>
      </w:tr>
      <w:tr w:rsidR="00E638F3" w:rsidTr="00E638F3">
        <w:tc>
          <w:tcPr>
            <w:tcW w:w="3085" w:type="dxa"/>
            <w:shd w:val="clear" w:color="auto" w:fill="auto"/>
          </w:tcPr>
          <w:p w:rsidR="00E638F3" w:rsidRDefault="00E638F3" w:rsidP="0035276E">
            <w:pPr>
              <w:pStyle w:val="Normal1linespace"/>
              <w:widowControl w:val="0"/>
              <w:jc w:val="left"/>
            </w:pPr>
          </w:p>
        </w:tc>
        <w:tc>
          <w:tcPr>
            <w:tcW w:w="5989" w:type="dxa"/>
            <w:shd w:val="clear" w:color="auto" w:fill="auto"/>
          </w:tcPr>
          <w:p w:rsidR="00E638F3" w:rsidRDefault="00E638F3" w:rsidP="0035276E">
            <w:pPr>
              <w:pStyle w:val="Normal1linespace"/>
              <w:widowControl w:val="0"/>
              <w:jc w:val="left"/>
            </w:pPr>
          </w:p>
        </w:tc>
      </w:tr>
      <w:tr w:rsidR="00E638F3" w:rsidTr="00E638F3">
        <w:tc>
          <w:tcPr>
            <w:tcW w:w="3085" w:type="dxa"/>
            <w:shd w:val="clear" w:color="auto" w:fill="auto"/>
          </w:tcPr>
          <w:p w:rsidR="00E638F3" w:rsidRDefault="00E638F3" w:rsidP="0035276E">
            <w:pPr>
              <w:pStyle w:val="Normal1linespace"/>
              <w:widowControl w:val="0"/>
              <w:jc w:val="left"/>
            </w:pPr>
            <w:r>
              <w:t>Solicitor for the Fourth to Sixth Respondents:</w:t>
            </w:r>
          </w:p>
        </w:tc>
        <w:tc>
          <w:tcPr>
            <w:tcW w:w="5989" w:type="dxa"/>
            <w:shd w:val="clear" w:color="auto" w:fill="auto"/>
          </w:tcPr>
          <w:p w:rsidR="00E638F3" w:rsidRDefault="00E638F3" w:rsidP="0035276E">
            <w:pPr>
              <w:pStyle w:val="Normal1linespace"/>
              <w:widowControl w:val="0"/>
              <w:jc w:val="left"/>
            </w:pPr>
            <w:r>
              <w:t>Baker &amp; McKenzie</w:t>
            </w:r>
          </w:p>
        </w:tc>
      </w:tr>
    </w:tbl>
    <w:p w:rsidR="00395B24" w:rsidRDefault="00395B24">
      <w:pPr>
        <w:pStyle w:val="Normal1linespace"/>
      </w:pPr>
    </w:p>
    <w:p w:rsidR="0092590B" w:rsidRDefault="0092590B">
      <w:pPr>
        <w:pStyle w:val="Normal1linespace"/>
      </w:pPr>
    </w:p>
    <w:p w:rsidR="00395B24" w:rsidRDefault="00395B24">
      <w:pPr>
        <w:pStyle w:val="Normal1linespace"/>
        <w:sectPr w:rsidR="00395B24">
          <w:footerReference w:type="default" r:id="rId9"/>
          <w:footerReference w:type="first" r:id="rId10"/>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B34815" w:rsidP="00F92355">
            <w:pPr>
              <w:pStyle w:val="NormalHeadings"/>
              <w:jc w:val="right"/>
            </w:pPr>
            <w:bookmarkStart w:id="9" w:name="FileNo"/>
            <w:r>
              <w:t>NSD 1338 of 2015</w:t>
            </w:r>
            <w:bookmarkEnd w:id="9"/>
          </w:p>
        </w:tc>
      </w:tr>
      <w:tr w:rsidR="00A76C13" w:rsidTr="005572BE">
        <w:tc>
          <w:tcPr>
            <w:tcW w:w="9242" w:type="dxa"/>
            <w:gridSpan w:val="3"/>
          </w:tcPr>
          <w:p w:rsidR="00A76C13" w:rsidRPr="00A76C13" w:rsidRDefault="00B34815" w:rsidP="00B34815">
            <w:pPr>
              <w:pStyle w:val="NormalHeadings"/>
              <w:jc w:val="left"/>
            </w:pPr>
            <w:bookmarkStart w:id="10" w:name="InTheMatterOf"/>
            <w:r>
              <w:t xml:space="preserve"> </w:t>
            </w:r>
            <w:bookmarkEnd w:id="10"/>
          </w:p>
        </w:tc>
      </w:tr>
      <w:tr w:rsidR="00A46CCC" w:rsidTr="005572BE">
        <w:trPr>
          <w:trHeight w:val="386"/>
        </w:trPr>
        <w:tc>
          <w:tcPr>
            <w:tcW w:w="2376" w:type="dxa"/>
          </w:tcPr>
          <w:p w:rsidR="00A46CCC" w:rsidRDefault="00A46CCC" w:rsidP="005572BE">
            <w:pPr>
              <w:pStyle w:val="NormalHeadings"/>
              <w:jc w:val="left"/>
              <w:rPr>
                <w:caps/>
                <w:szCs w:val="24"/>
              </w:rPr>
            </w:pPr>
            <w:bookmarkStart w:id="11" w:name="Parties"/>
            <w:r>
              <w:rPr>
                <w:caps/>
                <w:szCs w:val="24"/>
              </w:rPr>
              <w:t>BETWEEN:</w:t>
            </w:r>
          </w:p>
        </w:tc>
        <w:tc>
          <w:tcPr>
            <w:tcW w:w="6866" w:type="dxa"/>
            <w:gridSpan w:val="2"/>
          </w:tcPr>
          <w:p w:rsidR="00B34815" w:rsidRDefault="00B34815" w:rsidP="00B34815">
            <w:pPr>
              <w:pStyle w:val="NormalHeadings"/>
              <w:jc w:val="left"/>
            </w:pPr>
            <w:bookmarkStart w:id="12" w:name="Applicant"/>
            <w:r>
              <w:t>TELSTRA CORPORATION LIMITED (ACN 051 775 556)</w:t>
            </w:r>
          </w:p>
          <w:p w:rsidR="00B34815" w:rsidRDefault="00B34815" w:rsidP="00B34815">
            <w:pPr>
              <w:pStyle w:val="PartyType"/>
            </w:pPr>
            <w:r>
              <w:t>Applicant</w:t>
            </w:r>
          </w:p>
          <w:bookmarkEnd w:id="12"/>
          <w:p w:rsidR="00A46CCC" w:rsidRPr="006555B4" w:rsidRDefault="00A46CCC" w:rsidP="005572BE">
            <w:pPr>
              <w:pStyle w:val="NormalHeadings"/>
              <w:jc w:val="left"/>
            </w:pPr>
          </w:p>
        </w:tc>
      </w:tr>
      <w:tr w:rsidR="00A46CCC" w:rsidTr="005572BE">
        <w:trPr>
          <w:trHeight w:val="386"/>
        </w:trPr>
        <w:tc>
          <w:tcPr>
            <w:tcW w:w="2376" w:type="dxa"/>
          </w:tcPr>
          <w:p w:rsidR="00A46CCC" w:rsidRDefault="00A46CCC" w:rsidP="005572BE">
            <w:pPr>
              <w:pStyle w:val="NormalHeadings"/>
              <w:jc w:val="left"/>
              <w:rPr>
                <w:caps/>
                <w:szCs w:val="24"/>
              </w:rPr>
            </w:pPr>
            <w:r>
              <w:rPr>
                <w:caps/>
                <w:szCs w:val="24"/>
              </w:rPr>
              <w:t>AND:</w:t>
            </w:r>
          </w:p>
        </w:tc>
        <w:tc>
          <w:tcPr>
            <w:tcW w:w="6866" w:type="dxa"/>
            <w:gridSpan w:val="2"/>
          </w:tcPr>
          <w:p w:rsidR="00B34815" w:rsidRDefault="00B34815" w:rsidP="00B34815">
            <w:pPr>
              <w:pStyle w:val="NormalHeadings"/>
              <w:jc w:val="left"/>
            </w:pPr>
            <w:bookmarkStart w:id="13" w:name="Respondent"/>
            <w:r>
              <w:t>AUSTRALIAN COMPETITION AND CONSUMER COMMISSION</w:t>
            </w:r>
          </w:p>
          <w:p w:rsidR="00B34815" w:rsidRDefault="00B34815" w:rsidP="00B34815">
            <w:pPr>
              <w:pStyle w:val="PartyType"/>
            </w:pPr>
            <w:r>
              <w:t>First Respondent</w:t>
            </w:r>
          </w:p>
          <w:p w:rsidR="00B34815" w:rsidRDefault="00B34815" w:rsidP="005572BE">
            <w:pPr>
              <w:pStyle w:val="NormalHeadings"/>
              <w:jc w:val="left"/>
            </w:pPr>
          </w:p>
          <w:p w:rsidR="00B34815" w:rsidRDefault="00B34815" w:rsidP="00B34815">
            <w:pPr>
              <w:pStyle w:val="NormalHeadings"/>
              <w:jc w:val="left"/>
            </w:pPr>
            <w:r>
              <w:t>OPTUS NETWORKS PTY LIMITED (ACN 008 570 330)</w:t>
            </w:r>
          </w:p>
          <w:p w:rsidR="00B34815" w:rsidRDefault="00B34815" w:rsidP="00B34815">
            <w:pPr>
              <w:pStyle w:val="PartyType"/>
            </w:pPr>
            <w:r>
              <w:t>Second Respondent</w:t>
            </w:r>
          </w:p>
          <w:p w:rsidR="00B34815" w:rsidRDefault="00B34815" w:rsidP="005572BE">
            <w:pPr>
              <w:pStyle w:val="NormalHeadings"/>
              <w:jc w:val="left"/>
            </w:pPr>
          </w:p>
          <w:p w:rsidR="00B34815" w:rsidRDefault="00B34815" w:rsidP="00B34815">
            <w:pPr>
              <w:pStyle w:val="NormalHeadings"/>
              <w:jc w:val="left"/>
            </w:pPr>
            <w:r>
              <w:t xml:space="preserve">TPG TELECOM LIMITED (ACN 093 058 069) </w:t>
            </w:r>
            <w:r w:rsidRPr="00B34815">
              <w:rPr>
                <w:b w:val="0"/>
              </w:rPr>
              <w:t>(and others named in the Schedule)</w:t>
            </w:r>
          </w:p>
          <w:p w:rsidR="00B34815" w:rsidRDefault="00B34815" w:rsidP="00B34815">
            <w:pPr>
              <w:pStyle w:val="PartyType"/>
            </w:pPr>
            <w:r>
              <w:t>Third Respondent</w:t>
            </w:r>
          </w:p>
          <w:bookmarkEnd w:id="13"/>
          <w:p w:rsidR="00A46CCC" w:rsidRPr="006555B4" w:rsidRDefault="00A46CCC" w:rsidP="005572BE">
            <w:pPr>
              <w:pStyle w:val="NormalHeadings"/>
              <w:jc w:val="left"/>
            </w:pPr>
          </w:p>
        </w:tc>
      </w:tr>
    </w:tbl>
    <w:p w:rsidR="00395B24" w:rsidRDefault="00395B24">
      <w:pPr>
        <w:pStyle w:val="NormalHeadings"/>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B34815">
            <w:pPr>
              <w:pStyle w:val="NormalHeadings"/>
              <w:spacing w:after="120"/>
              <w:jc w:val="left"/>
              <w:rPr>
                <w:caps/>
                <w:szCs w:val="24"/>
              </w:rPr>
            </w:pPr>
            <w:bookmarkStart w:id="15" w:name="JudgeText"/>
            <w:r>
              <w:rPr>
                <w:caps/>
                <w:szCs w:val="24"/>
              </w:rPr>
              <w:t>JUDGE</w:t>
            </w:r>
            <w:bookmarkEnd w:id="15"/>
            <w:r w:rsidR="002C7385">
              <w:rPr>
                <w:caps/>
                <w:szCs w:val="24"/>
              </w:rPr>
              <w:t>:</w:t>
            </w:r>
          </w:p>
        </w:tc>
        <w:tc>
          <w:tcPr>
            <w:tcW w:w="6866" w:type="dxa"/>
          </w:tcPr>
          <w:p w:rsidR="00395B24" w:rsidRDefault="00B34815">
            <w:pPr>
              <w:pStyle w:val="NormalHeadings"/>
              <w:jc w:val="left"/>
              <w:rPr>
                <w:caps/>
                <w:szCs w:val="24"/>
              </w:rPr>
            </w:pPr>
            <w:bookmarkStart w:id="16" w:name="Judge"/>
            <w:r>
              <w:rPr>
                <w:caps/>
                <w:szCs w:val="24"/>
              </w:rPr>
              <w:t>FOSTER J</w:t>
            </w:r>
            <w:bookmarkEnd w:id="16"/>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A3576D" w:rsidP="00D01491">
            <w:pPr>
              <w:pStyle w:val="NormalHeadings"/>
              <w:jc w:val="left"/>
              <w:rPr>
                <w:caps/>
                <w:szCs w:val="24"/>
              </w:rPr>
            </w:pPr>
            <w:bookmarkStart w:id="17" w:name="Judgment_Dated"/>
            <w:bookmarkEnd w:id="17"/>
            <w:r>
              <w:rPr>
                <w:caps/>
                <w:szCs w:val="24"/>
              </w:rPr>
              <w:t>27 APRIL 2017</w:t>
            </w:r>
          </w:p>
        </w:tc>
      </w:tr>
    </w:tbl>
    <w:p w:rsidR="00395B24" w:rsidRDefault="00395B24" w:rsidP="008169FC">
      <w:pPr>
        <w:pStyle w:val="NormalHeadings"/>
        <w:spacing w:line="360" w:lineRule="auto"/>
        <w:rPr>
          <w:b w:val="0"/>
        </w:rPr>
      </w:pPr>
    </w:p>
    <w:p w:rsidR="00395B24" w:rsidRDefault="002C7385">
      <w:pPr>
        <w:pStyle w:val="NormalHeadings"/>
      </w:pPr>
      <w:r>
        <w:t>THE COURT ORDERS THAT:</w:t>
      </w:r>
    </w:p>
    <w:p w:rsidR="00395B24" w:rsidRDefault="00395B24">
      <w:pPr>
        <w:pStyle w:val="NormalHeadings"/>
      </w:pPr>
    </w:p>
    <w:p w:rsidR="007C101C" w:rsidRDefault="00CA1ECA" w:rsidP="00274F5B">
      <w:pPr>
        <w:pStyle w:val="Order1"/>
      </w:pPr>
      <w:bookmarkStart w:id="18" w:name="Order_Start_Text"/>
      <w:bookmarkEnd w:id="18"/>
      <w:r>
        <w:t xml:space="preserve">The applicant pay the second, third, fourth, fifth and sixth respondents’ costs of and incidental to the Application for Judicial Review filed by the applicant on 5 November 2015. </w:t>
      </w:r>
      <w:r w:rsidR="007C101C">
        <w:t xml:space="preserve"> </w:t>
      </w:r>
    </w:p>
    <w:p w:rsidR="007C101C" w:rsidRDefault="007C101C" w:rsidP="00D24FC8">
      <w:pPr>
        <w:pStyle w:val="SingleSpace"/>
        <w:spacing w:line="360" w:lineRule="auto"/>
      </w:pPr>
    </w:p>
    <w:p w:rsidR="00395B24" w:rsidRDefault="002C7385" w:rsidP="004D53E5">
      <w:pPr>
        <w:pStyle w:val="SingleSpace"/>
      </w:pPr>
      <w:r>
        <w:t>Note:</w:t>
      </w:r>
      <w:r>
        <w:tab/>
        <w:t xml:space="preserve">Entry of orders is dealt with in Rule 39.32 of the </w:t>
      </w:r>
      <w:r>
        <w:rPr>
          <w:i/>
        </w:rPr>
        <w:t>Federal Court Rules 2011</w:t>
      </w:r>
      <w:r>
        <w:t>.</w:t>
      </w: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1"/>
          <w:headerReference w:type="first" r:id="rId12"/>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9" w:name="ReasonsPage"/>
      <w:bookmarkEnd w:id="19"/>
      <w:r w:rsidRPr="00045BB7">
        <w:rPr>
          <w:sz w:val="28"/>
          <w:szCs w:val="28"/>
        </w:rPr>
        <w:lastRenderedPageBreak/>
        <w:t>REASONS FOR JUDGMENT</w:t>
      </w:r>
    </w:p>
    <w:p w:rsidR="00395B24" w:rsidRDefault="00B34815" w:rsidP="005E0510">
      <w:pPr>
        <w:pStyle w:val="NormalHeadings"/>
        <w:spacing w:line="360" w:lineRule="auto"/>
        <w:jc w:val="left"/>
        <w:rPr>
          <w:sz w:val="26"/>
          <w:szCs w:val="26"/>
        </w:rPr>
      </w:pPr>
      <w:r>
        <w:rPr>
          <w:sz w:val="26"/>
          <w:szCs w:val="26"/>
        </w:rPr>
        <w:t>FOSTER J:</w:t>
      </w:r>
    </w:p>
    <w:p w:rsidR="00A3576D" w:rsidRDefault="00D83ADD" w:rsidP="00D83ADD">
      <w:pPr>
        <w:pStyle w:val="ParaNumbering"/>
      </w:pPr>
      <w:r>
        <w:t>On 28 March 2017, I dismissed the applicant’s Application for Judicial Review and ordered the applicant to pay the first respondent’s costs of and incidental to that Application.  At the same time, I put in place a timetable for the provision of brief Written Submissions by the second to sixth respondents, and the applicant, in the event that any of the second to sixth respondents also sought an order for costs in its favour.</w:t>
      </w:r>
      <w:r w:rsidR="00832076">
        <w:t xml:space="preserve">  Thereafter, all remaining questions of costs were to be decided on the papers.  </w:t>
      </w:r>
    </w:p>
    <w:p w:rsidR="00D83ADD" w:rsidRDefault="00D83ADD" w:rsidP="00D83ADD">
      <w:pPr>
        <w:pStyle w:val="ParaNumbering"/>
      </w:pPr>
      <w:r>
        <w:t>Subsequently, each of the second to sixth respondents filed a Written Submission in support of an application by each of them for costs.  The applicant (</w:t>
      </w:r>
      <w:r>
        <w:rPr>
          <w:b/>
        </w:rPr>
        <w:t>Telstra</w:t>
      </w:r>
      <w:r>
        <w:t xml:space="preserve">) filed a Written Submission in which it </w:t>
      </w:r>
      <w:r w:rsidR="00832076">
        <w:t xml:space="preserve">endeavoured to </w:t>
      </w:r>
      <w:r>
        <w:t xml:space="preserve">address the </w:t>
      </w:r>
      <w:r w:rsidR="00832076">
        <w:t xml:space="preserve">submissions </w:t>
      </w:r>
      <w:r>
        <w:t>made by each of the respondents</w:t>
      </w:r>
      <w:r w:rsidR="00832076">
        <w:t xml:space="preserve"> in support of their claims for costs</w:t>
      </w:r>
      <w:r>
        <w:t>.</w:t>
      </w:r>
    </w:p>
    <w:p w:rsidR="00D83ADD" w:rsidRDefault="00D83ADD" w:rsidP="00D83ADD">
      <w:pPr>
        <w:pStyle w:val="ParaNumbering"/>
      </w:pPr>
      <w:r>
        <w:t>In its Written Submission, Telstra accepted that, given the success achieved by the second to sixth respondents in the proceeding, it should pay a proportion of those respondents’ costs.  It went on to argue that the appropriate proportion in each case was 70%.</w:t>
      </w:r>
    </w:p>
    <w:p w:rsidR="00D83ADD" w:rsidRDefault="00D83ADD" w:rsidP="00D83ADD">
      <w:pPr>
        <w:pStyle w:val="ParaNumbering"/>
      </w:pPr>
      <w:r>
        <w:t>In light of the concession made by Telstra in its Written Submission on costs, the issue between Telstra, on the one hand, and the second to sixth respondents, on the other hand, is whether Telstra should only be required to pay 70% of each of the second to sixth respondents’ costs or whether it should be required to pay all of their costs.</w:t>
      </w:r>
    </w:p>
    <w:p w:rsidR="00D83ADD" w:rsidRDefault="00D83ADD" w:rsidP="00D83ADD">
      <w:pPr>
        <w:pStyle w:val="Heading1"/>
      </w:pPr>
      <w:r>
        <w:t>Consideration</w:t>
      </w:r>
    </w:p>
    <w:p w:rsidR="00A31240" w:rsidRDefault="00A31240" w:rsidP="00A31240">
      <w:pPr>
        <w:pStyle w:val="ParaNumbering"/>
      </w:pPr>
      <w:r>
        <w:t>I will assume for present purposes that a reader of these Reasons for Judgment will also have read the Reasons for Judgment published by me on 28 March 2017 (</w:t>
      </w:r>
      <w:r w:rsidRPr="00A31240">
        <w:rPr>
          <w:i/>
        </w:rPr>
        <w:t>Telstra Corporation Limited v Australian Competition and Consumer Commission</w:t>
      </w:r>
      <w:r>
        <w:t xml:space="preserve"> [2017] FCA 316)</w:t>
      </w:r>
      <w:r w:rsidR="00832076">
        <w:t xml:space="preserve"> in which I explained my reasons for dismissing Telstra’s Application for Judicial Review</w:t>
      </w:r>
      <w:r>
        <w:t>.</w:t>
      </w:r>
    </w:p>
    <w:p w:rsidR="0015683C" w:rsidRDefault="00A31240" w:rsidP="0015683C">
      <w:pPr>
        <w:pStyle w:val="ParaNumbering"/>
      </w:pPr>
      <w:r>
        <w:t>In the proceeding, the first respondent, the Australian Competition and Consumer Commission</w:t>
      </w:r>
      <w:r w:rsidR="0015683C">
        <w:t xml:space="preserve"> (</w:t>
      </w:r>
      <w:r w:rsidR="0015683C">
        <w:rPr>
          <w:b/>
        </w:rPr>
        <w:t>ACCC</w:t>
      </w:r>
      <w:r w:rsidR="0015683C">
        <w:t>)</w:t>
      </w:r>
      <w:r>
        <w:t xml:space="preserve">, was represented by Senior and </w:t>
      </w:r>
      <w:r w:rsidR="003B452A">
        <w:t>J</w:t>
      </w:r>
      <w:r>
        <w:t>unior Counsel instructed by DLA Piper.  The second respondent, Optus Networks Pty Limited (</w:t>
      </w:r>
      <w:r>
        <w:rPr>
          <w:b/>
        </w:rPr>
        <w:t>Optus</w:t>
      </w:r>
      <w:r>
        <w:t xml:space="preserve">) was represented by Senior and </w:t>
      </w:r>
      <w:r w:rsidR="003B452A">
        <w:t>J</w:t>
      </w:r>
      <w:r>
        <w:t xml:space="preserve">unior Counsel </w:t>
      </w:r>
      <w:r w:rsidR="00832076">
        <w:t xml:space="preserve">instructed by </w:t>
      </w:r>
      <w:proofErr w:type="spellStart"/>
      <w:r>
        <w:t>Maddocks</w:t>
      </w:r>
      <w:proofErr w:type="spellEnd"/>
      <w:r>
        <w:t xml:space="preserve"> Lawyers.  </w:t>
      </w:r>
      <w:r w:rsidR="0015683C">
        <w:t>The third respondent, TPG Telecom Limited (</w:t>
      </w:r>
      <w:r w:rsidR="0015683C">
        <w:rPr>
          <w:b/>
        </w:rPr>
        <w:t>TPG</w:t>
      </w:r>
      <w:r w:rsidR="0015683C">
        <w:t xml:space="preserve">), was represented by Senior and </w:t>
      </w:r>
      <w:r w:rsidR="003B452A">
        <w:t>J</w:t>
      </w:r>
      <w:r w:rsidR="0015683C">
        <w:t xml:space="preserve">unior Counsel </w:t>
      </w:r>
      <w:r w:rsidR="00832076">
        <w:t xml:space="preserve">instructed by </w:t>
      </w:r>
      <w:r w:rsidR="0015683C">
        <w:t xml:space="preserve">Thomson Geer.  Finally, the fourth, fifth and sixth respondents </w:t>
      </w:r>
      <w:r w:rsidR="00832076">
        <w:t>(</w:t>
      </w:r>
      <w:r w:rsidR="00832076">
        <w:rPr>
          <w:b/>
        </w:rPr>
        <w:t xml:space="preserve">Macquarie </w:t>
      </w:r>
      <w:r w:rsidR="00832076" w:rsidRPr="00832076">
        <w:rPr>
          <w:b/>
        </w:rPr>
        <w:t>Telecom</w:t>
      </w:r>
      <w:r w:rsidR="00832076">
        <w:t xml:space="preserve">) </w:t>
      </w:r>
      <w:r w:rsidR="0015683C" w:rsidRPr="00832076">
        <w:t>were</w:t>
      </w:r>
      <w:r w:rsidR="0015683C">
        <w:t xml:space="preserve"> </w:t>
      </w:r>
      <w:r w:rsidR="0015683C">
        <w:lastRenderedPageBreak/>
        <w:t xml:space="preserve">represented by </w:t>
      </w:r>
      <w:r w:rsidR="003B452A">
        <w:t>J</w:t>
      </w:r>
      <w:r w:rsidR="0015683C">
        <w:t xml:space="preserve">unior Counsel </w:t>
      </w:r>
      <w:r w:rsidR="00832076">
        <w:t xml:space="preserve">instructed by </w:t>
      </w:r>
      <w:r w:rsidR="0015683C">
        <w:t>Baker &amp; McKenzie.  Thus, the respondents were divided into four separate groupings:  the ACCC, Optus, TPG and Macquarie Telecom</w:t>
      </w:r>
      <w:r w:rsidR="00832076">
        <w:t xml:space="preserve">, each of which was separately represented. </w:t>
      </w:r>
      <w:r w:rsidR="0015683C">
        <w:t xml:space="preserve"> </w:t>
      </w:r>
    </w:p>
    <w:p w:rsidR="0015683C" w:rsidRDefault="0015683C" w:rsidP="0015683C">
      <w:pPr>
        <w:pStyle w:val="ParaNumbering"/>
      </w:pPr>
      <w:r>
        <w:t>The ACCC filed a Written Submission for the purposes of the hearing of Telstra’s Application for Judicial Review but made no oral submissions at that hearing.  Each of the other three groupings on the respondents’ side of the record made Written Submissions and also addressed the Court orally</w:t>
      </w:r>
      <w:r w:rsidR="00832076">
        <w:t xml:space="preserve"> at that hearing</w:t>
      </w:r>
      <w:r>
        <w:t>.</w:t>
      </w:r>
    </w:p>
    <w:p w:rsidR="0015683C" w:rsidRDefault="0015683C" w:rsidP="0015683C">
      <w:pPr>
        <w:pStyle w:val="ParaNumbering"/>
      </w:pPr>
      <w:r>
        <w:t xml:space="preserve">A number of matters are quite clear.  These were </w:t>
      </w:r>
      <w:r w:rsidR="00832076">
        <w:t xml:space="preserve">relied upon </w:t>
      </w:r>
      <w:r>
        <w:t xml:space="preserve">by </w:t>
      </w:r>
      <w:r w:rsidR="00832076">
        <w:t xml:space="preserve">all </w:t>
      </w:r>
      <w:r>
        <w:t xml:space="preserve">of the respondents </w:t>
      </w:r>
      <w:r w:rsidR="00832076">
        <w:t xml:space="preserve">in support of their claims for costs. </w:t>
      </w:r>
      <w:r>
        <w:t xml:space="preserve"> These matters are:</w:t>
      </w:r>
    </w:p>
    <w:p w:rsidR="0015683C" w:rsidRDefault="0015683C" w:rsidP="0015683C">
      <w:pPr>
        <w:pStyle w:val="ListNo1"/>
      </w:pPr>
      <w:r>
        <w:t xml:space="preserve">Telstra commenced its Application for Judicial Review naming only the ACCC as a respondent.  While it is true that, as the relevant decision maker, the ACCC was a necessary party to Telstra’s application, it </w:t>
      </w:r>
      <w:r w:rsidR="00D17B0A">
        <w:t>m</w:t>
      </w:r>
      <w:r>
        <w:t>ust hav</w:t>
      </w:r>
      <w:r w:rsidR="00D17B0A">
        <w:t xml:space="preserve">e been plain to Telstra when it commenced its proceeding that a number of commercial entities </w:t>
      </w:r>
      <w:r w:rsidR="00832076">
        <w:t>(</w:t>
      </w:r>
      <w:r w:rsidR="00832076" w:rsidRPr="00D232F6">
        <w:rPr>
          <w:b/>
        </w:rPr>
        <w:t>access seekers</w:t>
      </w:r>
      <w:r w:rsidR="00832076">
        <w:t xml:space="preserve">) </w:t>
      </w:r>
      <w:r w:rsidR="00D17B0A">
        <w:t>who would</w:t>
      </w:r>
      <w:r w:rsidR="00832076">
        <w:t>, in due course,</w:t>
      </w:r>
      <w:r w:rsidR="00D17B0A">
        <w:t xml:space="preserve"> be seeking access to </w:t>
      </w:r>
      <w:r w:rsidR="00832076">
        <w:t xml:space="preserve">Telstra’s </w:t>
      </w:r>
      <w:r w:rsidR="00D17B0A">
        <w:t xml:space="preserve">infrastructure the subject of the Final Access Decisions </w:t>
      </w:r>
      <w:r w:rsidR="00C6674F">
        <w:t>(</w:t>
      </w:r>
      <w:r w:rsidR="00C6674F">
        <w:rPr>
          <w:b/>
        </w:rPr>
        <w:t xml:space="preserve">FADs) </w:t>
      </w:r>
      <w:r w:rsidR="00D17B0A">
        <w:t xml:space="preserve">made by the ACCC and who had taken a substantial role in the public inquiry conducted by the ACCC which ultimately led to the making of those </w:t>
      </w:r>
      <w:r w:rsidR="00C6674F">
        <w:t>FADs</w:t>
      </w:r>
      <w:r w:rsidR="00832076">
        <w:t>,</w:t>
      </w:r>
      <w:r w:rsidR="00D17B0A">
        <w:t xml:space="preserve"> would seek to be joined as parties to Telstra’s Application for Judicial Review.  </w:t>
      </w:r>
      <w:r w:rsidR="00832076">
        <w:t>Of course</w:t>
      </w:r>
      <w:r w:rsidR="00D17B0A">
        <w:t xml:space="preserve">, this is precisely what happened.  Each </w:t>
      </w:r>
      <w:r w:rsidR="003B452A">
        <w:t xml:space="preserve">of the second to sixth </w:t>
      </w:r>
      <w:r w:rsidR="00D17B0A">
        <w:t>respondent</w:t>
      </w:r>
      <w:r w:rsidR="003B452A">
        <w:t>s</w:t>
      </w:r>
      <w:r w:rsidR="00D17B0A">
        <w:t xml:space="preserve"> applied to be joined and Telstra did not oppose the joinder application.   </w:t>
      </w:r>
    </w:p>
    <w:p w:rsidR="00D17B0A" w:rsidRDefault="00D17B0A" w:rsidP="0015683C">
      <w:pPr>
        <w:pStyle w:val="ListNo1"/>
      </w:pPr>
      <w:r>
        <w:t xml:space="preserve">The Written Submissions filed and served by each of the </w:t>
      </w:r>
      <w:r w:rsidR="00832076">
        <w:t xml:space="preserve">access seekers </w:t>
      </w:r>
      <w:r>
        <w:t xml:space="preserve">were succinct, to the point and found to be helpful by the Court.  Although </w:t>
      </w:r>
      <w:r w:rsidR="003B452A">
        <w:t xml:space="preserve">some of those Written Submissions </w:t>
      </w:r>
      <w:r>
        <w:t xml:space="preserve">were lengthy, the length of those Submissions was </w:t>
      </w:r>
      <w:r w:rsidR="003B452A">
        <w:t xml:space="preserve">largely </w:t>
      </w:r>
      <w:r>
        <w:t>the result of the very lengthy Submissions lodged by Telstra in support of its Application.</w:t>
      </w:r>
    </w:p>
    <w:p w:rsidR="00D17B0A" w:rsidRDefault="00980362" w:rsidP="0015683C">
      <w:pPr>
        <w:pStyle w:val="ListNo1"/>
      </w:pPr>
      <w:r>
        <w:t xml:space="preserve">The oral submissions made on behalf of the </w:t>
      </w:r>
      <w:r w:rsidR="00832076">
        <w:t xml:space="preserve">access seekers </w:t>
      </w:r>
      <w:r>
        <w:t xml:space="preserve">were focussed and helpful and not unduly repetitive as between the three groupings of </w:t>
      </w:r>
      <w:r w:rsidR="00832076">
        <w:t>access seekers.</w:t>
      </w:r>
    </w:p>
    <w:p w:rsidR="00980362" w:rsidRDefault="00980362" w:rsidP="0015683C">
      <w:pPr>
        <w:pStyle w:val="ListNo1"/>
      </w:pPr>
      <w:r>
        <w:t xml:space="preserve">The hearing of Telstra’s Application </w:t>
      </w:r>
      <w:r w:rsidR="00832076">
        <w:t xml:space="preserve">for Judicial Review </w:t>
      </w:r>
      <w:r>
        <w:t xml:space="preserve">was not delayed </w:t>
      </w:r>
      <w:r w:rsidR="00832076">
        <w:t xml:space="preserve">or prolonged </w:t>
      </w:r>
      <w:r>
        <w:t xml:space="preserve">at all by the joinder of the </w:t>
      </w:r>
      <w:r w:rsidR="00832076">
        <w:t xml:space="preserve">access seekers.  </w:t>
      </w:r>
      <w:r>
        <w:t xml:space="preserve">The time taken to hear that Application was as short a time as could reasonably </w:t>
      </w:r>
      <w:r w:rsidR="00832076">
        <w:t xml:space="preserve">have </w:t>
      </w:r>
      <w:r>
        <w:t xml:space="preserve">been expected in all the circumstances.  Indeed, the hearing finished well within the time allocated for the hearing and was conducted efficiently by all parties, including Telstra.  </w:t>
      </w:r>
    </w:p>
    <w:p w:rsidR="00980362" w:rsidRDefault="00C6674F" w:rsidP="00980362">
      <w:pPr>
        <w:pStyle w:val="ParaNumbering"/>
      </w:pPr>
      <w:r>
        <w:lastRenderedPageBreak/>
        <w:t xml:space="preserve">In addition to the above matters, the fourth to sixth respondents submitted that, in light of the fact that Telstra had asserted to the ACCC that it (the ACCC) was bound to observe the limitations identified by the High Court in </w:t>
      </w:r>
      <w:r>
        <w:rPr>
          <w:i/>
        </w:rPr>
        <w:t xml:space="preserve">R v Australian Broadcasting Tribunal; Ex parte </w:t>
      </w:r>
      <w:proofErr w:type="spellStart"/>
      <w:r>
        <w:rPr>
          <w:i/>
        </w:rPr>
        <w:t>Hardiman</w:t>
      </w:r>
      <w:proofErr w:type="spellEnd"/>
      <w:r>
        <w:t xml:space="preserve"> (1980) 144 CLR 13 </w:t>
      </w:r>
      <w:r w:rsidR="00501164">
        <w:t>(</w:t>
      </w:r>
      <w:proofErr w:type="spellStart"/>
      <w:r w:rsidR="00501164" w:rsidRPr="00D232F6">
        <w:rPr>
          <w:i/>
        </w:rPr>
        <w:t>Hardiman</w:t>
      </w:r>
      <w:proofErr w:type="spellEnd"/>
      <w:r w:rsidR="00501164">
        <w:t xml:space="preserve">) </w:t>
      </w:r>
      <w:r>
        <w:t xml:space="preserve">at 35–36, it was extremely likely that the </w:t>
      </w:r>
      <w:r w:rsidR="00832076">
        <w:t xml:space="preserve">access seekers, </w:t>
      </w:r>
      <w:r>
        <w:t xml:space="preserve">being parties who would inevitably be seeking access to the infrastructure the subject of the FADs under challenge, would wish to be joined as parties.  In addition, the fourth to sixth respondents argued that, because Telstra did not seek to impose any terms upon their participation in the proceeding nor did it suggest at any time that it was inappropriate for that group of respondents to be separately represented from the other groups of respondents, it is now too late for Telstra to seek to make such complaints in order to avoid an adverse costs order or to reduce the extent of its costs liability to the fourth to sixth respondents or indeed any other group of respondents (see </w:t>
      </w:r>
      <w:r>
        <w:rPr>
          <w:i/>
        </w:rPr>
        <w:t xml:space="preserve">State of Victoria v </w:t>
      </w:r>
      <w:proofErr w:type="spellStart"/>
      <w:r>
        <w:rPr>
          <w:i/>
        </w:rPr>
        <w:t>Sportsbet</w:t>
      </w:r>
      <w:proofErr w:type="spellEnd"/>
      <w:r>
        <w:rPr>
          <w:i/>
        </w:rPr>
        <w:t xml:space="preserve"> Pty Ltd (No 2)</w:t>
      </w:r>
      <w:r>
        <w:t xml:space="preserve"> [2012] FCAFC 174</w:t>
      </w:r>
      <w:r w:rsidR="00D452F2">
        <w:t xml:space="preserve"> at [11]; </w:t>
      </w:r>
      <w:r w:rsidR="00D452F2" w:rsidRPr="00D452F2">
        <w:rPr>
          <w:i/>
        </w:rPr>
        <w:t>Credit Lyonnais Australia Ltd v Darling</w:t>
      </w:r>
      <w:r w:rsidR="00D452F2">
        <w:t xml:space="preserve"> (1991) 5 ACSR 703 at 717). </w:t>
      </w:r>
    </w:p>
    <w:p w:rsidR="00D452F2" w:rsidRDefault="00D452F2" w:rsidP="00980362">
      <w:pPr>
        <w:pStyle w:val="ParaNumbering"/>
      </w:pPr>
      <w:r>
        <w:t xml:space="preserve">Optus submitted that it was a necessary party to Telstra’s Application for Judicial Review and should have been joined right from the start.  It also submitted that its participation in the proceeding was measured and proportionate and did not result in any waste of time or any waste of money.  Optus also submitted that the Court should determine the question of costs in light of the fact that Optus was entirely successful in defending the FADs made by the ACCC against the </w:t>
      </w:r>
      <w:r w:rsidR="00832076">
        <w:t xml:space="preserve">attack upon the FADs mounted </w:t>
      </w:r>
      <w:r>
        <w:t xml:space="preserve">by Telstra.  Finally, Optus submitted that the Court placed considerable </w:t>
      </w:r>
      <w:r w:rsidR="002D2FCB">
        <w:t xml:space="preserve">reliance </w:t>
      </w:r>
      <w:r>
        <w:t>upon its submissions in determining Telstra’s Application.</w:t>
      </w:r>
    </w:p>
    <w:p w:rsidR="00D452F2" w:rsidRDefault="00D452F2" w:rsidP="00980362">
      <w:pPr>
        <w:pStyle w:val="ParaNumbering"/>
      </w:pPr>
      <w:r>
        <w:t xml:space="preserve">TPG also took up the </w:t>
      </w:r>
      <w:proofErr w:type="spellStart"/>
      <w:r>
        <w:rPr>
          <w:i/>
        </w:rPr>
        <w:t>Hardiman</w:t>
      </w:r>
      <w:proofErr w:type="spellEnd"/>
      <w:r>
        <w:t xml:space="preserve"> point in support of a submission that, once Telstra began to assert that the ACCC was bound by the principle in </w:t>
      </w:r>
      <w:proofErr w:type="spellStart"/>
      <w:r>
        <w:rPr>
          <w:i/>
        </w:rPr>
        <w:t>Hardiman</w:t>
      </w:r>
      <w:proofErr w:type="spellEnd"/>
      <w:r>
        <w:t xml:space="preserve">, it became even more important for the </w:t>
      </w:r>
      <w:r w:rsidR="00832076">
        <w:t xml:space="preserve">access seekers </w:t>
      </w:r>
      <w:r>
        <w:t>to play an active role in the proceeding.</w:t>
      </w:r>
    </w:p>
    <w:p w:rsidR="00D452F2" w:rsidRDefault="00D452F2" w:rsidP="00980362">
      <w:pPr>
        <w:pStyle w:val="ParaNumbering"/>
      </w:pPr>
      <w:r>
        <w:t xml:space="preserve">TPG also submitted that it would not have been safe for it to assume that the ACCC’s submissions would accord entirely with </w:t>
      </w:r>
      <w:r w:rsidR="003B452A">
        <w:t xml:space="preserve">TPG’s </w:t>
      </w:r>
      <w:r>
        <w:t xml:space="preserve">interests.  TPG also submitted that, given Telstra’s </w:t>
      </w:r>
      <w:r>
        <w:rPr>
          <w:i/>
        </w:rPr>
        <w:t>“Titanic and detailed”</w:t>
      </w:r>
      <w:r>
        <w:t xml:space="preserve"> Written Submissions, it would be quite unfair of the Court not to compensate it to a large degree for the costs which it had </w:t>
      </w:r>
      <w:r w:rsidR="00832076">
        <w:t xml:space="preserve">had </w:t>
      </w:r>
      <w:r>
        <w:t xml:space="preserve">to incur in order to meet those submissions. </w:t>
      </w:r>
    </w:p>
    <w:p w:rsidR="00D452F2" w:rsidRDefault="00D452F2" w:rsidP="000F2349">
      <w:pPr>
        <w:pStyle w:val="ParaNumbering"/>
      </w:pPr>
      <w:r>
        <w:t>Telstra endeavoured to counter these arguments by making the following submissions:</w:t>
      </w:r>
      <w:r w:rsidR="000F2349">
        <w:t xml:space="preserve"> Notwithstanding the </w:t>
      </w:r>
      <w:r w:rsidR="00832076">
        <w:t xml:space="preserve">access seekers’ </w:t>
      </w:r>
      <w:r w:rsidR="000F2349">
        <w:t>submissions</w:t>
      </w:r>
      <w:r w:rsidR="00832076">
        <w:t xml:space="preserve"> to the contrary</w:t>
      </w:r>
      <w:r w:rsidR="000F2349">
        <w:t xml:space="preserve">, there was duplication of </w:t>
      </w:r>
      <w:r w:rsidR="00832076">
        <w:t xml:space="preserve">effort and duplication of </w:t>
      </w:r>
      <w:r w:rsidR="000F2349">
        <w:t xml:space="preserve">argument.  The </w:t>
      </w:r>
      <w:r w:rsidR="00832076">
        <w:t xml:space="preserve">access seekers </w:t>
      </w:r>
      <w:r w:rsidR="000F2349">
        <w:t xml:space="preserve">acted unreasonably </w:t>
      </w:r>
      <w:r w:rsidR="00832076">
        <w:t xml:space="preserve">by </w:t>
      </w:r>
      <w:r w:rsidR="000F2349">
        <w:t xml:space="preserve">failing to make </w:t>
      </w:r>
      <w:r w:rsidR="00832076">
        <w:lastRenderedPageBreak/>
        <w:t xml:space="preserve">a </w:t>
      </w:r>
      <w:r w:rsidR="000F2349">
        <w:t xml:space="preserve">sufficient effort to avoid that duplication which had been a concern expressed by Telstra at the time each of </w:t>
      </w:r>
      <w:r w:rsidR="005453F9">
        <w:t xml:space="preserve">them had been </w:t>
      </w:r>
      <w:r w:rsidR="000F2349">
        <w:t>joined as a party.</w:t>
      </w:r>
    </w:p>
    <w:p w:rsidR="00514F59" w:rsidRDefault="00514F59" w:rsidP="000F2349">
      <w:pPr>
        <w:pStyle w:val="ParaNumbering"/>
      </w:pPr>
      <w:r>
        <w:t xml:space="preserve">In its Written Submission on costs, Telstra developed its overall contention that, as between the various groups of </w:t>
      </w:r>
      <w:r w:rsidR="005453F9">
        <w:t xml:space="preserve">access seekers </w:t>
      </w:r>
      <w:r>
        <w:t xml:space="preserve">and </w:t>
      </w:r>
      <w:r w:rsidR="00501164">
        <w:t xml:space="preserve">as between </w:t>
      </w:r>
      <w:r>
        <w:t>each of those groups and the ACCC, there had been unnecessary duplication which should reflect itself in a reduction in the amount of costs which the Court will now order.</w:t>
      </w:r>
    </w:p>
    <w:p w:rsidR="00514F59" w:rsidRDefault="00514F59" w:rsidP="000F2349">
      <w:pPr>
        <w:pStyle w:val="ParaNumbering"/>
      </w:pPr>
      <w:r>
        <w:t>I am not persuaded that there was unnecessary or unreasonable duplication in the way in which the respondents conducted themselves in and in relation to the proceeding.  Of necessity, there was some repetition but, in all the circumstances, it did not rise to the point of being undue repetition.  I reject Telstra’s submissions to the contrary.</w:t>
      </w:r>
    </w:p>
    <w:p w:rsidR="00514F59" w:rsidRDefault="00514F59" w:rsidP="000F2349">
      <w:pPr>
        <w:pStyle w:val="ParaNumbering"/>
      </w:pPr>
      <w:r>
        <w:t xml:space="preserve">Overall, I think that the submissions made on behalf of the </w:t>
      </w:r>
      <w:r w:rsidR="005453F9">
        <w:t xml:space="preserve">access seekers </w:t>
      </w:r>
      <w:r>
        <w:t>in respect of costs are sound and I accept them.</w:t>
      </w:r>
    </w:p>
    <w:p w:rsidR="00514F59" w:rsidRDefault="00514F59" w:rsidP="000F2349">
      <w:pPr>
        <w:pStyle w:val="ParaNumbering"/>
      </w:pPr>
      <w:r>
        <w:t xml:space="preserve">The proceeding brought by Telstra was of great commercial significance to it and to each of the </w:t>
      </w:r>
      <w:r w:rsidR="005453F9">
        <w:t xml:space="preserve">access seekers. </w:t>
      </w:r>
      <w:r>
        <w:t xml:space="preserve"> </w:t>
      </w:r>
      <w:r w:rsidR="00532384">
        <w:t xml:space="preserve">It was also of considerable significance to the ACCC because Telstra challenged some fundamental planks in the ACCC’s reasoning which </w:t>
      </w:r>
      <w:r w:rsidR="00D90B44">
        <w:t xml:space="preserve">had </w:t>
      </w:r>
      <w:r w:rsidR="00532384">
        <w:t>led to the making of the FADs</w:t>
      </w:r>
      <w:r w:rsidR="00D90B44">
        <w:t>.  Such an outcome carried with it the possibility that</w:t>
      </w:r>
      <w:r w:rsidR="00532384">
        <w:t xml:space="preserve"> </w:t>
      </w:r>
      <w:r w:rsidR="00501164">
        <w:t xml:space="preserve">the Court </w:t>
      </w:r>
      <w:r w:rsidR="003B452A">
        <w:t xml:space="preserve">might find that </w:t>
      </w:r>
      <w:r w:rsidR="00532384">
        <w:t>the analyses and approach adopted by the ACCC did not conform to the requirements of the various statutory provisions governing the exercise which it had undertaken.</w:t>
      </w:r>
    </w:p>
    <w:p w:rsidR="00532384" w:rsidRDefault="00532384" w:rsidP="000F2349">
      <w:pPr>
        <w:pStyle w:val="ParaNumbering"/>
      </w:pPr>
      <w:r>
        <w:t>In my view, this is not an occasion for being unduly parsimonious</w:t>
      </w:r>
      <w:r w:rsidR="005453F9">
        <w:t xml:space="preserve"> or nit-picking</w:t>
      </w:r>
      <w:r>
        <w:t xml:space="preserve"> towards the </w:t>
      </w:r>
      <w:r w:rsidR="005453F9">
        <w:t xml:space="preserve">access seekers </w:t>
      </w:r>
      <w:r>
        <w:t>in respect of costs.  Their participation in the proceeding was, in truth, necessary.  Their conduct was, at all times, reasonable and appropriate</w:t>
      </w:r>
      <w:r w:rsidR="005453F9">
        <w:t>.</w:t>
      </w:r>
      <w:r>
        <w:t xml:space="preserve"> </w:t>
      </w:r>
      <w:r w:rsidR="005453F9">
        <w:t xml:space="preserve"> </w:t>
      </w:r>
      <w:r>
        <w:t xml:space="preserve">Telstra’s concerns that the participation by the </w:t>
      </w:r>
      <w:r w:rsidR="005453F9">
        <w:t xml:space="preserve">access seekers </w:t>
      </w:r>
      <w:r>
        <w:t xml:space="preserve">in the proceeding </w:t>
      </w:r>
      <w:r w:rsidR="003B452A">
        <w:t xml:space="preserve">might </w:t>
      </w:r>
      <w:r>
        <w:t>delay or add unduly to the costs thereof</w:t>
      </w:r>
      <w:r w:rsidR="003B452A">
        <w:t xml:space="preserve"> never came to fruition</w:t>
      </w:r>
      <w:r>
        <w:t xml:space="preserve">.  </w:t>
      </w:r>
    </w:p>
    <w:p w:rsidR="00532384" w:rsidRDefault="00532384" w:rsidP="000F2349">
      <w:pPr>
        <w:pStyle w:val="ParaNumbering"/>
      </w:pPr>
      <w:r>
        <w:t xml:space="preserve">In all the circumstances, I think that Telstra should pay the </w:t>
      </w:r>
      <w:r w:rsidR="003B452A">
        <w:t xml:space="preserve">second to sixth respondents’ </w:t>
      </w:r>
      <w:r>
        <w:t>costs of and incidental to the proceeding</w:t>
      </w:r>
      <w:r w:rsidR="003B452A">
        <w:t xml:space="preserve">. </w:t>
      </w:r>
      <w:r>
        <w:t xml:space="preserve"> </w:t>
      </w:r>
    </w:p>
    <w:p w:rsidR="00532384" w:rsidRDefault="00532384" w:rsidP="000F2349">
      <w:pPr>
        <w:pStyle w:val="ParaNumbering"/>
      </w:pPr>
      <w:r>
        <w:t xml:space="preserve">There will be orders accordingly.  </w:t>
      </w:r>
    </w:p>
    <w:p w:rsidR="00784FF2" w:rsidRPr="00A31240" w:rsidRDefault="00784FF2" w:rsidP="00784FF2">
      <w:pPr>
        <w:pStyle w:val="NoNum"/>
        <w:spacing w:line="480" w:lineRule="auto"/>
      </w:pPr>
    </w:p>
    <w:tbl>
      <w:tblPr>
        <w:tblW w:w="0" w:type="auto"/>
        <w:tblLook w:val="04A0" w:firstRow="1" w:lastRow="0" w:firstColumn="1" w:lastColumn="0" w:noHBand="0" w:noVBand="1"/>
      </w:tblPr>
      <w:tblGrid>
        <w:gridCol w:w="3794"/>
      </w:tblGrid>
      <w:tr w:rsidR="0035276E" w:rsidRPr="0035276E">
        <w:tc>
          <w:tcPr>
            <w:tcW w:w="3794" w:type="dxa"/>
            <w:shd w:val="clear" w:color="auto" w:fill="auto"/>
          </w:tcPr>
          <w:p w:rsidR="0035276E" w:rsidRPr="0035276E" w:rsidRDefault="0035276E" w:rsidP="0035276E">
            <w:pPr>
              <w:pStyle w:val="Normal1linespace"/>
            </w:pPr>
            <w:bookmarkStart w:id="20" w:name="Certification"/>
            <w:r w:rsidRPr="0035276E">
              <w:t xml:space="preserve">I certify that the preceding </w:t>
            </w:r>
            <w:bookmarkStart w:id="21" w:name="NumberWord"/>
            <w:r w:rsidR="00DE4C17">
              <w:t>twenty</w:t>
            </w:r>
            <w:bookmarkEnd w:id="21"/>
            <w:r w:rsidRPr="0035276E">
              <w:t xml:space="preserve"> (</w:t>
            </w:r>
            <w:bookmarkStart w:id="22" w:name="NumberNumeral"/>
            <w:r w:rsidR="00DE4C17">
              <w:t>20</w:t>
            </w:r>
            <w:bookmarkEnd w:id="22"/>
            <w:r w:rsidRPr="0035276E">
              <w:t xml:space="preserve">) numbered </w:t>
            </w:r>
            <w:bookmarkStart w:id="23" w:name="CertPara"/>
            <w:r w:rsidR="00DE4C17">
              <w:t>paragraphs are</w:t>
            </w:r>
            <w:bookmarkEnd w:id="23"/>
            <w:r w:rsidRPr="0035276E">
              <w:t xml:space="preserve"> a true copy of the Reasons for Judgment </w:t>
            </w:r>
            <w:r w:rsidRPr="0035276E">
              <w:lastRenderedPageBreak/>
              <w:t xml:space="preserve">herein of the Honourable </w:t>
            </w:r>
            <w:bookmarkStart w:id="24" w:name="Justice"/>
            <w:r w:rsidR="004B75F6">
              <w:t>Justice Foster</w:t>
            </w:r>
            <w:bookmarkEnd w:id="24"/>
            <w:r w:rsidRPr="0035276E">
              <w:t>.</w:t>
            </w:r>
          </w:p>
        </w:tc>
      </w:tr>
    </w:tbl>
    <w:p w:rsidR="00784FF2" w:rsidRDefault="00784FF2" w:rsidP="005572BE">
      <w:pPr>
        <w:pStyle w:val="BodyText"/>
        <w:rPr>
          <w:noProof/>
          <w:lang w:eastAsia="en-AU"/>
        </w:rPr>
      </w:pPr>
    </w:p>
    <w:p w:rsidR="00F30FC5" w:rsidRDefault="00F30FC5" w:rsidP="005572BE">
      <w:pPr>
        <w:pStyle w:val="BodyText"/>
        <w:rPr>
          <w:noProof/>
          <w:lang w:eastAsia="en-AU"/>
        </w:rPr>
      </w:pPr>
      <w:r>
        <w:rPr>
          <w:noProof/>
          <w:lang w:eastAsia="en-AU"/>
        </w:rPr>
        <w:t xml:space="preserve">Associate: </w:t>
      </w:r>
      <w:bookmarkStart w:id="25" w:name="_GoBack"/>
      <w:bookmarkEnd w:id="25"/>
    </w:p>
    <w:p w:rsidR="00296405" w:rsidRDefault="00296405" w:rsidP="005572BE">
      <w:pPr>
        <w:pStyle w:val="BodyText"/>
        <w:tabs>
          <w:tab w:val="left" w:pos="1134"/>
        </w:tabs>
      </w:pPr>
    </w:p>
    <w:p w:rsidR="0035276E" w:rsidRDefault="0035276E" w:rsidP="005572BE">
      <w:pPr>
        <w:pStyle w:val="BodyText"/>
        <w:tabs>
          <w:tab w:val="left" w:pos="1134"/>
        </w:tabs>
      </w:pPr>
      <w:r>
        <w:t>Dated:</w:t>
      </w:r>
      <w:r>
        <w:tab/>
      </w:r>
      <w:bookmarkStart w:id="26" w:name="CertifyDated"/>
      <w:bookmarkEnd w:id="26"/>
      <w:r w:rsidR="00A3576D">
        <w:t xml:space="preserve">27 April </w:t>
      </w:r>
      <w:r w:rsidR="00F46EBB">
        <w:t>2017</w:t>
      </w:r>
    </w:p>
    <w:p w:rsidR="0035276E" w:rsidRDefault="0035276E" w:rsidP="005572BE">
      <w:pPr>
        <w:pStyle w:val="BodyText"/>
      </w:pPr>
    </w:p>
    <w:bookmarkEnd w:id="20"/>
    <w:p w:rsidR="0035276E" w:rsidRDefault="0035276E" w:rsidP="0035276E">
      <w:pPr>
        <w:pStyle w:val="BodyText"/>
      </w:pPr>
    </w:p>
    <w:p w:rsidR="00B34815" w:rsidRDefault="00B34815" w:rsidP="00B34815">
      <w:pPr>
        <w:pStyle w:val="BodyText"/>
        <w:sectPr w:rsidR="00B34815">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pPr>
    </w:p>
    <w:p w:rsidR="00B34815" w:rsidRPr="00CD498A" w:rsidRDefault="00B34815" w:rsidP="00E91A0F">
      <w:pPr>
        <w:pStyle w:val="NormalHeadings"/>
        <w:spacing w:before="180" w:line="480" w:lineRule="auto"/>
        <w:jc w:val="center"/>
        <w:rPr>
          <w:sz w:val="28"/>
          <w:szCs w:val="28"/>
        </w:rPr>
      </w:pPr>
      <w:bookmarkStart w:id="27" w:name="SOP_Section"/>
      <w:r w:rsidRPr="00CD498A">
        <w:rPr>
          <w:sz w:val="28"/>
          <w:szCs w:val="28"/>
        </w:rPr>
        <w:lastRenderedPageBreak/>
        <w:t>SCHEDULE OF PARTIES</w:t>
      </w:r>
    </w:p>
    <w:p w:rsidR="00B34815" w:rsidRPr="00663089" w:rsidRDefault="00B34815" w:rsidP="005572BE">
      <w:pPr>
        <w:pStyle w:val="BodyText"/>
      </w:pPr>
    </w:p>
    <w:tbl>
      <w:tblPr>
        <w:tblW w:w="0" w:type="auto"/>
        <w:tblLayout w:type="fixed"/>
        <w:tblLook w:val="0000" w:firstRow="0" w:lastRow="0" w:firstColumn="0" w:lastColumn="0" w:noHBand="0" w:noVBand="0"/>
        <w:tblCaption w:val="SOP Table"/>
        <w:tblDescription w:val="SOP Table"/>
      </w:tblPr>
      <w:tblGrid>
        <w:gridCol w:w="3368"/>
        <w:gridCol w:w="5874"/>
      </w:tblGrid>
      <w:tr w:rsidR="00B34815" w:rsidTr="005572BE">
        <w:tc>
          <w:tcPr>
            <w:tcW w:w="3368" w:type="dxa"/>
          </w:tcPr>
          <w:p w:rsidR="00B34815" w:rsidRDefault="00B34815" w:rsidP="005572BE">
            <w:pPr>
              <w:pStyle w:val="NormalHeadings"/>
              <w:jc w:val="left"/>
              <w:rPr>
                <w:caps/>
                <w:szCs w:val="24"/>
              </w:rPr>
            </w:pPr>
          </w:p>
        </w:tc>
        <w:tc>
          <w:tcPr>
            <w:tcW w:w="5874" w:type="dxa"/>
          </w:tcPr>
          <w:p w:rsidR="00B34815" w:rsidRDefault="00F30FC5" w:rsidP="005572BE">
            <w:pPr>
              <w:pStyle w:val="NormalHeadings"/>
              <w:jc w:val="right"/>
            </w:pPr>
            <w:fldSimple w:instr=" REF  FileNo " w:fldLock="1">
              <w:r w:rsidR="00B34815">
                <w:t>NSD 1338 of 2015</w:t>
              </w:r>
            </w:fldSimple>
          </w:p>
        </w:tc>
      </w:tr>
      <w:tr w:rsidR="00B34815" w:rsidTr="005572BE">
        <w:trPr>
          <w:trHeight w:val="386"/>
        </w:trPr>
        <w:tc>
          <w:tcPr>
            <w:tcW w:w="3368" w:type="dxa"/>
          </w:tcPr>
          <w:p w:rsidR="00B34815" w:rsidRDefault="00B34815" w:rsidP="005572BE">
            <w:pPr>
              <w:pStyle w:val="BodyTextBold"/>
              <w:spacing w:before="180"/>
              <w:jc w:val="left"/>
            </w:pPr>
            <w:bookmarkStart w:id="28" w:name="SOP_RespondentsRows" w:colFirst="0" w:colLast="1"/>
            <w:r>
              <w:t>Respondents</w:t>
            </w:r>
          </w:p>
        </w:tc>
        <w:tc>
          <w:tcPr>
            <w:tcW w:w="5874" w:type="dxa"/>
            <w:tcMar>
              <w:left w:w="28" w:type="dxa"/>
            </w:tcMar>
          </w:tcPr>
          <w:p w:rsidR="00B34815" w:rsidRDefault="00B34815" w:rsidP="005572BE">
            <w:pPr>
              <w:pStyle w:val="BodyText"/>
              <w:jc w:val="left"/>
            </w:pPr>
          </w:p>
        </w:tc>
      </w:tr>
      <w:tr w:rsidR="00B34815" w:rsidTr="005572BE">
        <w:trPr>
          <w:trHeight w:val="386"/>
        </w:trPr>
        <w:tc>
          <w:tcPr>
            <w:tcW w:w="3368" w:type="dxa"/>
          </w:tcPr>
          <w:p w:rsidR="00B34815" w:rsidRDefault="00B34815" w:rsidP="005572BE">
            <w:pPr>
              <w:pStyle w:val="BodyText"/>
              <w:spacing w:after="240" w:line="240" w:lineRule="auto"/>
              <w:jc w:val="left"/>
            </w:pPr>
            <w:bookmarkStart w:id="29" w:name="SOP_FirstRespondent"/>
            <w:bookmarkEnd w:id="29"/>
            <w:r>
              <w:t>Fourth Respondent:</w:t>
            </w:r>
          </w:p>
        </w:tc>
        <w:tc>
          <w:tcPr>
            <w:tcW w:w="5874" w:type="dxa"/>
            <w:tcMar>
              <w:left w:w="28" w:type="dxa"/>
            </w:tcMar>
          </w:tcPr>
          <w:p w:rsidR="00B34815" w:rsidRDefault="00B34815" w:rsidP="005572BE">
            <w:pPr>
              <w:pStyle w:val="BodyText"/>
              <w:spacing w:after="240" w:line="240" w:lineRule="auto"/>
              <w:jc w:val="left"/>
            </w:pPr>
            <w:r>
              <w:t>MACQUARIE TELECOM PTY LIMITED (ACN 082 930 916)</w:t>
            </w:r>
          </w:p>
        </w:tc>
      </w:tr>
      <w:tr w:rsidR="00B34815" w:rsidTr="005572BE">
        <w:trPr>
          <w:trHeight w:val="386"/>
        </w:trPr>
        <w:tc>
          <w:tcPr>
            <w:tcW w:w="3368" w:type="dxa"/>
          </w:tcPr>
          <w:p w:rsidR="00B34815" w:rsidRDefault="00B34815" w:rsidP="005572BE">
            <w:pPr>
              <w:pStyle w:val="BodyText"/>
              <w:spacing w:after="240" w:line="240" w:lineRule="auto"/>
              <w:jc w:val="left"/>
            </w:pPr>
            <w:r>
              <w:t>Fifth Respondent:</w:t>
            </w:r>
          </w:p>
        </w:tc>
        <w:tc>
          <w:tcPr>
            <w:tcW w:w="5874" w:type="dxa"/>
            <w:tcMar>
              <w:left w:w="28" w:type="dxa"/>
            </w:tcMar>
          </w:tcPr>
          <w:p w:rsidR="00B34815" w:rsidRDefault="00B34815" w:rsidP="005572BE">
            <w:pPr>
              <w:pStyle w:val="BodyText"/>
              <w:spacing w:after="240" w:line="240" w:lineRule="auto"/>
              <w:jc w:val="left"/>
            </w:pPr>
            <w:r>
              <w:t>TELCOINABOX OPERATIONS PTY LIMITED (ACN 162 159 935)</w:t>
            </w:r>
          </w:p>
        </w:tc>
      </w:tr>
      <w:tr w:rsidR="00B34815" w:rsidTr="005572BE">
        <w:trPr>
          <w:trHeight w:val="386"/>
        </w:trPr>
        <w:tc>
          <w:tcPr>
            <w:tcW w:w="3368" w:type="dxa"/>
          </w:tcPr>
          <w:p w:rsidR="00B34815" w:rsidRDefault="00B34815" w:rsidP="005572BE">
            <w:pPr>
              <w:pStyle w:val="BodyText"/>
              <w:spacing w:after="240" w:line="240" w:lineRule="auto"/>
              <w:jc w:val="left"/>
            </w:pPr>
            <w:r>
              <w:t>Sixth Respondent:</w:t>
            </w:r>
          </w:p>
        </w:tc>
        <w:tc>
          <w:tcPr>
            <w:tcW w:w="5874" w:type="dxa"/>
            <w:tcMar>
              <w:left w:w="28" w:type="dxa"/>
            </w:tcMar>
          </w:tcPr>
          <w:p w:rsidR="00B34815" w:rsidRDefault="00B34815" w:rsidP="005572BE">
            <w:pPr>
              <w:pStyle w:val="BodyText"/>
              <w:spacing w:after="240" w:line="240" w:lineRule="auto"/>
              <w:jc w:val="left"/>
            </w:pPr>
            <w:r>
              <w:t>SYMBIO WHOLESALE PTY LIMITED (ACN 136 972 355)</w:t>
            </w:r>
          </w:p>
        </w:tc>
      </w:tr>
      <w:bookmarkEnd w:id="28"/>
    </w:tbl>
    <w:p w:rsidR="00B34815" w:rsidRDefault="00B34815" w:rsidP="002B0E91">
      <w:pPr>
        <w:pStyle w:val="BodyText"/>
      </w:pPr>
    </w:p>
    <w:bookmarkEnd w:id="27"/>
    <w:p w:rsidR="00B34815" w:rsidRPr="00667CB2" w:rsidRDefault="00B34815" w:rsidP="00667CB2">
      <w:pPr>
        <w:tabs>
          <w:tab w:val="left" w:pos="7039"/>
        </w:tabs>
      </w:pPr>
    </w:p>
    <w:sectPr w:rsidR="00B34815" w:rsidRPr="00667CB2" w:rsidSect="00B34815">
      <w:headerReference w:type="first" r:id="rId18"/>
      <w:endnotePr>
        <w:numFmt w:val="decimal"/>
      </w:endnotePr>
      <w:pgSz w:w="11907" w:h="16840" w:code="9"/>
      <w:pgMar w:top="1440" w:right="1440" w:bottom="1440" w:left="1440" w:header="851" w:footer="851"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B06" w:rsidRDefault="00625B06">
      <w:pPr>
        <w:spacing w:line="20" w:lineRule="exact"/>
      </w:pPr>
    </w:p>
    <w:p w:rsidR="00625B06" w:rsidRDefault="00625B06"/>
    <w:p w:rsidR="00625B06" w:rsidRDefault="00625B06"/>
  </w:endnote>
  <w:endnote w:type="continuationSeparator" w:id="0">
    <w:p w:rsidR="00625B06" w:rsidRDefault="00625B06">
      <w:r>
        <w:t xml:space="preserve"> </w:t>
      </w:r>
    </w:p>
    <w:p w:rsidR="00625B06" w:rsidRDefault="00625B06"/>
    <w:p w:rsidR="00625B06" w:rsidRDefault="00625B06"/>
  </w:endnote>
  <w:endnote w:type="continuationNotice" w:id="1">
    <w:p w:rsidR="00625B06" w:rsidRDefault="00625B06">
      <w:r>
        <w:t xml:space="preserve"> </w:t>
      </w:r>
    </w:p>
    <w:p w:rsidR="00625B06" w:rsidRDefault="00625B06"/>
    <w:p w:rsidR="00625B06" w:rsidRDefault="00625B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E¡ËcE¡Ë¢çEcE¡Ë¢çE¢®EcEcE¡Ë¢çE"/>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76D" w:rsidRDefault="00A3576D" w:rsidP="00A3576D">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76D" w:rsidRDefault="00A3576D" w:rsidP="00A3576D">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B06" w:rsidRPr="00145EC8" w:rsidRDefault="00625B06" w:rsidP="00931414">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76D" w:rsidRDefault="00A3576D" w:rsidP="00A3576D">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B06" w:rsidRDefault="00625B06"/>
    <w:p w:rsidR="00625B06" w:rsidRDefault="00625B06"/>
    <w:p w:rsidR="00625B06" w:rsidRDefault="00625B06"/>
  </w:footnote>
  <w:footnote w:type="continuationSeparator" w:id="0">
    <w:p w:rsidR="00625B06" w:rsidRDefault="00625B06">
      <w:r>
        <w:continuationSeparator/>
      </w:r>
    </w:p>
    <w:p w:rsidR="00625B06" w:rsidRDefault="00625B06"/>
    <w:p w:rsidR="00625B06" w:rsidRDefault="00625B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B06" w:rsidRDefault="00625B06">
    <w:pPr>
      <w:tabs>
        <w:tab w:val="center" w:pos="4512"/>
      </w:tabs>
      <w:suppressAutoHyphens/>
    </w:pPr>
    <w:r>
      <w:tab/>
      <w:t xml:space="preserve">- </w:t>
    </w:r>
    <w:r>
      <w:fldChar w:fldCharType="begin"/>
    </w:r>
    <w:r>
      <w:instrText xml:space="preserve"> PAGE   \* MERGEFORMAT </w:instrText>
    </w:r>
    <w:r>
      <w:fldChar w:fldCharType="separate"/>
    </w:r>
    <w:r w:rsidR="00D24FC8">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B06" w:rsidRDefault="00625B06">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B06" w:rsidRDefault="00625B0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B06" w:rsidRDefault="00625B06">
    <w:pPr>
      <w:tabs>
        <w:tab w:val="center" w:pos="4512"/>
      </w:tabs>
      <w:suppressAutoHyphens/>
    </w:pPr>
    <w:r>
      <w:tab/>
      <w:t xml:space="preserve">- </w:t>
    </w:r>
    <w:r>
      <w:fldChar w:fldCharType="begin"/>
    </w:r>
    <w:r>
      <w:instrText>page \* arabic</w:instrText>
    </w:r>
    <w:r>
      <w:fldChar w:fldCharType="separate"/>
    </w:r>
    <w:r w:rsidR="00AB4A8A">
      <w:rPr>
        <w:noProof/>
      </w:rPr>
      <w:t>5</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B06" w:rsidRDefault="00625B06">
    <w:pPr>
      <w:pStyle w:val="Header"/>
      <w:tabs>
        <w:tab w:val="clear" w:pos="4320"/>
        <w:tab w:val="clear" w:pos="8640"/>
      </w:tabs>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B06" w:rsidRDefault="00625B06" w:rsidP="00B34815">
    <w:pPr>
      <w:pStyle w:val="Header"/>
      <w:tabs>
        <w:tab w:val="clear" w:pos="4320"/>
        <w:tab w:val="clear" w:pos="8640"/>
      </w:tabs>
      <w:jc w:val="center"/>
    </w:pPr>
    <w:r>
      <w:t xml:space="preserve">- </w:t>
    </w:r>
    <w:r>
      <w:fldChar w:fldCharType="begin"/>
    </w:r>
    <w:r>
      <w:instrText>page \* arabic</w:instrText>
    </w:r>
    <w:r>
      <w:fldChar w:fldCharType="separate"/>
    </w:r>
    <w:r w:rsidR="00AB4A8A">
      <w:rPr>
        <w:noProof/>
      </w:rPr>
      <w:t>6</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94817A7"/>
    <w:multiLevelType w:val="multilevel"/>
    <w:tmpl w:val="0F0EC90E"/>
    <w:numStyleLink w:val="FCListNo"/>
  </w:abstractNum>
  <w:abstractNum w:abstractNumId="1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Telstra Corporation Limited (ACN 051 775 556)"/>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1338 of 2015"/>
    <w:docVar w:name="HearingDate" w:val="4 March 2016"/>
    <w:docVar w:name="Initiators" w:val="(and another named in the Schedule)"/>
    <w:docVar w:name="Judge" w:val="Foster"/>
    <w:docVar w:name="Justices" w:val="Justice"/>
    <w:docVar w:name="lstEntryList" w:val="-1"/>
    <w:docVar w:name="myEntryList" w:val="Counsel for the Applicant=Mr A Archibald QC and Ms T Wong|Solicitor for the Applicant=Gilbert + Tobin Lawyers|Counsel for the First Respondent=Mr NJ Williams SC and Ms AM Mitchelmore|Solicitor for the First Respondent=x|Counsel for the Second Respondent=Mr R Lancaster SC and Mr CG Arnott|Solicitor for the Second Respondent=xx|Counsel for the Third Respondent=Mr B Walker SC and Mr AK Flecknoe-Brown|Solicitor for the Third Respondent=xx|Counsel for the Fourth Respondent=Mr S Free|Solicitor for the Fourth Respondent=xx"/>
    <w:docVar w:name="NSD" w:val="NSD "/>
    <w:docVar w:name="NumApps" w:val="1"/>
    <w:docVar w:name="NumApps_" w:val="6"/>
    <w:docVar w:name="NumCrossResps" w:val="0"/>
    <w:docVar w:name="NumDefs" w:val="6"/>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Commercial and Corporations"/>
    <w:docVar w:name="RESAndAnother" w:val="False"/>
    <w:docVar w:name="RESAndOthers" w:val="True"/>
    <w:docVar w:name="Respondent" w:val="Australian Competition and Consumer Commission|Optus Networks Pty Limited (ACN 008 570 330)|TPG Telecom Limited (ACN 093 058 069)|Macquarie Telecom Pty Limited (ACN 082 930 916)|Telcoinabox Operations Pty Limited (ACN 162 159 935)|Symbio Wholesale Pty Limited (ACN 136 972 355)"/>
    <w:docVar w:name="ResState" w:val="New South Wales"/>
    <w:docVar w:name="SubArea" w:val="Economic Regulator, Competition and Access (C &amp; C)"/>
  </w:docVars>
  <w:rsids>
    <w:rsidRoot w:val="00C571E7"/>
    <w:rsid w:val="00013551"/>
    <w:rsid w:val="0001469E"/>
    <w:rsid w:val="00015993"/>
    <w:rsid w:val="00022289"/>
    <w:rsid w:val="00032F9F"/>
    <w:rsid w:val="000378E2"/>
    <w:rsid w:val="00041C07"/>
    <w:rsid w:val="000435DE"/>
    <w:rsid w:val="00045BB7"/>
    <w:rsid w:val="00052BA9"/>
    <w:rsid w:val="00055719"/>
    <w:rsid w:val="0005641B"/>
    <w:rsid w:val="000603C1"/>
    <w:rsid w:val="00060525"/>
    <w:rsid w:val="00081497"/>
    <w:rsid w:val="00096710"/>
    <w:rsid w:val="000A2E76"/>
    <w:rsid w:val="000A4807"/>
    <w:rsid w:val="000A4BE4"/>
    <w:rsid w:val="000C023E"/>
    <w:rsid w:val="000C5195"/>
    <w:rsid w:val="000C62EF"/>
    <w:rsid w:val="000D2137"/>
    <w:rsid w:val="000D3FD2"/>
    <w:rsid w:val="000D6210"/>
    <w:rsid w:val="000E3BB9"/>
    <w:rsid w:val="000E7BAE"/>
    <w:rsid w:val="000F133D"/>
    <w:rsid w:val="000F2349"/>
    <w:rsid w:val="0010536B"/>
    <w:rsid w:val="0010737F"/>
    <w:rsid w:val="0011145C"/>
    <w:rsid w:val="001128BD"/>
    <w:rsid w:val="0011419D"/>
    <w:rsid w:val="00132054"/>
    <w:rsid w:val="00145EC8"/>
    <w:rsid w:val="0015683C"/>
    <w:rsid w:val="001727A4"/>
    <w:rsid w:val="0017376C"/>
    <w:rsid w:val="001738AB"/>
    <w:rsid w:val="001765E0"/>
    <w:rsid w:val="00177759"/>
    <w:rsid w:val="00177E86"/>
    <w:rsid w:val="00185E6B"/>
    <w:rsid w:val="00187BBC"/>
    <w:rsid w:val="001932F3"/>
    <w:rsid w:val="001A2B80"/>
    <w:rsid w:val="001A4309"/>
    <w:rsid w:val="001A79C0"/>
    <w:rsid w:val="001B05E6"/>
    <w:rsid w:val="001B1053"/>
    <w:rsid w:val="001B14AC"/>
    <w:rsid w:val="001B7940"/>
    <w:rsid w:val="001C37CA"/>
    <w:rsid w:val="001C6F51"/>
    <w:rsid w:val="001C7BE8"/>
    <w:rsid w:val="001D4303"/>
    <w:rsid w:val="001D6746"/>
    <w:rsid w:val="001E3B49"/>
    <w:rsid w:val="001E7388"/>
    <w:rsid w:val="001E7BB3"/>
    <w:rsid w:val="001F13DD"/>
    <w:rsid w:val="001F1B41"/>
    <w:rsid w:val="001F2DBC"/>
    <w:rsid w:val="001F342F"/>
    <w:rsid w:val="0020262C"/>
    <w:rsid w:val="002071F2"/>
    <w:rsid w:val="00224537"/>
    <w:rsid w:val="00225BCB"/>
    <w:rsid w:val="00233CF1"/>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96405"/>
    <w:rsid w:val="002A1B50"/>
    <w:rsid w:val="002B0E91"/>
    <w:rsid w:val="002B6779"/>
    <w:rsid w:val="002B6A4B"/>
    <w:rsid w:val="002B71C0"/>
    <w:rsid w:val="002B7A34"/>
    <w:rsid w:val="002C31AD"/>
    <w:rsid w:val="002C330D"/>
    <w:rsid w:val="002C7385"/>
    <w:rsid w:val="002D2DBB"/>
    <w:rsid w:val="002D2FCB"/>
    <w:rsid w:val="002D54A6"/>
    <w:rsid w:val="002E6A7A"/>
    <w:rsid w:val="002F1E49"/>
    <w:rsid w:val="002F4930"/>
    <w:rsid w:val="002F4E9C"/>
    <w:rsid w:val="00302D5B"/>
    <w:rsid w:val="0031256C"/>
    <w:rsid w:val="00314D6C"/>
    <w:rsid w:val="00316D2A"/>
    <w:rsid w:val="00322A7C"/>
    <w:rsid w:val="00322A7D"/>
    <w:rsid w:val="00332180"/>
    <w:rsid w:val="003402D3"/>
    <w:rsid w:val="00343ABC"/>
    <w:rsid w:val="00344965"/>
    <w:rsid w:val="003463FE"/>
    <w:rsid w:val="0035276E"/>
    <w:rsid w:val="003554B3"/>
    <w:rsid w:val="00356632"/>
    <w:rsid w:val="0038227F"/>
    <w:rsid w:val="003845A9"/>
    <w:rsid w:val="00390883"/>
    <w:rsid w:val="003922F8"/>
    <w:rsid w:val="00395B24"/>
    <w:rsid w:val="003A2D38"/>
    <w:rsid w:val="003A7ECC"/>
    <w:rsid w:val="003B2C72"/>
    <w:rsid w:val="003B2EFF"/>
    <w:rsid w:val="003B452A"/>
    <w:rsid w:val="003C1333"/>
    <w:rsid w:val="003C20FF"/>
    <w:rsid w:val="003C59A5"/>
    <w:rsid w:val="003D2650"/>
    <w:rsid w:val="003D560C"/>
    <w:rsid w:val="003E1072"/>
    <w:rsid w:val="003E5874"/>
    <w:rsid w:val="003F193E"/>
    <w:rsid w:val="003F34F1"/>
    <w:rsid w:val="003F41DD"/>
    <w:rsid w:val="00403F39"/>
    <w:rsid w:val="004060C0"/>
    <w:rsid w:val="00411AE8"/>
    <w:rsid w:val="00413B74"/>
    <w:rsid w:val="00426587"/>
    <w:rsid w:val="00431AF8"/>
    <w:rsid w:val="00435C5F"/>
    <w:rsid w:val="00441E98"/>
    <w:rsid w:val="004532F7"/>
    <w:rsid w:val="00453FFD"/>
    <w:rsid w:val="004579E6"/>
    <w:rsid w:val="00472027"/>
    <w:rsid w:val="004804CF"/>
    <w:rsid w:val="00484962"/>
    <w:rsid w:val="00484F6D"/>
    <w:rsid w:val="0049338A"/>
    <w:rsid w:val="0049417F"/>
    <w:rsid w:val="00494C53"/>
    <w:rsid w:val="00495D49"/>
    <w:rsid w:val="00495EF8"/>
    <w:rsid w:val="004B109E"/>
    <w:rsid w:val="004B1262"/>
    <w:rsid w:val="004B3EFA"/>
    <w:rsid w:val="004B75F6"/>
    <w:rsid w:val="004C2A87"/>
    <w:rsid w:val="004C4C04"/>
    <w:rsid w:val="004C4ED3"/>
    <w:rsid w:val="004D2EA5"/>
    <w:rsid w:val="004D32A6"/>
    <w:rsid w:val="004D3A7A"/>
    <w:rsid w:val="004D3E67"/>
    <w:rsid w:val="004D42D4"/>
    <w:rsid w:val="004D53E5"/>
    <w:rsid w:val="004D756B"/>
    <w:rsid w:val="004E3854"/>
    <w:rsid w:val="00501164"/>
    <w:rsid w:val="00501A12"/>
    <w:rsid w:val="0051346D"/>
    <w:rsid w:val="00513EAE"/>
    <w:rsid w:val="00514F59"/>
    <w:rsid w:val="00516806"/>
    <w:rsid w:val="00525A04"/>
    <w:rsid w:val="00525A49"/>
    <w:rsid w:val="00532384"/>
    <w:rsid w:val="00535613"/>
    <w:rsid w:val="005359EB"/>
    <w:rsid w:val="0054254A"/>
    <w:rsid w:val="00543EF8"/>
    <w:rsid w:val="005453F9"/>
    <w:rsid w:val="005466B5"/>
    <w:rsid w:val="0055217A"/>
    <w:rsid w:val="005572BE"/>
    <w:rsid w:val="00561885"/>
    <w:rsid w:val="005629B3"/>
    <w:rsid w:val="005661A8"/>
    <w:rsid w:val="00573AC4"/>
    <w:rsid w:val="00573F91"/>
    <w:rsid w:val="00577976"/>
    <w:rsid w:val="005801FC"/>
    <w:rsid w:val="0058132E"/>
    <w:rsid w:val="0058491A"/>
    <w:rsid w:val="00595016"/>
    <w:rsid w:val="00597AAE"/>
    <w:rsid w:val="005A222C"/>
    <w:rsid w:val="005A4DF8"/>
    <w:rsid w:val="005B1426"/>
    <w:rsid w:val="005C065C"/>
    <w:rsid w:val="005C092D"/>
    <w:rsid w:val="005C0A8E"/>
    <w:rsid w:val="005C1767"/>
    <w:rsid w:val="005C42EF"/>
    <w:rsid w:val="005C513F"/>
    <w:rsid w:val="005E02F5"/>
    <w:rsid w:val="005E0510"/>
    <w:rsid w:val="005E176E"/>
    <w:rsid w:val="005E218E"/>
    <w:rsid w:val="005E35A0"/>
    <w:rsid w:val="005F0D1B"/>
    <w:rsid w:val="005F1865"/>
    <w:rsid w:val="005F631F"/>
    <w:rsid w:val="006007BD"/>
    <w:rsid w:val="006013C8"/>
    <w:rsid w:val="0060270D"/>
    <w:rsid w:val="00604611"/>
    <w:rsid w:val="00611586"/>
    <w:rsid w:val="00621887"/>
    <w:rsid w:val="00624520"/>
    <w:rsid w:val="00625B06"/>
    <w:rsid w:val="00632BB7"/>
    <w:rsid w:val="00635B36"/>
    <w:rsid w:val="00636871"/>
    <w:rsid w:val="00640F4E"/>
    <w:rsid w:val="00643DE0"/>
    <w:rsid w:val="00644E85"/>
    <w:rsid w:val="0066063F"/>
    <w:rsid w:val="00662BB0"/>
    <w:rsid w:val="00663878"/>
    <w:rsid w:val="00667773"/>
    <w:rsid w:val="00667CB2"/>
    <w:rsid w:val="00670743"/>
    <w:rsid w:val="00687E50"/>
    <w:rsid w:val="00690EE2"/>
    <w:rsid w:val="006A0E20"/>
    <w:rsid w:val="006A5695"/>
    <w:rsid w:val="006B3904"/>
    <w:rsid w:val="006B5B7D"/>
    <w:rsid w:val="006C0628"/>
    <w:rsid w:val="006D0ECF"/>
    <w:rsid w:val="006D3462"/>
    <w:rsid w:val="006D4C92"/>
    <w:rsid w:val="006D4C94"/>
    <w:rsid w:val="006D4EB6"/>
    <w:rsid w:val="006E35BF"/>
    <w:rsid w:val="006E7850"/>
    <w:rsid w:val="007028D9"/>
    <w:rsid w:val="00707218"/>
    <w:rsid w:val="0071286B"/>
    <w:rsid w:val="00712B1D"/>
    <w:rsid w:val="007325D9"/>
    <w:rsid w:val="007360CA"/>
    <w:rsid w:val="007376F7"/>
    <w:rsid w:val="00775955"/>
    <w:rsid w:val="0078003A"/>
    <w:rsid w:val="00780771"/>
    <w:rsid w:val="00784FF2"/>
    <w:rsid w:val="007929CF"/>
    <w:rsid w:val="007A2545"/>
    <w:rsid w:val="007A64D3"/>
    <w:rsid w:val="007A6F28"/>
    <w:rsid w:val="007A7907"/>
    <w:rsid w:val="007B03C6"/>
    <w:rsid w:val="007B0DB1"/>
    <w:rsid w:val="007C101C"/>
    <w:rsid w:val="007D2EF8"/>
    <w:rsid w:val="007D38CD"/>
    <w:rsid w:val="007D3D9C"/>
    <w:rsid w:val="007D561F"/>
    <w:rsid w:val="007D7FD2"/>
    <w:rsid w:val="007E13D9"/>
    <w:rsid w:val="007E436F"/>
    <w:rsid w:val="007E4811"/>
    <w:rsid w:val="007E4DB6"/>
    <w:rsid w:val="007E7CD4"/>
    <w:rsid w:val="00801800"/>
    <w:rsid w:val="00801B5B"/>
    <w:rsid w:val="00801CA8"/>
    <w:rsid w:val="00804C5E"/>
    <w:rsid w:val="00805ED7"/>
    <w:rsid w:val="0080654F"/>
    <w:rsid w:val="008169FC"/>
    <w:rsid w:val="008200BF"/>
    <w:rsid w:val="0082349D"/>
    <w:rsid w:val="00827430"/>
    <w:rsid w:val="008276B4"/>
    <w:rsid w:val="00831927"/>
    <w:rsid w:val="00832076"/>
    <w:rsid w:val="008411C5"/>
    <w:rsid w:val="00841BD3"/>
    <w:rsid w:val="0084273D"/>
    <w:rsid w:val="00844E3F"/>
    <w:rsid w:val="00845A83"/>
    <w:rsid w:val="0085117B"/>
    <w:rsid w:val="008607CB"/>
    <w:rsid w:val="00865EF7"/>
    <w:rsid w:val="008712BB"/>
    <w:rsid w:val="008771E9"/>
    <w:rsid w:val="008818DA"/>
    <w:rsid w:val="00887F1B"/>
    <w:rsid w:val="00897A8D"/>
    <w:rsid w:val="008A2484"/>
    <w:rsid w:val="008A7A9C"/>
    <w:rsid w:val="008A7E0C"/>
    <w:rsid w:val="008B544A"/>
    <w:rsid w:val="008C26D9"/>
    <w:rsid w:val="008C6D50"/>
    <w:rsid w:val="008C7167"/>
    <w:rsid w:val="008C7503"/>
    <w:rsid w:val="008D1617"/>
    <w:rsid w:val="008E1DE6"/>
    <w:rsid w:val="008E47E0"/>
    <w:rsid w:val="008E6315"/>
    <w:rsid w:val="008F11E0"/>
    <w:rsid w:val="008F78BC"/>
    <w:rsid w:val="008F7B63"/>
    <w:rsid w:val="008F7D6A"/>
    <w:rsid w:val="009054CB"/>
    <w:rsid w:val="009114B7"/>
    <w:rsid w:val="00912F94"/>
    <w:rsid w:val="0092457C"/>
    <w:rsid w:val="0092590B"/>
    <w:rsid w:val="00925E60"/>
    <w:rsid w:val="009264B3"/>
    <w:rsid w:val="00931414"/>
    <w:rsid w:val="00942BA2"/>
    <w:rsid w:val="00944C86"/>
    <w:rsid w:val="00957DE8"/>
    <w:rsid w:val="00960ECB"/>
    <w:rsid w:val="009615D6"/>
    <w:rsid w:val="00964153"/>
    <w:rsid w:val="00967855"/>
    <w:rsid w:val="009760A0"/>
    <w:rsid w:val="00980362"/>
    <w:rsid w:val="00980736"/>
    <w:rsid w:val="00981A39"/>
    <w:rsid w:val="00987097"/>
    <w:rsid w:val="009B046C"/>
    <w:rsid w:val="009B13FA"/>
    <w:rsid w:val="009B1E2D"/>
    <w:rsid w:val="009B43F3"/>
    <w:rsid w:val="009C59FB"/>
    <w:rsid w:val="009C6F3B"/>
    <w:rsid w:val="009D316A"/>
    <w:rsid w:val="009E3DB8"/>
    <w:rsid w:val="009E4FA6"/>
    <w:rsid w:val="009E58C0"/>
    <w:rsid w:val="009E7D93"/>
    <w:rsid w:val="009F25B2"/>
    <w:rsid w:val="009F5C33"/>
    <w:rsid w:val="00A0168C"/>
    <w:rsid w:val="00A03EAC"/>
    <w:rsid w:val="00A07CCA"/>
    <w:rsid w:val="00A11CA6"/>
    <w:rsid w:val="00A200C6"/>
    <w:rsid w:val="00A20C49"/>
    <w:rsid w:val="00A2154D"/>
    <w:rsid w:val="00A269CA"/>
    <w:rsid w:val="00A31240"/>
    <w:rsid w:val="00A3576D"/>
    <w:rsid w:val="00A359AC"/>
    <w:rsid w:val="00A41413"/>
    <w:rsid w:val="00A45FB1"/>
    <w:rsid w:val="00A46CCC"/>
    <w:rsid w:val="00A51CFE"/>
    <w:rsid w:val="00A718F2"/>
    <w:rsid w:val="00A76C13"/>
    <w:rsid w:val="00A81CEA"/>
    <w:rsid w:val="00A92E79"/>
    <w:rsid w:val="00A950B6"/>
    <w:rsid w:val="00AA20CF"/>
    <w:rsid w:val="00AA2B5C"/>
    <w:rsid w:val="00AB41C1"/>
    <w:rsid w:val="00AB4A8A"/>
    <w:rsid w:val="00AB6B8E"/>
    <w:rsid w:val="00AD12A8"/>
    <w:rsid w:val="00AD1ADB"/>
    <w:rsid w:val="00AD695F"/>
    <w:rsid w:val="00AE2DE1"/>
    <w:rsid w:val="00AF3577"/>
    <w:rsid w:val="00AF35F9"/>
    <w:rsid w:val="00B05C7D"/>
    <w:rsid w:val="00B121D2"/>
    <w:rsid w:val="00B22184"/>
    <w:rsid w:val="00B346C3"/>
    <w:rsid w:val="00B34815"/>
    <w:rsid w:val="00B4471C"/>
    <w:rsid w:val="00B451A6"/>
    <w:rsid w:val="00B722DE"/>
    <w:rsid w:val="00B76C44"/>
    <w:rsid w:val="00B83F87"/>
    <w:rsid w:val="00B8494C"/>
    <w:rsid w:val="00BA2EFA"/>
    <w:rsid w:val="00BA3DBC"/>
    <w:rsid w:val="00BB2DA2"/>
    <w:rsid w:val="00BB56DC"/>
    <w:rsid w:val="00BB5ACA"/>
    <w:rsid w:val="00BE183D"/>
    <w:rsid w:val="00BF5D7A"/>
    <w:rsid w:val="00BF605E"/>
    <w:rsid w:val="00C172E8"/>
    <w:rsid w:val="00C23480"/>
    <w:rsid w:val="00C36442"/>
    <w:rsid w:val="00C400CE"/>
    <w:rsid w:val="00C410FD"/>
    <w:rsid w:val="00C51B42"/>
    <w:rsid w:val="00C531D2"/>
    <w:rsid w:val="00C539FB"/>
    <w:rsid w:val="00C57085"/>
    <w:rsid w:val="00C571E7"/>
    <w:rsid w:val="00C6674F"/>
    <w:rsid w:val="00C87D6B"/>
    <w:rsid w:val="00C94B6A"/>
    <w:rsid w:val="00CA1ECA"/>
    <w:rsid w:val="00CA246D"/>
    <w:rsid w:val="00CB3DF1"/>
    <w:rsid w:val="00CB5636"/>
    <w:rsid w:val="00CC1255"/>
    <w:rsid w:val="00CC310A"/>
    <w:rsid w:val="00CD1F3A"/>
    <w:rsid w:val="00CF3D47"/>
    <w:rsid w:val="00D01491"/>
    <w:rsid w:val="00D10F21"/>
    <w:rsid w:val="00D171F9"/>
    <w:rsid w:val="00D17B0A"/>
    <w:rsid w:val="00D232F6"/>
    <w:rsid w:val="00D24FC8"/>
    <w:rsid w:val="00D30DF2"/>
    <w:rsid w:val="00D34040"/>
    <w:rsid w:val="00D34E69"/>
    <w:rsid w:val="00D375EE"/>
    <w:rsid w:val="00D40CF5"/>
    <w:rsid w:val="00D43F91"/>
    <w:rsid w:val="00D452F2"/>
    <w:rsid w:val="00D62699"/>
    <w:rsid w:val="00D6512D"/>
    <w:rsid w:val="00D70703"/>
    <w:rsid w:val="00D802C3"/>
    <w:rsid w:val="00D817E1"/>
    <w:rsid w:val="00D82620"/>
    <w:rsid w:val="00D83ADD"/>
    <w:rsid w:val="00D855D0"/>
    <w:rsid w:val="00D90B44"/>
    <w:rsid w:val="00D9725F"/>
    <w:rsid w:val="00DA01B1"/>
    <w:rsid w:val="00DA1143"/>
    <w:rsid w:val="00DA11A2"/>
    <w:rsid w:val="00DA14ED"/>
    <w:rsid w:val="00DB2BA5"/>
    <w:rsid w:val="00DB2EF1"/>
    <w:rsid w:val="00DB3DE1"/>
    <w:rsid w:val="00DB5DA0"/>
    <w:rsid w:val="00DB716C"/>
    <w:rsid w:val="00DC5C85"/>
    <w:rsid w:val="00DD4236"/>
    <w:rsid w:val="00DD44F1"/>
    <w:rsid w:val="00DE3067"/>
    <w:rsid w:val="00DE4AB3"/>
    <w:rsid w:val="00DE4C17"/>
    <w:rsid w:val="00DE598B"/>
    <w:rsid w:val="00DF1DDE"/>
    <w:rsid w:val="00E027BC"/>
    <w:rsid w:val="00E14EA5"/>
    <w:rsid w:val="00E15114"/>
    <w:rsid w:val="00E1752B"/>
    <w:rsid w:val="00E203B9"/>
    <w:rsid w:val="00E21133"/>
    <w:rsid w:val="00E2327E"/>
    <w:rsid w:val="00E266EF"/>
    <w:rsid w:val="00E47428"/>
    <w:rsid w:val="00E638F3"/>
    <w:rsid w:val="00E65E48"/>
    <w:rsid w:val="00E66B9F"/>
    <w:rsid w:val="00E710D6"/>
    <w:rsid w:val="00E76E45"/>
    <w:rsid w:val="00E777C9"/>
    <w:rsid w:val="00E81DA6"/>
    <w:rsid w:val="00E84212"/>
    <w:rsid w:val="00E9086C"/>
    <w:rsid w:val="00E91A0F"/>
    <w:rsid w:val="00E94A71"/>
    <w:rsid w:val="00EA03CE"/>
    <w:rsid w:val="00EA23E5"/>
    <w:rsid w:val="00EA4394"/>
    <w:rsid w:val="00EA4E2E"/>
    <w:rsid w:val="00EB2CCB"/>
    <w:rsid w:val="00EC57A7"/>
    <w:rsid w:val="00ED0817"/>
    <w:rsid w:val="00ED7DD9"/>
    <w:rsid w:val="00EE56F2"/>
    <w:rsid w:val="00EF3113"/>
    <w:rsid w:val="00EF3F84"/>
    <w:rsid w:val="00F176AC"/>
    <w:rsid w:val="00F27714"/>
    <w:rsid w:val="00F30FC5"/>
    <w:rsid w:val="00F3276E"/>
    <w:rsid w:val="00F33D3C"/>
    <w:rsid w:val="00F37A91"/>
    <w:rsid w:val="00F405C9"/>
    <w:rsid w:val="00F45CF5"/>
    <w:rsid w:val="00F46EBB"/>
    <w:rsid w:val="00F47DB0"/>
    <w:rsid w:val="00F50E34"/>
    <w:rsid w:val="00F53EF7"/>
    <w:rsid w:val="00F54BF2"/>
    <w:rsid w:val="00F55260"/>
    <w:rsid w:val="00F5579A"/>
    <w:rsid w:val="00F8554E"/>
    <w:rsid w:val="00F92355"/>
    <w:rsid w:val="00F93963"/>
    <w:rsid w:val="00F94291"/>
    <w:rsid w:val="00F95A50"/>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D24FC8"/>
    <w:pPr>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D24FC8"/>
    <w:pPr>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A15F7-9893-4393-9DB6-7AD9E2901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9</Pages>
  <Words>2069</Words>
  <Characters>10779</Characters>
  <Application>Microsoft Office Word</Application>
  <DocSecurity>0</DocSecurity>
  <Lines>317</Lines>
  <Paragraphs>131</Paragraphs>
  <ScaleCrop>false</ScaleCrop>
  <HeadingPairs>
    <vt:vector size="2" baseType="variant">
      <vt:variant>
        <vt:lpstr>Title</vt:lpstr>
      </vt:variant>
      <vt:variant>
        <vt:i4>1</vt:i4>
      </vt:variant>
    </vt:vector>
  </HeadingPairs>
  <TitlesOfParts>
    <vt:vector size="1" baseType="lpstr">
      <vt:lpstr>Telstra Corporation Limited v Australian Competition and Consumer Commission (No 2) [2017] FCA 430</vt:lpstr>
    </vt:vector>
  </TitlesOfParts>
  <Company>Federal Court of Australia</Company>
  <LinksUpToDate>false</LinksUpToDate>
  <CharactersWithSpaces>12717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Corporation Limited v Australian Competition and Consumer Commission (No 2) [2017] FCA 430</dc:title>
  <dc:creator>Marguerite Kelly</dc:creator>
  <cp:lastModifiedBy>Anna Masters</cp:lastModifiedBy>
  <cp:revision>3</cp:revision>
  <cp:lastPrinted>2017-04-27T04:02:00Z</cp:lastPrinted>
  <dcterms:created xsi:type="dcterms:W3CDTF">2017-04-28T01:45:00Z</dcterms:created>
  <dcterms:modified xsi:type="dcterms:W3CDTF">2017-04-28T01:46:00Z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FOSTER J</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4</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Economic Regulator, Competition and Access</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