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B208A">
      <w:pPr>
        <w:pStyle w:val="MediaNeutralStyle"/>
      </w:pPr>
      <w:bookmarkStart w:id="0" w:name="MNC"/>
      <w:r>
        <w:t>Australian Competition and Consumer C</w:t>
      </w:r>
      <w:r w:rsidR="00B27983">
        <w:t xml:space="preserve">ommission v Davies </w:t>
      </w:r>
      <w:r w:rsidR="004A6D67">
        <w:t>(No 2)</w:t>
      </w:r>
      <w:r w:rsidR="00451850">
        <w:t xml:space="preserve"> </w:t>
      </w:r>
      <w:r w:rsidR="00B27983">
        <w:t>[2015] FCA 1290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352E43">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092C39">
            <w:pPr>
              <w:pStyle w:val="Normal1linespace"/>
              <w:widowControl w:val="0"/>
              <w:jc w:val="left"/>
            </w:pPr>
            <w:r>
              <w:t>Australian Competition and Consumer C</w:t>
            </w:r>
            <w:r w:rsidR="00B27983">
              <w:t>ommission v Davies</w:t>
            </w:r>
            <w:r w:rsidR="0090568F">
              <w:t xml:space="preserve"> (No 2)</w:t>
            </w:r>
            <w:r w:rsidR="00B27983">
              <w:t xml:space="preserve"> [2015] FCA 1290</w:t>
            </w:r>
          </w:p>
        </w:tc>
      </w:tr>
      <w:tr w:rsidR="00395B24" w:rsidTr="00352E4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2E43">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0F3F93">
            <w:pPr>
              <w:pStyle w:val="Normal1linespace"/>
              <w:widowControl w:val="0"/>
              <w:jc w:val="left"/>
              <w:rPr>
                <w:b/>
              </w:rPr>
            </w:pPr>
            <w:bookmarkStart w:id="1" w:name="JudgmentFP"/>
            <w:r>
              <w:rPr>
                <w:b/>
              </w:rPr>
              <w:t>AUSTRALIAN COMPETITION AND CONSUMER COMMISSION v ROBERT PAUL DAVIES</w:t>
            </w:r>
            <w:bookmarkEnd w:id="1"/>
          </w:p>
        </w:tc>
      </w:tr>
      <w:tr w:rsidR="00395B24" w:rsidTr="00352E4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2E43">
        <w:tc>
          <w:tcPr>
            <w:tcW w:w="3085" w:type="dxa"/>
            <w:shd w:val="clear" w:color="auto" w:fill="auto"/>
          </w:tcPr>
          <w:p w:rsidR="00395B24" w:rsidRDefault="00DB208A">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0F3F93">
              <w:rPr>
                <w:szCs w:val="24"/>
              </w:rPr>
              <w:t>QUD</w:t>
            </w:r>
            <w:proofErr w:type="spellEnd"/>
            <w:r w:rsidR="000F3F93">
              <w:rPr>
                <w:szCs w:val="24"/>
              </w:rPr>
              <w:t xml:space="preserve"> 530 of 2014</w:t>
            </w:r>
            <w:r>
              <w:rPr>
                <w:szCs w:val="24"/>
              </w:rPr>
              <w:fldChar w:fldCharType="end"/>
            </w:r>
          </w:p>
        </w:tc>
      </w:tr>
      <w:tr w:rsidR="00395B24" w:rsidTr="00352E4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2E43">
        <w:tc>
          <w:tcPr>
            <w:tcW w:w="3085" w:type="dxa"/>
            <w:shd w:val="clear" w:color="auto" w:fill="auto"/>
          </w:tcPr>
          <w:p w:rsidR="00395B24" w:rsidRDefault="00DB208A">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0F3F93">
              <w:rPr>
                <w:b/>
              </w:rPr>
              <w:fldChar w:fldCharType="begin" w:fldLock="1"/>
            </w:r>
            <w:r w:rsidRPr="000F3F93">
              <w:rPr>
                <w:b/>
              </w:rPr>
              <w:instrText xml:space="preserve"> REF  Judge  \* MERGEFORMAT </w:instrText>
            </w:r>
            <w:r w:rsidRPr="000F3F93">
              <w:rPr>
                <w:b/>
              </w:rPr>
              <w:fldChar w:fldCharType="separate"/>
            </w:r>
            <w:r w:rsidR="000F3F93" w:rsidRPr="000F3F93">
              <w:rPr>
                <w:b/>
                <w:caps/>
                <w:szCs w:val="24"/>
              </w:rPr>
              <w:t>REEVES J</w:t>
            </w:r>
            <w:r w:rsidRPr="000F3F93">
              <w:rPr>
                <w:b/>
              </w:rPr>
              <w:fldChar w:fldCharType="end"/>
            </w:r>
          </w:p>
        </w:tc>
      </w:tr>
      <w:tr w:rsidR="00395B24" w:rsidTr="00352E4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2E43">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311051">
            <w:pPr>
              <w:pStyle w:val="Normal1linespace"/>
              <w:widowControl w:val="0"/>
              <w:jc w:val="left"/>
            </w:pPr>
            <w:bookmarkStart w:id="2" w:name="JudgmentDate"/>
            <w:r>
              <w:t>20</w:t>
            </w:r>
            <w:r w:rsidR="000F3F93">
              <w:t xml:space="preserve"> November 2015</w:t>
            </w:r>
            <w:bookmarkEnd w:id="2"/>
          </w:p>
        </w:tc>
      </w:tr>
      <w:tr w:rsidR="00395B24" w:rsidTr="00352E4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2E43">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311051">
            <w:pPr>
              <w:pStyle w:val="Normal1linespace"/>
              <w:widowControl w:val="0"/>
              <w:jc w:val="left"/>
            </w:pPr>
            <w:r w:rsidRPr="00311051">
              <w:rPr>
                <w:b/>
              </w:rPr>
              <w:t>CRIMINAL LAW</w:t>
            </w:r>
            <w:r>
              <w:t xml:space="preserve"> – s</w:t>
            </w:r>
            <w:r w:rsidRPr="00311051">
              <w:t xml:space="preserve">entencing – breach of s 155 of the </w:t>
            </w:r>
            <w:r w:rsidRPr="00311051">
              <w:rPr>
                <w:i/>
              </w:rPr>
              <w:t>Trade Practices Act 1974</w:t>
            </w:r>
            <w:r w:rsidRPr="00311051">
              <w:t xml:space="preserve"> (Cth) – refusing or failing to comply with a notice – aiding, abetting, counselling or procuring the commission of an offence – plea of not guilty – considerations relevant to penalty</w:t>
            </w:r>
          </w:p>
        </w:tc>
      </w:tr>
      <w:tr w:rsidR="00395B24" w:rsidTr="00352E4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E4039F" w:rsidTr="00352E43">
        <w:tc>
          <w:tcPr>
            <w:tcW w:w="3085" w:type="dxa"/>
            <w:shd w:val="clear" w:color="auto" w:fill="auto"/>
          </w:tcPr>
          <w:p w:rsidR="00E4039F" w:rsidRDefault="00E4039F">
            <w:pPr>
              <w:pStyle w:val="Normal1linespace"/>
              <w:widowControl w:val="0"/>
            </w:pPr>
            <w:r>
              <w:t>Legislation:</w:t>
            </w:r>
          </w:p>
        </w:tc>
        <w:tc>
          <w:tcPr>
            <w:tcW w:w="5989" w:type="dxa"/>
            <w:shd w:val="clear" w:color="auto" w:fill="auto"/>
          </w:tcPr>
          <w:p w:rsidR="00E4039F" w:rsidRDefault="00E4039F">
            <w:pPr>
              <w:pStyle w:val="Normal1linespace"/>
              <w:widowControl w:val="0"/>
              <w:jc w:val="left"/>
            </w:pPr>
            <w:r w:rsidRPr="000F3F93">
              <w:rPr>
                <w:i/>
              </w:rPr>
              <w:t>Crimes Act 1914</w:t>
            </w:r>
            <w:r>
              <w:t xml:space="preserve"> (Cth)</w:t>
            </w:r>
          </w:p>
          <w:p w:rsidR="00E4039F" w:rsidRDefault="00E4039F" w:rsidP="00E4039F">
            <w:pPr>
              <w:pStyle w:val="Normal1linespace"/>
              <w:widowControl w:val="0"/>
              <w:jc w:val="left"/>
            </w:pPr>
            <w:r w:rsidRPr="00E4039F">
              <w:rPr>
                <w:i/>
              </w:rPr>
              <w:t>Criminal Code Act 1995</w:t>
            </w:r>
            <w:r>
              <w:t xml:space="preserve"> (Cth) </w:t>
            </w:r>
          </w:p>
          <w:p w:rsidR="00E4039F" w:rsidRDefault="00E4039F" w:rsidP="00E4039F">
            <w:pPr>
              <w:pStyle w:val="Normal1linespace"/>
              <w:widowControl w:val="0"/>
              <w:jc w:val="left"/>
            </w:pPr>
            <w:r w:rsidRPr="00E4039F">
              <w:rPr>
                <w:i/>
              </w:rPr>
              <w:t>Penalties and Sentences Act 1992</w:t>
            </w:r>
            <w:r>
              <w:t xml:space="preserve"> (Qld)</w:t>
            </w:r>
          </w:p>
          <w:p w:rsidR="00E4039F" w:rsidRDefault="00E4039F" w:rsidP="00E4039F">
            <w:pPr>
              <w:pStyle w:val="Normal1linespace"/>
              <w:widowControl w:val="0"/>
              <w:jc w:val="left"/>
            </w:pPr>
            <w:r w:rsidRPr="003F0414">
              <w:rPr>
                <w:i/>
              </w:rPr>
              <w:t>Trade Practices Act 1974</w:t>
            </w:r>
            <w:r>
              <w:t xml:space="preserve"> (Cth)</w:t>
            </w:r>
          </w:p>
        </w:tc>
      </w:tr>
      <w:tr w:rsidR="00395B24" w:rsidTr="00352E4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52E43">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395B24" w:rsidRDefault="00092C39">
            <w:pPr>
              <w:pStyle w:val="Normal1linespace"/>
              <w:widowControl w:val="0"/>
              <w:jc w:val="left"/>
            </w:pPr>
            <w:r w:rsidRPr="00092C39">
              <w:rPr>
                <w:i/>
              </w:rPr>
              <w:t>Australian Competition and Consumer Commission v Davies</w:t>
            </w:r>
            <w:r>
              <w:t xml:space="preserve"> [2015] FCA 1017</w:t>
            </w:r>
          </w:p>
          <w:p w:rsidR="00E95772" w:rsidRDefault="00E95772" w:rsidP="00E95772">
            <w:pPr>
              <w:pStyle w:val="Normal1linespace"/>
              <w:widowControl w:val="0"/>
              <w:jc w:val="left"/>
            </w:pPr>
            <w:r w:rsidRPr="00B06A7C">
              <w:rPr>
                <w:i/>
              </w:rPr>
              <w:t>Australian Competition and Consumer Commission</w:t>
            </w:r>
            <w:r w:rsidRPr="00DB208A">
              <w:rPr>
                <w:i/>
              </w:rPr>
              <w:t xml:space="preserve"> v Boyle</w:t>
            </w:r>
            <w:r>
              <w:t xml:space="preserve"> [2015] FCA 1039</w:t>
            </w:r>
          </w:p>
          <w:p w:rsidR="00E95772" w:rsidRDefault="00E95772" w:rsidP="00E95772">
            <w:pPr>
              <w:pStyle w:val="Normal1linespace"/>
              <w:widowControl w:val="0"/>
              <w:jc w:val="left"/>
            </w:pPr>
            <w:r w:rsidRPr="009D1A4B">
              <w:rPr>
                <w:i/>
              </w:rPr>
              <w:t>Australian Competition and Consumer Commission</w:t>
            </w:r>
            <w:r w:rsidRPr="00DB208A">
              <w:rPr>
                <w:i/>
              </w:rPr>
              <w:t xml:space="preserve"> v GIA Pty Ltd</w:t>
            </w:r>
            <w:r>
              <w:t xml:space="preserve"> [2002] ATPR 41-902; [2002] FCA 1298</w:t>
            </w:r>
          </w:p>
          <w:p w:rsidR="00E95772" w:rsidRDefault="00E95772" w:rsidP="00E95772">
            <w:pPr>
              <w:pStyle w:val="Normal1linespace"/>
              <w:widowControl w:val="0"/>
              <w:jc w:val="left"/>
            </w:pPr>
            <w:r w:rsidRPr="009D1A4B">
              <w:rPr>
                <w:i/>
              </w:rPr>
              <w:t>Australian Competition and Consumer Commission</w:t>
            </w:r>
            <w:r w:rsidRPr="00DB208A">
              <w:rPr>
                <w:i/>
              </w:rPr>
              <w:t xml:space="preserve"> v Narnia Investments Pty Ltd</w:t>
            </w:r>
            <w:r>
              <w:t xml:space="preserve"> [2009] ATPR 42-279; [2009] FCA 395</w:t>
            </w:r>
          </w:p>
          <w:p w:rsidR="00E95772" w:rsidRDefault="00E95772" w:rsidP="00E95772">
            <w:pPr>
              <w:pStyle w:val="Normal1linespace"/>
              <w:widowControl w:val="0"/>
              <w:jc w:val="left"/>
            </w:pPr>
            <w:r w:rsidRPr="00452C4A">
              <w:rPr>
                <w:i/>
              </w:rPr>
              <w:t>Australian Competition and Consumer Commission</w:t>
            </w:r>
            <w:r w:rsidRPr="00F50F80">
              <w:rPr>
                <w:i/>
              </w:rPr>
              <w:t xml:space="preserve"> v Rana</w:t>
            </w:r>
            <w:r>
              <w:t xml:space="preserve"> [2008] ATPR 42-223; [2008] FCA 374</w:t>
            </w:r>
          </w:p>
          <w:p w:rsidR="00E95772" w:rsidRDefault="00E95772" w:rsidP="00E95772">
            <w:pPr>
              <w:pStyle w:val="Normal1linespace"/>
              <w:widowControl w:val="0"/>
              <w:jc w:val="left"/>
            </w:pPr>
            <w:r>
              <w:rPr>
                <w:i/>
              </w:rPr>
              <w:t xml:space="preserve">Barbaro v The Queen </w:t>
            </w:r>
            <w:r>
              <w:t>(2014) 253 CLR 58; [2014] HCA 2</w:t>
            </w:r>
          </w:p>
          <w:p w:rsidR="00E95772" w:rsidRDefault="00E95772" w:rsidP="00E95772">
            <w:pPr>
              <w:pStyle w:val="Normal1linespace"/>
              <w:widowControl w:val="0"/>
              <w:jc w:val="left"/>
            </w:pPr>
            <w:r>
              <w:rPr>
                <w:i/>
              </w:rPr>
              <w:t>Bui</w:t>
            </w:r>
            <w:r w:rsidRPr="000F3F93">
              <w:rPr>
                <w:i/>
              </w:rPr>
              <w:t xml:space="preserve"> v </w:t>
            </w:r>
            <w:r w:rsidRPr="00F268DA">
              <w:rPr>
                <w:i/>
              </w:rPr>
              <w:t>Director of Public Prosecutions</w:t>
            </w:r>
            <w:r w:rsidRPr="000F3F93">
              <w:rPr>
                <w:i/>
              </w:rPr>
              <w:t xml:space="preserve"> (Cth)</w:t>
            </w:r>
            <w:r>
              <w:t xml:space="preserve"> </w:t>
            </w:r>
            <w:r w:rsidRPr="000F3F93">
              <w:t>(</w:t>
            </w:r>
            <w:r>
              <w:t>20</w:t>
            </w:r>
            <w:r w:rsidRPr="000F3F93">
              <w:t>1</w:t>
            </w:r>
            <w:r>
              <w:t>2</w:t>
            </w:r>
            <w:r w:rsidRPr="000F3F93">
              <w:t>) 2</w:t>
            </w:r>
            <w:r>
              <w:t>44 CLR 638; [2012] HCA 1</w:t>
            </w:r>
          </w:p>
          <w:p w:rsidR="00E95772" w:rsidRDefault="00E95772" w:rsidP="00E95772">
            <w:pPr>
              <w:pStyle w:val="Normal1linespace"/>
              <w:widowControl w:val="0"/>
              <w:jc w:val="left"/>
            </w:pPr>
            <w:r w:rsidRPr="00E5670C">
              <w:rPr>
                <w:i/>
              </w:rPr>
              <w:t xml:space="preserve">Director of Public Prosecutions </w:t>
            </w:r>
            <w:r>
              <w:rPr>
                <w:i/>
              </w:rPr>
              <w:t xml:space="preserve">(Cth) </w:t>
            </w:r>
            <w:r w:rsidRPr="00E5670C">
              <w:rPr>
                <w:i/>
              </w:rPr>
              <w:t>v Costanzo</w:t>
            </w:r>
            <w:r>
              <w:t xml:space="preserve"> (2005) 191 FLR 45; [2005] QSC 79</w:t>
            </w:r>
          </w:p>
          <w:p w:rsidR="00E95772" w:rsidRDefault="00E95772" w:rsidP="00E95772">
            <w:pPr>
              <w:pStyle w:val="Normal1linespace"/>
              <w:widowControl w:val="0"/>
              <w:jc w:val="left"/>
            </w:pPr>
            <w:r w:rsidRPr="00F268DA">
              <w:rPr>
                <w:i/>
              </w:rPr>
              <w:t>Director of Public Prosecutions (Cth) v El Karhani</w:t>
            </w:r>
            <w:r>
              <w:t xml:space="preserve"> (1990) 21 NSWLR 370</w:t>
            </w:r>
          </w:p>
          <w:p w:rsidR="00E95772" w:rsidRDefault="00E95772" w:rsidP="00E95772">
            <w:pPr>
              <w:pStyle w:val="Normal1linespace"/>
              <w:widowControl w:val="0"/>
              <w:jc w:val="left"/>
            </w:pPr>
            <w:r>
              <w:rPr>
                <w:i/>
              </w:rPr>
              <w:t xml:space="preserve">Hili v The Queen </w:t>
            </w:r>
            <w:r>
              <w:t>(2010) 242 CLR 520; [2010] HCA 45</w:t>
            </w:r>
          </w:p>
          <w:p w:rsidR="00E95772" w:rsidRDefault="00E95772" w:rsidP="00E95772">
            <w:pPr>
              <w:pStyle w:val="Normal1linespace"/>
              <w:widowControl w:val="0"/>
              <w:jc w:val="left"/>
            </w:pPr>
            <w:r>
              <w:rPr>
                <w:i/>
              </w:rPr>
              <w:t xml:space="preserve">R v Pham </w:t>
            </w:r>
            <w:r>
              <w:t>[2015] HCA 39</w:t>
            </w:r>
          </w:p>
          <w:p w:rsidR="00E95772" w:rsidRDefault="00E95772" w:rsidP="00E95772">
            <w:pPr>
              <w:pStyle w:val="Normal1linespace"/>
              <w:widowControl w:val="0"/>
              <w:jc w:val="left"/>
            </w:pPr>
            <w:r w:rsidRPr="00DB208A">
              <w:rPr>
                <w:i/>
              </w:rPr>
              <w:lastRenderedPageBreak/>
              <w:t>R v Rivkin</w:t>
            </w:r>
            <w:r>
              <w:t xml:space="preserve"> (2004) 59 NSWLR 284; [2004] NSWCCA 7</w:t>
            </w:r>
          </w:p>
          <w:p w:rsidR="00E95772" w:rsidRDefault="00E95772" w:rsidP="00E67649">
            <w:pPr>
              <w:spacing w:line="240" w:lineRule="auto"/>
            </w:pPr>
            <w:r w:rsidRPr="00DB208A">
              <w:rPr>
                <w:i/>
              </w:rPr>
              <w:t>R v Williams</w:t>
            </w:r>
            <w:r>
              <w:t xml:space="preserve"> (2005) 216 ALR 113; [2005] NSWSC 315</w:t>
            </w:r>
          </w:p>
        </w:tc>
      </w:tr>
      <w:tr w:rsidR="00E67649" w:rsidTr="00352E43">
        <w:tc>
          <w:tcPr>
            <w:tcW w:w="3085" w:type="dxa"/>
            <w:shd w:val="clear" w:color="auto" w:fill="auto"/>
          </w:tcPr>
          <w:p w:rsidR="00E67649" w:rsidRDefault="00E67649">
            <w:pPr>
              <w:pStyle w:val="Normal1linespace"/>
              <w:widowControl w:val="0"/>
            </w:pPr>
          </w:p>
        </w:tc>
        <w:tc>
          <w:tcPr>
            <w:tcW w:w="5989" w:type="dxa"/>
            <w:shd w:val="clear" w:color="auto" w:fill="auto"/>
          </w:tcPr>
          <w:p w:rsidR="00E67649" w:rsidRPr="00092C39" w:rsidRDefault="00E67649">
            <w:pPr>
              <w:pStyle w:val="Normal1linespace"/>
              <w:widowControl w:val="0"/>
              <w:jc w:val="left"/>
              <w:rPr>
                <w:i/>
              </w:rPr>
            </w:pPr>
          </w:p>
        </w:tc>
      </w:tr>
      <w:tr w:rsidR="00352E43" w:rsidRPr="00352E43" w:rsidTr="00352E43">
        <w:tc>
          <w:tcPr>
            <w:tcW w:w="3085" w:type="dxa"/>
            <w:shd w:val="clear" w:color="auto" w:fill="auto"/>
          </w:tcPr>
          <w:p w:rsidR="00352E43" w:rsidRPr="00352E43" w:rsidRDefault="00352E43" w:rsidP="00352E43">
            <w:pPr>
              <w:pStyle w:val="Normal1linespace"/>
              <w:jc w:val="left"/>
            </w:pPr>
            <w:bookmarkStart w:id="3" w:name="CounselDate" w:colFirst="0" w:colLast="2"/>
            <w:r w:rsidRPr="00352E43">
              <w:t>Date of hearing:</w:t>
            </w:r>
          </w:p>
        </w:tc>
        <w:tc>
          <w:tcPr>
            <w:tcW w:w="5989" w:type="dxa"/>
            <w:shd w:val="clear" w:color="auto" w:fill="auto"/>
          </w:tcPr>
          <w:p w:rsidR="00352E43" w:rsidRPr="00352E43" w:rsidRDefault="00352E43" w:rsidP="00352E43">
            <w:pPr>
              <w:pStyle w:val="Normal1linespace"/>
              <w:jc w:val="left"/>
            </w:pPr>
            <w:bookmarkStart w:id="4" w:name="HearingDate"/>
            <w:r>
              <w:t>12 November 2015</w:t>
            </w:r>
            <w:bookmarkEnd w:id="4"/>
          </w:p>
        </w:tc>
      </w:tr>
      <w:tr w:rsidR="00352E43" w:rsidRPr="00352E43" w:rsidTr="00352E43">
        <w:tc>
          <w:tcPr>
            <w:tcW w:w="3085" w:type="dxa"/>
            <w:shd w:val="clear" w:color="auto" w:fill="auto"/>
          </w:tcPr>
          <w:p w:rsidR="00352E43" w:rsidRPr="00352E43" w:rsidRDefault="00352E43" w:rsidP="00352E43">
            <w:pPr>
              <w:pStyle w:val="Normal1linespace"/>
              <w:jc w:val="left"/>
            </w:pPr>
          </w:p>
        </w:tc>
        <w:tc>
          <w:tcPr>
            <w:tcW w:w="5989" w:type="dxa"/>
            <w:shd w:val="clear" w:color="auto" w:fill="auto"/>
          </w:tcPr>
          <w:p w:rsidR="00352E43" w:rsidRPr="00352E43" w:rsidRDefault="00352E43" w:rsidP="00352E43">
            <w:pPr>
              <w:pStyle w:val="Normal1linespace"/>
              <w:jc w:val="left"/>
            </w:pPr>
          </w:p>
        </w:tc>
      </w:tr>
      <w:bookmarkEnd w:id="3"/>
      <w:tr w:rsidR="00352E43" w:rsidTr="00352E43">
        <w:tc>
          <w:tcPr>
            <w:tcW w:w="3085" w:type="dxa"/>
            <w:shd w:val="clear" w:color="auto" w:fill="auto"/>
          </w:tcPr>
          <w:p w:rsidR="00352E43" w:rsidRDefault="00352E43" w:rsidP="00352E43">
            <w:pPr>
              <w:pStyle w:val="Normal1linespace"/>
              <w:widowControl w:val="0"/>
              <w:jc w:val="left"/>
            </w:pPr>
            <w:r>
              <w:t>Place:</w:t>
            </w:r>
          </w:p>
        </w:tc>
        <w:tc>
          <w:tcPr>
            <w:tcW w:w="5989" w:type="dxa"/>
            <w:shd w:val="clear" w:color="auto" w:fill="auto"/>
          </w:tcPr>
          <w:p w:rsidR="00352E43" w:rsidRDefault="00E67649" w:rsidP="00352E43">
            <w:pPr>
              <w:pStyle w:val="Normal1linespace"/>
              <w:widowControl w:val="0"/>
              <w:jc w:val="left"/>
            </w:pPr>
            <w:fldSimple w:instr=" DOCVARIABLE  Place_SentenceCase  \* MERGEFORMAT ">
              <w:r w:rsidR="00352E43">
                <w:t>Brisbane</w:t>
              </w:r>
            </w:fldSimple>
          </w:p>
        </w:tc>
      </w:tr>
      <w:tr w:rsidR="00352E43" w:rsidTr="00352E43">
        <w:tc>
          <w:tcPr>
            <w:tcW w:w="3085" w:type="dxa"/>
            <w:shd w:val="clear" w:color="auto" w:fill="auto"/>
          </w:tcPr>
          <w:p w:rsidR="00352E43" w:rsidRDefault="00352E43" w:rsidP="00352E43">
            <w:pPr>
              <w:pStyle w:val="Normal1linespace"/>
              <w:widowControl w:val="0"/>
              <w:jc w:val="left"/>
            </w:pPr>
          </w:p>
        </w:tc>
        <w:tc>
          <w:tcPr>
            <w:tcW w:w="5989" w:type="dxa"/>
            <w:shd w:val="clear" w:color="auto" w:fill="auto"/>
          </w:tcPr>
          <w:p w:rsidR="00352E43" w:rsidRDefault="00352E43" w:rsidP="00352E43">
            <w:pPr>
              <w:pStyle w:val="Normal1linespace"/>
              <w:widowControl w:val="0"/>
              <w:jc w:val="left"/>
            </w:pPr>
          </w:p>
        </w:tc>
      </w:tr>
      <w:tr w:rsidR="00352E43" w:rsidTr="00352E43">
        <w:tc>
          <w:tcPr>
            <w:tcW w:w="3085" w:type="dxa"/>
            <w:shd w:val="clear" w:color="auto" w:fill="auto"/>
          </w:tcPr>
          <w:p w:rsidR="00352E43" w:rsidRDefault="00352E43" w:rsidP="00352E43">
            <w:pPr>
              <w:pStyle w:val="Normal1linespace"/>
              <w:widowControl w:val="0"/>
              <w:jc w:val="left"/>
            </w:pPr>
            <w:r>
              <w:t>Division:</w:t>
            </w:r>
          </w:p>
        </w:tc>
        <w:tc>
          <w:tcPr>
            <w:tcW w:w="5989" w:type="dxa"/>
            <w:shd w:val="clear" w:color="auto" w:fill="auto"/>
          </w:tcPr>
          <w:p w:rsidR="00352E43" w:rsidRPr="00C67B37" w:rsidRDefault="00352E43" w:rsidP="00352E43">
            <w:pPr>
              <w:pStyle w:val="Normal1linespace"/>
              <w:widowControl w:val="0"/>
              <w:jc w:val="left"/>
              <w:rPr>
                <w:caps/>
              </w:rPr>
            </w:pPr>
            <w:r>
              <w:rPr>
                <w:caps/>
              </w:rPr>
              <w:fldChar w:fldCharType="begin"/>
            </w:r>
            <w:r>
              <w:rPr>
                <w:caps/>
              </w:rPr>
              <w:instrText xml:space="preserve"> REF  Division </w:instrText>
            </w:r>
            <w:r>
              <w:rPr>
                <w:caps/>
              </w:rPr>
              <w:fldChar w:fldCharType="separate"/>
            </w:r>
            <w:r w:rsidR="004A6D67">
              <w:rPr>
                <w:caps/>
                <w:szCs w:val="24"/>
              </w:rPr>
              <w:t>GENERAL DIVISION</w:t>
            </w:r>
            <w:r>
              <w:rPr>
                <w:caps/>
              </w:rPr>
              <w:fldChar w:fldCharType="end"/>
            </w:r>
          </w:p>
        </w:tc>
      </w:tr>
      <w:tr w:rsidR="00352E43" w:rsidTr="00352E43">
        <w:tc>
          <w:tcPr>
            <w:tcW w:w="3085" w:type="dxa"/>
            <w:shd w:val="clear" w:color="auto" w:fill="auto"/>
          </w:tcPr>
          <w:p w:rsidR="00352E43" w:rsidRDefault="00352E43" w:rsidP="00352E43">
            <w:pPr>
              <w:pStyle w:val="Normal1linespace"/>
              <w:widowControl w:val="0"/>
              <w:jc w:val="left"/>
            </w:pPr>
          </w:p>
        </w:tc>
        <w:tc>
          <w:tcPr>
            <w:tcW w:w="5989" w:type="dxa"/>
            <w:shd w:val="clear" w:color="auto" w:fill="auto"/>
          </w:tcPr>
          <w:p w:rsidR="00352E43" w:rsidRDefault="00352E43" w:rsidP="00352E43">
            <w:pPr>
              <w:pStyle w:val="Normal1linespace"/>
              <w:widowControl w:val="0"/>
              <w:jc w:val="left"/>
              <w:rPr>
                <w:b/>
              </w:rPr>
            </w:pPr>
          </w:p>
        </w:tc>
      </w:tr>
      <w:tr w:rsidR="00352E43" w:rsidTr="00352E43">
        <w:tc>
          <w:tcPr>
            <w:tcW w:w="3085" w:type="dxa"/>
            <w:shd w:val="clear" w:color="auto" w:fill="auto"/>
          </w:tcPr>
          <w:p w:rsidR="00352E43" w:rsidRDefault="00352E43" w:rsidP="00352E43">
            <w:pPr>
              <w:pStyle w:val="Normal1linespace"/>
              <w:widowControl w:val="0"/>
              <w:jc w:val="left"/>
            </w:pPr>
            <w:r>
              <w:t>Category:</w:t>
            </w:r>
          </w:p>
        </w:tc>
        <w:tc>
          <w:tcPr>
            <w:tcW w:w="5989" w:type="dxa"/>
            <w:shd w:val="clear" w:color="auto" w:fill="auto"/>
          </w:tcPr>
          <w:p w:rsidR="00352E43" w:rsidRDefault="00352E43" w:rsidP="00352E43">
            <w:pPr>
              <w:pStyle w:val="Normal1linespace"/>
              <w:widowControl w:val="0"/>
              <w:jc w:val="left"/>
            </w:pPr>
            <w:r>
              <w:t>Catchwords</w:t>
            </w:r>
          </w:p>
        </w:tc>
      </w:tr>
      <w:tr w:rsidR="00352E43" w:rsidTr="00352E43">
        <w:tc>
          <w:tcPr>
            <w:tcW w:w="3085" w:type="dxa"/>
            <w:shd w:val="clear" w:color="auto" w:fill="auto"/>
          </w:tcPr>
          <w:p w:rsidR="00352E43" w:rsidRDefault="00352E43" w:rsidP="00352E43">
            <w:pPr>
              <w:pStyle w:val="Normal1linespace"/>
              <w:widowControl w:val="0"/>
              <w:jc w:val="left"/>
            </w:pPr>
          </w:p>
        </w:tc>
        <w:tc>
          <w:tcPr>
            <w:tcW w:w="5989" w:type="dxa"/>
            <w:shd w:val="clear" w:color="auto" w:fill="auto"/>
          </w:tcPr>
          <w:p w:rsidR="00352E43" w:rsidRDefault="00352E43" w:rsidP="00352E43">
            <w:pPr>
              <w:pStyle w:val="Normal1linespace"/>
              <w:widowControl w:val="0"/>
              <w:jc w:val="left"/>
            </w:pPr>
          </w:p>
        </w:tc>
      </w:tr>
      <w:tr w:rsidR="00352E43" w:rsidTr="00352E43">
        <w:tc>
          <w:tcPr>
            <w:tcW w:w="3085" w:type="dxa"/>
            <w:shd w:val="clear" w:color="auto" w:fill="auto"/>
          </w:tcPr>
          <w:p w:rsidR="00352E43" w:rsidRDefault="00352E43" w:rsidP="00352E43">
            <w:pPr>
              <w:pStyle w:val="Normal1linespace"/>
              <w:widowControl w:val="0"/>
              <w:jc w:val="left"/>
            </w:pPr>
            <w:r>
              <w:t>Number of paragraphs:</w:t>
            </w:r>
          </w:p>
        </w:tc>
        <w:tc>
          <w:tcPr>
            <w:tcW w:w="5989" w:type="dxa"/>
            <w:shd w:val="clear" w:color="auto" w:fill="auto"/>
          </w:tcPr>
          <w:p w:rsidR="00352E43" w:rsidRDefault="00352E43" w:rsidP="00352E43">
            <w:pPr>
              <w:pStyle w:val="Normal1linespace"/>
              <w:widowControl w:val="0"/>
              <w:jc w:val="left"/>
            </w:pPr>
            <w:bookmarkStart w:id="5" w:name="PlaceCategoryParagraphs"/>
            <w:r>
              <w:t>23</w:t>
            </w:r>
            <w:bookmarkEnd w:id="5"/>
          </w:p>
        </w:tc>
      </w:tr>
      <w:tr w:rsidR="00352E43" w:rsidTr="00352E43">
        <w:tc>
          <w:tcPr>
            <w:tcW w:w="3085" w:type="dxa"/>
            <w:shd w:val="clear" w:color="auto" w:fill="auto"/>
          </w:tcPr>
          <w:p w:rsidR="00352E43" w:rsidRDefault="00352E43" w:rsidP="00352E43">
            <w:pPr>
              <w:pStyle w:val="Normal1linespace"/>
              <w:widowControl w:val="0"/>
              <w:jc w:val="left"/>
            </w:pPr>
          </w:p>
        </w:tc>
        <w:tc>
          <w:tcPr>
            <w:tcW w:w="5989" w:type="dxa"/>
            <w:shd w:val="clear" w:color="auto" w:fill="auto"/>
          </w:tcPr>
          <w:p w:rsidR="00352E43" w:rsidRDefault="00352E43" w:rsidP="00352E43">
            <w:pPr>
              <w:pStyle w:val="Normal1linespace"/>
              <w:widowControl w:val="0"/>
              <w:jc w:val="left"/>
            </w:pPr>
          </w:p>
        </w:tc>
      </w:tr>
      <w:tr w:rsidR="00352E43" w:rsidTr="00352E43">
        <w:tc>
          <w:tcPr>
            <w:tcW w:w="3085" w:type="dxa"/>
            <w:shd w:val="clear" w:color="auto" w:fill="auto"/>
          </w:tcPr>
          <w:p w:rsidR="00352E43" w:rsidRDefault="00352E43" w:rsidP="00352E43">
            <w:pPr>
              <w:pStyle w:val="Normal1linespace"/>
              <w:widowControl w:val="0"/>
              <w:jc w:val="left"/>
            </w:pPr>
            <w:bookmarkStart w:id="6" w:name="Counsel" w:colFirst="0" w:colLast="2"/>
            <w:r>
              <w:t>Counsel for the Applicant:</w:t>
            </w:r>
          </w:p>
        </w:tc>
        <w:tc>
          <w:tcPr>
            <w:tcW w:w="5989" w:type="dxa"/>
            <w:shd w:val="clear" w:color="auto" w:fill="auto"/>
          </w:tcPr>
          <w:p w:rsidR="00352E43" w:rsidRDefault="00352E43" w:rsidP="00352E43">
            <w:pPr>
              <w:pStyle w:val="Normal1linespace"/>
              <w:widowControl w:val="0"/>
              <w:jc w:val="left"/>
            </w:pPr>
            <w:bookmarkStart w:id="7" w:name="AppCounsel"/>
            <w:bookmarkEnd w:id="7"/>
            <w:r>
              <w:t>Ms AJ Stoker</w:t>
            </w:r>
          </w:p>
        </w:tc>
      </w:tr>
      <w:tr w:rsidR="00352E43" w:rsidTr="00352E43">
        <w:tc>
          <w:tcPr>
            <w:tcW w:w="3085" w:type="dxa"/>
            <w:shd w:val="clear" w:color="auto" w:fill="auto"/>
          </w:tcPr>
          <w:p w:rsidR="00352E43" w:rsidRDefault="00352E43" w:rsidP="00352E43">
            <w:pPr>
              <w:pStyle w:val="Normal1linespace"/>
              <w:widowControl w:val="0"/>
              <w:jc w:val="left"/>
            </w:pPr>
          </w:p>
        </w:tc>
        <w:tc>
          <w:tcPr>
            <w:tcW w:w="5989" w:type="dxa"/>
            <w:shd w:val="clear" w:color="auto" w:fill="auto"/>
          </w:tcPr>
          <w:p w:rsidR="00352E43" w:rsidRDefault="00352E43" w:rsidP="00352E43">
            <w:pPr>
              <w:pStyle w:val="Normal1linespace"/>
              <w:widowControl w:val="0"/>
              <w:jc w:val="left"/>
            </w:pPr>
          </w:p>
        </w:tc>
      </w:tr>
      <w:tr w:rsidR="00352E43" w:rsidTr="00352E43">
        <w:tc>
          <w:tcPr>
            <w:tcW w:w="3085" w:type="dxa"/>
            <w:shd w:val="clear" w:color="auto" w:fill="auto"/>
          </w:tcPr>
          <w:p w:rsidR="00352E43" w:rsidRDefault="00352E43" w:rsidP="00352E43">
            <w:pPr>
              <w:pStyle w:val="Normal1linespace"/>
              <w:widowControl w:val="0"/>
              <w:jc w:val="left"/>
            </w:pPr>
            <w:r>
              <w:t>Solicitor for the Applicant:</w:t>
            </w:r>
          </w:p>
        </w:tc>
        <w:tc>
          <w:tcPr>
            <w:tcW w:w="5989" w:type="dxa"/>
            <w:shd w:val="clear" w:color="auto" w:fill="auto"/>
          </w:tcPr>
          <w:p w:rsidR="00352E43" w:rsidRDefault="00352E43" w:rsidP="00352E43">
            <w:pPr>
              <w:pStyle w:val="Normal1linespace"/>
              <w:widowControl w:val="0"/>
              <w:jc w:val="left"/>
            </w:pPr>
            <w:r w:rsidRPr="00DF733E">
              <w:t>Commonwealth</w:t>
            </w:r>
            <w:r>
              <w:t xml:space="preserve"> Director of Public Prosecutions</w:t>
            </w:r>
          </w:p>
        </w:tc>
      </w:tr>
      <w:tr w:rsidR="00352E43" w:rsidTr="00352E43">
        <w:tc>
          <w:tcPr>
            <w:tcW w:w="3085" w:type="dxa"/>
            <w:shd w:val="clear" w:color="auto" w:fill="auto"/>
          </w:tcPr>
          <w:p w:rsidR="00352E43" w:rsidRDefault="00352E43" w:rsidP="00352E43">
            <w:pPr>
              <w:pStyle w:val="Normal1linespace"/>
              <w:widowControl w:val="0"/>
              <w:jc w:val="left"/>
            </w:pPr>
          </w:p>
        </w:tc>
        <w:tc>
          <w:tcPr>
            <w:tcW w:w="5989" w:type="dxa"/>
            <w:shd w:val="clear" w:color="auto" w:fill="auto"/>
          </w:tcPr>
          <w:p w:rsidR="00352E43" w:rsidRDefault="00352E43" w:rsidP="00352E43">
            <w:pPr>
              <w:pStyle w:val="Normal1linespace"/>
              <w:widowControl w:val="0"/>
              <w:jc w:val="left"/>
            </w:pPr>
          </w:p>
        </w:tc>
      </w:tr>
      <w:tr w:rsidR="00352E43" w:rsidTr="00352E43">
        <w:tc>
          <w:tcPr>
            <w:tcW w:w="3085" w:type="dxa"/>
            <w:shd w:val="clear" w:color="auto" w:fill="auto"/>
          </w:tcPr>
          <w:p w:rsidR="00352E43" w:rsidRDefault="00352E43" w:rsidP="00352E43">
            <w:pPr>
              <w:pStyle w:val="Normal1linespace"/>
              <w:widowControl w:val="0"/>
              <w:jc w:val="left"/>
            </w:pPr>
            <w:r>
              <w:t>Counsel for the Respondent:</w:t>
            </w:r>
          </w:p>
        </w:tc>
        <w:tc>
          <w:tcPr>
            <w:tcW w:w="5989" w:type="dxa"/>
            <w:shd w:val="clear" w:color="auto" w:fill="auto"/>
          </w:tcPr>
          <w:p w:rsidR="00352E43" w:rsidRDefault="00352E43" w:rsidP="00352E43">
            <w:pPr>
              <w:pStyle w:val="Normal1linespace"/>
              <w:widowControl w:val="0"/>
              <w:jc w:val="left"/>
            </w:pPr>
            <w:r>
              <w:t>The Respondent appeared in person</w:t>
            </w:r>
          </w:p>
        </w:tc>
      </w:tr>
      <w:bookmarkEnd w:id="6"/>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0F3F93">
            <w:pPr>
              <w:pStyle w:val="NormalHeadings"/>
              <w:spacing w:after="120"/>
              <w:jc w:val="left"/>
              <w:rPr>
                <w:caps/>
                <w:szCs w:val="24"/>
              </w:rPr>
            </w:pPr>
            <w:bookmarkStart w:id="8" w:name="State"/>
            <w:r>
              <w:rPr>
                <w:caps/>
                <w:szCs w:val="24"/>
              </w:rPr>
              <w:t>QUEENSLAND</w:t>
            </w:r>
            <w:bookmarkEnd w:id="8"/>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0F3F93">
            <w:pPr>
              <w:pStyle w:val="NormalHeadings"/>
              <w:spacing w:after="120"/>
              <w:jc w:val="left"/>
              <w:rPr>
                <w:caps/>
                <w:szCs w:val="24"/>
              </w:rPr>
            </w:pPr>
            <w:bookmarkStart w:id="9" w:name="Division"/>
            <w:r>
              <w:rPr>
                <w:caps/>
                <w:szCs w:val="24"/>
              </w:rPr>
              <w:t>GENERAL DIVISION</w:t>
            </w:r>
            <w:bookmarkEnd w:id="9"/>
          </w:p>
        </w:tc>
        <w:tc>
          <w:tcPr>
            <w:tcW w:w="2471" w:type="dxa"/>
          </w:tcPr>
          <w:p w:rsidR="00395B24" w:rsidRDefault="000F3F93">
            <w:pPr>
              <w:pStyle w:val="NormalHeadings"/>
              <w:tabs>
                <w:tab w:val="right" w:pos="3609"/>
              </w:tabs>
              <w:jc w:val="right"/>
              <w:rPr>
                <w:szCs w:val="24"/>
              </w:rPr>
            </w:pPr>
            <w:bookmarkStart w:id="10" w:name="Num"/>
            <w:r>
              <w:rPr>
                <w:szCs w:val="24"/>
              </w:rPr>
              <w:t>QUD 530 of 2014</w:t>
            </w:r>
            <w:bookmarkEnd w:id="10"/>
          </w:p>
        </w:tc>
      </w:tr>
    </w:tbl>
    <w:p w:rsidR="00395B24" w:rsidRPr="000F3F93" w:rsidRDefault="002C7385">
      <w:pPr>
        <w:pStyle w:val="AppealTable"/>
        <w:rPr>
          <w:sz w:val="24"/>
        </w:rPr>
      </w:pPr>
      <w:bookmarkStart w:id="11" w:name="AppealTable"/>
      <w:r w:rsidRPr="000F3F93">
        <w:rPr>
          <w:sz w:val="24"/>
        </w:rPr>
        <w:t xml:space="preserve"> </w:t>
      </w:r>
      <w:bookmarkEnd w:id="11"/>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2" w:name="Parties"/>
            <w:r>
              <w:rPr>
                <w:caps/>
                <w:szCs w:val="24"/>
              </w:rPr>
              <w:t>BETWEEN:</w:t>
            </w:r>
          </w:p>
        </w:tc>
        <w:tc>
          <w:tcPr>
            <w:tcW w:w="6866" w:type="dxa"/>
          </w:tcPr>
          <w:p w:rsidR="000F3F93" w:rsidRDefault="000F3F93">
            <w:pPr>
              <w:pStyle w:val="NormalHeadings"/>
              <w:jc w:val="left"/>
              <w:rPr>
                <w:szCs w:val="24"/>
              </w:rPr>
            </w:pPr>
            <w:bookmarkStart w:id="13" w:name="Applicant"/>
            <w:r>
              <w:rPr>
                <w:szCs w:val="24"/>
              </w:rPr>
              <w:t>AUSTRALIAN COMPETITION AND CONSUMER COMMISSION</w:t>
            </w:r>
          </w:p>
          <w:p w:rsidR="000F3F93" w:rsidRDefault="000F3F93">
            <w:pPr>
              <w:pStyle w:val="NormalHeadings"/>
              <w:jc w:val="left"/>
              <w:rPr>
                <w:szCs w:val="24"/>
              </w:rPr>
            </w:pPr>
            <w:r>
              <w:rPr>
                <w:szCs w:val="24"/>
              </w:rPr>
              <w:t>Applicant</w:t>
            </w:r>
          </w:p>
          <w:bookmarkEnd w:id="13"/>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F3F93" w:rsidRDefault="000F3F93">
            <w:pPr>
              <w:pStyle w:val="NormalHeadings"/>
              <w:jc w:val="left"/>
              <w:rPr>
                <w:szCs w:val="24"/>
              </w:rPr>
            </w:pPr>
            <w:bookmarkStart w:id="14" w:name="Respondent"/>
            <w:r>
              <w:rPr>
                <w:szCs w:val="24"/>
              </w:rPr>
              <w:t>ROBERT PAUL DAVIES</w:t>
            </w:r>
          </w:p>
          <w:p w:rsidR="000F3F93" w:rsidRDefault="000F3F93">
            <w:pPr>
              <w:pStyle w:val="NormalHeadings"/>
              <w:jc w:val="left"/>
              <w:rPr>
                <w:szCs w:val="24"/>
              </w:rPr>
            </w:pPr>
            <w:r>
              <w:rPr>
                <w:szCs w:val="24"/>
              </w:rPr>
              <w:t>Respondent</w:t>
            </w:r>
          </w:p>
          <w:bookmarkEnd w:id="14"/>
          <w:p w:rsidR="00395B24" w:rsidRDefault="00395B24">
            <w:pPr>
              <w:pStyle w:val="NormalHeadings"/>
              <w:jc w:val="left"/>
              <w:rPr>
                <w:szCs w:val="24"/>
              </w:rPr>
            </w:pPr>
          </w:p>
        </w:tc>
      </w:tr>
      <w:bookmarkEnd w:id="12"/>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0F3F93">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352E43">
            <w:pPr>
              <w:pStyle w:val="NormalHeadings"/>
              <w:jc w:val="left"/>
              <w:rPr>
                <w:caps/>
                <w:szCs w:val="24"/>
              </w:rPr>
            </w:pPr>
            <w:bookmarkStart w:id="16" w:name="Judge"/>
            <w:r>
              <w:rPr>
                <w:caps/>
                <w:szCs w:val="24"/>
              </w:rPr>
              <w:t>REEVES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11051">
            <w:pPr>
              <w:pStyle w:val="NormalHeadings"/>
              <w:jc w:val="left"/>
              <w:rPr>
                <w:caps/>
                <w:szCs w:val="24"/>
              </w:rPr>
            </w:pPr>
            <w:bookmarkStart w:id="17" w:name="Judgment_Dated"/>
            <w:r>
              <w:rPr>
                <w:caps/>
                <w:szCs w:val="24"/>
              </w:rPr>
              <w:t>20</w:t>
            </w:r>
            <w:r w:rsidR="000F3F93">
              <w:rPr>
                <w:caps/>
                <w:szCs w:val="24"/>
              </w:rPr>
              <w:t xml:space="preserve"> NOVEMBER 2015</w:t>
            </w:r>
            <w:bookmarkEnd w:id="17"/>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0F3F93">
            <w:pPr>
              <w:pStyle w:val="NormalHeadings"/>
              <w:jc w:val="left"/>
              <w:rPr>
                <w:caps/>
                <w:szCs w:val="24"/>
              </w:rPr>
            </w:pPr>
            <w:bookmarkStart w:id="18" w:name="Place"/>
            <w:r>
              <w:rPr>
                <w:caps/>
                <w:szCs w:val="24"/>
              </w:rPr>
              <w:t>BRISBANE</w:t>
            </w:r>
            <w:bookmarkEnd w:id="18"/>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092C39" w:rsidP="00274F5B">
      <w:pPr>
        <w:pStyle w:val="Order1"/>
      </w:pPr>
      <w:bookmarkStart w:id="19" w:name="Order_Start_Text"/>
      <w:bookmarkEnd w:id="19"/>
      <w:r>
        <w:t xml:space="preserve">The respondent is convicted of the offence of aiding, abetting, counselling or procuring Natural Food Vending Pty Ltd in failing to comply with a notice issued </w:t>
      </w:r>
      <w:r w:rsidR="00401AAD">
        <w:t xml:space="preserve">to it </w:t>
      </w:r>
      <w:r>
        <w:t xml:space="preserve">under s 155(1) of the </w:t>
      </w:r>
      <w:r w:rsidRPr="003F0414">
        <w:rPr>
          <w:i/>
        </w:rPr>
        <w:t>Trade Practices Act 1974</w:t>
      </w:r>
      <w:r>
        <w:t xml:space="preserve"> (Cth) contrary to s 155(5)(a) of the </w:t>
      </w:r>
      <w:r w:rsidRPr="003F0414">
        <w:rPr>
          <w:i/>
        </w:rPr>
        <w:t>Trade Practices Act 1974</w:t>
      </w:r>
      <w:r>
        <w:t xml:space="preserve"> (Cth).</w:t>
      </w:r>
    </w:p>
    <w:p w:rsidR="00092C39" w:rsidRDefault="00EB3AEA" w:rsidP="00274F5B">
      <w:pPr>
        <w:pStyle w:val="Order1"/>
      </w:pPr>
      <w:r>
        <w:t xml:space="preserve">Pursuant to s 20AB of the </w:t>
      </w:r>
      <w:r w:rsidRPr="000F3F93">
        <w:rPr>
          <w:i/>
        </w:rPr>
        <w:t>Crimes Act 1914</w:t>
      </w:r>
      <w:r>
        <w:t xml:space="preserve"> (Cth), t</w:t>
      </w:r>
      <w:r w:rsidR="00092C39">
        <w:t>he respondent</w:t>
      </w:r>
      <w:r>
        <w:t xml:space="preserve"> is ordered to perform 200 hours of community service on the conditions that he:</w:t>
      </w:r>
    </w:p>
    <w:p w:rsidR="00EB3AEA" w:rsidRDefault="00EB3AEA" w:rsidP="00EB3AEA">
      <w:pPr>
        <w:pStyle w:val="ListNo2"/>
      </w:pPr>
      <w:r>
        <w:t>not commit another offence during the period of the order;</w:t>
      </w:r>
    </w:p>
    <w:p w:rsidR="00EB3AEA" w:rsidRDefault="00EB3AEA" w:rsidP="00EB3AEA">
      <w:pPr>
        <w:pStyle w:val="ListNo2"/>
      </w:pPr>
      <w:r>
        <w:t xml:space="preserve">report to an authorised corrective services officer as defined in s 4A of the </w:t>
      </w:r>
      <w:r>
        <w:rPr>
          <w:i/>
        </w:rPr>
        <w:t>Penalties and Sentences Act 1992</w:t>
      </w:r>
      <w:r>
        <w:t xml:space="preserve"> (Qld) at </w:t>
      </w:r>
      <w:r w:rsidR="00352E43">
        <w:t xml:space="preserve">the </w:t>
      </w:r>
      <w:r w:rsidR="00401AAD">
        <w:t xml:space="preserve">Southport </w:t>
      </w:r>
      <w:r w:rsidR="00352E43">
        <w:t xml:space="preserve">Probation and Parole District Office at 4/83 Scarborough Street, Southport </w:t>
      </w:r>
      <w:r w:rsidR="00401AAD">
        <w:t xml:space="preserve">in the State of </w:t>
      </w:r>
      <w:r w:rsidR="00401AAD" w:rsidRPr="00DF733E">
        <w:t>Queensland</w:t>
      </w:r>
      <w:r w:rsidR="00401AAD">
        <w:t xml:space="preserve"> </w:t>
      </w:r>
      <w:r>
        <w:t xml:space="preserve">by </w:t>
      </w:r>
      <w:r w:rsidR="00401AAD">
        <w:t>27 November 2015</w:t>
      </w:r>
      <w:r>
        <w:t>;</w:t>
      </w:r>
    </w:p>
    <w:p w:rsidR="00EB3AEA" w:rsidRDefault="00EB3AEA" w:rsidP="00EB3AEA">
      <w:pPr>
        <w:pStyle w:val="ListNo2"/>
      </w:pPr>
      <w:r>
        <w:t>report to and receive visits from such an authorised corrective services officer as directed by that officer;</w:t>
      </w:r>
    </w:p>
    <w:p w:rsidR="00EB3AEA" w:rsidRDefault="00EB3AEA" w:rsidP="00EB3AEA">
      <w:pPr>
        <w:pStyle w:val="ListNo2"/>
      </w:pPr>
      <w:r>
        <w:t>perform in a satisfactory way community service as directed by such an authorised corrective services officer for 200 hours at the times directed by that officer;</w:t>
      </w:r>
    </w:p>
    <w:p w:rsidR="00EB3AEA" w:rsidRDefault="00EB3AEA" w:rsidP="00EB3AEA">
      <w:pPr>
        <w:pStyle w:val="ListNo2"/>
      </w:pPr>
      <w:r>
        <w:t>notify such an authorised corrective services officer of every change of his place of residence or employment within two business days after that change occurs;</w:t>
      </w:r>
    </w:p>
    <w:p w:rsidR="00EB3AEA" w:rsidRDefault="00EB3AEA" w:rsidP="00EB3AEA">
      <w:pPr>
        <w:pStyle w:val="ListNo2"/>
      </w:pPr>
      <w:r>
        <w:lastRenderedPageBreak/>
        <w:t xml:space="preserve">not leave or stay out of </w:t>
      </w:r>
      <w:r w:rsidRPr="00DF733E">
        <w:t>Queensland</w:t>
      </w:r>
      <w:r>
        <w:t xml:space="preserve"> without the permission of such an authorised corrective services officer; and</w:t>
      </w:r>
    </w:p>
    <w:p w:rsidR="00EB3AEA" w:rsidRDefault="00EB3AEA" w:rsidP="00EB3AEA">
      <w:pPr>
        <w:pStyle w:val="ListNo2"/>
      </w:pPr>
      <w:r>
        <w:t>comply with every reasonable direction of such an authorised corrective services officer.</w:t>
      </w:r>
    </w:p>
    <w:p w:rsidR="00636871" w:rsidRDefault="00636871" w:rsidP="002B0E91">
      <w:pPr>
        <w:pStyle w:val="BodyText"/>
      </w:pPr>
    </w:p>
    <w:p w:rsidR="00401AAD" w:rsidRDefault="00401AAD" w:rsidP="002B0E91">
      <w:pPr>
        <w:pStyle w:val="BodyText"/>
      </w:pPr>
    </w:p>
    <w:p w:rsidR="00401AAD" w:rsidRDefault="00401AAD" w:rsidP="002B0E91">
      <w:pPr>
        <w:pStyle w:val="BodyText"/>
      </w:pPr>
    </w:p>
    <w:p w:rsidR="00401AAD" w:rsidRDefault="00401AAD" w:rsidP="002B0E91">
      <w:pPr>
        <w:pStyle w:val="BodyText"/>
      </w:pPr>
    </w:p>
    <w:p w:rsidR="00401AAD" w:rsidRDefault="00401AAD" w:rsidP="002B0E91">
      <w:pPr>
        <w:pStyle w:val="BodyText"/>
      </w:pPr>
    </w:p>
    <w:p w:rsidR="00401AAD" w:rsidRDefault="00401AAD" w:rsidP="002B0E91">
      <w:pPr>
        <w:pStyle w:val="BodyText"/>
      </w:pPr>
    </w:p>
    <w:p w:rsidR="00401AAD" w:rsidRDefault="00401AAD" w:rsidP="002B0E91">
      <w:pPr>
        <w:pStyle w:val="BodyText"/>
      </w:pPr>
    </w:p>
    <w:p w:rsidR="00401AAD" w:rsidRDefault="00401AAD" w:rsidP="002B0E91">
      <w:pPr>
        <w:pStyle w:val="BodyText"/>
      </w:pPr>
    </w:p>
    <w:p w:rsidR="00401AAD" w:rsidRDefault="00401AAD" w:rsidP="002B0E91">
      <w:pPr>
        <w:pStyle w:val="BodyText"/>
      </w:pPr>
    </w:p>
    <w:p w:rsidR="00401AAD" w:rsidRDefault="00401AAD" w:rsidP="002B0E91">
      <w:pPr>
        <w:pStyle w:val="BodyText"/>
      </w:pPr>
    </w:p>
    <w:p w:rsidR="00395B24" w:rsidRDefault="00395B24" w:rsidP="002B0E91">
      <w:pPr>
        <w:pStyle w:val="BodyText"/>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DB208A" w:rsidRDefault="00DB208A" w:rsidP="00DB208A">
      <w:pPr>
        <w:pStyle w:val="SingleSpace"/>
      </w:pPr>
    </w:p>
    <w:p w:rsidR="00EB3AEA" w:rsidRDefault="00EB3AEA" w:rsidP="00DB208A">
      <w:pPr>
        <w:pStyle w:val="SingleSpace"/>
      </w:pPr>
    </w:p>
    <w:p w:rsidR="00EB3AEA" w:rsidRDefault="00EB3AEA" w:rsidP="00DB208A">
      <w:pPr>
        <w:pStyle w:val="SingleSpace"/>
      </w:pPr>
    </w:p>
    <w:p w:rsidR="00EB3AEA" w:rsidRDefault="00EB3AEA" w:rsidP="00DB208A">
      <w:pPr>
        <w:pStyle w:val="SingleSpace"/>
      </w:pPr>
    </w:p>
    <w:p w:rsidR="00EB3AEA" w:rsidRDefault="00EB3AEA" w:rsidP="00DB208A">
      <w:pPr>
        <w:pStyle w:val="SingleSpace"/>
      </w:pPr>
    </w:p>
    <w:p w:rsidR="00395B24" w:rsidRDefault="002C7385" w:rsidP="00DB208A">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0" w:name="ReasonsPage"/>
            <w:bookmarkEnd w:id="20"/>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0F3F93">
              <w:rPr>
                <w:caps/>
                <w:szCs w:val="24"/>
              </w:rPr>
              <w:t>QUEENSLAND</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0F3F93">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0F3F93" w:rsidRPr="000F3F93">
              <w:rPr>
                <w:caps/>
                <w:szCs w:val="24"/>
              </w:rPr>
              <w:t>QUD</w:t>
            </w:r>
            <w:proofErr w:type="spellEnd"/>
            <w:r w:rsidR="000F3F93">
              <w:rPr>
                <w:szCs w:val="24"/>
              </w:rPr>
              <w:t xml:space="preserve"> 530 of 2014</w:t>
            </w:r>
            <w:r>
              <w:rPr>
                <w:caps/>
                <w:szCs w:val="24"/>
              </w:rPr>
              <w:fldChar w:fldCharType="end"/>
            </w:r>
          </w:p>
        </w:tc>
      </w:tr>
    </w:tbl>
    <w:p w:rsidR="00395B24" w:rsidRDefault="00D15018">
      <w:pPr>
        <w:pStyle w:val="AppealTable"/>
      </w:pPr>
      <w:r>
        <w:fldChar w:fldCharType="begin" w:fldLock="1"/>
      </w:r>
      <w:r>
        <w:instrText xml:space="preserve"> Ref AppealTable  \* MERGEFORMAT </w:instrText>
      </w:r>
      <w:r>
        <w:fldChar w:fldCharType="separate"/>
      </w:r>
      <w:r w:rsidR="000F3F93" w:rsidRPr="000F3F93">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0F3F93"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0F3F93" w:rsidRPr="000F3F93">
              <w:rPr>
                <w:caps/>
                <w:szCs w:val="24"/>
              </w:rPr>
              <w:t>AUSTRALIAN</w:t>
            </w:r>
            <w:r w:rsidR="000F3F93">
              <w:rPr>
                <w:szCs w:val="24"/>
              </w:rPr>
              <w:t xml:space="preserve"> COMPETITION AND CONSUMER COMMISSION</w:t>
            </w:r>
          </w:p>
          <w:p w:rsidR="000F3F93" w:rsidRDefault="000F3F93">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0F3F93"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0F3F93" w:rsidRPr="000F3F93">
              <w:rPr>
                <w:caps/>
                <w:szCs w:val="24"/>
              </w:rPr>
              <w:t>ROBERT</w:t>
            </w:r>
            <w:r w:rsidR="000F3F93">
              <w:rPr>
                <w:szCs w:val="24"/>
              </w:rPr>
              <w:t xml:space="preserve"> PAUL DAVIES</w:t>
            </w:r>
          </w:p>
          <w:p w:rsidR="000F3F93" w:rsidRDefault="000F3F93">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0F3F93">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0F3F93">
              <w:rPr>
                <w:caps/>
                <w:szCs w:val="24"/>
              </w:rPr>
              <w:t>REEVES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311051">
              <w:rPr>
                <w:caps/>
                <w:szCs w:val="24"/>
              </w:rPr>
              <w:t>20</w:t>
            </w:r>
            <w:r w:rsidR="000F3F93">
              <w:rPr>
                <w:caps/>
                <w:szCs w:val="24"/>
              </w:rPr>
              <w:t xml:space="preserve"> NOVEMBER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0F3F93">
              <w:rPr>
                <w:caps/>
                <w:szCs w:val="24"/>
              </w:rPr>
              <w:t>BRISBANE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24520" w:rsidRDefault="000F3F93" w:rsidP="000F3F93">
      <w:pPr>
        <w:pStyle w:val="Heading1"/>
      </w:pPr>
      <w:r>
        <w:t>Introduction</w:t>
      </w:r>
    </w:p>
    <w:p w:rsidR="000F3F93" w:rsidRDefault="000F3F93" w:rsidP="000F3F93">
      <w:pPr>
        <w:pStyle w:val="ParaNumbering"/>
      </w:pPr>
      <w:r w:rsidRPr="000F3F93">
        <w:t xml:space="preserve">On 11 September 2015, I found Mr Davies guilty of </w:t>
      </w:r>
      <w:r w:rsidR="002E7EDE">
        <w:t>an offence under</w:t>
      </w:r>
      <w:r w:rsidRPr="000F3F93">
        <w:t xml:space="preserve"> </w:t>
      </w:r>
      <w:r w:rsidR="002E7EDE" w:rsidRPr="000F3F93">
        <w:t xml:space="preserve">s 155(5) of the </w:t>
      </w:r>
      <w:r w:rsidR="002E7EDE" w:rsidRPr="003F0414">
        <w:rPr>
          <w:i/>
        </w:rPr>
        <w:t>Trade Practices Act 1974</w:t>
      </w:r>
      <w:r w:rsidR="002E7EDE">
        <w:t xml:space="preserve"> (Cth) (the </w:t>
      </w:r>
      <w:r w:rsidR="002E7EDE" w:rsidRPr="000F3F93">
        <w:t>TPA</w:t>
      </w:r>
      <w:r w:rsidR="002E7EDE">
        <w:t>)</w:t>
      </w:r>
      <w:r w:rsidR="002E7EDE" w:rsidRPr="000F3F93">
        <w:t xml:space="preserve"> </w:t>
      </w:r>
      <w:r w:rsidR="00E5670C">
        <w:t>of</w:t>
      </w:r>
      <w:r w:rsidR="002E7EDE">
        <w:t xml:space="preserve"> </w:t>
      </w:r>
      <w:r w:rsidRPr="000F3F93">
        <w:t xml:space="preserve">aiding, abetting, counselling or procuring the </w:t>
      </w:r>
      <w:r w:rsidR="002E7EDE">
        <w:t xml:space="preserve">failure of a company called Natural Food Vending Pty Ltd (NFV) to </w:t>
      </w:r>
      <w:r w:rsidRPr="000F3F93">
        <w:t>comply with a notice issued under s 155(1) of the T</w:t>
      </w:r>
      <w:r w:rsidR="002E7EDE">
        <w:t>PA</w:t>
      </w:r>
      <w:r w:rsidRPr="000F3F93">
        <w:t xml:space="preserve">: </w:t>
      </w:r>
      <w:r w:rsidR="002E7EDE">
        <w:t xml:space="preserve"> </w:t>
      </w:r>
      <w:r w:rsidRPr="000F3F93">
        <w:t xml:space="preserve">see </w:t>
      </w:r>
      <w:r w:rsidRPr="000F3F93">
        <w:rPr>
          <w:i/>
        </w:rPr>
        <w:t>Australian Competition and Consumer Commission v Davies</w:t>
      </w:r>
      <w:r w:rsidRPr="000F3F93">
        <w:t xml:space="preserve"> [2015] FCA 1017 (</w:t>
      </w:r>
      <w:r w:rsidRPr="000F3F93">
        <w:rPr>
          <w:i/>
        </w:rPr>
        <w:t>Davies</w:t>
      </w:r>
      <w:r w:rsidRPr="000F3F93">
        <w:t>).</w:t>
      </w:r>
      <w:r w:rsidR="002E7EDE">
        <w:t xml:space="preserve">  At the time he committed this offence, Mr Davies was the sole director and shareholder of NFV.  These reasons are directed to </w:t>
      </w:r>
      <w:r w:rsidR="00E5670C">
        <w:t>passing</w:t>
      </w:r>
      <w:r w:rsidR="002E7EDE">
        <w:t xml:space="preserve"> sentence </w:t>
      </w:r>
      <w:r w:rsidR="00E5670C">
        <w:t xml:space="preserve">on Mr Davies </w:t>
      </w:r>
      <w:r w:rsidR="002E7EDE">
        <w:t>for that offence.</w:t>
      </w:r>
    </w:p>
    <w:p w:rsidR="000F3F93" w:rsidRDefault="000F3F93" w:rsidP="000F3F93">
      <w:pPr>
        <w:pStyle w:val="Heading1"/>
      </w:pPr>
      <w:r>
        <w:t>The relevant Legislative Provisions</w:t>
      </w:r>
    </w:p>
    <w:p w:rsidR="000F3F93" w:rsidRDefault="000F3F93" w:rsidP="000F3F93">
      <w:pPr>
        <w:pStyle w:val="ParaNumbering"/>
      </w:pPr>
      <w:r>
        <w:t xml:space="preserve">The maximum penalty for </w:t>
      </w:r>
      <w:r w:rsidR="00E84F3E">
        <w:t>an</w:t>
      </w:r>
      <w:r w:rsidR="002E7EDE">
        <w:t xml:space="preserve"> offence</w:t>
      </w:r>
      <w:r>
        <w:t xml:space="preserve"> </w:t>
      </w:r>
      <w:r w:rsidR="00E5670C">
        <w:t xml:space="preserve">under s 155(5) of the TPA </w:t>
      </w:r>
      <w:r>
        <w:t>is a fine not exceeding 20 penalty units</w:t>
      </w:r>
      <w:r w:rsidR="00E5670C">
        <w:t>,</w:t>
      </w:r>
      <w:r>
        <w:t xml:space="preserve"> or imprisonment for 12 months:  see s 155(6A) of the TPA.  </w:t>
      </w:r>
      <w:r w:rsidR="0090568F">
        <w:t xml:space="preserve">At the time of this offence, the </w:t>
      </w:r>
      <w:r w:rsidR="00E5670C">
        <w:t xml:space="preserve">monetary value of a </w:t>
      </w:r>
      <w:r>
        <w:t>penalty un</w:t>
      </w:r>
      <w:r w:rsidR="0090568F">
        <w:t>it wa</w:t>
      </w:r>
      <w:r>
        <w:t xml:space="preserve">s </w:t>
      </w:r>
      <w:r w:rsidR="00E5670C">
        <w:t xml:space="preserve">fixed at $110 </w:t>
      </w:r>
      <w:r w:rsidR="00E84F3E">
        <w:t>by</w:t>
      </w:r>
      <w:r>
        <w:t xml:space="preserve"> s 4AA of the </w:t>
      </w:r>
      <w:r w:rsidRPr="000F3F93">
        <w:rPr>
          <w:i/>
        </w:rPr>
        <w:t>Crimes Act 1914</w:t>
      </w:r>
      <w:r>
        <w:t xml:space="preserve"> (Cth</w:t>
      </w:r>
      <w:r w:rsidR="00125F92">
        <w:t>) (the Crimes Act).</w:t>
      </w:r>
      <w:r>
        <w:t xml:space="preserve"> </w:t>
      </w:r>
      <w:r w:rsidR="00125F92">
        <w:t xml:space="preserve"> T</w:t>
      </w:r>
      <w:r>
        <w:t xml:space="preserve">he maximum fine </w:t>
      </w:r>
      <w:r w:rsidR="00E5670C">
        <w:t xml:space="preserve">for the offence </w:t>
      </w:r>
      <w:r w:rsidR="00125F92">
        <w:t xml:space="preserve">is therefore </w:t>
      </w:r>
      <w:r>
        <w:t>$2,200.</w:t>
      </w:r>
    </w:p>
    <w:p w:rsidR="00E5670C" w:rsidRDefault="00E5670C" w:rsidP="00E5670C">
      <w:pPr>
        <w:pStyle w:val="ParaNumbering"/>
      </w:pPr>
      <w:r>
        <w:t xml:space="preserve">In addition to these penalties, s 20AB(1) of the Crimes Act provides a range of additional sentencing alternatives.  They include:  community service orders, work orders, periodic detention sentences, attendance centre orders and weekend detention sentences or attendance orders provided for under the law of a participating State or Territory.  The State of </w:t>
      </w:r>
      <w:r w:rsidRPr="00DF733E">
        <w:t>Queensland</w:t>
      </w:r>
      <w:r>
        <w:t xml:space="preserve"> falls within the terms of that expression:  see </w:t>
      </w:r>
      <w:r w:rsidRPr="00E5670C">
        <w:rPr>
          <w:i/>
        </w:rPr>
        <w:t xml:space="preserve">Director of Public Prosecutions </w:t>
      </w:r>
      <w:r w:rsidR="00452C4A">
        <w:rPr>
          <w:i/>
        </w:rPr>
        <w:lastRenderedPageBreak/>
        <w:t xml:space="preserve">(Cth) </w:t>
      </w:r>
      <w:r w:rsidRPr="00E5670C">
        <w:rPr>
          <w:i/>
        </w:rPr>
        <w:t>v Costanzo</w:t>
      </w:r>
      <w:r>
        <w:t xml:space="preserve"> </w:t>
      </w:r>
      <w:r w:rsidR="00452C4A">
        <w:t xml:space="preserve">(2005) 191 FLR 45; </w:t>
      </w:r>
      <w:r>
        <w:t>[2005] QSC 79</w:t>
      </w:r>
      <w:r w:rsidR="00E84F3E">
        <w:t xml:space="preserve"> </w:t>
      </w:r>
      <w:r>
        <w:t>at [14].  However, s 20AB(2) contains a requirement that, before passing a sentence or making an order under s 20AB(1), the court must explain to the person sentenced:</w:t>
      </w:r>
    </w:p>
    <w:p w:rsidR="004277F7" w:rsidRDefault="00E5670C" w:rsidP="00E5670C">
      <w:pPr>
        <w:pStyle w:val="ListNo1"/>
        <w:numPr>
          <w:ilvl w:val="0"/>
          <w:numId w:val="24"/>
        </w:numPr>
      </w:pPr>
      <w:r>
        <w:t>the purpose and effect of the proposed sentence or order;</w:t>
      </w:r>
    </w:p>
    <w:p w:rsidR="004277F7" w:rsidRDefault="00E5670C" w:rsidP="00E5670C">
      <w:pPr>
        <w:pStyle w:val="ListNo1"/>
        <w:numPr>
          <w:ilvl w:val="0"/>
          <w:numId w:val="24"/>
        </w:numPr>
      </w:pPr>
      <w:r>
        <w:t>the consequences that may follow if the person fails, without reasonable cause or excuse, to comply with the sentence; and</w:t>
      </w:r>
    </w:p>
    <w:p w:rsidR="00E5670C" w:rsidRDefault="00E5670C" w:rsidP="00E5670C">
      <w:pPr>
        <w:pStyle w:val="ListNo1"/>
        <w:numPr>
          <w:ilvl w:val="0"/>
          <w:numId w:val="24"/>
        </w:numPr>
      </w:pPr>
      <w:r>
        <w:t>if the proposed sentence may be revoked or</w:t>
      </w:r>
      <w:r w:rsidR="00BC2B8D">
        <w:t xml:space="preserve"> varied under </w:t>
      </w:r>
      <w:r w:rsidR="00452C4A">
        <w:t>S</w:t>
      </w:r>
      <w:r w:rsidR="00BC2B8D">
        <w:t>tate provisions,</w:t>
      </w:r>
      <w:r>
        <w:t xml:space="preserve"> that the proposed sentence may be so revoked or varied.</w:t>
      </w:r>
    </w:p>
    <w:p w:rsidR="00E80327" w:rsidRDefault="00E5670C" w:rsidP="000F3F93">
      <w:pPr>
        <w:pStyle w:val="ParaNumbering"/>
      </w:pPr>
      <w:r>
        <w:t>Part 1B of the Crimes Act contains various provisions relating to the sentencing, imprisonment and release of</w:t>
      </w:r>
      <w:r w:rsidR="00B06A7C">
        <w:t xml:space="preserve"> persons found guilty of</w:t>
      </w:r>
      <w:r>
        <w:t xml:space="preserve"> federal offences.  </w:t>
      </w:r>
      <w:r w:rsidR="00125F92">
        <w:t xml:space="preserve">The offence under s 155(5) </w:t>
      </w:r>
      <w:r w:rsidR="00452C4A">
        <w:t xml:space="preserve">of the TPA </w:t>
      </w:r>
      <w:r w:rsidR="00125F92">
        <w:t>is such an offence:  see s 16(1) of the Crimes Act.</w:t>
      </w:r>
      <w:r>
        <w:t xml:space="preserve">  Division 2 of Part 1B describes certain general sentencing principles.  It includes</w:t>
      </w:r>
      <w:r w:rsidR="00125F92">
        <w:t xml:space="preserve"> </w:t>
      </w:r>
      <w:r>
        <w:t xml:space="preserve">s 16A, which sets out a number of matters to which a court must have regard when passing a sentence for a federal offence.  </w:t>
      </w:r>
      <w:r w:rsidR="00E80327">
        <w:t xml:space="preserve">For present purposes, those matters </w:t>
      </w:r>
      <w:r>
        <w:t xml:space="preserve">relevantly </w:t>
      </w:r>
      <w:r w:rsidR="00E80327">
        <w:t>include:</w:t>
      </w:r>
    </w:p>
    <w:p w:rsidR="004277F7" w:rsidRDefault="00E80327" w:rsidP="00E80327">
      <w:pPr>
        <w:pStyle w:val="ListNo1"/>
        <w:numPr>
          <w:ilvl w:val="0"/>
          <w:numId w:val="26"/>
        </w:numPr>
      </w:pPr>
      <w:r>
        <w:t xml:space="preserve">the nature and circumstances of the offence (s </w:t>
      </w:r>
      <w:proofErr w:type="spellStart"/>
      <w:r>
        <w:t>16A</w:t>
      </w:r>
      <w:proofErr w:type="spellEnd"/>
      <w:r>
        <w:t>(2)</w:t>
      </w:r>
      <w:r w:rsidR="00E5670C">
        <w:t>(a)</w:t>
      </w:r>
      <w:r>
        <w:t>);</w:t>
      </w:r>
    </w:p>
    <w:p w:rsidR="004277F7" w:rsidRDefault="00E80327" w:rsidP="00E80327">
      <w:pPr>
        <w:pStyle w:val="ListNo1"/>
        <w:numPr>
          <w:ilvl w:val="0"/>
          <w:numId w:val="26"/>
        </w:numPr>
      </w:pPr>
      <w:r>
        <w:t xml:space="preserve">the degree to which the person has shown contrition for the offence (s </w:t>
      </w:r>
      <w:proofErr w:type="spellStart"/>
      <w:r>
        <w:t>16A</w:t>
      </w:r>
      <w:proofErr w:type="spellEnd"/>
      <w:r>
        <w:t>(2)(f));</w:t>
      </w:r>
    </w:p>
    <w:p w:rsidR="004277F7" w:rsidRDefault="00452C4A" w:rsidP="00E80327">
      <w:pPr>
        <w:pStyle w:val="ListNo1"/>
        <w:numPr>
          <w:ilvl w:val="0"/>
          <w:numId w:val="26"/>
        </w:numPr>
      </w:pPr>
      <w:r>
        <w:t>whether</w:t>
      </w:r>
      <w:r w:rsidR="00E80327">
        <w:t xml:space="preserve"> the person has pleaded guilty to the charge in respect of the offence (s </w:t>
      </w:r>
      <w:proofErr w:type="spellStart"/>
      <w:r w:rsidR="00E80327">
        <w:t>16A</w:t>
      </w:r>
      <w:proofErr w:type="spellEnd"/>
      <w:r w:rsidR="00E80327">
        <w:t>(2)(g));</w:t>
      </w:r>
    </w:p>
    <w:p w:rsidR="004277F7" w:rsidRDefault="00E80327" w:rsidP="00E80327">
      <w:pPr>
        <w:pStyle w:val="ListNo1"/>
        <w:numPr>
          <w:ilvl w:val="0"/>
          <w:numId w:val="26"/>
        </w:numPr>
      </w:pPr>
      <w:r>
        <w:t>the deterrent</w:t>
      </w:r>
      <w:r w:rsidR="00E5606C">
        <w:t xml:space="preserve"> effect that any sentence may have on the </w:t>
      </w:r>
      <w:r w:rsidR="00E5670C">
        <w:t>person</w:t>
      </w:r>
      <w:r w:rsidR="00E5606C">
        <w:t xml:space="preserve"> (s </w:t>
      </w:r>
      <w:proofErr w:type="spellStart"/>
      <w:r w:rsidR="00E5606C">
        <w:t>16A</w:t>
      </w:r>
      <w:proofErr w:type="spellEnd"/>
      <w:r w:rsidR="00E5606C">
        <w:t>(2)(j));</w:t>
      </w:r>
    </w:p>
    <w:p w:rsidR="004277F7" w:rsidRDefault="00E5606C" w:rsidP="00E80327">
      <w:pPr>
        <w:pStyle w:val="ListNo1"/>
        <w:numPr>
          <w:ilvl w:val="0"/>
          <w:numId w:val="26"/>
        </w:numPr>
      </w:pPr>
      <w:r>
        <w:t xml:space="preserve">the character, antecedents, age, means and physical </w:t>
      </w:r>
      <w:r w:rsidR="00E5670C">
        <w:t xml:space="preserve">or </w:t>
      </w:r>
      <w:r>
        <w:t xml:space="preserve">mental condition of the </w:t>
      </w:r>
      <w:r w:rsidR="00E5670C">
        <w:t>person</w:t>
      </w:r>
      <w:r w:rsidR="00F268DA">
        <w:t xml:space="preserve"> (s </w:t>
      </w:r>
      <w:proofErr w:type="spellStart"/>
      <w:r w:rsidR="00F268DA">
        <w:t>16A</w:t>
      </w:r>
      <w:proofErr w:type="spellEnd"/>
      <w:r w:rsidR="00F268DA">
        <w:t>(2)(m)); and</w:t>
      </w:r>
    </w:p>
    <w:p w:rsidR="00F268DA" w:rsidRDefault="00F268DA" w:rsidP="00E80327">
      <w:pPr>
        <w:pStyle w:val="ListNo1"/>
        <w:numPr>
          <w:ilvl w:val="0"/>
          <w:numId w:val="26"/>
        </w:numPr>
      </w:pPr>
      <w:r>
        <w:t xml:space="preserve">the probable effect that any sentence would have on any of the </w:t>
      </w:r>
      <w:r w:rsidR="00E5670C">
        <w:t>person</w:t>
      </w:r>
      <w:r>
        <w:t>’s family or dependants (s 16A(2)(p)).</w:t>
      </w:r>
    </w:p>
    <w:p w:rsidR="00BC2B8D" w:rsidRDefault="00F268DA" w:rsidP="00BC2B8D">
      <w:pPr>
        <w:pStyle w:val="ParaNumbering"/>
      </w:pPr>
      <w:r>
        <w:t>In addition</w:t>
      </w:r>
      <w:r w:rsidR="00E5670C">
        <w:t xml:space="preserve"> to these matters</w:t>
      </w:r>
      <w:r>
        <w:t xml:space="preserve">, s 16C(1) of the Crimes Act requires that, </w:t>
      </w:r>
      <w:r w:rsidR="00E5670C">
        <w:t>before any fine is imposed on a</w:t>
      </w:r>
      <w:r>
        <w:t xml:space="preserve"> </w:t>
      </w:r>
      <w:r w:rsidR="00E5670C">
        <w:t>person</w:t>
      </w:r>
      <w:r>
        <w:t xml:space="preserve">, the court must take into account his or her financial circumstances in addition to any matters that are required or permitted to be taken into account.  </w:t>
      </w:r>
      <w:r w:rsidR="00BC2B8D">
        <w:t>Furthermore, s 17A(1) of that Act provides that a court must not impose a sentence of imprisonment unless, after having considered all other available sentences, it is satisfied that no other sentence is appropriate in all the circumstances of the case.</w:t>
      </w:r>
    </w:p>
    <w:p w:rsidR="003B25C5" w:rsidRDefault="00F268DA" w:rsidP="00E5670C">
      <w:pPr>
        <w:pStyle w:val="ParaNumbering"/>
      </w:pPr>
      <w:r w:rsidRPr="000F3F93">
        <w:lastRenderedPageBreak/>
        <w:t>Howev</w:t>
      </w:r>
      <w:r w:rsidR="00BC2B8D">
        <w:t>er, th</w:t>
      </w:r>
      <w:r w:rsidRPr="000F3F93">
        <w:t xml:space="preserve">e matters </w:t>
      </w:r>
      <w:r w:rsidR="00BC2B8D">
        <w:t xml:space="preserve">set out above </w:t>
      </w:r>
      <w:r w:rsidRPr="000F3F93">
        <w:t>are not exhaustive</w:t>
      </w:r>
      <w:r w:rsidR="00BC2B8D">
        <w:t xml:space="preserve"> of the matters to be taken into account in this sentencing task</w:t>
      </w:r>
      <w:r w:rsidRPr="000F3F93">
        <w:t>.</w:t>
      </w:r>
      <w:r>
        <w:t xml:space="preserve"> </w:t>
      </w:r>
      <w:r w:rsidRPr="000F3F93">
        <w:t xml:space="preserve"> </w:t>
      </w:r>
      <w:r w:rsidR="003B25C5">
        <w:t>In</w:t>
      </w:r>
      <w:r w:rsidR="003B25C5" w:rsidRPr="000F3F93">
        <w:t xml:space="preserve"> </w:t>
      </w:r>
      <w:r w:rsidRPr="000F3F93">
        <w:t xml:space="preserve">particular, general deterrence must also be </w:t>
      </w:r>
      <w:r w:rsidR="00E84F3E">
        <w:t>considered</w:t>
      </w:r>
      <w:r w:rsidRPr="000F3F93">
        <w:t xml:space="preserve">, despite </w:t>
      </w:r>
      <w:r w:rsidR="00BC2B8D">
        <w:t>there being no specific mention of it in s 16A</w:t>
      </w:r>
      <w:r w:rsidRPr="000F3F93">
        <w:t xml:space="preserve">: </w:t>
      </w:r>
      <w:r>
        <w:t xml:space="preserve"> </w:t>
      </w:r>
      <w:r w:rsidRPr="000F3F93">
        <w:t xml:space="preserve">see </w:t>
      </w:r>
      <w:r w:rsidR="003B25C5" w:rsidRPr="003B25C5">
        <w:rPr>
          <w:i/>
        </w:rPr>
        <w:t>Australian Competition and Consumer Commission</w:t>
      </w:r>
      <w:r w:rsidRPr="000F3F93">
        <w:rPr>
          <w:i/>
        </w:rPr>
        <w:t xml:space="preserve"> v Neville</w:t>
      </w:r>
      <w:r w:rsidRPr="000F3F93">
        <w:t xml:space="preserve"> </w:t>
      </w:r>
      <w:r w:rsidR="00452C4A">
        <w:t>[2007]</w:t>
      </w:r>
      <w:r w:rsidR="003B25C5">
        <w:t xml:space="preserve"> ATPR 42-195; </w:t>
      </w:r>
      <w:r w:rsidRPr="000F3F93">
        <w:t>[2007] FCA 1583 (</w:t>
      </w:r>
      <w:r w:rsidRPr="000F3F93">
        <w:rPr>
          <w:i/>
        </w:rPr>
        <w:t>Neville</w:t>
      </w:r>
      <w:r w:rsidRPr="000F3F93">
        <w:t>) at [18]</w:t>
      </w:r>
      <w:r>
        <w:t xml:space="preserve"> per Lindgren J.</w:t>
      </w:r>
      <w:r w:rsidRPr="000F3F93">
        <w:t xml:space="preserve"> </w:t>
      </w:r>
      <w:r>
        <w:t xml:space="preserve"> </w:t>
      </w:r>
      <w:r w:rsidR="00BC2B8D">
        <w:t xml:space="preserve">Furthermore, as the </w:t>
      </w:r>
      <w:r w:rsidR="00BC2B8D" w:rsidRPr="00DF733E">
        <w:t>High Court</w:t>
      </w:r>
      <w:r w:rsidR="00BC2B8D">
        <w:t xml:space="preserve"> observed i</w:t>
      </w:r>
      <w:r w:rsidR="00BC2B8D" w:rsidRPr="00F268DA">
        <w:t xml:space="preserve">n </w:t>
      </w:r>
      <w:r w:rsidR="00BC2B8D">
        <w:rPr>
          <w:i/>
        </w:rPr>
        <w:t>Bui</w:t>
      </w:r>
      <w:r w:rsidR="00BC2B8D" w:rsidRPr="000F3F93">
        <w:rPr>
          <w:i/>
        </w:rPr>
        <w:t xml:space="preserve"> v </w:t>
      </w:r>
      <w:r w:rsidR="00BC2B8D" w:rsidRPr="00F268DA">
        <w:rPr>
          <w:i/>
        </w:rPr>
        <w:t>Director of Public Prosecutions</w:t>
      </w:r>
      <w:r w:rsidR="00BC2B8D" w:rsidRPr="000F3F93">
        <w:rPr>
          <w:i/>
        </w:rPr>
        <w:t xml:space="preserve"> (Cth)</w:t>
      </w:r>
      <w:r w:rsidR="00BC2B8D">
        <w:t xml:space="preserve"> </w:t>
      </w:r>
      <w:r w:rsidR="00BC2B8D" w:rsidRPr="000F3F93">
        <w:t>(</w:t>
      </w:r>
      <w:r w:rsidR="00BC2B8D">
        <w:t>20</w:t>
      </w:r>
      <w:r w:rsidR="00BC2B8D" w:rsidRPr="000F3F93">
        <w:t>1</w:t>
      </w:r>
      <w:r w:rsidR="00BC2B8D">
        <w:t>2</w:t>
      </w:r>
      <w:r w:rsidR="00BC2B8D" w:rsidRPr="000F3F93">
        <w:t>) 2</w:t>
      </w:r>
      <w:r w:rsidR="00BC2B8D">
        <w:t>44 CLR 638; [2012] HCA 1 (at [</w:t>
      </w:r>
      <w:r w:rsidR="00BC2B8D" w:rsidRPr="000F3F93">
        <w:t>1</w:t>
      </w:r>
      <w:r w:rsidR="00BC2B8D">
        <w:t xml:space="preserve">8] per French CJ, Gummow, Hayne, Kiefel and Bell JJ, referring to </w:t>
      </w:r>
      <w:r w:rsidR="00BC2B8D" w:rsidRPr="00F268DA">
        <w:rPr>
          <w:i/>
        </w:rPr>
        <w:t>Director of Public Prosecutions (Cth) v El Karhani</w:t>
      </w:r>
      <w:r w:rsidR="00452C4A">
        <w:t xml:space="preserve"> (1990) 21 NSWLR 370 at 378</w:t>
      </w:r>
      <w:r w:rsidR="00BC2B8D">
        <w:t>), s 16</w:t>
      </w:r>
      <w:r w:rsidR="00E84F3E">
        <w:t>A</w:t>
      </w:r>
      <w:r w:rsidR="00BC2B8D">
        <w:t xml:space="preserve"> </w:t>
      </w:r>
      <w:r w:rsidR="003B25C5">
        <w:t xml:space="preserve">also accommodates a </w:t>
      </w:r>
      <w:r w:rsidR="003B25C5" w:rsidRPr="000F3F93">
        <w:t>n</w:t>
      </w:r>
      <w:r w:rsidR="003B25C5">
        <w:t>umber of common law sentencing principles</w:t>
      </w:r>
      <w:r w:rsidR="00BC2B8D">
        <w:t>.  The</w:t>
      </w:r>
      <w:r>
        <w:t xml:space="preserve"> </w:t>
      </w:r>
      <w:r w:rsidR="00BC2B8D">
        <w:t>Court said</w:t>
      </w:r>
      <w:r w:rsidR="003B25C5">
        <w:t>:</w:t>
      </w:r>
    </w:p>
    <w:p w:rsidR="00F268DA" w:rsidRDefault="003B25C5" w:rsidP="003B25C5">
      <w:pPr>
        <w:pStyle w:val="Quote1"/>
        <w:spacing w:after="120"/>
      </w:pPr>
      <w:r w:rsidRPr="003B25C5">
        <w:t>The section has been held to accommodate principles of general deterrence, proportionality, and totality. It is able to accommodate some judicially-developed sentencing principles where such principles give relevant content to the statutory expression in s 16A(1)</w:t>
      </w:r>
      <w:r w:rsidR="00452C4A">
        <w:t xml:space="preserve"> </w:t>
      </w:r>
      <w:r w:rsidRPr="003B25C5">
        <w:t>“of a severity appropriate in all the circumstances of the offence”, as well as expressions such as “the need to ensure that the person is adequately punished for the offence”, which appears in s 16A(2)(k).</w:t>
      </w:r>
    </w:p>
    <w:p w:rsidR="003B25C5" w:rsidRDefault="003B25C5" w:rsidP="003B25C5">
      <w:pPr>
        <w:pStyle w:val="Quote1"/>
        <w:spacing w:after="120"/>
      </w:pPr>
      <w:r>
        <w:t>(Footnotes omitted)</w:t>
      </w:r>
    </w:p>
    <w:p w:rsidR="000F3F93" w:rsidRDefault="000F3F93" w:rsidP="000F3F93">
      <w:pPr>
        <w:pStyle w:val="Heading1"/>
      </w:pPr>
      <w:r>
        <w:t xml:space="preserve">The relevant </w:t>
      </w:r>
      <w:r w:rsidR="00401AAD">
        <w:t xml:space="preserve">sentencing </w:t>
      </w:r>
      <w:r>
        <w:t>considerations</w:t>
      </w:r>
    </w:p>
    <w:p w:rsidR="00BC2B8D" w:rsidRDefault="00BC2B8D" w:rsidP="006C3795">
      <w:pPr>
        <w:pStyle w:val="ParaNumbering"/>
      </w:pPr>
      <w:r>
        <w:t xml:space="preserve">Taking into account these statutory provisions and observations, I have set out below </w:t>
      </w:r>
      <w:r w:rsidRPr="000F3F93">
        <w:t xml:space="preserve">the matters that </w:t>
      </w:r>
      <w:r>
        <w:t xml:space="preserve">I consider </w:t>
      </w:r>
      <w:r w:rsidRPr="000F3F93">
        <w:t xml:space="preserve">are particularly </w:t>
      </w:r>
      <w:r>
        <w:t xml:space="preserve">important in fixing </w:t>
      </w:r>
      <w:r w:rsidRPr="000F3F93">
        <w:t>the sentence t</w:t>
      </w:r>
      <w:r>
        <w:t xml:space="preserve">o </w:t>
      </w:r>
      <w:r w:rsidRPr="000F3F93">
        <w:t xml:space="preserve">be imposed </w:t>
      </w:r>
      <w:r>
        <w:t>on Mr Davies</w:t>
      </w:r>
      <w:r w:rsidRPr="000F3F93">
        <w:t>.</w:t>
      </w:r>
    </w:p>
    <w:p w:rsidR="000F3F93" w:rsidRDefault="000F3F93" w:rsidP="000F3F93">
      <w:pPr>
        <w:pStyle w:val="Heading2"/>
      </w:pPr>
      <w:r>
        <w:t>General deterrence</w:t>
      </w:r>
    </w:p>
    <w:p w:rsidR="00147723" w:rsidRDefault="000F3F93" w:rsidP="000F3F93">
      <w:pPr>
        <w:pStyle w:val="ParaNumbering"/>
      </w:pPr>
      <w:r>
        <w:t xml:space="preserve">In offences of this </w:t>
      </w:r>
      <w:r w:rsidR="003B25C5">
        <w:t>kind</w:t>
      </w:r>
      <w:r>
        <w:t xml:space="preserve">, general deterrence is a </w:t>
      </w:r>
      <w:r w:rsidR="003B25C5">
        <w:t>particularly important factor.</w:t>
      </w:r>
      <w:r>
        <w:t xml:space="preserve">  </w:t>
      </w:r>
      <w:r w:rsidR="003B25C5">
        <w:t xml:space="preserve">Thus, in </w:t>
      </w:r>
      <w:r w:rsidR="003B25C5" w:rsidRPr="000F3F93">
        <w:rPr>
          <w:i/>
        </w:rPr>
        <w:t>Neville</w:t>
      </w:r>
      <w:r w:rsidR="003B25C5">
        <w:t xml:space="preserve">, Lindgren J observed (at [43]) that s 155 of the TPA “serves the public interest that the [Commission] be enabled to carry out its investigations efficiently and effectively”.  </w:t>
      </w:r>
      <w:r w:rsidR="003B25C5" w:rsidRPr="00A24567">
        <w:t>His Honour</w:t>
      </w:r>
      <w:r w:rsidR="003B25C5">
        <w:t xml:space="preserve"> added that:</w:t>
      </w:r>
    </w:p>
    <w:p w:rsidR="003B25C5" w:rsidRDefault="00147723" w:rsidP="00147723">
      <w:pPr>
        <w:pStyle w:val="Quote1"/>
        <w:spacing w:after="120"/>
      </w:pPr>
      <w:r>
        <w:t xml:space="preserve">… </w:t>
      </w:r>
      <w:r w:rsidRPr="00147723">
        <w:t xml:space="preserve">not only does </w:t>
      </w:r>
      <w:r w:rsidR="00F50F80">
        <w:t>[a contravention of the section]</w:t>
      </w:r>
      <w:r w:rsidRPr="00147723">
        <w:t xml:space="preserve"> have the immediate effect of obstructing and delaying the particular investigation: it also has the potential to direct the </w:t>
      </w:r>
      <w:r w:rsidR="00452C4A">
        <w:t>[</w:t>
      </w:r>
      <w:r w:rsidR="00452C4A" w:rsidRPr="00DF733E">
        <w:rPr>
          <w:sz w:val="24"/>
        </w:rPr>
        <w:t>Commission</w:t>
      </w:r>
      <w:r w:rsidR="00452C4A">
        <w:t>]</w:t>
      </w:r>
      <w:r w:rsidRPr="00147723">
        <w:t xml:space="preserve"> away from other sources of information and to draw human and financial resources away from its other work. The general public should know that conduct of that kind will be treated seriously by the Court.</w:t>
      </w:r>
    </w:p>
    <w:p w:rsidR="000F3F93" w:rsidRDefault="00147723" w:rsidP="000F3F93">
      <w:pPr>
        <w:pStyle w:val="ParaNumbering"/>
        <w:spacing w:after="120"/>
      </w:pPr>
      <w:r>
        <w:t>To similar effect, in</w:t>
      </w:r>
      <w:r w:rsidR="000F3F93">
        <w:t xml:space="preserve"> </w:t>
      </w:r>
      <w:r w:rsidR="00452C4A" w:rsidRPr="00452C4A">
        <w:rPr>
          <w:i/>
        </w:rPr>
        <w:t>Australian Competition and Consumer Commission</w:t>
      </w:r>
      <w:r w:rsidR="000F3F93" w:rsidRPr="00F50F80">
        <w:rPr>
          <w:i/>
        </w:rPr>
        <w:t xml:space="preserve"> v Rana</w:t>
      </w:r>
      <w:r w:rsidR="000F3F93">
        <w:t xml:space="preserve"> </w:t>
      </w:r>
      <w:r w:rsidR="00452C4A">
        <w:t xml:space="preserve">[2008] ATPR 42-223; </w:t>
      </w:r>
      <w:r w:rsidR="000F3F93">
        <w:t>[2008] FCA 374 (</w:t>
      </w:r>
      <w:r w:rsidR="000F3F93" w:rsidRPr="00F50F80">
        <w:rPr>
          <w:i/>
        </w:rPr>
        <w:t>Rana</w:t>
      </w:r>
      <w:r w:rsidR="000F3F93">
        <w:t xml:space="preserve">) </w:t>
      </w:r>
      <w:r>
        <w:t>(</w:t>
      </w:r>
      <w:r w:rsidR="000F3F93">
        <w:t>at [69]</w:t>
      </w:r>
      <w:r>
        <w:t>),</w:t>
      </w:r>
      <w:r w:rsidR="000F3F93">
        <w:t xml:space="preserve"> </w:t>
      </w:r>
      <w:r>
        <w:t>North J noted that</w:t>
      </w:r>
      <w:r w:rsidR="00F50F80">
        <w:t xml:space="preserve"> “</w:t>
      </w:r>
      <w:r w:rsidR="0090568F">
        <w:t>[</w:t>
      </w:r>
      <w:r w:rsidR="00F50F80">
        <w:t>t</w:t>
      </w:r>
      <w:r w:rsidR="0090568F">
        <w:t>]</w:t>
      </w:r>
      <w:r w:rsidR="00F50F80">
        <w:t xml:space="preserve">he sentence must communicate to the community that the Court views compliance with s 155 of the [TPA] as a serious obligation and that it regards [it] as a most important tool for the protection of the public” against contraventions of Australia’s competition and consumer laws.  </w:t>
      </w:r>
      <w:r w:rsidR="00BC2B8D">
        <w:t xml:space="preserve">These </w:t>
      </w:r>
      <w:r w:rsidR="00BC2B8D">
        <w:lastRenderedPageBreak/>
        <w:t>observations reinforce the need to</w:t>
      </w:r>
      <w:r w:rsidR="00E84F3E">
        <w:t xml:space="preserve"> include general deterrence</w:t>
      </w:r>
      <w:r w:rsidR="00BC2B8D">
        <w:t xml:space="preserve"> </w:t>
      </w:r>
      <w:r w:rsidR="00E84F3E">
        <w:t>when imposing</w:t>
      </w:r>
      <w:r>
        <w:t xml:space="preserve"> </w:t>
      </w:r>
      <w:r w:rsidR="00BC2B8D">
        <w:t xml:space="preserve">a sentence </w:t>
      </w:r>
      <w:r w:rsidR="00401AAD">
        <w:t xml:space="preserve">for an offence under </w:t>
      </w:r>
      <w:r w:rsidR="00BC2B8D">
        <w:t>s 155</w:t>
      </w:r>
      <w:r w:rsidR="00401AAD">
        <w:t>(5)</w:t>
      </w:r>
      <w:r w:rsidR="00BC2B8D">
        <w:t xml:space="preserve"> of the TPA, or similar statutory provisions</w:t>
      </w:r>
      <w:r w:rsidR="000F3F93">
        <w:t>.</w:t>
      </w:r>
    </w:p>
    <w:p w:rsidR="000F3F93" w:rsidRDefault="000F3F93" w:rsidP="000F3F93">
      <w:pPr>
        <w:pStyle w:val="Heading2"/>
      </w:pPr>
      <w:r>
        <w:t>The nature and circumstances of the offence:</w:t>
      </w:r>
      <w:r w:rsidR="00A06F17">
        <w:t xml:space="preserve"> </w:t>
      </w:r>
      <w:r>
        <w:t xml:space="preserve"> s</w:t>
      </w:r>
      <w:r w:rsidR="00A06F17">
        <w:t>ection</w:t>
      </w:r>
      <w:r>
        <w:t xml:space="preserve"> 16A(2)(a)</w:t>
      </w:r>
    </w:p>
    <w:p w:rsidR="000F3F93" w:rsidRDefault="000F3F93" w:rsidP="000F3F93">
      <w:pPr>
        <w:pStyle w:val="ParaNumbering"/>
      </w:pPr>
      <w:r>
        <w:t xml:space="preserve">In </w:t>
      </w:r>
      <w:r w:rsidRPr="000F3F93">
        <w:rPr>
          <w:i/>
        </w:rPr>
        <w:t>Davies</w:t>
      </w:r>
      <w:r>
        <w:t xml:space="preserve">, I made a number of factual findings about the nature </w:t>
      </w:r>
      <w:r w:rsidR="00A06F17">
        <w:t xml:space="preserve">and circumstances </w:t>
      </w:r>
      <w:r>
        <w:t>of Mr Davies’</w:t>
      </w:r>
      <w:r w:rsidR="00BC2B8D">
        <w:t xml:space="preserve"> offending</w:t>
      </w:r>
      <w:r w:rsidR="00452C4A">
        <w:t>,</w:t>
      </w:r>
      <w:r>
        <w:t xml:space="preserve"> </w:t>
      </w:r>
      <w:r w:rsidR="00452C4A">
        <w:t>which</w:t>
      </w:r>
      <w:r>
        <w:t xml:space="preserve"> are relevant to the sentence that should be imposed</w:t>
      </w:r>
      <w:r w:rsidR="00A06F17">
        <w:t xml:space="preserve"> on him</w:t>
      </w:r>
      <w:r>
        <w:t>.  Those findings included that:</w:t>
      </w:r>
    </w:p>
    <w:p w:rsidR="000F3F93" w:rsidRDefault="000F3F93" w:rsidP="008B0796">
      <w:pPr>
        <w:pStyle w:val="ListNo1"/>
        <w:numPr>
          <w:ilvl w:val="0"/>
          <w:numId w:val="25"/>
        </w:numPr>
      </w:pPr>
      <w:r>
        <w:t xml:space="preserve">Mr Davies was the sole director and </w:t>
      </w:r>
      <w:r w:rsidR="00A06F17">
        <w:t>“</w:t>
      </w:r>
      <w:r>
        <w:t>high managerial agent</w:t>
      </w:r>
      <w:r w:rsidR="00A06F17">
        <w:t>”</w:t>
      </w:r>
      <w:r>
        <w:t xml:space="preserve"> of NFV, and therefore “expressly, tacitly or impliedly” permitted NFV to commit the offences</w:t>
      </w:r>
      <w:r w:rsidR="00A06F17">
        <w:t xml:space="preserve"> under s 155(5)(a) of the TPA</w:t>
      </w:r>
      <w:r>
        <w:t xml:space="preserve">:  see </w:t>
      </w:r>
      <w:r w:rsidRPr="00A06F17">
        <w:rPr>
          <w:i/>
        </w:rPr>
        <w:t>Davies</w:t>
      </w:r>
      <w:r>
        <w:t xml:space="preserve"> at [41];</w:t>
      </w:r>
    </w:p>
    <w:p w:rsidR="004277F7" w:rsidRDefault="00A06F17" w:rsidP="000F3F93">
      <w:pPr>
        <w:pStyle w:val="ListNo1"/>
        <w:numPr>
          <w:ilvl w:val="0"/>
          <w:numId w:val="25"/>
        </w:numPr>
      </w:pPr>
      <w:r>
        <w:t xml:space="preserve">Mr Davies took no action to cause NFV to comply with the notice, for example he did not disclose to Mr Ngan the location of the </w:t>
      </w:r>
      <w:r w:rsidRPr="00DF733E">
        <w:t>document</w:t>
      </w:r>
      <w:r>
        <w:t xml:space="preserve">ation sought by the </w:t>
      </w:r>
      <w:r w:rsidRPr="00DF733E">
        <w:t>Commission</w:t>
      </w:r>
      <w:r>
        <w:t xml:space="preserve">, nor </w:t>
      </w:r>
      <w:r w:rsidR="00BC2B8D">
        <w:t xml:space="preserve">did he </w:t>
      </w:r>
      <w:r>
        <w:t>provide him with</w:t>
      </w:r>
      <w:r w:rsidR="00E84F3E">
        <w:t xml:space="preserve"> any of</w:t>
      </w:r>
      <w:r>
        <w:t xml:space="preserve"> the information requested in the notice:  see </w:t>
      </w:r>
      <w:r w:rsidRPr="004277F7">
        <w:rPr>
          <w:i/>
        </w:rPr>
        <w:t>Davies</w:t>
      </w:r>
      <w:r>
        <w:t xml:space="preserve"> at [47];</w:t>
      </w:r>
    </w:p>
    <w:p w:rsidR="004277F7" w:rsidRDefault="00A06F17" w:rsidP="000F3F93">
      <w:pPr>
        <w:pStyle w:val="ListNo1"/>
        <w:numPr>
          <w:ilvl w:val="0"/>
          <w:numId w:val="25"/>
        </w:numPr>
      </w:pPr>
      <w:r>
        <w:t xml:space="preserve">to the contrary, </w:t>
      </w:r>
      <w:r w:rsidR="000F3F93">
        <w:t xml:space="preserve">rather than taking steps to </w:t>
      </w:r>
      <w:r>
        <w:t>ensure NFV complied</w:t>
      </w:r>
      <w:r w:rsidR="000F3F93">
        <w:t xml:space="preserve"> with the notice, on </w:t>
      </w:r>
      <w:r>
        <w:t>his</w:t>
      </w:r>
      <w:r w:rsidR="000F3F93">
        <w:t xml:space="preserve"> own evidence, </w:t>
      </w:r>
      <w:r>
        <w:t>Mr Davies</w:t>
      </w:r>
      <w:r w:rsidR="000F3F93">
        <w:t xml:space="preserve"> sought to avoid compliance with it by </w:t>
      </w:r>
      <w:r>
        <w:t xml:space="preserve">agreeing </w:t>
      </w:r>
      <w:r w:rsidR="000F3F93">
        <w:t xml:space="preserve">to pay a not insignificant sum to </w:t>
      </w:r>
      <w:r>
        <w:t xml:space="preserve">Mr Ngan to </w:t>
      </w:r>
      <w:r w:rsidR="000F3F93">
        <w:t>make the problem “go away”</w:t>
      </w:r>
      <w:r>
        <w:t xml:space="preserve">:  see </w:t>
      </w:r>
      <w:r w:rsidRPr="004277F7">
        <w:rPr>
          <w:i/>
        </w:rPr>
        <w:t>Davies</w:t>
      </w:r>
      <w:r>
        <w:t xml:space="preserve"> at [47]; </w:t>
      </w:r>
      <w:r w:rsidR="000F3F93">
        <w:t>and</w:t>
      </w:r>
    </w:p>
    <w:p w:rsidR="000F3F93" w:rsidRDefault="00A06F17" w:rsidP="000F3F93">
      <w:pPr>
        <w:pStyle w:val="ListNo1"/>
        <w:numPr>
          <w:ilvl w:val="0"/>
          <w:numId w:val="25"/>
        </w:numPr>
      </w:pPr>
      <w:r>
        <w:t>in this way</w:t>
      </w:r>
      <w:r w:rsidR="009D1A4B">
        <w:t>,</w:t>
      </w:r>
      <w:r w:rsidR="000F3F93">
        <w:t xml:space="preserve"> Mr Davies intentionally brought about</w:t>
      </w:r>
      <w:r w:rsidR="00E84F3E">
        <w:t xml:space="preserve"> the result</w:t>
      </w:r>
      <w:r>
        <w:t>,</w:t>
      </w:r>
      <w:r w:rsidR="000F3F93">
        <w:t xml:space="preserve"> </w:t>
      </w:r>
      <w:r>
        <w:t xml:space="preserve">or made it more likely, that NFV would fail to comply with </w:t>
      </w:r>
      <w:r w:rsidR="000F3F93">
        <w:t>the no</w:t>
      </w:r>
      <w:r>
        <w:t>tice</w:t>
      </w:r>
      <w:r w:rsidR="000F3F93">
        <w:t xml:space="preserve">:  see </w:t>
      </w:r>
      <w:r w:rsidR="000F3F93" w:rsidRPr="004277F7">
        <w:rPr>
          <w:i/>
        </w:rPr>
        <w:t>Davies</w:t>
      </w:r>
      <w:r>
        <w:t xml:space="preserve"> at </w:t>
      </w:r>
      <w:r w:rsidR="009D1A4B">
        <w:t>[47]–</w:t>
      </w:r>
      <w:r>
        <w:t>[48</w:t>
      </w:r>
      <w:r w:rsidR="000F3F93">
        <w:t>].</w:t>
      </w:r>
    </w:p>
    <w:p w:rsidR="000F3F93" w:rsidRDefault="00BC2B8D" w:rsidP="000F3F93">
      <w:pPr>
        <w:pStyle w:val="ParaNumbering"/>
      </w:pPr>
      <w:r>
        <w:t>It is also to be noted that</w:t>
      </w:r>
      <w:r w:rsidR="00A06F17">
        <w:t xml:space="preserve"> one of the effects of Mr Davies’ conduct was to undermine</w:t>
      </w:r>
      <w:r w:rsidR="000F3F93">
        <w:t xml:space="preserve"> </w:t>
      </w:r>
      <w:r w:rsidR="00A06F17">
        <w:t xml:space="preserve">the </w:t>
      </w:r>
      <w:r w:rsidR="00A06F17" w:rsidRPr="00DF733E">
        <w:t>Commission</w:t>
      </w:r>
      <w:r w:rsidR="00A06F17">
        <w:t>’s</w:t>
      </w:r>
      <w:r w:rsidR="000F3F93">
        <w:t xml:space="preserve"> investigation </w:t>
      </w:r>
      <w:r w:rsidR="00A06F17">
        <w:t>of a number of</w:t>
      </w:r>
      <w:r w:rsidR="000F3F93">
        <w:t xml:space="preserve"> serious allegations against NFV. </w:t>
      </w:r>
      <w:r w:rsidR="00DB208A">
        <w:t xml:space="preserve"> </w:t>
      </w:r>
      <w:r w:rsidR="000F3F93">
        <w:t xml:space="preserve">In doing so, he stymied the public interest in the </w:t>
      </w:r>
      <w:r w:rsidR="00A06F17">
        <w:t xml:space="preserve">efficient investigation </w:t>
      </w:r>
      <w:r w:rsidR="000F3F93">
        <w:t>of those allegations and</w:t>
      </w:r>
      <w:r w:rsidR="00E84F3E">
        <w:t>, in the process,</w:t>
      </w:r>
      <w:r w:rsidR="000F3F93">
        <w:t xml:space="preserve"> caused public resources</w:t>
      </w:r>
      <w:r w:rsidR="00A06F17" w:rsidRPr="00A06F17">
        <w:t xml:space="preserve"> </w:t>
      </w:r>
      <w:r w:rsidR="00A06F17">
        <w:t>to be wasted</w:t>
      </w:r>
      <w:r w:rsidR="000F3F93">
        <w:t>.</w:t>
      </w:r>
    </w:p>
    <w:p w:rsidR="000F3F93" w:rsidRDefault="000F3F93" w:rsidP="00DB208A">
      <w:pPr>
        <w:pStyle w:val="Heading2"/>
      </w:pPr>
      <w:r>
        <w:t xml:space="preserve">Contrition and cooperation: </w:t>
      </w:r>
      <w:r w:rsidR="00DB208A">
        <w:t xml:space="preserve"> </w:t>
      </w:r>
      <w:r w:rsidR="00BC2B8D">
        <w:t>section 16A(2)(f) and</w:t>
      </w:r>
      <w:r>
        <w:t xml:space="preserve"> (g)</w:t>
      </w:r>
    </w:p>
    <w:p w:rsidR="000F3F93" w:rsidRDefault="000F3F93" w:rsidP="000F3F93">
      <w:pPr>
        <w:pStyle w:val="ParaNumbering"/>
      </w:pPr>
      <w:r>
        <w:t xml:space="preserve">As </w:t>
      </w:r>
      <w:r w:rsidR="004D7226">
        <w:t>I noted at [9] of</w:t>
      </w:r>
      <w:r>
        <w:t xml:space="preserve"> </w:t>
      </w:r>
      <w:r w:rsidRPr="00DB208A">
        <w:rPr>
          <w:i/>
        </w:rPr>
        <w:t>Davies</w:t>
      </w:r>
      <w:r>
        <w:t xml:space="preserve">, Mr Davies did not enter a plea of guilty </w:t>
      </w:r>
      <w:r w:rsidR="004D7226">
        <w:t xml:space="preserve">to the </w:t>
      </w:r>
      <w:r w:rsidR="004D7226" w:rsidRPr="00DF733E">
        <w:t>Commission</w:t>
      </w:r>
      <w:r w:rsidR="004D7226">
        <w:t>’s c</w:t>
      </w:r>
      <w:r w:rsidR="00305E1F">
        <w:t>harge</w:t>
      </w:r>
      <w:r w:rsidR="004D7226">
        <w:t xml:space="preserve"> </w:t>
      </w:r>
      <w:r>
        <w:t xml:space="preserve">and </w:t>
      </w:r>
      <w:r w:rsidR="00305E1F">
        <w:t xml:space="preserve">the matter </w:t>
      </w:r>
      <w:r>
        <w:t xml:space="preserve">therefore </w:t>
      </w:r>
      <w:r w:rsidR="00305E1F">
        <w:t>proceede</w:t>
      </w:r>
      <w:r>
        <w:t>d</w:t>
      </w:r>
      <w:r w:rsidR="00305E1F">
        <w:t xml:space="preserve"> t</w:t>
      </w:r>
      <w:r>
        <w:t>o</w:t>
      </w:r>
      <w:r w:rsidR="00305E1F">
        <w:t xml:space="preserve"> trial</w:t>
      </w:r>
      <w:r>
        <w:t xml:space="preserve">. </w:t>
      </w:r>
      <w:r w:rsidR="00DB208A">
        <w:t xml:space="preserve"> </w:t>
      </w:r>
      <w:r>
        <w:t xml:space="preserve">Nonetheless, I </w:t>
      </w:r>
      <w:r w:rsidR="00BC2B8D">
        <w:t>take account of the fact</w:t>
      </w:r>
      <w:r>
        <w:t xml:space="preserve"> that he made a number of admissions which likely reduced the length of the trial significantly.</w:t>
      </w:r>
      <w:r w:rsidR="00DB208A">
        <w:t xml:space="preserve"> </w:t>
      </w:r>
      <w:r>
        <w:t xml:space="preserve"> Those admissions are set out in </w:t>
      </w:r>
      <w:r w:rsidRPr="00DB208A">
        <w:rPr>
          <w:i/>
        </w:rPr>
        <w:t>Davies</w:t>
      </w:r>
      <w:r>
        <w:t xml:space="preserve"> at [10]. </w:t>
      </w:r>
      <w:r w:rsidR="00DB208A">
        <w:t xml:space="preserve"> </w:t>
      </w:r>
      <w:r w:rsidR="00530EF7">
        <w:t xml:space="preserve">On the other hand, </w:t>
      </w:r>
      <w:r w:rsidR="00305E1F">
        <w:t>I did not detect any element of contrition</w:t>
      </w:r>
      <w:r w:rsidR="00530EF7">
        <w:t xml:space="preserve"> in Mr Davies’ </w:t>
      </w:r>
      <w:r w:rsidR="00E84F3E">
        <w:t>behaviour</w:t>
      </w:r>
      <w:r w:rsidR="00530EF7">
        <w:t>.</w:t>
      </w:r>
      <w:r>
        <w:t xml:space="preserve"> </w:t>
      </w:r>
      <w:r w:rsidR="00530EF7">
        <w:t xml:space="preserve"> Indeed</w:t>
      </w:r>
      <w:r>
        <w:t xml:space="preserve">, his conduct </w:t>
      </w:r>
      <w:r w:rsidR="00305E1F">
        <w:t xml:space="preserve">during the </w:t>
      </w:r>
      <w:r w:rsidR="00530EF7">
        <w:t xml:space="preserve">trial and </w:t>
      </w:r>
      <w:r w:rsidR="00305E1F">
        <w:t xml:space="preserve">the </w:t>
      </w:r>
      <w:r w:rsidR="00530EF7">
        <w:t xml:space="preserve">subsequent sentencing </w:t>
      </w:r>
      <w:r w:rsidR="00305E1F">
        <w:t>hearing demonstrated</w:t>
      </w:r>
      <w:r>
        <w:t xml:space="preserve"> an unwillingness </w:t>
      </w:r>
      <w:r w:rsidR="00305E1F">
        <w:t xml:space="preserve">on his part </w:t>
      </w:r>
      <w:r>
        <w:t xml:space="preserve">to take </w:t>
      </w:r>
      <w:r w:rsidR="00DB208A">
        <w:t>responsibility for his actions.</w:t>
      </w:r>
      <w:r w:rsidR="00305E1F">
        <w:t xml:space="preserve">  For example, during </w:t>
      </w:r>
      <w:r w:rsidR="00530EF7">
        <w:t>both stages</w:t>
      </w:r>
      <w:r w:rsidR="00305E1F">
        <w:t xml:space="preserve">, he sought to blame Mr Ngan </w:t>
      </w:r>
      <w:r w:rsidR="00305E1F">
        <w:lastRenderedPageBreak/>
        <w:t xml:space="preserve">and the </w:t>
      </w:r>
      <w:r w:rsidR="00305E1F" w:rsidRPr="00DF733E">
        <w:t>Commission</w:t>
      </w:r>
      <w:r w:rsidR="00305E1F">
        <w:t xml:space="preserve"> for not advising him that he had to comply with the notice.  He claimed that if he had been so advised, he </w:t>
      </w:r>
      <w:r w:rsidR="00530EF7">
        <w:t>would have complied.  I find the</w:t>
      </w:r>
      <w:r w:rsidR="00305E1F">
        <w:t>s</w:t>
      </w:r>
      <w:r w:rsidR="00530EF7">
        <w:t>e</w:t>
      </w:r>
      <w:r w:rsidR="00305E1F">
        <w:t xml:space="preserve"> claim</w:t>
      </w:r>
      <w:r w:rsidR="00530EF7">
        <w:t>s</w:t>
      </w:r>
      <w:r w:rsidR="00305E1F">
        <w:t xml:space="preserve"> to be </w:t>
      </w:r>
      <w:r w:rsidR="00530EF7">
        <w:t>quite</w:t>
      </w:r>
      <w:r w:rsidR="00305E1F">
        <w:t xml:space="preserve"> disingenuous.</w:t>
      </w:r>
    </w:p>
    <w:p w:rsidR="000F3F93" w:rsidRDefault="000F3F93" w:rsidP="00DB208A">
      <w:pPr>
        <w:pStyle w:val="Heading2"/>
      </w:pPr>
      <w:r>
        <w:t>Mr Davies’ personal circumstances</w:t>
      </w:r>
      <w:r w:rsidR="00530EF7">
        <w:t xml:space="preserve"> and personal </w:t>
      </w:r>
      <w:r w:rsidR="003D0413">
        <w:t>deterrence</w:t>
      </w:r>
      <w:r>
        <w:t xml:space="preserve">: </w:t>
      </w:r>
      <w:r w:rsidR="00DB208A">
        <w:t xml:space="preserve"> </w:t>
      </w:r>
      <w:r>
        <w:t>s</w:t>
      </w:r>
      <w:r w:rsidR="00530EF7">
        <w:t>ections</w:t>
      </w:r>
      <w:r>
        <w:t xml:space="preserve"> 16A(2)</w:t>
      </w:r>
      <w:r w:rsidR="00530EF7">
        <w:t xml:space="preserve">(j), </w:t>
      </w:r>
      <w:r>
        <w:t>(m) and (p)</w:t>
      </w:r>
    </w:p>
    <w:p w:rsidR="000F3F93" w:rsidRDefault="00305E1F" w:rsidP="000F3F93">
      <w:pPr>
        <w:pStyle w:val="ParaNumbering"/>
      </w:pPr>
      <w:r>
        <w:t xml:space="preserve">During </w:t>
      </w:r>
      <w:r>
        <w:rPr>
          <w:rFonts w:eastAsia="Times New Roman"/>
        </w:rPr>
        <w:t>s</w:t>
      </w:r>
      <w:r w:rsidRPr="00DF733E">
        <w:rPr>
          <w:rFonts w:eastAsia="Times New Roman"/>
        </w:rPr>
        <w:t>ubmissions</w:t>
      </w:r>
      <w:r>
        <w:t xml:space="preserve"> on penalty, </w:t>
      </w:r>
      <w:r w:rsidR="000F3F93">
        <w:t xml:space="preserve">Mr Davies </w:t>
      </w:r>
      <w:r>
        <w:t xml:space="preserve">told me he </w:t>
      </w:r>
      <w:r w:rsidR="000F3F93">
        <w:t xml:space="preserve">is </w:t>
      </w:r>
      <w:r>
        <w:t>43</w:t>
      </w:r>
      <w:r w:rsidR="000F3F93">
        <w:t xml:space="preserve"> years old</w:t>
      </w:r>
      <w:r>
        <w:t xml:space="preserve"> and</w:t>
      </w:r>
      <w:r w:rsidR="00530EF7">
        <w:t xml:space="preserve"> he</w:t>
      </w:r>
      <w:r w:rsidR="00E84F3E">
        <w:t xml:space="preserve"> lives</w:t>
      </w:r>
      <w:r>
        <w:t xml:space="preserve"> with his family at Parkwood on the Gold Coast</w:t>
      </w:r>
      <w:r w:rsidR="00E84F3E">
        <w:t>, Queensland</w:t>
      </w:r>
      <w:r w:rsidR="000F3F93">
        <w:t>.</w:t>
      </w:r>
      <w:r w:rsidR="009D1A4B">
        <w:t xml:space="preserve">  He said he is married and has</w:t>
      </w:r>
      <w:r w:rsidR="00530EF7">
        <w:t xml:space="preserve"> two young daughters.  Although he does not appear to have taken responsibility for his conduct, I accept that he is acutely aware of the effect that this sentence may have on his family.</w:t>
      </w:r>
      <w:r w:rsidR="000F3F93">
        <w:t xml:space="preserve"> </w:t>
      </w:r>
      <w:r w:rsidR="00DB208A">
        <w:t xml:space="preserve"> </w:t>
      </w:r>
      <w:r w:rsidR="009D1A4B">
        <w:t>He told me he considers him</w:t>
      </w:r>
      <w:r>
        <w:t xml:space="preserve">self </w:t>
      </w:r>
      <w:r w:rsidR="009D1A4B">
        <w:t>“</w:t>
      </w:r>
      <w:r>
        <w:t xml:space="preserve">an entrepreneur”.  He claimed he conducted a health care business which helped people and was “for the greater good”.  He also claimed that the charge against him and </w:t>
      </w:r>
      <w:r w:rsidR="00530EF7">
        <w:t xml:space="preserve">the </w:t>
      </w:r>
      <w:r>
        <w:t>related investigation had caused a “massive hit”</w:t>
      </w:r>
      <w:r w:rsidR="009D1A4B">
        <w:t xml:space="preserve"> to his finances.  He said he is currently unemployed and i</w:t>
      </w:r>
      <w:r>
        <w:t xml:space="preserve">s living off his savings.  On this aspect, I do, however, note the </w:t>
      </w:r>
      <w:r w:rsidRPr="00DF733E">
        <w:t>Commission</w:t>
      </w:r>
      <w:r>
        <w:t xml:space="preserve">’s </w:t>
      </w:r>
      <w:r>
        <w:rPr>
          <w:rFonts w:eastAsia="Times New Roman"/>
        </w:rPr>
        <w:t>submission that Mr Davies remains a director of six corporations and appears to remain active in the business community.  This is a pertinent factor in considering the need for personal deterrence.</w:t>
      </w:r>
    </w:p>
    <w:p w:rsidR="000F3F93" w:rsidRDefault="00305E1F" w:rsidP="000F3F93">
      <w:pPr>
        <w:pStyle w:val="ParaNumbering"/>
      </w:pPr>
      <w:r>
        <w:t>While the Commissio</w:t>
      </w:r>
      <w:r w:rsidR="009D1A4B">
        <w:t>n informed me that Mr Davies has</w:t>
      </w:r>
      <w:r w:rsidR="000F3F93">
        <w:t xml:space="preserve"> a criminal history, </w:t>
      </w:r>
      <w:r w:rsidR="00530EF7">
        <w:t xml:space="preserve">it did not </w:t>
      </w:r>
      <w:r w:rsidR="00E84F3E">
        <w:t>submit</w:t>
      </w:r>
      <w:r w:rsidR="00530EF7">
        <w:t xml:space="preserve"> tha</w:t>
      </w:r>
      <w:r>
        <w:t>t</w:t>
      </w:r>
      <w:r w:rsidR="00530EF7">
        <w:t xml:space="preserve"> history</w:t>
      </w:r>
      <w:r>
        <w:t xml:space="preserve"> was relevant to the present offence</w:t>
      </w:r>
      <w:r w:rsidR="000F3F93">
        <w:t xml:space="preserve">. </w:t>
      </w:r>
      <w:r w:rsidR="00DB208A">
        <w:t xml:space="preserve"> </w:t>
      </w:r>
      <w:r w:rsidR="000F3F93">
        <w:t xml:space="preserve">Aside from this, there is no </w:t>
      </w:r>
      <w:r w:rsidR="00530EF7" w:rsidRPr="00DF733E">
        <w:t>evidence</w:t>
      </w:r>
      <w:r w:rsidR="000F3F93">
        <w:t xml:space="preserve"> befo</w:t>
      </w:r>
      <w:r>
        <w:t>re me to suggest that Mr Davies</w:t>
      </w:r>
      <w:r w:rsidR="000F3F93">
        <w:t xml:space="preserve"> is not otherwise of good character.</w:t>
      </w:r>
      <w:r>
        <w:t xml:space="preserve"> </w:t>
      </w:r>
      <w:r w:rsidR="000F3F93">
        <w:t xml:space="preserve"> </w:t>
      </w:r>
      <w:r w:rsidR="00530EF7">
        <w:t>Nonetheless</w:t>
      </w:r>
      <w:r>
        <w:t xml:space="preserve">, in this </w:t>
      </w:r>
      <w:r w:rsidR="00530EF7">
        <w:t>regard</w:t>
      </w:r>
      <w:r>
        <w:t xml:space="preserve">, I accept the </w:t>
      </w:r>
      <w:r w:rsidRPr="00DF733E">
        <w:t>Commission</w:t>
      </w:r>
      <w:r>
        <w:t xml:space="preserve">’s </w:t>
      </w:r>
      <w:r>
        <w:rPr>
          <w:rFonts w:eastAsia="Times New Roman"/>
        </w:rPr>
        <w:t>submission</w:t>
      </w:r>
      <w:r>
        <w:t xml:space="preserve"> </w:t>
      </w:r>
      <w:r w:rsidR="000F3F93">
        <w:t xml:space="preserve">that prior good character is of lesser weight in cases </w:t>
      </w:r>
      <w:r>
        <w:t>involving</w:t>
      </w:r>
      <w:r w:rsidR="00530EF7">
        <w:t>,</w:t>
      </w:r>
      <w:r w:rsidR="000F3F93">
        <w:t xml:space="preserve"> what is referred to as</w:t>
      </w:r>
      <w:r>
        <w:t>,</w:t>
      </w:r>
      <w:r w:rsidR="009D1A4B">
        <w:t xml:space="preserve"> “white-</w:t>
      </w:r>
      <w:r w:rsidR="000F3F93">
        <w:t xml:space="preserve">collar crime”. </w:t>
      </w:r>
      <w:r w:rsidR="00DB208A">
        <w:t xml:space="preserve"> </w:t>
      </w:r>
      <w:r w:rsidR="000F3F93">
        <w:t xml:space="preserve">As the New South Wales Court of Criminal Appeal </w:t>
      </w:r>
      <w:r>
        <w:t>observed</w:t>
      </w:r>
      <w:r w:rsidR="000F3F93">
        <w:t xml:space="preserve"> in </w:t>
      </w:r>
      <w:r w:rsidR="000F3F93" w:rsidRPr="00DB208A">
        <w:rPr>
          <w:i/>
        </w:rPr>
        <w:t>R v Rivkin</w:t>
      </w:r>
      <w:r w:rsidR="000F3F93">
        <w:t xml:space="preserve"> (2004) 59 NSWLR 284</w:t>
      </w:r>
      <w:r>
        <w:t xml:space="preserve">; </w:t>
      </w:r>
      <w:r w:rsidR="007254E4">
        <w:t>[2004] NSWCCA 7</w:t>
      </w:r>
      <w:r w:rsidR="000F3F93">
        <w:t xml:space="preserve"> </w:t>
      </w:r>
      <w:r w:rsidR="00530EF7">
        <w:t>(</w:t>
      </w:r>
      <w:r w:rsidR="000F3F93">
        <w:t>at [410]</w:t>
      </w:r>
      <w:r w:rsidR="00530EF7">
        <w:t>)</w:t>
      </w:r>
      <w:r w:rsidR="000F3F93">
        <w:t xml:space="preserve">, the “relevance of good character is of lesser significance for white-collar crimes, since it is that factor which normally places the offender in a position whereby he or she is able to commit the offence”. </w:t>
      </w:r>
      <w:r w:rsidR="00DB208A">
        <w:t xml:space="preserve"> </w:t>
      </w:r>
      <w:r w:rsidR="007254E4">
        <w:t>To similar effect</w:t>
      </w:r>
      <w:r w:rsidR="000F3F93">
        <w:t xml:space="preserve">, in </w:t>
      </w:r>
      <w:r w:rsidR="000F3F93" w:rsidRPr="00DB208A">
        <w:rPr>
          <w:i/>
        </w:rPr>
        <w:t>R v Williams</w:t>
      </w:r>
      <w:r w:rsidR="000F3F93">
        <w:t xml:space="preserve"> (2005) </w:t>
      </w:r>
      <w:r w:rsidR="007254E4">
        <w:t>2</w:t>
      </w:r>
      <w:r w:rsidR="000F3F93">
        <w:t>1</w:t>
      </w:r>
      <w:r w:rsidR="007254E4">
        <w:t>6</w:t>
      </w:r>
      <w:r w:rsidR="000F3F93">
        <w:t xml:space="preserve"> A</w:t>
      </w:r>
      <w:r w:rsidR="007254E4">
        <w:t>L</w:t>
      </w:r>
      <w:r w:rsidR="000F3F93">
        <w:t xml:space="preserve">R </w:t>
      </w:r>
      <w:r w:rsidR="007254E4">
        <w:t>113; [2005] NSWSC 315</w:t>
      </w:r>
      <w:r w:rsidR="000F3F93">
        <w:t xml:space="preserve"> </w:t>
      </w:r>
      <w:r w:rsidR="007254E4">
        <w:t>(</w:t>
      </w:r>
      <w:r w:rsidR="000F3F93">
        <w:t>at [47]</w:t>
      </w:r>
      <w:r w:rsidR="007254E4">
        <w:t>)</w:t>
      </w:r>
      <w:r w:rsidR="000F3F93">
        <w:t>, Wood CJ</w:t>
      </w:r>
      <w:r w:rsidR="009D1A4B">
        <w:t xml:space="preserve"> at CL</w:t>
      </w:r>
      <w:r w:rsidR="000F3F93">
        <w:t xml:space="preserve"> noted that “the general deterrence factor is important in this area of criminality, and may require a custodial sentence, even though the offender has an unblemished prior record”.</w:t>
      </w:r>
    </w:p>
    <w:p w:rsidR="000F3F93" w:rsidRDefault="007254E4" w:rsidP="00DB208A">
      <w:pPr>
        <w:pStyle w:val="Heading1"/>
      </w:pPr>
      <w:r>
        <w:t xml:space="preserve">COMPARABLE </w:t>
      </w:r>
      <w:r w:rsidR="00530EF7">
        <w:t>sentencing decisions</w:t>
      </w:r>
    </w:p>
    <w:p w:rsidR="007254E4" w:rsidRDefault="000632B0" w:rsidP="000F3F93">
      <w:pPr>
        <w:pStyle w:val="ParaNumbering"/>
      </w:pPr>
      <w:r>
        <w:t>Although Part 1</w:t>
      </w:r>
      <w:r w:rsidR="007254E4">
        <w:t xml:space="preserve">B of the Crimes Act does not specifically provide for sentencing judges to take current sentencing practices into account, the High Court has recently stated that, </w:t>
      </w:r>
      <w:r w:rsidR="00E84F3E">
        <w:t>with</w:t>
      </w:r>
      <w:r w:rsidR="007254E4">
        <w:t xml:space="preserve"> federal offences, it is implicit in that Part that a sentencing judge “must have regard to current </w:t>
      </w:r>
      <w:r w:rsidR="007254E4">
        <w:lastRenderedPageBreak/>
        <w:t xml:space="preserve">sentencing practices throughout the Commonwealth”: </w:t>
      </w:r>
      <w:r w:rsidR="00E94C0F">
        <w:t xml:space="preserve"> </w:t>
      </w:r>
      <w:r w:rsidR="007254E4">
        <w:t xml:space="preserve">see </w:t>
      </w:r>
      <w:r w:rsidR="007254E4">
        <w:rPr>
          <w:i/>
        </w:rPr>
        <w:t xml:space="preserve">R v Pham </w:t>
      </w:r>
      <w:r w:rsidR="007254E4">
        <w:t>[2015] HCA 39 (</w:t>
      </w:r>
      <w:r w:rsidR="007254E4">
        <w:rPr>
          <w:i/>
        </w:rPr>
        <w:t>Pham</w:t>
      </w:r>
      <w:r w:rsidR="007254E4">
        <w:t xml:space="preserve">) at [23] per French CJ, Keane and Nettle JJ. </w:t>
      </w:r>
      <w:r w:rsidR="00E94C0F">
        <w:t xml:space="preserve"> </w:t>
      </w:r>
      <w:r w:rsidR="00530EF7">
        <w:t>T</w:t>
      </w:r>
      <w:r w:rsidR="007254E4">
        <w:t xml:space="preserve">heir Honours explained the justification for this </w:t>
      </w:r>
      <w:r w:rsidR="00530EF7">
        <w:t xml:space="preserve">approach </w:t>
      </w:r>
      <w:r w:rsidR="007254E4">
        <w:t>in the following terms (at [24])</w:t>
      </w:r>
      <w:r w:rsidR="00E94C0F">
        <w:t>:</w:t>
      </w:r>
    </w:p>
    <w:p w:rsidR="00E94C0F" w:rsidRDefault="00E94C0F" w:rsidP="00E94C0F">
      <w:pPr>
        <w:pStyle w:val="Quote1"/>
        <w:spacing w:after="120"/>
      </w:pPr>
      <w:r>
        <w:t xml:space="preserve">As Kirby J observed in </w:t>
      </w:r>
      <w:r w:rsidR="009D1A4B">
        <w:rPr>
          <w:i/>
        </w:rPr>
        <w:t>Putland v The Queen</w:t>
      </w:r>
      <w:r>
        <w:t xml:space="preserve">, a federal offence is, in effect, an offence against the whole Australian community and so the offence is the same for every offender throughout the Commonwealth. Hence, in the absence of a clear statutory indication of a different purpose or other justification, </w:t>
      </w:r>
      <w:r w:rsidRPr="00E94C0F">
        <w:rPr>
          <w:b/>
        </w:rPr>
        <w:t>the approach to the sentencing of offenders convicted of such a crime needs to be largely the same throughout the Commonwealth</w:t>
      </w:r>
      <w:r>
        <w:t xml:space="preserve">. Further, as Gleeson CJ stated in </w:t>
      </w:r>
      <w:r w:rsidRPr="00E94C0F">
        <w:rPr>
          <w:i/>
        </w:rPr>
        <w:t>Wong</w:t>
      </w:r>
      <w:r w:rsidR="009D1A4B">
        <w:t>,</w:t>
      </w:r>
      <w:r>
        <w:t xml:space="preserve"> the administration of criminal justice functions as a system which is intended to be fair, and systematic fairness necessitates reasonable consistency. And, as was observed by the plurality in </w:t>
      </w:r>
      <w:r w:rsidRPr="00E94C0F">
        <w:rPr>
          <w:i/>
        </w:rPr>
        <w:t>Hili</w:t>
      </w:r>
      <w:r w:rsidR="009D1A4B">
        <w:t>,</w:t>
      </w:r>
      <w:r>
        <w:t xml:space="preserve"> </w:t>
      </w:r>
      <w:r w:rsidRPr="00E94C0F">
        <w:rPr>
          <w:b/>
        </w:rPr>
        <w:t>the search for consistency requires that sentencing judges have regard to what has been done in comparable cases throughout the Commonwealth</w:t>
      </w:r>
      <w:r>
        <w:t>.</w:t>
      </w:r>
    </w:p>
    <w:p w:rsidR="00E94C0F" w:rsidRDefault="00E94C0F" w:rsidP="00E94C0F">
      <w:pPr>
        <w:pStyle w:val="Quote1"/>
        <w:spacing w:after="120"/>
      </w:pPr>
      <w:r>
        <w:t>(Emphasis added</w:t>
      </w:r>
      <w:r w:rsidR="009D1A4B">
        <w:t xml:space="preserve"> and footnotes excluded</w:t>
      </w:r>
      <w:r>
        <w:t>)</w:t>
      </w:r>
    </w:p>
    <w:p w:rsidR="000F3F93" w:rsidRDefault="00E94C0F" w:rsidP="000F3F93">
      <w:pPr>
        <w:pStyle w:val="ParaNumbering"/>
      </w:pPr>
      <w:r>
        <w:t xml:space="preserve">To assist in achieving the consistency mentioned immediately above, the </w:t>
      </w:r>
      <w:r w:rsidRPr="00DF733E">
        <w:t>Commission</w:t>
      </w:r>
      <w:r>
        <w:t xml:space="preserve"> has provided me with </w:t>
      </w:r>
      <w:r w:rsidRPr="00F31B3A">
        <w:t xml:space="preserve">a schedule of comparable </w:t>
      </w:r>
      <w:r w:rsidR="00530EF7">
        <w:t>sentencing decisions</w:t>
      </w:r>
      <w:r w:rsidRPr="00F31B3A">
        <w:t xml:space="preserve">. </w:t>
      </w:r>
      <w:r>
        <w:t xml:space="preserve"> In considering that schedule, I have borne in mind the observations in </w:t>
      </w:r>
      <w:r>
        <w:rPr>
          <w:i/>
        </w:rPr>
        <w:t>Pham</w:t>
      </w:r>
      <w:r>
        <w:t xml:space="preserve"> that there is a twofold purpose to be served.  The first is that such </w:t>
      </w:r>
      <w:r w:rsidR="00530EF7">
        <w:t>decisions</w:t>
      </w:r>
      <w:r>
        <w:t xml:space="preserve"> may “provide guidance as to the identification and application of relevant sentencing principles”.  The second is that the exercise may enable me to determine whether comparable </w:t>
      </w:r>
      <w:r w:rsidR="00530EF7">
        <w:t>decisions</w:t>
      </w:r>
      <w:r>
        <w:t xml:space="preserve"> yield “discernible sentencing patterns and possibly a range of sentences against which to examine a proposed or impugned sentence”:  see </w:t>
      </w:r>
      <w:r>
        <w:rPr>
          <w:i/>
        </w:rPr>
        <w:t xml:space="preserve">Pham </w:t>
      </w:r>
      <w:r>
        <w:t xml:space="preserve">at [26].  However, I also heed the Court’s warning that the range of sentences so disclosed is </w:t>
      </w:r>
      <w:r w:rsidR="00530EF7">
        <w:t xml:space="preserve">not </w:t>
      </w:r>
      <w:r>
        <w:t xml:space="preserve">necessarily the correct range, or otherwise determinative of the upper and lower limits of sentencing discretion.  Rather, the sentencing task is “inherently and inevitably more complex than that”:  see </w:t>
      </w:r>
      <w:r>
        <w:rPr>
          <w:i/>
        </w:rPr>
        <w:t>Pham</w:t>
      </w:r>
      <w:r>
        <w:t xml:space="preserve"> at [27], referring to </w:t>
      </w:r>
      <w:r w:rsidR="009D1A4B">
        <w:rPr>
          <w:i/>
        </w:rPr>
        <w:t>Hili v The Queen</w:t>
      </w:r>
      <w:r>
        <w:rPr>
          <w:i/>
        </w:rPr>
        <w:t xml:space="preserve"> </w:t>
      </w:r>
      <w:r>
        <w:t>(2010) 242 CLR 520</w:t>
      </w:r>
      <w:r w:rsidR="009D1A4B">
        <w:t>; [2010] HCA 45</w:t>
      </w:r>
      <w:r>
        <w:t xml:space="preserve"> at [54] and [60]; and </w:t>
      </w:r>
      <w:r>
        <w:rPr>
          <w:i/>
        </w:rPr>
        <w:t xml:space="preserve">Barbaro v </w:t>
      </w:r>
      <w:r w:rsidR="009D1A4B">
        <w:rPr>
          <w:i/>
        </w:rPr>
        <w:t>The Queen</w:t>
      </w:r>
      <w:r>
        <w:rPr>
          <w:i/>
        </w:rPr>
        <w:t xml:space="preserve"> </w:t>
      </w:r>
      <w:r>
        <w:t>(2014) 253 CLR 58</w:t>
      </w:r>
      <w:r w:rsidR="009D1A4B">
        <w:t>; [2014] HCA 2</w:t>
      </w:r>
      <w:r>
        <w:t xml:space="preserve"> at [24]–[28] per French CJ, Hayne, Kiefel and Bell JJ</w:t>
      </w:r>
      <w:r w:rsidR="00DB208A">
        <w:t>.</w:t>
      </w:r>
    </w:p>
    <w:p w:rsidR="00E94C0F" w:rsidRDefault="00E94C0F" w:rsidP="000F3F93">
      <w:pPr>
        <w:pStyle w:val="ParaNumbering"/>
      </w:pPr>
      <w:r>
        <w:t xml:space="preserve">Bearing these observations in mind, I have set out below the salient features of the comparable </w:t>
      </w:r>
      <w:r w:rsidR="00530EF7">
        <w:t>decisions</w:t>
      </w:r>
      <w:r>
        <w:t xml:space="preserve"> in the </w:t>
      </w:r>
      <w:r w:rsidRPr="00DF733E">
        <w:t>Commission</w:t>
      </w:r>
      <w:r>
        <w:t>’s schedule.</w:t>
      </w:r>
    </w:p>
    <w:p w:rsidR="000F3F93" w:rsidRDefault="000F3F93" w:rsidP="000F3F93">
      <w:pPr>
        <w:pStyle w:val="ParaNumbering"/>
      </w:pPr>
      <w:r>
        <w:t xml:space="preserve">In </w:t>
      </w:r>
      <w:r w:rsidR="009D1A4B" w:rsidRPr="009D1A4B">
        <w:rPr>
          <w:i/>
        </w:rPr>
        <w:t>Australian Competition and Consumer Commission</w:t>
      </w:r>
      <w:r w:rsidRPr="00DB208A">
        <w:rPr>
          <w:i/>
        </w:rPr>
        <w:t xml:space="preserve"> v GIA Pty Ltd</w:t>
      </w:r>
      <w:r>
        <w:t xml:space="preserve"> </w:t>
      </w:r>
      <w:r w:rsidR="009D1A4B">
        <w:t xml:space="preserve">[2002] ATPR 41-902; </w:t>
      </w:r>
      <w:r>
        <w:t xml:space="preserve">[2002] FCA 1298, the Commission brought charges against GIA Pty Ltd and Mr Eric Thompson, the managing director of the company, alleging contraventions of s 155(5)(b) of the TPA. </w:t>
      </w:r>
      <w:r w:rsidR="00DB208A">
        <w:t xml:space="preserve"> </w:t>
      </w:r>
      <w:r w:rsidR="00401AAD">
        <w:t>Section</w:t>
      </w:r>
      <w:r>
        <w:t xml:space="preserve"> 155(1) notice</w:t>
      </w:r>
      <w:r w:rsidR="00401AAD">
        <w:t>s</w:t>
      </w:r>
      <w:r>
        <w:t xml:space="preserve"> </w:t>
      </w:r>
      <w:r w:rsidR="00E84F3E">
        <w:t xml:space="preserve">had been </w:t>
      </w:r>
      <w:r>
        <w:t>i</w:t>
      </w:r>
      <w:r w:rsidR="00E94C0F">
        <w:t xml:space="preserve">ssued to the </w:t>
      </w:r>
      <w:r w:rsidR="009D1A4B">
        <w:t>defendants</w:t>
      </w:r>
      <w:r w:rsidR="00E94C0F">
        <w:t xml:space="preserve"> requiring</w:t>
      </w:r>
      <w:r>
        <w:t xml:space="preserve"> them to furnish information about the importation, alteration and re-sale of polo shirts from China, which were advertised as fine hand-made Tasmanian knitwear. </w:t>
      </w:r>
      <w:r w:rsidR="00DB208A">
        <w:t xml:space="preserve"> </w:t>
      </w:r>
      <w:r w:rsidR="00530EF7">
        <w:t>Mr Thompson</w:t>
      </w:r>
      <w:r w:rsidR="00E84F3E">
        <w:t xml:space="preserve"> responded to that</w:t>
      </w:r>
      <w:r>
        <w:t xml:space="preserve"> </w:t>
      </w:r>
      <w:r>
        <w:lastRenderedPageBreak/>
        <w:t xml:space="preserve">notice </w:t>
      </w:r>
      <w:r w:rsidR="00530EF7">
        <w:t xml:space="preserve">on behalf of GIA and provided </w:t>
      </w:r>
      <w:r>
        <w:t>false information</w:t>
      </w:r>
      <w:r w:rsidR="00530EF7">
        <w:t xml:space="preserve"> to the </w:t>
      </w:r>
      <w:r w:rsidR="00530EF7" w:rsidRPr="00DF733E">
        <w:t>Commission</w:t>
      </w:r>
      <w:r>
        <w:t xml:space="preserve">. </w:t>
      </w:r>
      <w:r w:rsidR="00DB208A">
        <w:t xml:space="preserve"> </w:t>
      </w:r>
      <w:r w:rsidR="00E84F3E">
        <w:t>All of the</w:t>
      </w:r>
      <w:r>
        <w:t xml:space="preserve"> </w:t>
      </w:r>
      <w:r w:rsidR="009D1A4B">
        <w:t>defendants</w:t>
      </w:r>
      <w:r>
        <w:t xml:space="preserve"> pleaded guilty to </w:t>
      </w:r>
      <w:r w:rsidR="00530EF7">
        <w:t>charge</w:t>
      </w:r>
      <w:r w:rsidR="00E84F3E">
        <w:t>s</w:t>
      </w:r>
      <w:r w:rsidR="00530EF7">
        <w:t xml:space="preserve"> that they had contravened</w:t>
      </w:r>
      <w:r>
        <w:t xml:space="preserve"> s 155(5)(b) of the TPA. </w:t>
      </w:r>
      <w:r w:rsidR="00DB208A">
        <w:t xml:space="preserve"> </w:t>
      </w:r>
      <w:r>
        <w:t xml:space="preserve">GIA was fined $5,000 and Mr Thompson was fined $1,000. </w:t>
      </w:r>
      <w:r w:rsidR="00DB208A">
        <w:t xml:space="preserve"> </w:t>
      </w:r>
      <w:r>
        <w:t xml:space="preserve">In </w:t>
      </w:r>
      <w:r w:rsidR="00E94C0F">
        <w:t>pas</w:t>
      </w:r>
      <w:r>
        <w:t>sing</w:t>
      </w:r>
      <w:r w:rsidR="00E94C0F">
        <w:t xml:space="preserve"> sentence</w:t>
      </w:r>
      <w:r>
        <w:t xml:space="preserve">, Heerey J noted that the conduct of the defendants was </w:t>
      </w:r>
      <w:r w:rsidR="0090568F">
        <w:t>a “serious offence</w:t>
      </w:r>
      <w:r>
        <w:t xml:space="preserve">” </w:t>
      </w:r>
      <w:r w:rsidR="0090568F">
        <w:t>that “hinder[ed] and obstruct[ed] … the protection of consumers” (at [19]).</w:t>
      </w:r>
    </w:p>
    <w:p w:rsidR="000F3F93" w:rsidRDefault="000F3F93" w:rsidP="000F3F93">
      <w:pPr>
        <w:pStyle w:val="ParaNumbering"/>
      </w:pPr>
      <w:r>
        <w:t xml:space="preserve">In </w:t>
      </w:r>
      <w:r w:rsidRPr="00DB208A">
        <w:rPr>
          <w:i/>
        </w:rPr>
        <w:t>Neville</w:t>
      </w:r>
      <w:r>
        <w:t xml:space="preserve">, the </w:t>
      </w:r>
      <w:r w:rsidR="00530EF7">
        <w:t>respondent</w:t>
      </w:r>
      <w:r>
        <w:t xml:space="preserve">, Mr Neville, pleaded guilty to two charges of contravening s 155(5)(b) of the TPA. </w:t>
      </w:r>
      <w:r w:rsidR="00DB208A">
        <w:t xml:space="preserve"> </w:t>
      </w:r>
      <w:r>
        <w:t xml:space="preserve">Mr Neville was a real estate agent who gave </w:t>
      </w:r>
      <w:r w:rsidR="00E94C0F">
        <w:t xml:space="preserve">false and misleading evidence to the Commission </w:t>
      </w:r>
      <w:r w:rsidR="00157BCC">
        <w:t xml:space="preserve">about </w:t>
      </w:r>
      <w:r>
        <w:t xml:space="preserve">his involvement in a scheme to prevent a competing realtor advertising an offer of a “flat fee” commission. </w:t>
      </w:r>
      <w:r w:rsidR="00DB208A">
        <w:t xml:space="preserve"> </w:t>
      </w:r>
      <w:r>
        <w:t xml:space="preserve">Mr Neville was fined $2,160 and ordered to perform 200 hours of community service. </w:t>
      </w:r>
      <w:r w:rsidR="00DB208A">
        <w:t xml:space="preserve"> </w:t>
      </w:r>
      <w:r>
        <w:t xml:space="preserve">Material factors influencing this penalty included that Mr Neville was a 63 year old man with no prior convictions, </w:t>
      </w:r>
      <w:r w:rsidR="00530EF7">
        <w:t xml:space="preserve">that he </w:t>
      </w:r>
      <w:r>
        <w:t>was unlikely to re</w:t>
      </w:r>
      <w:r w:rsidR="00530EF7">
        <w:t>-</w:t>
      </w:r>
      <w:r>
        <w:t xml:space="preserve">offend and </w:t>
      </w:r>
      <w:r w:rsidR="00530EF7">
        <w:t xml:space="preserve">that he </w:t>
      </w:r>
      <w:r>
        <w:t>appreciated the seriousness of his offence.</w:t>
      </w:r>
    </w:p>
    <w:p w:rsidR="000F3F93" w:rsidRDefault="000F3F93" w:rsidP="000F3F93">
      <w:pPr>
        <w:pStyle w:val="ParaNumbering"/>
      </w:pPr>
      <w:r>
        <w:t xml:space="preserve">In </w:t>
      </w:r>
      <w:r w:rsidR="009D1A4B" w:rsidRPr="009D1A4B">
        <w:rPr>
          <w:i/>
        </w:rPr>
        <w:t>Australian Competition and Consumer Commission</w:t>
      </w:r>
      <w:r w:rsidRPr="00DB208A">
        <w:rPr>
          <w:i/>
        </w:rPr>
        <w:t xml:space="preserve"> v Narnia Investments Pty Ltd</w:t>
      </w:r>
      <w:r>
        <w:t xml:space="preserve"> </w:t>
      </w:r>
      <w:r w:rsidR="009D1A4B">
        <w:t xml:space="preserve">[2009] ATPR 42-279; </w:t>
      </w:r>
      <w:r>
        <w:t xml:space="preserve">[2009] FCA 395, Mr Simon Clarke was the sole director of Narnia Investments Pty Ltd (Narnia). </w:t>
      </w:r>
      <w:r w:rsidR="00DB208A">
        <w:t xml:space="preserve"> </w:t>
      </w:r>
      <w:r>
        <w:t xml:space="preserve">Narnia was </w:t>
      </w:r>
      <w:r w:rsidR="00544B5B">
        <w:t>served</w:t>
      </w:r>
      <w:r>
        <w:t xml:space="preserve"> with a s 155(1) notice requiring it to furnish information concerning its sale of a hair replacement solution to a </w:t>
      </w:r>
      <w:r w:rsidR="009D1A4B">
        <w:t xml:space="preserve">person on a </w:t>
      </w:r>
      <w:r>
        <w:t>disab</w:t>
      </w:r>
      <w:r w:rsidR="009D1A4B">
        <w:t>ility pension</w:t>
      </w:r>
      <w:r>
        <w:t xml:space="preserve"> for $15,500. </w:t>
      </w:r>
      <w:r w:rsidR="00DB208A">
        <w:t xml:space="preserve"> </w:t>
      </w:r>
      <w:r w:rsidR="00544B5B">
        <w:t>In</w:t>
      </w:r>
      <w:r>
        <w:t xml:space="preserve"> response</w:t>
      </w:r>
      <w:r w:rsidR="00544B5B">
        <w:t>,</w:t>
      </w:r>
      <w:r>
        <w:t xml:space="preserve"> Mr Clarke furnished false information</w:t>
      </w:r>
      <w:r w:rsidR="00544B5B">
        <w:t xml:space="preserve"> to the </w:t>
      </w:r>
      <w:r w:rsidR="00544B5B" w:rsidRPr="00DF733E">
        <w:t>Commission</w:t>
      </w:r>
      <w:r>
        <w:t xml:space="preserve">. </w:t>
      </w:r>
      <w:r w:rsidR="00DB208A">
        <w:t xml:space="preserve"> </w:t>
      </w:r>
      <w:r w:rsidR="00544B5B">
        <w:t xml:space="preserve">Narnia was subsequently </w:t>
      </w:r>
      <w:r>
        <w:t>charged with an offen</w:t>
      </w:r>
      <w:r w:rsidR="00544B5B">
        <w:t>ce under s 155(5)(b) of the TPA</w:t>
      </w:r>
      <w:r>
        <w:t xml:space="preserve"> a</w:t>
      </w:r>
      <w:r w:rsidR="00544B5B">
        <w:t xml:space="preserve">nd Mr Clarke was charged with aiding and abetting that </w:t>
      </w:r>
      <w:r>
        <w:t xml:space="preserve">offence </w:t>
      </w:r>
      <w:r w:rsidR="00530EF7">
        <w:t>under</w:t>
      </w:r>
      <w:r>
        <w:t xml:space="preserve"> s 11.2 of the </w:t>
      </w:r>
      <w:r w:rsidR="00530EF7" w:rsidRPr="00260FCA">
        <w:rPr>
          <w:i/>
        </w:rPr>
        <w:t xml:space="preserve">Criminal </w:t>
      </w:r>
      <w:r w:rsidRPr="00260FCA">
        <w:rPr>
          <w:i/>
        </w:rPr>
        <w:t>Code</w:t>
      </w:r>
      <w:r w:rsidR="00260FCA" w:rsidRPr="00260FCA">
        <w:rPr>
          <w:i/>
        </w:rPr>
        <w:t xml:space="preserve"> Act 1995</w:t>
      </w:r>
      <w:r w:rsidR="00260FCA">
        <w:t xml:space="preserve"> (Cth)</w:t>
      </w:r>
      <w:r>
        <w:t xml:space="preserve">. </w:t>
      </w:r>
      <w:r w:rsidR="00DB208A">
        <w:t xml:space="preserve"> </w:t>
      </w:r>
      <w:r w:rsidR="00544B5B">
        <w:t xml:space="preserve"> They both </w:t>
      </w:r>
      <w:r>
        <w:t xml:space="preserve">pleaded guilty. </w:t>
      </w:r>
      <w:r w:rsidR="00DB208A">
        <w:t xml:space="preserve"> </w:t>
      </w:r>
      <w:r w:rsidR="00544B5B">
        <w:t>Mr Clarke</w:t>
      </w:r>
      <w:r>
        <w:t xml:space="preserve"> was fined $1,4</w:t>
      </w:r>
      <w:r w:rsidR="00DB208A">
        <w:t>00 and Narnia was fined $5,600.</w:t>
      </w:r>
    </w:p>
    <w:p w:rsidR="000F3F93" w:rsidRDefault="000F3F93" w:rsidP="000F3F93">
      <w:pPr>
        <w:pStyle w:val="ParaNumbering"/>
      </w:pPr>
      <w:r>
        <w:t xml:space="preserve">In </w:t>
      </w:r>
      <w:r w:rsidR="00B06A7C" w:rsidRPr="00B06A7C">
        <w:rPr>
          <w:i/>
        </w:rPr>
        <w:t>Australian Competition and Consumer Commission</w:t>
      </w:r>
      <w:r w:rsidRPr="00DB208A">
        <w:rPr>
          <w:i/>
        </w:rPr>
        <w:t xml:space="preserve"> v Boyle</w:t>
      </w:r>
      <w:r>
        <w:t xml:space="preserve"> [2015] FCA 1039,</w:t>
      </w:r>
      <w:r w:rsidR="00DB208A">
        <w:t xml:space="preserve"> </w:t>
      </w:r>
      <w:r>
        <w:t xml:space="preserve">Mr Boyle was </w:t>
      </w:r>
      <w:r w:rsidR="00544B5B">
        <w:t>serv</w:t>
      </w:r>
      <w:r>
        <w:t>ed with two s 155(1) notices to give evidence and attend an examination</w:t>
      </w:r>
      <w:r w:rsidR="00544B5B" w:rsidRPr="00544B5B">
        <w:t xml:space="preserve"> </w:t>
      </w:r>
      <w:r w:rsidR="00544B5B">
        <w:t xml:space="preserve">about an oral spray product called SensaSlim, which purported to </w:t>
      </w:r>
      <w:r w:rsidR="00401AAD">
        <w:t>effect</w:t>
      </w:r>
      <w:r w:rsidR="00544B5B">
        <w:t xml:space="preserve"> weight loss.</w:t>
      </w:r>
      <w:r>
        <w:t xml:space="preserve"> </w:t>
      </w:r>
      <w:r w:rsidR="00544B5B">
        <w:t xml:space="preserve"> In response, he</w:t>
      </w:r>
      <w:r>
        <w:t xml:space="preserve"> provided false information</w:t>
      </w:r>
      <w:r w:rsidR="00530EF7">
        <w:t>.</w:t>
      </w:r>
      <w:r w:rsidR="00544B5B">
        <w:t xml:space="preserve"> </w:t>
      </w:r>
      <w:r w:rsidR="00530EF7">
        <w:t xml:space="preserve"> In </w:t>
      </w:r>
      <w:r>
        <w:t xml:space="preserve">particular, </w:t>
      </w:r>
      <w:r w:rsidR="00530EF7">
        <w:t>he denied any</w:t>
      </w:r>
      <w:r w:rsidR="00544B5B">
        <w:t xml:space="preserve"> knowledge of a </w:t>
      </w:r>
      <w:r>
        <w:t xml:space="preserve">Mr Foster </w:t>
      </w:r>
      <w:r w:rsidR="00544B5B">
        <w:t xml:space="preserve">who was involved with the sale of the </w:t>
      </w:r>
      <w:r>
        <w:t>SensaSlim</w:t>
      </w:r>
      <w:r w:rsidR="00544B5B">
        <w:t xml:space="preserve"> product</w:t>
      </w:r>
      <w:r>
        <w:t xml:space="preserve">. </w:t>
      </w:r>
      <w:r w:rsidR="00DB208A">
        <w:t xml:space="preserve"> </w:t>
      </w:r>
      <w:r>
        <w:t xml:space="preserve">Mr Boyle </w:t>
      </w:r>
      <w:r w:rsidR="00544B5B">
        <w:t xml:space="preserve">claimed </w:t>
      </w:r>
      <w:r>
        <w:t xml:space="preserve">that he had </w:t>
      </w:r>
      <w:r w:rsidR="00544B5B">
        <w:t xml:space="preserve">provided this false information </w:t>
      </w:r>
      <w:r>
        <w:t>because threats had been made against him.</w:t>
      </w:r>
      <w:r w:rsidR="00DB208A">
        <w:t xml:space="preserve"> </w:t>
      </w:r>
      <w:r>
        <w:t xml:space="preserve"> The </w:t>
      </w:r>
      <w:r w:rsidR="00DB208A">
        <w:t xml:space="preserve">Court </w:t>
      </w:r>
      <w:r>
        <w:t>accepted that a psychiatric conditi</w:t>
      </w:r>
      <w:r w:rsidR="00DB208A">
        <w:t xml:space="preserve">on </w:t>
      </w:r>
      <w:r w:rsidR="00544B5B">
        <w:t xml:space="preserve">from which he was suffering </w:t>
      </w:r>
      <w:r w:rsidR="00DB208A">
        <w:t xml:space="preserve">had affected his perception </w:t>
      </w:r>
      <w:r>
        <w:t>o</w:t>
      </w:r>
      <w:r w:rsidR="00DB208A">
        <w:t>f</w:t>
      </w:r>
      <w:r>
        <w:t xml:space="preserve"> the seriousness of the threats</w:t>
      </w:r>
      <w:r w:rsidR="008B0796">
        <w:t xml:space="preserve"> concerned</w:t>
      </w:r>
      <w:r>
        <w:t xml:space="preserve">. </w:t>
      </w:r>
      <w:r w:rsidR="00DB208A">
        <w:t xml:space="preserve"> </w:t>
      </w:r>
      <w:r>
        <w:t xml:space="preserve">He pleaded guilty to two </w:t>
      </w:r>
      <w:r w:rsidR="00530EF7">
        <w:t>charges</w:t>
      </w:r>
      <w:r>
        <w:t xml:space="preserve"> under s 155(5)(b) and was fined $3,500</w:t>
      </w:r>
      <w:r w:rsidR="00B06A7C">
        <w:t>;</w:t>
      </w:r>
      <w:r w:rsidR="00092C39">
        <w:t xml:space="preserve"> in default</w:t>
      </w:r>
      <w:r w:rsidR="00B06A7C">
        <w:t>,</w:t>
      </w:r>
      <w:r w:rsidR="00DB208A">
        <w:t xml:space="preserve"> two</w:t>
      </w:r>
      <w:r>
        <w:t xml:space="preserve"> months’</w:t>
      </w:r>
      <w:r w:rsidR="00DB208A">
        <w:t xml:space="preserve"> imprisonment.</w:t>
      </w:r>
    </w:p>
    <w:p w:rsidR="00544B5B" w:rsidRDefault="00544B5B" w:rsidP="000F3F93">
      <w:pPr>
        <w:pStyle w:val="ParaNumbering"/>
      </w:pPr>
      <w:r>
        <w:t xml:space="preserve">All of the </w:t>
      </w:r>
      <w:r w:rsidR="00530EF7">
        <w:t>above decisions</w:t>
      </w:r>
      <w:r>
        <w:t xml:space="preserve"> involved charges of providing false information or </w:t>
      </w:r>
      <w:r w:rsidRPr="00DF733E">
        <w:t>evidence</w:t>
      </w:r>
      <w:r>
        <w:t xml:space="preserve"> to the </w:t>
      </w:r>
      <w:r w:rsidRPr="00DF733E">
        <w:t>Commission</w:t>
      </w:r>
      <w:r>
        <w:t xml:space="preserve"> in response to a notice served under s 155(1) of the TPA rather than</w:t>
      </w:r>
      <w:r w:rsidR="00092C39">
        <w:t xml:space="preserve">, as in this </w:t>
      </w:r>
      <w:r w:rsidR="00092C39">
        <w:lastRenderedPageBreak/>
        <w:t>case,</w:t>
      </w:r>
      <w:r>
        <w:t xml:space="preserve"> a charge of failing to comply with such a notice.  However, in </w:t>
      </w:r>
      <w:r w:rsidRPr="00DB208A">
        <w:rPr>
          <w:i/>
        </w:rPr>
        <w:t>Rana</w:t>
      </w:r>
      <w:r>
        <w:t>, North J was required to deal with the latter situation.  Significantly, h</w:t>
      </w:r>
      <w:r w:rsidRPr="00A24567">
        <w:t>is Honour</w:t>
      </w:r>
      <w:r>
        <w:t xml:space="preserve"> rejected a </w:t>
      </w:r>
      <w:r>
        <w:rPr>
          <w:rFonts w:eastAsia="Times New Roman"/>
        </w:rPr>
        <w:t xml:space="preserve">submission made on behalf of the </w:t>
      </w:r>
      <w:r w:rsidRPr="00544B5B">
        <w:rPr>
          <w:rFonts w:eastAsia="Times New Roman"/>
        </w:rPr>
        <w:t>defendant</w:t>
      </w:r>
      <w:r>
        <w:rPr>
          <w:rFonts w:eastAsia="Times New Roman"/>
        </w:rPr>
        <w:t xml:space="preserve"> that “there is less culpability in a failure to respond to a s 155 notice at all than by providing a misleading or false response”</w:t>
      </w:r>
      <w:r w:rsidR="00B06A7C">
        <w:rPr>
          <w:rFonts w:eastAsia="Times New Roman"/>
        </w:rPr>
        <w:t xml:space="preserve">:  </w:t>
      </w:r>
      <w:r>
        <w:rPr>
          <w:rFonts w:eastAsia="Times New Roman"/>
        </w:rPr>
        <w:t xml:space="preserve">see </w:t>
      </w:r>
      <w:r w:rsidRPr="00544B5B">
        <w:rPr>
          <w:rFonts w:eastAsia="Times New Roman"/>
          <w:i/>
        </w:rPr>
        <w:t>Rana</w:t>
      </w:r>
      <w:r w:rsidR="00B06A7C">
        <w:rPr>
          <w:rFonts w:eastAsia="Times New Roman"/>
        </w:rPr>
        <w:t xml:space="preserve"> at [64]</w:t>
      </w:r>
      <w:r>
        <w:rPr>
          <w:rFonts w:eastAsia="Times New Roman"/>
        </w:rPr>
        <w:t>.</w:t>
      </w:r>
      <w:r>
        <w:t xml:space="preserve">  </w:t>
      </w:r>
      <w:r w:rsidR="00092C39">
        <w:t xml:space="preserve">I respectfully agree with that approach.  </w:t>
      </w:r>
      <w:r>
        <w:t xml:space="preserve">In </w:t>
      </w:r>
      <w:r w:rsidRPr="00544B5B">
        <w:rPr>
          <w:i/>
        </w:rPr>
        <w:t>Rana</w:t>
      </w:r>
      <w:r>
        <w:t>, Mr Paul Rana was the director of three entities, collectively referred to as the NuEra companies.  His son, Mr Miche</w:t>
      </w:r>
      <w:r w:rsidR="00B06A7C">
        <w:t>a</w:t>
      </w:r>
      <w:r>
        <w:t>l Rana, was the sole director of a separate company, although it was accepted he was under the influence of his father.  Mr Paul Rana, Mr Mich</w:t>
      </w:r>
      <w:r w:rsidR="00B06A7C">
        <w:t>ea</w:t>
      </w:r>
      <w:r>
        <w:t xml:space="preserve">l Rana and the NuEra companies were each served with s 155(1) notices requiring them to furnish information and documents concerning representations the NuEra companies had made to the effect that </w:t>
      </w:r>
      <w:r w:rsidR="00530EF7">
        <w:t>a particular</w:t>
      </w:r>
      <w:r>
        <w:t xml:space="preserve"> system </w:t>
      </w:r>
      <w:r w:rsidR="00530EF7">
        <w:t xml:space="preserve">promoted by them </w:t>
      </w:r>
      <w:r>
        <w:t>was suitable for treating terminal illness.  Mr Paul Rana pleaded guilty to refu</w:t>
      </w:r>
      <w:r w:rsidR="00530EF7">
        <w:t>sing or failing to comply with the</w:t>
      </w:r>
      <w:r>
        <w:t xml:space="preserve"> s 155 notice issued to him personally and he also pleaded guilty to aiding, abetting, counselling or procu</w:t>
      </w:r>
      <w:r w:rsidR="00530EF7">
        <w:t>ring one of the NuEra companies</w:t>
      </w:r>
      <w:r>
        <w:t xml:space="preserve"> </w:t>
      </w:r>
      <w:r w:rsidR="00530EF7">
        <w:t>in failing</w:t>
      </w:r>
      <w:r>
        <w:t xml:space="preserve"> to comply with </w:t>
      </w:r>
      <w:r w:rsidR="00530EF7">
        <w:t>the</w:t>
      </w:r>
      <w:r>
        <w:t xml:space="preserve"> notice issue</w:t>
      </w:r>
      <w:r w:rsidR="00530EF7">
        <w:t>d</w:t>
      </w:r>
      <w:r>
        <w:t xml:space="preserve"> to it.  In separate proceedings, he was found guilty (after two pleas of not guilty) of the same offence in re</w:t>
      </w:r>
      <w:r w:rsidR="00530EF7">
        <w:t>spect of two other NuEra companies</w:t>
      </w:r>
      <w:r w:rsidR="00B06A7C">
        <w:t>.  His son, Mich</w:t>
      </w:r>
      <w:r>
        <w:t>e</w:t>
      </w:r>
      <w:r w:rsidR="00B06A7C">
        <w:t>a</w:t>
      </w:r>
      <w:r>
        <w:t>l Rana, pleaded guilty to one such offence.  Mr Paul Rana was sentenced to six months</w:t>
      </w:r>
      <w:r w:rsidR="008B0796">
        <w:t>’</w:t>
      </w:r>
      <w:r w:rsidR="00B06A7C">
        <w:t xml:space="preserve"> imprisonment.  Mr Mich</w:t>
      </w:r>
      <w:r>
        <w:t>e</w:t>
      </w:r>
      <w:r w:rsidR="00B06A7C">
        <w:t>a</w:t>
      </w:r>
      <w:r>
        <w:t>l Rana was sentenced to two months</w:t>
      </w:r>
      <w:r w:rsidR="008B0796">
        <w:t>’</w:t>
      </w:r>
      <w:r>
        <w:t xml:space="preserve"> imprisonment</w:t>
      </w:r>
      <w:r w:rsidR="00092C39">
        <w:t>,</w:t>
      </w:r>
      <w:r>
        <w:t xml:space="preserve"> </w:t>
      </w:r>
      <w:r w:rsidR="00092C39">
        <w:t xml:space="preserve">but </w:t>
      </w:r>
      <w:r>
        <w:t>release</w:t>
      </w:r>
      <w:r w:rsidR="00092C39">
        <w:t>d</w:t>
      </w:r>
      <w:r>
        <w:t xml:space="preserve"> on </w:t>
      </w:r>
      <w:r w:rsidR="003D0413">
        <w:t xml:space="preserve">a </w:t>
      </w:r>
      <w:r>
        <w:t xml:space="preserve">recognisance of $1,000, </w:t>
      </w:r>
      <w:r w:rsidR="003D0413">
        <w:t xml:space="preserve">to be of </w:t>
      </w:r>
      <w:r>
        <w:t>good behaviour</w:t>
      </w:r>
      <w:r w:rsidR="003D0413">
        <w:t xml:space="preserve"> for 18 months</w:t>
      </w:r>
      <w:r>
        <w:t>.</w:t>
      </w:r>
    </w:p>
    <w:p w:rsidR="00E67649" w:rsidRDefault="00E67649" w:rsidP="00E67649">
      <w:pPr>
        <w:pStyle w:val="Heading1"/>
      </w:pPr>
      <w:r>
        <w:t>The appropriate penalty</w:t>
      </w:r>
    </w:p>
    <w:p w:rsidR="000F3F93" w:rsidRDefault="00E67649" w:rsidP="00E67649">
      <w:pPr>
        <w:pStyle w:val="ParaNumbering"/>
      </w:pPr>
      <w:r>
        <w:t xml:space="preserve">In all the circumstances of this case outlined above, I do not consider a term of imprisonment is warranted.  Furthermore, given Mr Davies’ present financial circumstances, I do not consider a fine is the most appropriate penalty.  If he accurately described his financial circumstances to me, they are likely to result in him defaulting in the payment of any fine I impose.  Accordingly, imposing a fine would be tantamount to imposing a term of imprisonment which, as I have already observed, is not warranted in this case.  Instead, I consider the most appropriate penalty in all the circumstances is an order under s 20AB(1) of the Crimes Act that Mr Davies serve 200 hours of community service.  This penalty will serve to reflect the Court’s condemnation of Mr Davies’ conduct and serve as a general deterrence for any other members of the public who may consider taking the same approach as Mr Davies when served with a notice under s 155(1) of the </w:t>
      </w:r>
      <w:proofErr w:type="spellStart"/>
      <w:r>
        <w:t>TPA</w:t>
      </w:r>
      <w:proofErr w:type="spellEnd"/>
      <w:r>
        <w:t>, or any similar legislative provisions.</w:t>
      </w:r>
    </w:p>
    <w:p w:rsidR="00352E43" w:rsidRDefault="00352E43" w:rsidP="00352E43">
      <w:pPr>
        <w:pStyle w:val="BodyText"/>
        <w:keepNext/>
        <w:widowControl w:val="0"/>
      </w:pPr>
      <w:bookmarkStart w:id="21" w:name="Certification"/>
    </w:p>
    <w:tbl>
      <w:tblPr>
        <w:tblW w:w="0" w:type="auto"/>
        <w:tblLook w:val="04A0" w:firstRow="1" w:lastRow="0" w:firstColumn="1" w:lastColumn="0" w:noHBand="0" w:noVBand="1"/>
      </w:tblPr>
      <w:tblGrid>
        <w:gridCol w:w="3794"/>
      </w:tblGrid>
      <w:tr w:rsidR="00352E43" w:rsidRPr="00352E43">
        <w:tc>
          <w:tcPr>
            <w:tcW w:w="3794" w:type="dxa"/>
            <w:shd w:val="clear" w:color="auto" w:fill="auto"/>
          </w:tcPr>
          <w:p w:rsidR="00352E43" w:rsidRPr="00352E43" w:rsidRDefault="00352E43" w:rsidP="00352E43">
            <w:pPr>
              <w:pStyle w:val="Normal1linespace"/>
              <w:keepNext/>
              <w:widowControl w:val="0"/>
            </w:pPr>
            <w:r w:rsidRPr="00352E43">
              <w:t xml:space="preserve">I certify that the preceding </w:t>
            </w:r>
            <w:bookmarkStart w:id="22" w:name="NumberWord"/>
            <w:r>
              <w:t>twenty-three</w:t>
            </w:r>
            <w:bookmarkEnd w:id="22"/>
            <w:r w:rsidRPr="00352E43">
              <w:t xml:space="preserve"> (</w:t>
            </w:r>
            <w:bookmarkStart w:id="23" w:name="NumberNumeral"/>
            <w:r>
              <w:t>23</w:t>
            </w:r>
            <w:bookmarkEnd w:id="23"/>
            <w:r w:rsidRPr="00352E43">
              <w:t xml:space="preserve">) numbered </w:t>
            </w:r>
            <w:bookmarkStart w:id="24" w:name="CertPara"/>
            <w:r>
              <w:t>paragraphs are</w:t>
            </w:r>
            <w:bookmarkEnd w:id="24"/>
            <w:r w:rsidRPr="00352E43">
              <w:t xml:space="preserve"> a true copy of the Reasons for Judgment herein of the Honourable </w:t>
            </w:r>
            <w:bookmarkStart w:id="25" w:name="Justice"/>
            <w:r>
              <w:t>Justice Reeves</w:t>
            </w:r>
            <w:bookmarkEnd w:id="25"/>
            <w:r w:rsidRPr="00352E43">
              <w:t>.</w:t>
            </w:r>
          </w:p>
        </w:tc>
      </w:tr>
    </w:tbl>
    <w:p w:rsidR="00352E43" w:rsidRDefault="00352E43" w:rsidP="00815065">
      <w:pPr>
        <w:pStyle w:val="BodyText"/>
      </w:pPr>
    </w:p>
    <w:p w:rsidR="00352E43" w:rsidRDefault="00352E43" w:rsidP="00815065">
      <w:pPr>
        <w:pStyle w:val="BodyText"/>
      </w:pPr>
      <w:bookmarkStart w:id="26" w:name="_GoBack"/>
      <w:bookmarkEnd w:id="26"/>
    </w:p>
    <w:p w:rsidR="00352E43" w:rsidRDefault="00352E43" w:rsidP="00815065">
      <w:pPr>
        <w:pStyle w:val="BodyText"/>
      </w:pPr>
      <w:r>
        <w:t>Associate:</w:t>
      </w:r>
    </w:p>
    <w:p w:rsidR="00352E43" w:rsidRDefault="00352E43" w:rsidP="00815065">
      <w:pPr>
        <w:pStyle w:val="BodyText"/>
      </w:pPr>
    </w:p>
    <w:p w:rsidR="00352E43" w:rsidRDefault="00352E43" w:rsidP="00815065">
      <w:pPr>
        <w:pStyle w:val="BodyText"/>
        <w:tabs>
          <w:tab w:val="left" w:pos="1134"/>
        </w:tabs>
      </w:pPr>
      <w:r>
        <w:t>Dated:</w:t>
      </w:r>
      <w:r>
        <w:tab/>
      </w:r>
      <w:bookmarkStart w:id="27" w:name="CertifyDated"/>
      <w:r>
        <w:t>20 November 2015</w:t>
      </w:r>
      <w:bookmarkEnd w:id="27"/>
    </w:p>
    <w:p w:rsidR="00352E43" w:rsidRDefault="00352E43" w:rsidP="00815065">
      <w:pPr>
        <w:pStyle w:val="BodyText"/>
      </w:pPr>
    </w:p>
    <w:bookmarkEnd w:id="21"/>
    <w:p w:rsidR="008B0796" w:rsidRPr="000F3F93" w:rsidRDefault="008B0796" w:rsidP="00092C39">
      <w:pPr>
        <w:pStyle w:val="NoNum"/>
      </w:pPr>
    </w:p>
    <w:sectPr w:rsidR="008B0796" w:rsidRPr="000F3F93">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0F" w:rsidRDefault="00E94C0F">
      <w:pPr>
        <w:spacing w:line="20" w:lineRule="exact"/>
      </w:pPr>
    </w:p>
    <w:p w:rsidR="00E94C0F" w:rsidRDefault="00E94C0F"/>
    <w:p w:rsidR="00E94C0F" w:rsidRDefault="00E94C0F"/>
  </w:endnote>
  <w:endnote w:type="continuationSeparator" w:id="0">
    <w:p w:rsidR="00E94C0F" w:rsidRDefault="00E94C0F">
      <w:r>
        <w:t xml:space="preserve"> </w:t>
      </w:r>
    </w:p>
    <w:p w:rsidR="00E94C0F" w:rsidRDefault="00E94C0F"/>
    <w:p w:rsidR="00E94C0F" w:rsidRDefault="00E94C0F"/>
  </w:endnote>
  <w:endnote w:type="continuationNotice" w:id="1">
    <w:p w:rsidR="00E94C0F" w:rsidRDefault="00E94C0F">
      <w:r>
        <w:t xml:space="preserve"> </w:t>
      </w:r>
    </w:p>
    <w:p w:rsidR="00E94C0F" w:rsidRDefault="00E94C0F"/>
    <w:p w:rsidR="00E94C0F" w:rsidRDefault="00E94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0F" w:rsidRPr="00E95772" w:rsidRDefault="00E94C0F" w:rsidP="00E95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0F" w:rsidRPr="00E95772" w:rsidRDefault="00E94C0F" w:rsidP="00E95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0F" w:rsidRDefault="00E94C0F"/>
    <w:p w:rsidR="00E94C0F" w:rsidRDefault="00E94C0F"/>
    <w:p w:rsidR="00E94C0F" w:rsidRDefault="00E94C0F"/>
  </w:footnote>
  <w:footnote w:type="continuationSeparator" w:id="0">
    <w:p w:rsidR="00E94C0F" w:rsidRDefault="00E94C0F">
      <w:r>
        <w:continuationSeparator/>
      </w:r>
    </w:p>
    <w:p w:rsidR="00E94C0F" w:rsidRDefault="00E94C0F"/>
    <w:p w:rsidR="00E94C0F" w:rsidRDefault="00E94C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0F" w:rsidRDefault="00E94C0F">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D15018">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0F" w:rsidRDefault="00E94C0F">
    <w:pPr>
      <w:tabs>
        <w:tab w:val="center" w:pos="4512"/>
      </w:tabs>
      <w:suppressAutoHyphens/>
    </w:pPr>
    <w:r>
      <w:tab/>
      <w:t xml:space="preserve">- </w:t>
    </w:r>
    <w:r>
      <w:fldChar w:fldCharType="begin"/>
    </w:r>
    <w:r>
      <w:instrText>page \* arabic</w:instrText>
    </w:r>
    <w:r>
      <w:fldChar w:fldCharType="separate"/>
    </w:r>
    <w:r w:rsidR="004277F7">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0F" w:rsidRDefault="00E94C0F">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0F" w:rsidRDefault="00E94C0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0F" w:rsidRDefault="00E94C0F">
    <w:pPr>
      <w:tabs>
        <w:tab w:val="center" w:pos="4512"/>
      </w:tabs>
      <w:suppressAutoHyphens/>
    </w:pPr>
    <w:r>
      <w:tab/>
      <w:t xml:space="preserve">- </w:t>
    </w:r>
    <w:r>
      <w:fldChar w:fldCharType="begin"/>
    </w:r>
    <w:r>
      <w:instrText>page \* arabic</w:instrText>
    </w:r>
    <w:r>
      <w:fldChar w:fldCharType="separate"/>
    </w:r>
    <w:r w:rsidR="00D15018">
      <w:rPr>
        <w:noProof/>
      </w:rPr>
      <w:t>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0F" w:rsidRDefault="00E94C0F">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lvlOverride w:ilvl="0">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num>
  <w:num w:numId="24">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5">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6">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ustralian Competition and Consumer Commission"/>
    <w:docVar w:name="CounselParties" w:val="Respondent"/>
    <w:docVar w:name="CounselType" w:val="Counsel for the "/>
    <w:docVar w:name="Division" w:val="GENERAL DIVISION"/>
    <w:docVar w:name="DocCreated" w:val="True"/>
    <w:docVar w:name="FileNumbers" w:val="QUD 530 of 2014"/>
    <w:docVar w:name="FullCourt" w:val="False"/>
    <w:docVar w:name="HearingDate" w:val="12 November 2015"/>
    <w:docVar w:name="Judgdate" w:val="20 November 2015"/>
    <w:docVar w:name="Judge" w:val="Reeves"/>
    <w:docVar w:name="JudgePlace" w:val="BRISBANE"/>
    <w:docVar w:name="lstEntryList" w:val="-1"/>
    <w:docVar w:name="myEntryList" w:val="Counsel for the Applicant=Ms AJ Stoker|Solicitor for the Applicant=CDPP|Counsel for the Respondent=The Respondent appeared in person"/>
    <w:docVar w:name="NSD" w:val="NSD QUD 530 of 2014"/>
    <w:docVar w:name="NumApps" w:val="1"/>
    <w:docVar w:name="NumApps_" w:val="1"/>
    <w:docVar w:name="NumJudges" w:val="Single Judge"/>
    <w:docVar w:name="Parties" w:val="Respondent"/>
    <w:docVar w:name="Place_SentenceCase" w:val="Brisbane"/>
    <w:docVar w:name="Respondent" w:val="Robert Paul Davies"/>
    <w:docVar w:name="ResState" w:val="QUEENSLAND"/>
    <w:docVar w:name="Single" w:val="True"/>
  </w:docVars>
  <w:rsids>
    <w:rsidRoot w:val="000F3F93"/>
    <w:rsid w:val="000632B0"/>
    <w:rsid w:val="00092C39"/>
    <w:rsid w:val="000D2137"/>
    <w:rsid w:val="000F3F93"/>
    <w:rsid w:val="000F6586"/>
    <w:rsid w:val="001128BD"/>
    <w:rsid w:val="00124974"/>
    <w:rsid w:val="00125F92"/>
    <w:rsid w:val="00147723"/>
    <w:rsid w:val="00150E2E"/>
    <w:rsid w:val="00157BCC"/>
    <w:rsid w:val="001727A4"/>
    <w:rsid w:val="001738AB"/>
    <w:rsid w:val="00187BBC"/>
    <w:rsid w:val="001B14AC"/>
    <w:rsid w:val="001B7940"/>
    <w:rsid w:val="001E3B49"/>
    <w:rsid w:val="001E7388"/>
    <w:rsid w:val="002535D0"/>
    <w:rsid w:val="002602C2"/>
    <w:rsid w:val="00260FCA"/>
    <w:rsid w:val="00274F5B"/>
    <w:rsid w:val="00280836"/>
    <w:rsid w:val="002A1B50"/>
    <w:rsid w:val="002B0E91"/>
    <w:rsid w:val="002C31AD"/>
    <w:rsid w:val="002C7385"/>
    <w:rsid w:val="002E7EDE"/>
    <w:rsid w:val="002F1E49"/>
    <w:rsid w:val="002F4E9C"/>
    <w:rsid w:val="00305E1F"/>
    <w:rsid w:val="00311051"/>
    <w:rsid w:val="003463FE"/>
    <w:rsid w:val="00352E43"/>
    <w:rsid w:val="00356632"/>
    <w:rsid w:val="003845A9"/>
    <w:rsid w:val="00390883"/>
    <w:rsid w:val="00395B24"/>
    <w:rsid w:val="003A2D38"/>
    <w:rsid w:val="003B25C5"/>
    <w:rsid w:val="003B2C72"/>
    <w:rsid w:val="003C20FF"/>
    <w:rsid w:val="003D0413"/>
    <w:rsid w:val="003F193E"/>
    <w:rsid w:val="00401AAD"/>
    <w:rsid w:val="004277F7"/>
    <w:rsid w:val="00435E99"/>
    <w:rsid w:val="00451850"/>
    <w:rsid w:val="00452C4A"/>
    <w:rsid w:val="00472027"/>
    <w:rsid w:val="0049417F"/>
    <w:rsid w:val="004A6D67"/>
    <w:rsid w:val="004D53E5"/>
    <w:rsid w:val="004D7226"/>
    <w:rsid w:val="0051346D"/>
    <w:rsid w:val="00513EAE"/>
    <w:rsid w:val="00530EF7"/>
    <w:rsid w:val="005359EB"/>
    <w:rsid w:val="0054254A"/>
    <w:rsid w:val="00544B5B"/>
    <w:rsid w:val="005466B5"/>
    <w:rsid w:val="005A4DF8"/>
    <w:rsid w:val="005C1767"/>
    <w:rsid w:val="005C42EF"/>
    <w:rsid w:val="005E02F5"/>
    <w:rsid w:val="005E176E"/>
    <w:rsid w:val="005E35A0"/>
    <w:rsid w:val="00624520"/>
    <w:rsid w:val="00636871"/>
    <w:rsid w:val="00643DE0"/>
    <w:rsid w:val="00644E85"/>
    <w:rsid w:val="00662BB0"/>
    <w:rsid w:val="006A5695"/>
    <w:rsid w:val="006B3904"/>
    <w:rsid w:val="006B5B7D"/>
    <w:rsid w:val="006C3795"/>
    <w:rsid w:val="006D0ECF"/>
    <w:rsid w:val="00707218"/>
    <w:rsid w:val="00712B1D"/>
    <w:rsid w:val="007254E4"/>
    <w:rsid w:val="007325D9"/>
    <w:rsid w:val="007929CF"/>
    <w:rsid w:val="007D561F"/>
    <w:rsid w:val="00831927"/>
    <w:rsid w:val="0084273D"/>
    <w:rsid w:val="00845A83"/>
    <w:rsid w:val="008A5A70"/>
    <w:rsid w:val="008B0796"/>
    <w:rsid w:val="008C6D50"/>
    <w:rsid w:val="008E6315"/>
    <w:rsid w:val="009054CB"/>
    <w:rsid w:val="0090568F"/>
    <w:rsid w:val="00967855"/>
    <w:rsid w:val="00980736"/>
    <w:rsid w:val="009B13FA"/>
    <w:rsid w:val="009B1E2D"/>
    <w:rsid w:val="009B63F2"/>
    <w:rsid w:val="009D1A4B"/>
    <w:rsid w:val="009E4FA6"/>
    <w:rsid w:val="009E7D93"/>
    <w:rsid w:val="00A03EAC"/>
    <w:rsid w:val="00A06F17"/>
    <w:rsid w:val="00A071EE"/>
    <w:rsid w:val="00A11CA6"/>
    <w:rsid w:val="00A20C49"/>
    <w:rsid w:val="00A359AC"/>
    <w:rsid w:val="00A64AEE"/>
    <w:rsid w:val="00A950B6"/>
    <w:rsid w:val="00AB41C1"/>
    <w:rsid w:val="00B06A7C"/>
    <w:rsid w:val="00B27983"/>
    <w:rsid w:val="00BA3DBC"/>
    <w:rsid w:val="00BB2DA2"/>
    <w:rsid w:val="00BB56DC"/>
    <w:rsid w:val="00BC2B8D"/>
    <w:rsid w:val="00C36442"/>
    <w:rsid w:val="00D10F21"/>
    <w:rsid w:val="00D15018"/>
    <w:rsid w:val="00D375EE"/>
    <w:rsid w:val="00D9725F"/>
    <w:rsid w:val="00DA14ED"/>
    <w:rsid w:val="00DB208A"/>
    <w:rsid w:val="00DB3DE1"/>
    <w:rsid w:val="00DB716C"/>
    <w:rsid w:val="00DD4236"/>
    <w:rsid w:val="00E027BC"/>
    <w:rsid w:val="00E14EA5"/>
    <w:rsid w:val="00E4039F"/>
    <w:rsid w:val="00E5606C"/>
    <w:rsid w:val="00E5670C"/>
    <w:rsid w:val="00E67649"/>
    <w:rsid w:val="00E76E45"/>
    <w:rsid w:val="00E80327"/>
    <w:rsid w:val="00E81E58"/>
    <w:rsid w:val="00E84F3E"/>
    <w:rsid w:val="00E94C0F"/>
    <w:rsid w:val="00E95772"/>
    <w:rsid w:val="00EA4E2E"/>
    <w:rsid w:val="00EB2CCB"/>
    <w:rsid w:val="00EB3AEA"/>
    <w:rsid w:val="00ED7DD9"/>
    <w:rsid w:val="00EF3113"/>
    <w:rsid w:val="00EF3F84"/>
    <w:rsid w:val="00F176AC"/>
    <w:rsid w:val="00F268DA"/>
    <w:rsid w:val="00F27714"/>
    <w:rsid w:val="00F50E34"/>
    <w:rsid w:val="00F50F80"/>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352E4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352E4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13</Pages>
  <Words>3889</Words>
  <Characters>20107</Characters>
  <Application>Microsoft Office Word</Application>
  <DocSecurity>0</DocSecurity>
  <Lines>490</Lines>
  <Paragraphs>179</Paragraphs>
  <ScaleCrop>false</ScaleCrop>
  <HeadingPairs>
    <vt:vector size="2" baseType="variant">
      <vt:variant>
        <vt:lpstr>Title</vt:lpstr>
      </vt:variant>
      <vt:variant>
        <vt:i4>1</vt:i4>
      </vt:variant>
    </vt:vector>
  </HeadingPairs>
  <TitlesOfParts>
    <vt:vector size="1" baseType="lpstr">
      <vt:lpstr>Australian Competition and Consumer Commission v Davies (No 2) [2015] FCA 1290</vt:lpstr>
    </vt:vector>
  </TitlesOfParts>
  <Company>Federal Court of Australia</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Davies (No 2) [2015] FCA 1290</dc:title>
  <dc:creator>Dorothy White</dc:creator>
  <cp:lastModifiedBy>Anna Masters</cp:lastModifiedBy>
  <cp:revision>4</cp:revision>
  <cp:lastPrinted>2015-11-20T00:38:00Z</cp:lastPrinted>
  <dcterms:created xsi:type="dcterms:W3CDTF">2015-11-23T04:19:00Z</dcterms:created>
  <dcterms:modified xsi:type="dcterms:W3CDTF">2015-11-23T04:21:00Z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REEVES J</vt:lpwstr>
  </property>
  <property fmtid="{D5CDD505-2E9C-101B-9397-08002B2CF9AE}" pid="4" name="Judgment_dated" linkTarget="Judgment_dated">
    <vt:lpwstr>20 NOVEMBER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QUD 530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