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5D684" w14:textId="77777777" w:rsidR="00210A6C" w:rsidRDefault="00210A6C" w:rsidP="00534E82">
      <w:pPr>
        <w:pStyle w:val="CourtTitle"/>
        <w:jc w:val="both"/>
      </w:pPr>
    </w:p>
    <w:p w14:paraId="21D3675D" w14:textId="77777777" w:rsidR="00395B24" w:rsidRDefault="007B2C12" w:rsidP="00A22932">
      <w:pPr>
        <w:pStyle w:val="CourtTitle"/>
      </w:pPr>
      <w:fldSimple w:instr=" DOCPROPERTY  Court  \* MERGEFORMAT ">
        <w:r w:rsidR="002A3F9D">
          <w:t>Federal Court of Australia</w:t>
        </w:r>
      </w:fldSimple>
    </w:p>
    <w:p w14:paraId="4631135B" w14:textId="77777777" w:rsidR="004D7950" w:rsidRDefault="004D7950">
      <w:pPr>
        <w:pStyle w:val="NormalHeadings"/>
        <w:jc w:val="center"/>
        <w:rPr>
          <w:sz w:val="32"/>
        </w:rPr>
      </w:pPr>
    </w:p>
    <w:bookmarkStart w:id="0" w:name="MNC"/>
    <w:p w14:paraId="63C06937" w14:textId="7B5754AA" w:rsidR="00374CC4" w:rsidRDefault="00081616" w:rsidP="001A2B40">
      <w:pPr>
        <w:pStyle w:val="MNC"/>
      </w:pPr>
      <w:sdt>
        <w:sdtPr>
          <w:alias w:val="MNC"/>
          <w:tag w:val="MNC"/>
          <w:id w:val="343289786"/>
          <w:lock w:val="sdtLocked"/>
          <w:placeholder>
            <w:docPart w:val="FD1BAC1B6AC14B76B93823B425E65235"/>
          </w:placeholder>
          <w:dataBinding w:prefixMappings="xmlns:ns0='http://schemas.globalmacros.com/FCA'" w:xpath="/ns0:root[1]/ns0:Name[1]" w:storeItemID="{687E7CCB-4AA5-44E7-B148-17BA2B6F57C0}"/>
          <w:text w:multiLine="1"/>
        </w:sdtPr>
        <w:sdtEndPr/>
        <w:sdtContent>
          <w:r w:rsidR="00A44146">
            <w:t xml:space="preserve">Secretary, Attorney-General’s Department v Warren [2022] FCAFC 118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2A3F9D" w14:paraId="1FB71D7E" w14:textId="77777777" w:rsidTr="00534E82">
        <w:tc>
          <w:tcPr>
            <w:tcW w:w="3084" w:type="dxa"/>
            <w:shd w:val="clear" w:color="auto" w:fill="auto"/>
          </w:tcPr>
          <w:p w14:paraId="6791570B" w14:textId="77777777" w:rsidR="002A3F9D" w:rsidRDefault="002A3F9D" w:rsidP="002539B3">
            <w:pPr>
              <w:pStyle w:val="Normal1linespace"/>
              <w:widowControl w:val="0"/>
              <w:spacing w:after="60"/>
              <w:jc w:val="left"/>
            </w:pPr>
            <w:bookmarkStart w:id="1" w:name="AppealFrom_row" w:colFirst="0" w:colLast="1"/>
            <w:r>
              <w:t>Appeal from:</w:t>
            </w:r>
          </w:p>
        </w:tc>
        <w:tc>
          <w:tcPr>
            <w:tcW w:w="5989" w:type="dxa"/>
            <w:shd w:val="clear" w:color="auto" w:fill="auto"/>
          </w:tcPr>
          <w:p w14:paraId="4DC528B2" w14:textId="77777777" w:rsidR="002A3F9D" w:rsidRDefault="007B2C12" w:rsidP="002539B3">
            <w:pPr>
              <w:pStyle w:val="CasesLegislationAppealFrom"/>
              <w:spacing w:after="60"/>
            </w:pPr>
            <w:fldSimple w:instr=" DOCPROPERTY  AppealFrom  \* MERGEFORMAT ">
              <w:r w:rsidR="002A3F9D" w:rsidRPr="002C2949">
                <w:rPr>
                  <w:i/>
                </w:rPr>
                <w:t>Warren v Secretary, Attorney-General's Department</w:t>
              </w:r>
              <w:r w:rsidR="002A3F9D">
                <w:t xml:space="preserve"> [2021] FCA 89</w:t>
              </w:r>
            </w:fldSimple>
          </w:p>
        </w:tc>
      </w:tr>
      <w:tr w:rsidR="002A3F9D" w14:paraId="0C06F4AD" w14:textId="77777777" w:rsidTr="00534E82">
        <w:tc>
          <w:tcPr>
            <w:tcW w:w="3084" w:type="dxa"/>
            <w:shd w:val="clear" w:color="auto" w:fill="auto"/>
          </w:tcPr>
          <w:p w14:paraId="4EF322AB" w14:textId="77777777" w:rsidR="002A3F9D" w:rsidRDefault="002A3F9D" w:rsidP="00663878">
            <w:pPr>
              <w:pStyle w:val="Normal1linespace"/>
              <w:widowControl w:val="0"/>
              <w:jc w:val="left"/>
            </w:pPr>
          </w:p>
        </w:tc>
        <w:tc>
          <w:tcPr>
            <w:tcW w:w="5989" w:type="dxa"/>
            <w:shd w:val="clear" w:color="auto" w:fill="auto"/>
          </w:tcPr>
          <w:p w14:paraId="6085E74A" w14:textId="77777777" w:rsidR="002A3F9D" w:rsidRDefault="002A3F9D" w:rsidP="00663878">
            <w:pPr>
              <w:pStyle w:val="Normal1linespace"/>
              <w:widowControl w:val="0"/>
              <w:jc w:val="left"/>
            </w:pPr>
          </w:p>
        </w:tc>
      </w:tr>
      <w:bookmarkEnd w:id="1"/>
      <w:tr w:rsidR="00395B24" w14:paraId="7DB761BC" w14:textId="77777777" w:rsidTr="00534E82">
        <w:tc>
          <w:tcPr>
            <w:tcW w:w="3084" w:type="dxa"/>
            <w:shd w:val="clear" w:color="auto" w:fill="auto"/>
          </w:tcPr>
          <w:p w14:paraId="01E54ED1" w14:textId="2FB38A89" w:rsidR="00395B24" w:rsidRDefault="002C7385" w:rsidP="00663878">
            <w:pPr>
              <w:pStyle w:val="Normal1linespace"/>
              <w:widowControl w:val="0"/>
              <w:jc w:val="left"/>
            </w:pPr>
            <w:r>
              <w:t>File number:</w:t>
            </w:r>
          </w:p>
        </w:tc>
        <w:tc>
          <w:tcPr>
            <w:tcW w:w="5989" w:type="dxa"/>
            <w:shd w:val="clear" w:color="auto" w:fill="auto"/>
          </w:tcPr>
          <w:p w14:paraId="550D63B8" w14:textId="77777777" w:rsidR="00395B24" w:rsidRPr="002A3F9D" w:rsidRDefault="007B2C12" w:rsidP="002A3F9D">
            <w:pPr>
              <w:pStyle w:val="Normal1linespace"/>
              <w:jc w:val="left"/>
            </w:pPr>
            <w:fldSimple w:instr=" REF  FileNo  \* MERGEFORMAT " w:fldLock="1">
              <w:r w:rsidR="002A3F9D" w:rsidRPr="002A3F9D">
                <w:t>NSD 204 of 2021</w:t>
              </w:r>
            </w:fldSimple>
          </w:p>
        </w:tc>
      </w:tr>
      <w:tr w:rsidR="00395B24" w14:paraId="56939D20" w14:textId="77777777" w:rsidTr="00534E82">
        <w:tc>
          <w:tcPr>
            <w:tcW w:w="3084" w:type="dxa"/>
            <w:shd w:val="clear" w:color="auto" w:fill="auto"/>
          </w:tcPr>
          <w:p w14:paraId="7F2D5C9C" w14:textId="77777777" w:rsidR="00395B24" w:rsidRDefault="00395B24" w:rsidP="00663878">
            <w:pPr>
              <w:pStyle w:val="Normal1linespace"/>
              <w:widowControl w:val="0"/>
              <w:jc w:val="left"/>
            </w:pPr>
          </w:p>
        </w:tc>
        <w:tc>
          <w:tcPr>
            <w:tcW w:w="5989" w:type="dxa"/>
            <w:shd w:val="clear" w:color="auto" w:fill="auto"/>
          </w:tcPr>
          <w:p w14:paraId="0A46BB7F" w14:textId="77777777" w:rsidR="00395B24" w:rsidRDefault="00395B24" w:rsidP="00663878">
            <w:pPr>
              <w:pStyle w:val="Normal1linespace"/>
              <w:widowControl w:val="0"/>
              <w:jc w:val="left"/>
            </w:pPr>
          </w:p>
        </w:tc>
      </w:tr>
      <w:tr w:rsidR="00395B24" w14:paraId="0E18D43F" w14:textId="77777777" w:rsidTr="00534E82">
        <w:tc>
          <w:tcPr>
            <w:tcW w:w="3084" w:type="dxa"/>
            <w:shd w:val="clear" w:color="auto" w:fill="auto"/>
          </w:tcPr>
          <w:p w14:paraId="77FFB1FC"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275BF6D3" w14:textId="77777777" w:rsidR="00395B24" w:rsidRDefault="002C7385" w:rsidP="00663878">
            <w:pPr>
              <w:pStyle w:val="Normal1linespace"/>
              <w:widowControl w:val="0"/>
              <w:jc w:val="left"/>
              <w:rPr>
                <w:b/>
              </w:rPr>
            </w:pPr>
            <w:r w:rsidRPr="002A3F9D">
              <w:rPr>
                <w:b/>
              </w:rPr>
              <w:fldChar w:fldCharType="begin" w:fldLock="1"/>
            </w:r>
            <w:r w:rsidRPr="002A3F9D">
              <w:rPr>
                <w:b/>
              </w:rPr>
              <w:instrText xml:space="preserve"> REF  Judge  \* MERGEFORMAT </w:instrText>
            </w:r>
            <w:r w:rsidRPr="002A3F9D">
              <w:rPr>
                <w:b/>
              </w:rPr>
              <w:fldChar w:fldCharType="separate"/>
            </w:r>
            <w:r w:rsidR="002A3F9D" w:rsidRPr="002A3F9D">
              <w:rPr>
                <w:b/>
                <w:caps/>
                <w:szCs w:val="24"/>
              </w:rPr>
              <w:t>RARES, THAWLEY AND ANDERSON J</w:t>
            </w:r>
            <w:r w:rsidRPr="002A3F9D">
              <w:rPr>
                <w:b/>
              </w:rPr>
              <w:fldChar w:fldCharType="end"/>
            </w:r>
            <w:r w:rsidR="00AD6843">
              <w:rPr>
                <w:b/>
              </w:rPr>
              <w:t>J</w:t>
            </w:r>
          </w:p>
        </w:tc>
      </w:tr>
      <w:tr w:rsidR="00395B24" w14:paraId="532475FA" w14:textId="77777777" w:rsidTr="00534E82">
        <w:tc>
          <w:tcPr>
            <w:tcW w:w="3084" w:type="dxa"/>
            <w:shd w:val="clear" w:color="auto" w:fill="auto"/>
          </w:tcPr>
          <w:p w14:paraId="69933553" w14:textId="77777777" w:rsidR="00395B24" w:rsidRDefault="00395B24" w:rsidP="00663878">
            <w:pPr>
              <w:pStyle w:val="Normal1linespace"/>
              <w:widowControl w:val="0"/>
              <w:jc w:val="left"/>
            </w:pPr>
          </w:p>
        </w:tc>
        <w:tc>
          <w:tcPr>
            <w:tcW w:w="5989" w:type="dxa"/>
            <w:shd w:val="clear" w:color="auto" w:fill="auto"/>
          </w:tcPr>
          <w:p w14:paraId="4F719315" w14:textId="77777777" w:rsidR="00395B24" w:rsidRDefault="00395B24" w:rsidP="00663878">
            <w:pPr>
              <w:pStyle w:val="Normal1linespace"/>
              <w:widowControl w:val="0"/>
              <w:jc w:val="left"/>
            </w:pPr>
          </w:p>
        </w:tc>
      </w:tr>
      <w:tr w:rsidR="00395B24" w14:paraId="258DD5EB" w14:textId="77777777" w:rsidTr="00534E82">
        <w:tc>
          <w:tcPr>
            <w:tcW w:w="3084" w:type="dxa"/>
            <w:shd w:val="clear" w:color="auto" w:fill="auto"/>
          </w:tcPr>
          <w:p w14:paraId="38CEE07F" w14:textId="77777777" w:rsidR="00395B24" w:rsidRDefault="002C7385" w:rsidP="00663878">
            <w:pPr>
              <w:pStyle w:val="Normal1linespace"/>
              <w:widowControl w:val="0"/>
              <w:jc w:val="left"/>
            </w:pPr>
            <w:r>
              <w:t>Date of judgment:</w:t>
            </w:r>
          </w:p>
        </w:tc>
        <w:tc>
          <w:tcPr>
            <w:tcW w:w="5989" w:type="dxa"/>
            <w:shd w:val="clear" w:color="auto" w:fill="auto"/>
          </w:tcPr>
          <w:p w14:paraId="73873875" w14:textId="7898C0FB" w:rsidR="00395B24" w:rsidRDefault="00C87824" w:rsidP="00663878">
            <w:pPr>
              <w:pStyle w:val="Normal1linespace"/>
              <w:widowControl w:val="0"/>
              <w:jc w:val="left"/>
            </w:pPr>
            <w:bookmarkStart w:id="2" w:name="JudgmentDate"/>
            <w:r>
              <w:t>12</w:t>
            </w:r>
            <w:r w:rsidR="002A3F9D">
              <w:t xml:space="preserve"> </w:t>
            </w:r>
            <w:r>
              <w:t>July</w:t>
            </w:r>
            <w:r w:rsidR="002A3F9D">
              <w:t xml:space="preserve"> 2022</w:t>
            </w:r>
            <w:bookmarkEnd w:id="2"/>
          </w:p>
        </w:tc>
      </w:tr>
      <w:tr w:rsidR="00395B24" w14:paraId="2E0853D4" w14:textId="77777777" w:rsidTr="00534E82">
        <w:tc>
          <w:tcPr>
            <w:tcW w:w="3084" w:type="dxa"/>
            <w:shd w:val="clear" w:color="auto" w:fill="auto"/>
          </w:tcPr>
          <w:p w14:paraId="4D546420" w14:textId="77777777" w:rsidR="00395B24" w:rsidRDefault="00395B24" w:rsidP="00663878">
            <w:pPr>
              <w:pStyle w:val="Normal1linespace"/>
              <w:widowControl w:val="0"/>
              <w:jc w:val="left"/>
            </w:pPr>
          </w:p>
        </w:tc>
        <w:tc>
          <w:tcPr>
            <w:tcW w:w="5989" w:type="dxa"/>
            <w:shd w:val="clear" w:color="auto" w:fill="auto"/>
          </w:tcPr>
          <w:p w14:paraId="3991EB9A" w14:textId="77777777" w:rsidR="00395B24" w:rsidRDefault="00395B24" w:rsidP="00663878">
            <w:pPr>
              <w:pStyle w:val="Normal1linespace"/>
              <w:widowControl w:val="0"/>
              <w:jc w:val="left"/>
            </w:pPr>
          </w:p>
        </w:tc>
      </w:tr>
      <w:tr w:rsidR="00395B24" w14:paraId="24043697" w14:textId="77777777" w:rsidTr="00534E82">
        <w:tc>
          <w:tcPr>
            <w:tcW w:w="3084" w:type="dxa"/>
            <w:shd w:val="clear" w:color="auto" w:fill="auto"/>
          </w:tcPr>
          <w:p w14:paraId="1084C08A" w14:textId="77777777" w:rsidR="00395B24" w:rsidRDefault="002C7385" w:rsidP="00663878">
            <w:pPr>
              <w:pStyle w:val="Normal1linespace"/>
              <w:widowControl w:val="0"/>
              <w:jc w:val="left"/>
            </w:pPr>
            <w:r>
              <w:t>Catchwords:</w:t>
            </w:r>
          </w:p>
        </w:tc>
        <w:tc>
          <w:tcPr>
            <w:tcW w:w="5989" w:type="dxa"/>
            <w:shd w:val="clear" w:color="auto" w:fill="auto"/>
          </w:tcPr>
          <w:p w14:paraId="4FDB1D69" w14:textId="068FF6D9" w:rsidR="00395B24" w:rsidRDefault="00330404" w:rsidP="00A44146">
            <w:pPr>
              <w:pStyle w:val="Normal1linespace"/>
              <w:widowControl w:val="0"/>
              <w:jc w:val="left"/>
            </w:pPr>
            <w:bookmarkStart w:id="3" w:name="Catchwords"/>
            <w:r w:rsidRPr="000C0873">
              <w:rPr>
                <w:b/>
              </w:rPr>
              <w:t>INDUSTRIAL LAW</w:t>
            </w:r>
            <w:r>
              <w:rPr>
                <w:b/>
              </w:rPr>
              <w:t xml:space="preserve"> </w:t>
            </w:r>
            <w:r>
              <w:t xml:space="preserve">– construction of the phrase “attributable to” the entitlement in s 19(2)(a) of the </w:t>
            </w:r>
            <w:r>
              <w:rPr>
                <w:i/>
              </w:rPr>
              <w:t xml:space="preserve">Fair Entitlements Guarantee Act 2012 </w:t>
            </w:r>
            <w:r>
              <w:t>(</w:t>
            </w:r>
            <w:proofErr w:type="spellStart"/>
            <w:r>
              <w:t>Cth</w:t>
            </w:r>
            <w:proofErr w:type="spellEnd"/>
            <w:r>
              <w:t>) – whether the employer’s payment of a casual loading to the applicant during the employment was “attributable to” the applicant’s entitlements to annual leave and severance pay – held that i</w:t>
            </w:r>
            <w:r w:rsidR="00A44146">
              <w:t>t</w:t>
            </w:r>
            <w:r>
              <w:t xml:space="preserve"> was</w:t>
            </w:r>
            <w:r w:rsidR="00A44146">
              <w:t>:</w:t>
            </w:r>
            <w:r>
              <w:t xml:space="preserve"> appeal allowed</w:t>
            </w:r>
            <w:r w:rsidR="00715751">
              <w:t xml:space="preserve">  </w:t>
            </w:r>
            <w:r w:rsidR="002C7385">
              <w:t xml:space="preserve"> </w:t>
            </w:r>
            <w:bookmarkEnd w:id="3"/>
          </w:p>
        </w:tc>
      </w:tr>
      <w:tr w:rsidR="00395B24" w14:paraId="2B116665" w14:textId="77777777" w:rsidTr="00534E82">
        <w:tc>
          <w:tcPr>
            <w:tcW w:w="3084" w:type="dxa"/>
            <w:shd w:val="clear" w:color="auto" w:fill="auto"/>
          </w:tcPr>
          <w:p w14:paraId="50AEF27B" w14:textId="77777777" w:rsidR="00395B24" w:rsidRDefault="00395B24" w:rsidP="00663878">
            <w:pPr>
              <w:pStyle w:val="Normal1linespace"/>
              <w:widowControl w:val="0"/>
              <w:jc w:val="left"/>
            </w:pPr>
          </w:p>
        </w:tc>
        <w:tc>
          <w:tcPr>
            <w:tcW w:w="5989" w:type="dxa"/>
            <w:shd w:val="clear" w:color="auto" w:fill="auto"/>
          </w:tcPr>
          <w:p w14:paraId="6299384A" w14:textId="77777777" w:rsidR="00395B24" w:rsidRDefault="00395B24" w:rsidP="00663878">
            <w:pPr>
              <w:pStyle w:val="Normal1linespace"/>
              <w:widowControl w:val="0"/>
              <w:jc w:val="left"/>
            </w:pPr>
          </w:p>
        </w:tc>
      </w:tr>
      <w:tr w:rsidR="00395B24" w14:paraId="64DB3F82" w14:textId="77777777" w:rsidTr="00534E82">
        <w:tc>
          <w:tcPr>
            <w:tcW w:w="3084" w:type="dxa"/>
            <w:shd w:val="clear" w:color="auto" w:fill="auto"/>
          </w:tcPr>
          <w:p w14:paraId="5591FFAA" w14:textId="77777777" w:rsidR="00395B24" w:rsidRDefault="002C7385" w:rsidP="00663878">
            <w:pPr>
              <w:pStyle w:val="Normal1linespace"/>
              <w:widowControl w:val="0"/>
              <w:jc w:val="left"/>
            </w:pPr>
            <w:r>
              <w:t>Legislation:</w:t>
            </w:r>
          </w:p>
        </w:tc>
        <w:tc>
          <w:tcPr>
            <w:tcW w:w="5989" w:type="dxa"/>
            <w:shd w:val="clear" w:color="auto" w:fill="auto"/>
          </w:tcPr>
          <w:p w14:paraId="3B6114F0" w14:textId="12B20C0C" w:rsidR="008D0FD6" w:rsidRPr="000C3273" w:rsidRDefault="008D0FD6" w:rsidP="00D82620">
            <w:pPr>
              <w:pStyle w:val="CasesLegislationAppealFrom"/>
              <w:spacing w:after="60"/>
            </w:pPr>
            <w:bookmarkStart w:id="4" w:name="Legislation"/>
            <w:r>
              <w:rPr>
                <w:i/>
              </w:rPr>
              <w:t xml:space="preserve">Fair Entitlements Guarantee Act 2012 </w:t>
            </w:r>
            <w:r>
              <w:t>(</w:t>
            </w:r>
            <w:proofErr w:type="spellStart"/>
            <w:r>
              <w:t>Cth</w:t>
            </w:r>
            <w:proofErr w:type="spellEnd"/>
            <w:r>
              <w:t>)</w:t>
            </w:r>
            <w:r w:rsidR="009770DE">
              <w:t xml:space="preserve"> </w:t>
            </w:r>
            <w:proofErr w:type="spellStart"/>
            <w:r w:rsidR="009770DE">
              <w:t>s</w:t>
            </w:r>
            <w:r w:rsidR="001D43E8">
              <w:t>s</w:t>
            </w:r>
            <w:proofErr w:type="spellEnd"/>
            <w:r w:rsidR="001D43E8">
              <w:t xml:space="preserve"> 3(a),</w:t>
            </w:r>
            <w:r w:rsidR="009770DE">
              <w:t xml:space="preserve"> </w:t>
            </w:r>
            <w:r w:rsidR="0066672C">
              <w:t xml:space="preserve">4(2), </w:t>
            </w:r>
            <w:r w:rsidR="009770DE">
              <w:t>5</w:t>
            </w:r>
            <w:r w:rsidR="0066672C">
              <w:t>, 6(2), 6(5)</w:t>
            </w:r>
            <w:r w:rsidR="00A623EE">
              <w:t xml:space="preserve">, </w:t>
            </w:r>
            <w:r w:rsidR="003D0C21">
              <w:t xml:space="preserve">14, 15, </w:t>
            </w:r>
            <w:r w:rsidR="00A623EE">
              <w:t xml:space="preserve">16(1), 19, 20–24, </w:t>
            </w:r>
            <w:r w:rsidR="00A71864">
              <w:t>25–27</w:t>
            </w:r>
            <w:r w:rsidR="00A623EE">
              <w:t xml:space="preserve"> </w:t>
            </w:r>
          </w:p>
          <w:p w14:paraId="6B5F8FDA" w14:textId="4F746C1A" w:rsidR="00970FDB" w:rsidRDefault="00970FDB" w:rsidP="00D82620">
            <w:pPr>
              <w:pStyle w:val="CasesLegislationAppealFrom"/>
              <w:spacing w:after="60"/>
            </w:pPr>
            <w:r w:rsidRPr="008E6F85">
              <w:rPr>
                <w:i/>
              </w:rPr>
              <w:t>Fair Work Act</w:t>
            </w:r>
            <w:r>
              <w:rPr>
                <w:i/>
              </w:rPr>
              <w:t xml:space="preserve"> 2009</w:t>
            </w:r>
            <w:r>
              <w:t xml:space="preserve"> (</w:t>
            </w:r>
            <w:proofErr w:type="spellStart"/>
            <w:r>
              <w:t>Cth</w:t>
            </w:r>
            <w:proofErr w:type="spellEnd"/>
            <w:r>
              <w:t xml:space="preserve">) </w:t>
            </w:r>
            <w:r w:rsidR="00B51009">
              <w:t>pt</w:t>
            </w:r>
            <w:r w:rsidR="0006729E">
              <w:t>s</w:t>
            </w:r>
            <w:r w:rsidR="00B51009">
              <w:t xml:space="preserve"> 2-2, </w:t>
            </w:r>
            <w:r w:rsidR="0006729E">
              <w:t xml:space="preserve">2-3, </w:t>
            </w:r>
            <w:proofErr w:type="spellStart"/>
            <w:r>
              <w:t>ss</w:t>
            </w:r>
            <w:proofErr w:type="spellEnd"/>
            <w:r w:rsidR="00B51009">
              <w:t xml:space="preserve"> 61(1), 44(1),</w:t>
            </w:r>
            <w:r w:rsidR="0006729E">
              <w:t xml:space="preserve"> </w:t>
            </w:r>
            <w:r w:rsidR="003A388F">
              <w:t xml:space="preserve">45, </w:t>
            </w:r>
            <w:r w:rsidR="0006729E">
              <w:t>55(1)–(4)</w:t>
            </w:r>
            <w:r w:rsidR="00A1777C">
              <w:t xml:space="preserve">, 90(2), </w:t>
            </w:r>
            <w:r w:rsidR="000C3273">
              <w:t>92</w:t>
            </w:r>
          </w:p>
          <w:p w14:paraId="4063F597" w14:textId="141BA94C" w:rsidR="000C3273" w:rsidRDefault="000C3273" w:rsidP="00D82620">
            <w:pPr>
              <w:pStyle w:val="CasesLegislationAppealFrom"/>
              <w:spacing w:after="60"/>
            </w:pPr>
            <w:r w:rsidRPr="00ED46D3">
              <w:rPr>
                <w:i/>
              </w:rPr>
              <w:t xml:space="preserve">Fair Work Amendment (Supporting Australia's Jobs and Economic Recovery) Act 2021 </w:t>
            </w:r>
            <w:r w:rsidRPr="00547CBC">
              <w:t>(</w:t>
            </w:r>
            <w:proofErr w:type="spellStart"/>
            <w:r w:rsidRPr="00547CBC">
              <w:t>Cth</w:t>
            </w:r>
            <w:proofErr w:type="spellEnd"/>
            <w:r w:rsidRPr="00547CBC">
              <w:t>)</w:t>
            </w:r>
          </w:p>
          <w:p w14:paraId="5D0A07D4" w14:textId="78F2F99C" w:rsidR="00395B24" w:rsidRDefault="00970FDB" w:rsidP="00D82620">
            <w:pPr>
              <w:pStyle w:val="CasesLegislationAppealFrom"/>
              <w:spacing w:after="60"/>
            </w:pPr>
            <w:r>
              <w:t xml:space="preserve">Fair Work Commission, </w:t>
            </w:r>
            <w:r w:rsidRPr="008E6F85">
              <w:rPr>
                <w:i/>
              </w:rPr>
              <w:t>Black Coal Mining Industry Award 2010</w:t>
            </w:r>
            <w:r>
              <w:rPr>
                <w:i/>
              </w:rPr>
              <w:t xml:space="preserve"> </w:t>
            </w:r>
            <w:r>
              <w:t>(</w:t>
            </w:r>
            <w:r w:rsidRPr="00EE4DF3">
              <w:t>MA000001</w:t>
            </w:r>
            <w:r>
              <w:t>, 23 March 2010)</w:t>
            </w:r>
            <w:r w:rsidR="00C35CB3">
              <w:t xml:space="preserve"> </w:t>
            </w:r>
            <w:proofErr w:type="spellStart"/>
            <w:r w:rsidR="00822255">
              <w:t>cll</w:t>
            </w:r>
            <w:proofErr w:type="spellEnd"/>
            <w:r w:rsidR="008C2BC3">
              <w:t xml:space="preserve"> 10.4, 13.1, 14.3, 14.4, 25.1, 25.2, 25.7, </w:t>
            </w:r>
            <w:proofErr w:type="spellStart"/>
            <w:r w:rsidR="00C35CB3">
              <w:t>sch</w:t>
            </w:r>
            <w:proofErr w:type="spellEnd"/>
            <w:r w:rsidR="00C35CB3">
              <w:t xml:space="preserve"> B</w:t>
            </w:r>
            <w:r w:rsidR="00715751">
              <w:t xml:space="preserve">  </w:t>
            </w:r>
            <w:r w:rsidR="002C7385">
              <w:t xml:space="preserve"> </w:t>
            </w:r>
            <w:bookmarkEnd w:id="4"/>
          </w:p>
        </w:tc>
      </w:tr>
      <w:tr w:rsidR="00395B24" w14:paraId="03CFAF7B" w14:textId="77777777" w:rsidTr="00534E82">
        <w:tc>
          <w:tcPr>
            <w:tcW w:w="3084" w:type="dxa"/>
            <w:shd w:val="clear" w:color="auto" w:fill="auto"/>
          </w:tcPr>
          <w:p w14:paraId="4A2042DB" w14:textId="77777777" w:rsidR="00395B24" w:rsidRDefault="00395B24" w:rsidP="00663878">
            <w:pPr>
              <w:pStyle w:val="Normal1linespace"/>
              <w:widowControl w:val="0"/>
              <w:jc w:val="left"/>
            </w:pPr>
          </w:p>
        </w:tc>
        <w:tc>
          <w:tcPr>
            <w:tcW w:w="5989" w:type="dxa"/>
            <w:shd w:val="clear" w:color="auto" w:fill="auto"/>
          </w:tcPr>
          <w:p w14:paraId="52B1A339" w14:textId="77777777" w:rsidR="00395B24" w:rsidRDefault="00395B24" w:rsidP="00663878">
            <w:pPr>
              <w:pStyle w:val="Normal1linespace"/>
              <w:widowControl w:val="0"/>
              <w:jc w:val="left"/>
            </w:pPr>
          </w:p>
        </w:tc>
      </w:tr>
      <w:tr w:rsidR="00395B24" w14:paraId="4C6FFB45" w14:textId="77777777" w:rsidTr="00534E82">
        <w:tc>
          <w:tcPr>
            <w:tcW w:w="3084" w:type="dxa"/>
            <w:shd w:val="clear" w:color="auto" w:fill="auto"/>
          </w:tcPr>
          <w:p w14:paraId="518BB921" w14:textId="77777777" w:rsidR="00395B24" w:rsidRDefault="002C7385" w:rsidP="00663878">
            <w:pPr>
              <w:pStyle w:val="Normal1linespace"/>
              <w:widowControl w:val="0"/>
              <w:jc w:val="left"/>
            </w:pPr>
            <w:r>
              <w:t>Cases cited:</w:t>
            </w:r>
          </w:p>
        </w:tc>
        <w:tc>
          <w:tcPr>
            <w:tcW w:w="5989" w:type="dxa"/>
            <w:shd w:val="clear" w:color="auto" w:fill="auto"/>
          </w:tcPr>
          <w:p w14:paraId="28356145" w14:textId="7B6A66F2" w:rsidR="00D940E4" w:rsidRDefault="00D940E4" w:rsidP="00D82620">
            <w:pPr>
              <w:pStyle w:val="CasesLegislationAppealFrom"/>
              <w:spacing w:after="60"/>
              <w:rPr>
                <w:i/>
                <w:iCs/>
                <w:lang w:eastAsia="en-AU"/>
              </w:rPr>
            </w:pPr>
            <w:bookmarkStart w:id="5" w:name="Cases_Cited"/>
            <w:r>
              <w:rPr>
                <w:i/>
              </w:rPr>
              <w:t xml:space="preserve">Haritos v Federal Commissioner of Taxation </w:t>
            </w:r>
            <w:r>
              <w:t>[2015] FCAFC 92; 233 FCR 315</w:t>
            </w:r>
          </w:p>
          <w:p w14:paraId="4C013028" w14:textId="4A85FF90" w:rsidR="00A71864" w:rsidRDefault="00541140" w:rsidP="00D82620">
            <w:pPr>
              <w:pStyle w:val="CasesLegislationAppealFrom"/>
              <w:spacing w:after="60"/>
              <w:rPr>
                <w:iCs/>
                <w:lang w:eastAsia="en-AU"/>
              </w:rPr>
            </w:pPr>
            <w:r w:rsidRPr="00796156">
              <w:rPr>
                <w:i/>
                <w:iCs/>
                <w:lang w:eastAsia="en-AU"/>
              </w:rPr>
              <w:t>Mount Bruce Mining Pty Limited v Wright Prospecting Pty Limited </w:t>
            </w:r>
            <w:r>
              <w:rPr>
                <w:iCs/>
                <w:lang w:eastAsia="en-AU"/>
              </w:rPr>
              <w:t xml:space="preserve">[2015] HCA 37; </w:t>
            </w:r>
            <w:r w:rsidRPr="00796156">
              <w:rPr>
                <w:iCs/>
                <w:lang w:eastAsia="en-AU"/>
              </w:rPr>
              <w:t>256 CLR 104</w:t>
            </w:r>
          </w:p>
          <w:p w14:paraId="2A26C848" w14:textId="2DD20F7B" w:rsidR="00D940E4" w:rsidRDefault="00D940E4" w:rsidP="00D82620">
            <w:pPr>
              <w:pStyle w:val="CasesLegislationAppealFrom"/>
              <w:spacing w:after="60"/>
              <w:rPr>
                <w:iCs/>
                <w:lang w:eastAsia="en-AU"/>
              </w:rPr>
            </w:pPr>
            <w:r w:rsidRPr="00A2260F">
              <w:rPr>
                <w:i/>
              </w:rPr>
              <w:t xml:space="preserve">Warren and Secretary, Department of Jobs and Small Business </w:t>
            </w:r>
            <w:r w:rsidRPr="00A2260F">
              <w:t>[2019] AATA 95</w:t>
            </w:r>
          </w:p>
          <w:p w14:paraId="79E17659" w14:textId="11AA1B0C" w:rsidR="000C3273" w:rsidRDefault="00A71864" w:rsidP="00D82620">
            <w:pPr>
              <w:pStyle w:val="CasesLegislationAppealFrom"/>
              <w:spacing w:after="60"/>
            </w:pPr>
            <w:proofErr w:type="spellStart"/>
            <w:r w:rsidRPr="00ED46D3">
              <w:rPr>
                <w:i/>
              </w:rPr>
              <w:t>WorkPac</w:t>
            </w:r>
            <w:proofErr w:type="spellEnd"/>
            <w:r w:rsidRPr="00ED46D3">
              <w:rPr>
                <w:i/>
              </w:rPr>
              <w:t xml:space="preserve"> v </w:t>
            </w:r>
            <w:proofErr w:type="spellStart"/>
            <w:r w:rsidRPr="00ED46D3">
              <w:rPr>
                <w:i/>
              </w:rPr>
              <w:t>Rossato</w:t>
            </w:r>
            <w:proofErr w:type="spellEnd"/>
            <w:r w:rsidRPr="00A2260F">
              <w:t xml:space="preserve"> [2020] FCAFC 84; 378 ALR 585</w:t>
            </w:r>
          </w:p>
          <w:p w14:paraId="784A10B6" w14:textId="45DC45C5" w:rsidR="00395B24" w:rsidRDefault="000C3273" w:rsidP="00D82620">
            <w:pPr>
              <w:pStyle w:val="CasesLegislationAppealFrom"/>
              <w:spacing w:after="60"/>
            </w:pPr>
            <w:proofErr w:type="spellStart"/>
            <w:r w:rsidRPr="00ED46D3">
              <w:rPr>
                <w:i/>
                <w:iCs/>
              </w:rPr>
              <w:t>WorkPac</w:t>
            </w:r>
            <w:proofErr w:type="spellEnd"/>
            <w:r w:rsidRPr="00ED46D3">
              <w:rPr>
                <w:i/>
                <w:iCs/>
              </w:rPr>
              <w:t xml:space="preserve"> Pty Ltd v </w:t>
            </w:r>
            <w:proofErr w:type="spellStart"/>
            <w:r w:rsidRPr="000C3273">
              <w:rPr>
                <w:i/>
                <w:iCs/>
              </w:rPr>
              <w:t>Rossato</w:t>
            </w:r>
            <w:proofErr w:type="spellEnd"/>
            <w:r w:rsidRPr="00ED46D3">
              <w:rPr>
                <w:i/>
                <w:iCs/>
              </w:rPr>
              <w:t xml:space="preserve"> </w:t>
            </w:r>
            <w:r w:rsidRPr="00ED46D3">
              <w:rPr>
                <w:lang w:val="en-GB"/>
              </w:rPr>
              <w:t>[2021] HCA 23</w:t>
            </w:r>
            <w:r>
              <w:rPr>
                <w:lang w:val="en-GB"/>
              </w:rPr>
              <w:t>; 392 ALR 39</w:t>
            </w:r>
            <w:r w:rsidR="00715751">
              <w:t xml:space="preserve">  </w:t>
            </w:r>
            <w:r w:rsidR="002C7385">
              <w:t xml:space="preserve"> </w:t>
            </w:r>
            <w:bookmarkEnd w:id="5"/>
          </w:p>
        </w:tc>
      </w:tr>
      <w:tr w:rsidR="002A3F9D" w14:paraId="595375EF" w14:textId="77777777" w:rsidTr="00534E82">
        <w:tc>
          <w:tcPr>
            <w:tcW w:w="3084" w:type="dxa"/>
            <w:shd w:val="clear" w:color="auto" w:fill="auto"/>
          </w:tcPr>
          <w:p w14:paraId="7F07684B" w14:textId="77777777" w:rsidR="002A3F9D" w:rsidRDefault="002A3F9D" w:rsidP="008C2BC3">
            <w:pPr>
              <w:pStyle w:val="Normal1linespace"/>
              <w:widowControl w:val="0"/>
            </w:pPr>
          </w:p>
        </w:tc>
        <w:tc>
          <w:tcPr>
            <w:tcW w:w="5989" w:type="dxa"/>
            <w:shd w:val="clear" w:color="auto" w:fill="auto"/>
          </w:tcPr>
          <w:p w14:paraId="5A390A78" w14:textId="77777777" w:rsidR="002A3F9D" w:rsidRDefault="002A3F9D" w:rsidP="008C2BC3">
            <w:pPr>
              <w:pStyle w:val="Normal1linespace"/>
              <w:widowControl w:val="0"/>
              <w:jc w:val="left"/>
            </w:pPr>
          </w:p>
        </w:tc>
      </w:tr>
      <w:tr w:rsidR="002A3F9D" w14:paraId="2CA404CA" w14:textId="77777777" w:rsidTr="00534E82">
        <w:tc>
          <w:tcPr>
            <w:tcW w:w="3084" w:type="dxa"/>
            <w:shd w:val="clear" w:color="auto" w:fill="auto"/>
          </w:tcPr>
          <w:p w14:paraId="71E03194" w14:textId="77777777" w:rsidR="002A3F9D" w:rsidRDefault="002A3F9D" w:rsidP="00501A12">
            <w:pPr>
              <w:pStyle w:val="Normal1linespace"/>
              <w:widowControl w:val="0"/>
            </w:pPr>
            <w:r>
              <w:t>Division:</w:t>
            </w:r>
          </w:p>
        </w:tc>
        <w:tc>
          <w:tcPr>
            <w:tcW w:w="5989" w:type="dxa"/>
            <w:shd w:val="clear" w:color="auto" w:fill="auto"/>
          </w:tcPr>
          <w:p w14:paraId="40DB0037" w14:textId="6820F6F1" w:rsidR="002A3F9D" w:rsidRPr="00F17599" w:rsidRDefault="007B2C12" w:rsidP="00081616">
            <w:pPr>
              <w:pStyle w:val="Normal1linespace"/>
              <w:widowControl w:val="0"/>
              <w:jc w:val="left"/>
            </w:pPr>
            <w:fldSimple w:instr=" DOCPROPERTY  Division ">
              <w:r w:rsidR="00081616">
                <w:t>Fair Work</w:t>
              </w:r>
              <w:r w:rsidR="002A3F9D">
                <w:t xml:space="preserve"> Division</w:t>
              </w:r>
            </w:fldSimple>
          </w:p>
        </w:tc>
      </w:tr>
      <w:tr w:rsidR="002A3F9D" w14:paraId="1C5C2F34" w14:textId="77777777" w:rsidTr="00534E82">
        <w:tc>
          <w:tcPr>
            <w:tcW w:w="3084" w:type="dxa"/>
            <w:shd w:val="clear" w:color="auto" w:fill="auto"/>
          </w:tcPr>
          <w:p w14:paraId="2B5885D0" w14:textId="77777777" w:rsidR="002A3F9D" w:rsidRDefault="002A3F9D" w:rsidP="00501A12">
            <w:pPr>
              <w:pStyle w:val="Normal1linespace"/>
              <w:widowControl w:val="0"/>
            </w:pPr>
            <w:bookmarkStart w:id="6" w:name="Registry_rows" w:colFirst="0" w:colLast="1"/>
          </w:p>
        </w:tc>
        <w:tc>
          <w:tcPr>
            <w:tcW w:w="5989" w:type="dxa"/>
            <w:shd w:val="clear" w:color="auto" w:fill="auto"/>
          </w:tcPr>
          <w:p w14:paraId="7E123A86" w14:textId="77777777" w:rsidR="002A3F9D" w:rsidRDefault="002A3F9D" w:rsidP="00501A12">
            <w:pPr>
              <w:pStyle w:val="Normal1linespace"/>
              <w:widowControl w:val="0"/>
              <w:jc w:val="left"/>
            </w:pPr>
          </w:p>
        </w:tc>
      </w:tr>
      <w:tr w:rsidR="002A3F9D" w14:paraId="5144284D" w14:textId="77777777" w:rsidTr="00534E82">
        <w:tc>
          <w:tcPr>
            <w:tcW w:w="3084" w:type="dxa"/>
            <w:shd w:val="clear" w:color="auto" w:fill="auto"/>
          </w:tcPr>
          <w:p w14:paraId="178B8F92" w14:textId="77777777" w:rsidR="002A3F9D" w:rsidRDefault="002A3F9D" w:rsidP="00501A12">
            <w:pPr>
              <w:pStyle w:val="Normal1linespace"/>
              <w:widowControl w:val="0"/>
            </w:pPr>
            <w:r>
              <w:t>Registry:</w:t>
            </w:r>
          </w:p>
        </w:tc>
        <w:tc>
          <w:tcPr>
            <w:tcW w:w="5989" w:type="dxa"/>
            <w:shd w:val="clear" w:color="auto" w:fill="auto"/>
          </w:tcPr>
          <w:p w14:paraId="600F97EC" w14:textId="77777777" w:rsidR="002A3F9D" w:rsidRPr="00F17599" w:rsidRDefault="007B2C12" w:rsidP="00501A12">
            <w:pPr>
              <w:pStyle w:val="Normal1linespace"/>
              <w:widowControl w:val="0"/>
              <w:jc w:val="left"/>
            </w:pPr>
            <w:fldSimple w:instr=" DOCPROPERTY  Registry ">
              <w:r w:rsidR="002A3F9D">
                <w:t>New South Wales</w:t>
              </w:r>
            </w:fldSimple>
          </w:p>
        </w:tc>
      </w:tr>
      <w:tr w:rsidR="002A3F9D" w14:paraId="0AA04B47" w14:textId="77777777" w:rsidTr="00534E82">
        <w:tc>
          <w:tcPr>
            <w:tcW w:w="3084" w:type="dxa"/>
            <w:shd w:val="clear" w:color="auto" w:fill="auto"/>
          </w:tcPr>
          <w:p w14:paraId="3ECAFD92" w14:textId="77777777" w:rsidR="002A3F9D" w:rsidRDefault="002A3F9D" w:rsidP="00501A12">
            <w:pPr>
              <w:pStyle w:val="Normal1linespace"/>
              <w:widowControl w:val="0"/>
            </w:pPr>
            <w:bookmarkStart w:id="7" w:name="NPARow" w:colFirst="0" w:colLast="1"/>
            <w:bookmarkEnd w:id="6"/>
          </w:p>
        </w:tc>
        <w:tc>
          <w:tcPr>
            <w:tcW w:w="5989" w:type="dxa"/>
            <w:shd w:val="clear" w:color="auto" w:fill="auto"/>
          </w:tcPr>
          <w:p w14:paraId="0C6E9D96" w14:textId="77777777" w:rsidR="002A3F9D" w:rsidRPr="00F17599" w:rsidRDefault="002A3F9D" w:rsidP="00501A12">
            <w:pPr>
              <w:pStyle w:val="Normal1linespace"/>
              <w:widowControl w:val="0"/>
              <w:jc w:val="left"/>
              <w:rPr>
                <w:b/>
              </w:rPr>
            </w:pPr>
          </w:p>
        </w:tc>
      </w:tr>
      <w:tr w:rsidR="002A3F9D" w14:paraId="2270F565" w14:textId="77777777" w:rsidTr="00534E82">
        <w:tc>
          <w:tcPr>
            <w:tcW w:w="3084" w:type="dxa"/>
            <w:shd w:val="clear" w:color="auto" w:fill="auto"/>
          </w:tcPr>
          <w:p w14:paraId="427496B8" w14:textId="77777777" w:rsidR="002A3F9D" w:rsidRDefault="002A3F9D" w:rsidP="00501A12">
            <w:pPr>
              <w:pStyle w:val="Normal1linespace"/>
              <w:widowControl w:val="0"/>
            </w:pPr>
            <w:r>
              <w:t>National Practice Area:</w:t>
            </w:r>
          </w:p>
        </w:tc>
        <w:tc>
          <w:tcPr>
            <w:tcW w:w="5989" w:type="dxa"/>
            <w:shd w:val="clear" w:color="auto" w:fill="auto"/>
          </w:tcPr>
          <w:p w14:paraId="0DC6E5F7" w14:textId="77777777" w:rsidR="002A3F9D" w:rsidRPr="00F17599" w:rsidRDefault="007B2C12" w:rsidP="008C2BC3">
            <w:pPr>
              <w:pStyle w:val="Normal1linespace"/>
              <w:widowControl w:val="0"/>
              <w:jc w:val="left"/>
              <w:rPr>
                <w:b/>
              </w:rPr>
            </w:pPr>
            <w:fldSimple w:instr=" DOCPROPERTY  &quot;Practice Area&quot;  \* MERGEFORMAT ">
              <w:r w:rsidR="002A3F9D">
                <w:t>Employment and Industrial Relations</w:t>
              </w:r>
            </w:fldSimple>
            <w:bookmarkStart w:id="8" w:name="_GoBack"/>
            <w:bookmarkEnd w:id="8"/>
          </w:p>
        </w:tc>
      </w:tr>
      <w:tr w:rsidR="002A3F9D" w14:paraId="5BF15052" w14:textId="77777777" w:rsidTr="00534E82">
        <w:tc>
          <w:tcPr>
            <w:tcW w:w="3084" w:type="dxa"/>
            <w:shd w:val="clear" w:color="auto" w:fill="auto"/>
          </w:tcPr>
          <w:p w14:paraId="6282F42A" w14:textId="77777777" w:rsidR="002A3F9D" w:rsidRDefault="002A3F9D" w:rsidP="00501A12">
            <w:pPr>
              <w:pStyle w:val="Normal1linespace"/>
              <w:widowControl w:val="0"/>
            </w:pPr>
            <w:bookmarkStart w:id="9" w:name="SubAreaRow" w:colFirst="0" w:colLast="1"/>
            <w:bookmarkEnd w:id="7"/>
          </w:p>
        </w:tc>
        <w:tc>
          <w:tcPr>
            <w:tcW w:w="5989" w:type="dxa"/>
            <w:shd w:val="clear" w:color="auto" w:fill="auto"/>
          </w:tcPr>
          <w:p w14:paraId="54DDCC3E" w14:textId="77777777" w:rsidR="002A3F9D" w:rsidRDefault="002A3F9D" w:rsidP="008C2BC3">
            <w:pPr>
              <w:pStyle w:val="Normal1linespace"/>
              <w:widowControl w:val="0"/>
              <w:jc w:val="left"/>
            </w:pPr>
          </w:p>
        </w:tc>
      </w:tr>
      <w:bookmarkEnd w:id="9"/>
      <w:tr w:rsidR="002A3F9D" w14:paraId="4351E09B" w14:textId="77777777" w:rsidTr="00534E82">
        <w:tc>
          <w:tcPr>
            <w:tcW w:w="3084" w:type="dxa"/>
            <w:shd w:val="clear" w:color="auto" w:fill="auto"/>
          </w:tcPr>
          <w:p w14:paraId="53A345E9" w14:textId="77777777" w:rsidR="002A3F9D" w:rsidRDefault="002A3F9D" w:rsidP="00501A12">
            <w:pPr>
              <w:pStyle w:val="Normal1linespace"/>
              <w:widowControl w:val="0"/>
            </w:pPr>
            <w:r>
              <w:t>Number of paragraphs:</w:t>
            </w:r>
          </w:p>
        </w:tc>
        <w:tc>
          <w:tcPr>
            <w:tcW w:w="5989" w:type="dxa"/>
            <w:shd w:val="clear" w:color="auto" w:fill="auto"/>
          </w:tcPr>
          <w:p w14:paraId="39BDD99B" w14:textId="26C0F51A" w:rsidR="002A3F9D" w:rsidRDefault="00534E82" w:rsidP="00501A12">
            <w:pPr>
              <w:pStyle w:val="Normal1linespace"/>
              <w:widowControl w:val="0"/>
              <w:jc w:val="left"/>
            </w:pPr>
            <w:bookmarkStart w:id="10" w:name="PlaceCategoryParagraphs"/>
            <w:r>
              <w:t>52</w:t>
            </w:r>
            <w:bookmarkEnd w:id="10"/>
          </w:p>
        </w:tc>
      </w:tr>
      <w:tr w:rsidR="002A3F9D" w14:paraId="0ECCAE09" w14:textId="77777777" w:rsidTr="00534E82">
        <w:tc>
          <w:tcPr>
            <w:tcW w:w="3084" w:type="dxa"/>
            <w:shd w:val="clear" w:color="auto" w:fill="auto"/>
          </w:tcPr>
          <w:p w14:paraId="62A0064A" w14:textId="77777777" w:rsidR="002A3F9D" w:rsidRDefault="002A3F9D" w:rsidP="002A3F9D">
            <w:pPr>
              <w:pStyle w:val="Normal1linespace"/>
              <w:widowControl w:val="0"/>
              <w:jc w:val="left"/>
            </w:pPr>
          </w:p>
        </w:tc>
        <w:tc>
          <w:tcPr>
            <w:tcW w:w="5989" w:type="dxa"/>
            <w:shd w:val="clear" w:color="auto" w:fill="auto"/>
          </w:tcPr>
          <w:p w14:paraId="301E205F" w14:textId="77777777" w:rsidR="002A3F9D" w:rsidRDefault="002A3F9D" w:rsidP="002A3F9D">
            <w:pPr>
              <w:pStyle w:val="Normal1linespace"/>
              <w:widowControl w:val="0"/>
              <w:jc w:val="left"/>
            </w:pPr>
          </w:p>
        </w:tc>
      </w:tr>
      <w:tr w:rsidR="002A3F9D" w14:paraId="24BA54DA" w14:textId="77777777" w:rsidTr="00534E82">
        <w:tc>
          <w:tcPr>
            <w:tcW w:w="3084" w:type="dxa"/>
            <w:shd w:val="clear" w:color="auto" w:fill="auto"/>
          </w:tcPr>
          <w:p w14:paraId="5D3D5AB9" w14:textId="77777777" w:rsidR="002A3F9D" w:rsidRDefault="002A3F9D" w:rsidP="002A3F9D">
            <w:pPr>
              <w:pStyle w:val="Normal1linespace"/>
              <w:widowControl w:val="0"/>
              <w:jc w:val="left"/>
            </w:pPr>
            <w:bookmarkStart w:id="11" w:name="CounselDate" w:colFirst="0" w:colLast="2"/>
            <w:r w:rsidRPr="006A24E3">
              <w:t>Date of hearing:</w:t>
            </w:r>
          </w:p>
        </w:tc>
        <w:tc>
          <w:tcPr>
            <w:tcW w:w="5989" w:type="dxa"/>
            <w:shd w:val="clear" w:color="auto" w:fill="auto"/>
          </w:tcPr>
          <w:p w14:paraId="15CE41AD" w14:textId="7944D84C" w:rsidR="002A3F9D" w:rsidRDefault="002A3F9D" w:rsidP="002A3F9D">
            <w:pPr>
              <w:pStyle w:val="Normal1linespace"/>
              <w:widowControl w:val="0"/>
              <w:jc w:val="left"/>
            </w:pPr>
            <w:r>
              <w:t xml:space="preserve">23 February 2022 </w:t>
            </w:r>
          </w:p>
        </w:tc>
      </w:tr>
      <w:tr w:rsidR="002A3F9D" w14:paraId="08BCA5E5" w14:textId="77777777" w:rsidTr="00534E82">
        <w:tc>
          <w:tcPr>
            <w:tcW w:w="3084" w:type="dxa"/>
            <w:shd w:val="clear" w:color="auto" w:fill="auto"/>
          </w:tcPr>
          <w:p w14:paraId="1B560238" w14:textId="77777777" w:rsidR="002A3F9D" w:rsidRDefault="002A3F9D" w:rsidP="002A3F9D">
            <w:pPr>
              <w:pStyle w:val="Normal1linespace"/>
              <w:widowControl w:val="0"/>
              <w:jc w:val="left"/>
            </w:pPr>
          </w:p>
        </w:tc>
        <w:tc>
          <w:tcPr>
            <w:tcW w:w="5989" w:type="dxa"/>
            <w:shd w:val="clear" w:color="auto" w:fill="auto"/>
          </w:tcPr>
          <w:p w14:paraId="4D9FDBB6" w14:textId="77777777" w:rsidR="002A3F9D" w:rsidRDefault="002A3F9D" w:rsidP="002A3F9D">
            <w:pPr>
              <w:pStyle w:val="Normal1linespace"/>
              <w:widowControl w:val="0"/>
              <w:jc w:val="left"/>
            </w:pPr>
          </w:p>
        </w:tc>
      </w:tr>
      <w:tr w:rsidR="002A3F9D" w14:paraId="0B6925DB" w14:textId="77777777" w:rsidTr="00534E82">
        <w:tc>
          <w:tcPr>
            <w:tcW w:w="3084" w:type="dxa"/>
            <w:shd w:val="clear" w:color="auto" w:fill="auto"/>
          </w:tcPr>
          <w:p w14:paraId="4834EE53" w14:textId="77777777" w:rsidR="002A3F9D" w:rsidRDefault="002A3F9D" w:rsidP="002A3F9D">
            <w:pPr>
              <w:pStyle w:val="Normal1linespace"/>
              <w:widowControl w:val="0"/>
              <w:jc w:val="left"/>
            </w:pPr>
            <w:r>
              <w:t>Counsel for the Appellant:</w:t>
            </w:r>
          </w:p>
        </w:tc>
        <w:tc>
          <w:tcPr>
            <w:tcW w:w="5989" w:type="dxa"/>
            <w:shd w:val="clear" w:color="auto" w:fill="auto"/>
          </w:tcPr>
          <w:p w14:paraId="31A7BF78" w14:textId="77777777" w:rsidR="002A3F9D" w:rsidRDefault="002A3F9D" w:rsidP="002A3F9D">
            <w:pPr>
              <w:pStyle w:val="Normal1linespace"/>
              <w:widowControl w:val="0"/>
              <w:jc w:val="left"/>
            </w:pPr>
            <w:r>
              <w:t>Ms T Wong SC</w:t>
            </w:r>
          </w:p>
        </w:tc>
      </w:tr>
      <w:tr w:rsidR="002A3F9D" w14:paraId="48E15B7B" w14:textId="77777777" w:rsidTr="00534E82">
        <w:tc>
          <w:tcPr>
            <w:tcW w:w="3084" w:type="dxa"/>
            <w:shd w:val="clear" w:color="auto" w:fill="auto"/>
          </w:tcPr>
          <w:p w14:paraId="5BDDEC11" w14:textId="77777777" w:rsidR="002A3F9D" w:rsidRDefault="002A3F9D" w:rsidP="002A3F9D">
            <w:pPr>
              <w:pStyle w:val="Normal1linespace"/>
              <w:widowControl w:val="0"/>
              <w:jc w:val="left"/>
            </w:pPr>
          </w:p>
        </w:tc>
        <w:tc>
          <w:tcPr>
            <w:tcW w:w="5989" w:type="dxa"/>
            <w:shd w:val="clear" w:color="auto" w:fill="auto"/>
          </w:tcPr>
          <w:p w14:paraId="6BB63A24" w14:textId="77777777" w:rsidR="002A3F9D" w:rsidRDefault="002A3F9D" w:rsidP="002A3F9D">
            <w:pPr>
              <w:pStyle w:val="Normal1linespace"/>
              <w:widowControl w:val="0"/>
              <w:jc w:val="left"/>
            </w:pPr>
          </w:p>
        </w:tc>
      </w:tr>
      <w:tr w:rsidR="002A3F9D" w14:paraId="508494C8" w14:textId="77777777" w:rsidTr="00534E82">
        <w:tc>
          <w:tcPr>
            <w:tcW w:w="3084" w:type="dxa"/>
            <w:shd w:val="clear" w:color="auto" w:fill="auto"/>
          </w:tcPr>
          <w:p w14:paraId="087F66D0" w14:textId="77777777" w:rsidR="002A3F9D" w:rsidRDefault="002A3F9D" w:rsidP="002A3F9D">
            <w:pPr>
              <w:pStyle w:val="Normal1linespace"/>
              <w:widowControl w:val="0"/>
              <w:jc w:val="left"/>
            </w:pPr>
            <w:r>
              <w:t>Solicitor for the Appellant:</w:t>
            </w:r>
          </w:p>
        </w:tc>
        <w:tc>
          <w:tcPr>
            <w:tcW w:w="5989" w:type="dxa"/>
            <w:shd w:val="clear" w:color="auto" w:fill="auto"/>
          </w:tcPr>
          <w:p w14:paraId="1A97E6F9" w14:textId="77777777" w:rsidR="002A3F9D" w:rsidRDefault="005158F0" w:rsidP="002A3F9D">
            <w:pPr>
              <w:pStyle w:val="Normal1linespace"/>
              <w:widowControl w:val="0"/>
              <w:jc w:val="left"/>
            </w:pPr>
            <w:r>
              <w:t xml:space="preserve">Clayton </w:t>
            </w:r>
            <w:proofErr w:type="spellStart"/>
            <w:r>
              <w:t>Utz</w:t>
            </w:r>
            <w:proofErr w:type="spellEnd"/>
          </w:p>
        </w:tc>
      </w:tr>
      <w:tr w:rsidR="002A3F9D" w14:paraId="7417B4F8" w14:textId="77777777" w:rsidTr="00534E82">
        <w:tc>
          <w:tcPr>
            <w:tcW w:w="3084" w:type="dxa"/>
            <w:shd w:val="clear" w:color="auto" w:fill="auto"/>
          </w:tcPr>
          <w:p w14:paraId="094C8A96" w14:textId="77777777" w:rsidR="002A3F9D" w:rsidRDefault="002A3F9D" w:rsidP="002A3F9D">
            <w:pPr>
              <w:pStyle w:val="Normal1linespace"/>
              <w:widowControl w:val="0"/>
              <w:jc w:val="left"/>
            </w:pPr>
          </w:p>
        </w:tc>
        <w:tc>
          <w:tcPr>
            <w:tcW w:w="5989" w:type="dxa"/>
            <w:shd w:val="clear" w:color="auto" w:fill="auto"/>
          </w:tcPr>
          <w:p w14:paraId="586D4C5F" w14:textId="77777777" w:rsidR="002A3F9D" w:rsidRDefault="002A3F9D" w:rsidP="002A3F9D">
            <w:pPr>
              <w:pStyle w:val="Normal1linespace"/>
              <w:widowControl w:val="0"/>
              <w:jc w:val="left"/>
            </w:pPr>
          </w:p>
        </w:tc>
      </w:tr>
      <w:tr w:rsidR="002A3F9D" w14:paraId="4999DE53" w14:textId="77777777" w:rsidTr="00534E82">
        <w:tc>
          <w:tcPr>
            <w:tcW w:w="3084" w:type="dxa"/>
            <w:shd w:val="clear" w:color="auto" w:fill="auto"/>
          </w:tcPr>
          <w:p w14:paraId="4C8693D7" w14:textId="77777777" w:rsidR="002A3F9D" w:rsidRDefault="002A3F9D" w:rsidP="002A3F9D">
            <w:pPr>
              <w:pStyle w:val="Normal1linespace"/>
              <w:widowControl w:val="0"/>
              <w:jc w:val="left"/>
            </w:pPr>
            <w:r>
              <w:t>Counsel for the Respondent:</w:t>
            </w:r>
          </w:p>
        </w:tc>
        <w:tc>
          <w:tcPr>
            <w:tcW w:w="5989" w:type="dxa"/>
            <w:shd w:val="clear" w:color="auto" w:fill="auto"/>
          </w:tcPr>
          <w:p w14:paraId="61E281C9" w14:textId="77777777" w:rsidR="002A3F9D" w:rsidRDefault="002A3F9D" w:rsidP="002A3F9D">
            <w:pPr>
              <w:pStyle w:val="Normal1linespace"/>
              <w:widowControl w:val="0"/>
              <w:jc w:val="left"/>
            </w:pPr>
            <w:r>
              <w:t xml:space="preserve">Mr S </w:t>
            </w:r>
            <w:proofErr w:type="spellStart"/>
            <w:r>
              <w:t>Crawshaw</w:t>
            </w:r>
            <w:proofErr w:type="spellEnd"/>
            <w:r>
              <w:t xml:space="preserve"> SC</w:t>
            </w:r>
          </w:p>
        </w:tc>
      </w:tr>
      <w:tr w:rsidR="002A3F9D" w14:paraId="7E45AFCE" w14:textId="77777777" w:rsidTr="00534E82">
        <w:tc>
          <w:tcPr>
            <w:tcW w:w="3084" w:type="dxa"/>
            <w:shd w:val="clear" w:color="auto" w:fill="auto"/>
          </w:tcPr>
          <w:p w14:paraId="2EF2FBFB" w14:textId="77777777" w:rsidR="002A3F9D" w:rsidRDefault="002A3F9D" w:rsidP="002A3F9D">
            <w:pPr>
              <w:pStyle w:val="Normal1linespace"/>
              <w:widowControl w:val="0"/>
              <w:jc w:val="left"/>
            </w:pPr>
          </w:p>
        </w:tc>
        <w:tc>
          <w:tcPr>
            <w:tcW w:w="5989" w:type="dxa"/>
            <w:shd w:val="clear" w:color="auto" w:fill="auto"/>
          </w:tcPr>
          <w:p w14:paraId="3AB9A041" w14:textId="77777777" w:rsidR="002A3F9D" w:rsidRDefault="002A3F9D" w:rsidP="002A3F9D">
            <w:pPr>
              <w:pStyle w:val="Normal1linespace"/>
              <w:widowControl w:val="0"/>
              <w:jc w:val="left"/>
            </w:pPr>
          </w:p>
        </w:tc>
      </w:tr>
      <w:tr w:rsidR="002A3F9D" w14:paraId="19107C30" w14:textId="77777777" w:rsidTr="00534E82">
        <w:tc>
          <w:tcPr>
            <w:tcW w:w="3084" w:type="dxa"/>
            <w:shd w:val="clear" w:color="auto" w:fill="auto"/>
          </w:tcPr>
          <w:p w14:paraId="52767C01" w14:textId="77777777" w:rsidR="002A3F9D" w:rsidRDefault="002A3F9D" w:rsidP="002A3F9D">
            <w:pPr>
              <w:pStyle w:val="Normal1linespace"/>
              <w:widowControl w:val="0"/>
              <w:jc w:val="left"/>
            </w:pPr>
            <w:r>
              <w:t>Solicitor for the Respondent:</w:t>
            </w:r>
          </w:p>
        </w:tc>
        <w:tc>
          <w:tcPr>
            <w:tcW w:w="5989" w:type="dxa"/>
            <w:shd w:val="clear" w:color="auto" w:fill="auto"/>
          </w:tcPr>
          <w:p w14:paraId="26800A1B" w14:textId="77777777" w:rsidR="002A3F9D" w:rsidRDefault="005158F0" w:rsidP="002A3F9D">
            <w:pPr>
              <w:pStyle w:val="Normal1linespace"/>
              <w:widowControl w:val="0"/>
              <w:jc w:val="left"/>
            </w:pPr>
            <w:r>
              <w:t>Slater &amp; Gordon</w:t>
            </w:r>
          </w:p>
        </w:tc>
      </w:tr>
      <w:tr w:rsidR="00534E82" w14:paraId="37D95291" w14:textId="77777777" w:rsidTr="00534E82">
        <w:tc>
          <w:tcPr>
            <w:tcW w:w="3081" w:type="dxa"/>
            <w:shd w:val="clear" w:color="auto" w:fill="auto"/>
          </w:tcPr>
          <w:p w14:paraId="3FA5C039" w14:textId="77777777" w:rsidR="00534E82" w:rsidRDefault="00534E82" w:rsidP="00534E82">
            <w:pPr>
              <w:pStyle w:val="Normal1linespace"/>
              <w:widowControl w:val="0"/>
              <w:jc w:val="left"/>
            </w:pPr>
            <w:bookmarkStart w:id="12" w:name="Counsel" w:colFirst="0" w:colLast="2"/>
            <w:bookmarkEnd w:id="11"/>
          </w:p>
        </w:tc>
        <w:tc>
          <w:tcPr>
            <w:tcW w:w="5989" w:type="dxa"/>
            <w:shd w:val="clear" w:color="auto" w:fill="auto"/>
          </w:tcPr>
          <w:p w14:paraId="54CC2CA3" w14:textId="77777777" w:rsidR="00534E82" w:rsidRDefault="00534E82" w:rsidP="00534E82">
            <w:pPr>
              <w:pStyle w:val="Normal1linespace"/>
              <w:widowControl w:val="0"/>
              <w:jc w:val="left"/>
            </w:pPr>
            <w:bookmarkStart w:id="13" w:name="AppCounsel"/>
            <w:bookmarkEnd w:id="13"/>
          </w:p>
        </w:tc>
      </w:tr>
      <w:bookmarkEnd w:id="12"/>
    </w:tbl>
    <w:p w14:paraId="42B952F0" w14:textId="77777777" w:rsidR="007470BD" w:rsidRDefault="007470BD">
      <w:pPr>
        <w:pStyle w:val="Normal1linespace"/>
      </w:pPr>
    </w:p>
    <w:p w14:paraId="5AAFA2D1" w14:textId="77777777" w:rsidR="00E94CBF" w:rsidRDefault="00E94CBF">
      <w:pPr>
        <w:pStyle w:val="Normal1linespace"/>
      </w:pPr>
    </w:p>
    <w:p w14:paraId="1F061FC4" w14:textId="77777777" w:rsidR="00395B24" w:rsidRDefault="00395B24">
      <w:pPr>
        <w:pStyle w:val="Normal1linespace"/>
        <w:sectPr w:rsidR="00395B24" w:rsidSect="001F2473">
          <w:footerReference w:type="default" r:id="rId9"/>
          <w:footerReference w:type="first" r:id="rId10"/>
          <w:endnotePr>
            <w:numFmt w:val="decimal"/>
          </w:endnotePr>
          <w:type w:val="continuous"/>
          <w:pgSz w:w="11907" w:h="16840" w:code="9"/>
          <w:pgMar w:top="1440" w:right="1440" w:bottom="1440" w:left="1440" w:header="851" w:footer="768" w:gutter="0"/>
          <w:pgNumType w:start="1"/>
          <w:cols w:space="720"/>
          <w:noEndnote/>
          <w:titlePg/>
        </w:sectPr>
      </w:pPr>
    </w:p>
    <w:p w14:paraId="48FD7500"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5714CCC1" w14:textId="77777777" w:rsidTr="00E81DA6">
        <w:tc>
          <w:tcPr>
            <w:tcW w:w="6912" w:type="dxa"/>
            <w:gridSpan w:val="2"/>
          </w:tcPr>
          <w:p w14:paraId="3E7E4FD3" w14:textId="77777777" w:rsidR="00A46CCC" w:rsidRPr="001765E0" w:rsidRDefault="00A46CCC" w:rsidP="00525A49">
            <w:pPr>
              <w:pStyle w:val="NormalHeadings"/>
            </w:pPr>
          </w:p>
        </w:tc>
        <w:tc>
          <w:tcPr>
            <w:tcW w:w="2330" w:type="dxa"/>
          </w:tcPr>
          <w:p w14:paraId="0EC92ECB" w14:textId="77777777" w:rsidR="00A46CCC" w:rsidRDefault="002A3F9D" w:rsidP="00F92355">
            <w:pPr>
              <w:pStyle w:val="NormalHeadings"/>
              <w:jc w:val="right"/>
            </w:pPr>
            <w:bookmarkStart w:id="14" w:name="FileNo"/>
            <w:r>
              <w:t>NSD 204 of 2021</w:t>
            </w:r>
            <w:bookmarkEnd w:id="14"/>
          </w:p>
        </w:tc>
      </w:tr>
      <w:tr w:rsidR="00A76C13" w14:paraId="1C0D4DFC" w14:textId="77777777" w:rsidTr="00DD28B8">
        <w:tc>
          <w:tcPr>
            <w:tcW w:w="9242" w:type="dxa"/>
            <w:gridSpan w:val="3"/>
          </w:tcPr>
          <w:p w14:paraId="53FFEBFE" w14:textId="77777777" w:rsidR="00A76C13" w:rsidRPr="00A76C13" w:rsidRDefault="002A3F9D" w:rsidP="002A3F9D">
            <w:pPr>
              <w:pStyle w:val="NormalHeadings"/>
              <w:jc w:val="left"/>
            </w:pPr>
            <w:bookmarkStart w:id="15" w:name="InTheMatterOf"/>
            <w:r>
              <w:t xml:space="preserve"> </w:t>
            </w:r>
            <w:bookmarkEnd w:id="15"/>
          </w:p>
        </w:tc>
      </w:tr>
      <w:tr w:rsidR="00A46CCC" w14:paraId="0806EDC6" w14:textId="77777777" w:rsidTr="00DD28B8">
        <w:trPr>
          <w:trHeight w:val="386"/>
        </w:trPr>
        <w:tc>
          <w:tcPr>
            <w:tcW w:w="2376" w:type="dxa"/>
          </w:tcPr>
          <w:p w14:paraId="457586CD" w14:textId="77777777" w:rsidR="00A46CCC" w:rsidRDefault="00A46CCC" w:rsidP="00DD28B8">
            <w:pPr>
              <w:pStyle w:val="NormalHeadings"/>
              <w:jc w:val="left"/>
              <w:rPr>
                <w:caps/>
                <w:szCs w:val="24"/>
              </w:rPr>
            </w:pPr>
            <w:bookmarkStart w:id="16" w:name="Parties"/>
            <w:r>
              <w:rPr>
                <w:caps/>
                <w:szCs w:val="24"/>
              </w:rPr>
              <w:t>BETWEEN:</w:t>
            </w:r>
          </w:p>
        </w:tc>
        <w:tc>
          <w:tcPr>
            <w:tcW w:w="6866" w:type="dxa"/>
            <w:gridSpan w:val="2"/>
          </w:tcPr>
          <w:p w14:paraId="48C14089" w14:textId="77777777" w:rsidR="00A46CCC" w:rsidRDefault="00CE1D3B" w:rsidP="002A3F9D">
            <w:pPr>
              <w:pStyle w:val="NormalHeadings"/>
              <w:jc w:val="left"/>
            </w:pPr>
            <w:bookmarkStart w:id="17" w:name="Applicant"/>
            <w:bookmarkEnd w:id="17"/>
            <w:r>
              <w:t>SECRETARY, ATTORNEY-GENERAL’S DEPARTMENT</w:t>
            </w:r>
          </w:p>
          <w:p w14:paraId="38D5AE59" w14:textId="77777777" w:rsidR="00CE1D3B" w:rsidRDefault="00CE1D3B" w:rsidP="002A3F9D">
            <w:pPr>
              <w:pStyle w:val="NormalHeadings"/>
              <w:jc w:val="left"/>
              <w:rPr>
                <w:b w:val="0"/>
              </w:rPr>
            </w:pPr>
            <w:r>
              <w:rPr>
                <w:b w:val="0"/>
              </w:rPr>
              <w:t>Appellant</w:t>
            </w:r>
          </w:p>
          <w:p w14:paraId="788E595B" w14:textId="77777777" w:rsidR="00CE1D3B" w:rsidRPr="002C2949" w:rsidRDefault="00CE1D3B" w:rsidP="002A3F9D">
            <w:pPr>
              <w:pStyle w:val="NormalHeadings"/>
              <w:jc w:val="left"/>
              <w:rPr>
                <w:b w:val="0"/>
              </w:rPr>
            </w:pPr>
          </w:p>
        </w:tc>
      </w:tr>
      <w:tr w:rsidR="00A46CCC" w14:paraId="195F5681" w14:textId="77777777" w:rsidTr="00DD28B8">
        <w:trPr>
          <w:trHeight w:val="386"/>
        </w:trPr>
        <w:tc>
          <w:tcPr>
            <w:tcW w:w="2376" w:type="dxa"/>
          </w:tcPr>
          <w:p w14:paraId="0CDC8632" w14:textId="77777777" w:rsidR="00A46CCC" w:rsidRDefault="00A46CCC" w:rsidP="00DD28B8">
            <w:pPr>
              <w:pStyle w:val="NormalHeadings"/>
              <w:jc w:val="left"/>
              <w:rPr>
                <w:caps/>
                <w:szCs w:val="24"/>
              </w:rPr>
            </w:pPr>
            <w:r>
              <w:rPr>
                <w:caps/>
                <w:szCs w:val="24"/>
              </w:rPr>
              <w:t>AND:</w:t>
            </w:r>
          </w:p>
        </w:tc>
        <w:tc>
          <w:tcPr>
            <w:tcW w:w="6866" w:type="dxa"/>
            <w:gridSpan w:val="2"/>
          </w:tcPr>
          <w:p w14:paraId="0314E7A9" w14:textId="77777777" w:rsidR="00A46CCC" w:rsidRDefault="00CE1D3B" w:rsidP="002A3F9D">
            <w:pPr>
              <w:pStyle w:val="NormalHeadings"/>
              <w:jc w:val="left"/>
            </w:pPr>
            <w:bookmarkStart w:id="18" w:name="Respondent"/>
            <w:bookmarkEnd w:id="18"/>
            <w:r>
              <w:t>KYLE WARREN</w:t>
            </w:r>
          </w:p>
          <w:p w14:paraId="5407FA69" w14:textId="77777777" w:rsidR="00CE1D3B" w:rsidRDefault="00CE1D3B" w:rsidP="002A3F9D">
            <w:pPr>
              <w:pStyle w:val="NormalHeadings"/>
              <w:jc w:val="left"/>
              <w:rPr>
                <w:b w:val="0"/>
              </w:rPr>
            </w:pPr>
            <w:r>
              <w:rPr>
                <w:b w:val="0"/>
              </w:rPr>
              <w:t>Respondent</w:t>
            </w:r>
          </w:p>
          <w:p w14:paraId="511E7AF1" w14:textId="77777777" w:rsidR="00CE1D3B" w:rsidRPr="002C2949" w:rsidRDefault="00CE1D3B" w:rsidP="002A3F9D">
            <w:pPr>
              <w:pStyle w:val="NormalHeadings"/>
              <w:jc w:val="left"/>
              <w:rPr>
                <w:b w:val="0"/>
              </w:rPr>
            </w:pPr>
          </w:p>
        </w:tc>
      </w:tr>
    </w:tbl>
    <w:p w14:paraId="79865C5D" w14:textId="77777777" w:rsidR="00395B24" w:rsidRDefault="00395B24">
      <w:pPr>
        <w:pStyle w:val="NormalHeadings"/>
      </w:pPr>
      <w:bookmarkStart w:id="19" w:name="CrossClaimPosition"/>
      <w:bookmarkEnd w:id="16"/>
      <w:bookmarkEnd w:id="19"/>
    </w:p>
    <w:tbl>
      <w:tblPr>
        <w:tblW w:w="0" w:type="auto"/>
        <w:tblLayout w:type="fixed"/>
        <w:tblLook w:val="0000" w:firstRow="0" w:lastRow="0" w:firstColumn="0" w:lastColumn="0" w:noHBand="0" w:noVBand="0"/>
        <w:tblCaption w:val="Judge"/>
        <w:tblDescription w:val="Judge"/>
      </w:tblPr>
      <w:tblGrid>
        <w:gridCol w:w="2376"/>
        <w:gridCol w:w="6866"/>
      </w:tblGrid>
      <w:tr w:rsidR="00395B24" w14:paraId="7419AEE9" w14:textId="77777777">
        <w:tc>
          <w:tcPr>
            <w:tcW w:w="2376" w:type="dxa"/>
          </w:tcPr>
          <w:p w14:paraId="32926342" w14:textId="77777777" w:rsidR="00395B24" w:rsidRDefault="00974709">
            <w:pPr>
              <w:pStyle w:val="NormalHeadings"/>
              <w:spacing w:after="120"/>
              <w:jc w:val="left"/>
              <w:rPr>
                <w:caps/>
                <w:szCs w:val="24"/>
              </w:rPr>
            </w:pPr>
            <w:bookmarkStart w:id="20" w:name="JudgeText"/>
            <w:r>
              <w:rPr>
                <w:caps/>
                <w:szCs w:val="24"/>
              </w:rPr>
              <w:t>order made by</w:t>
            </w:r>
            <w:bookmarkEnd w:id="20"/>
            <w:r w:rsidR="002C7385">
              <w:rPr>
                <w:caps/>
                <w:szCs w:val="24"/>
              </w:rPr>
              <w:t>:</w:t>
            </w:r>
          </w:p>
        </w:tc>
        <w:tc>
          <w:tcPr>
            <w:tcW w:w="6866" w:type="dxa"/>
          </w:tcPr>
          <w:p w14:paraId="34F69E0A" w14:textId="77777777" w:rsidR="00395B24" w:rsidRDefault="002A3F9D">
            <w:pPr>
              <w:pStyle w:val="NormalHeadings"/>
              <w:jc w:val="left"/>
              <w:rPr>
                <w:caps/>
                <w:szCs w:val="24"/>
              </w:rPr>
            </w:pPr>
            <w:bookmarkStart w:id="21" w:name="Judge"/>
            <w:r>
              <w:rPr>
                <w:caps/>
                <w:szCs w:val="24"/>
              </w:rPr>
              <w:t xml:space="preserve">RARES, THAWLEY AND ANDERSON </w:t>
            </w:r>
            <w:r w:rsidR="00AD6843">
              <w:rPr>
                <w:caps/>
                <w:szCs w:val="24"/>
              </w:rPr>
              <w:t>J</w:t>
            </w:r>
            <w:r>
              <w:rPr>
                <w:caps/>
                <w:szCs w:val="24"/>
              </w:rPr>
              <w:t>J</w:t>
            </w:r>
            <w:bookmarkEnd w:id="21"/>
          </w:p>
        </w:tc>
      </w:tr>
      <w:tr w:rsidR="00395B24" w14:paraId="5C212405" w14:textId="77777777">
        <w:tc>
          <w:tcPr>
            <w:tcW w:w="2376" w:type="dxa"/>
          </w:tcPr>
          <w:p w14:paraId="18581336" w14:textId="77777777" w:rsidR="00395B24" w:rsidRDefault="002C7385">
            <w:pPr>
              <w:pStyle w:val="NormalHeadings"/>
              <w:spacing w:after="120"/>
              <w:jc w:val="left"/>
              <w:rPr>
                <w:caps/>
                <w:szCs w:val="24"/>
              </w:rPr>
            </w:pPr>
            <w:r>
              <w:rPr>
                <w:caps/>
                <w:szCs w:val="24"/>
              </w:rPr>
              <w:t>DATE OF ORDER:</w:t>
            </w:r>
          </w:p>
        </w:tc>
        <w:tc>
          <w:tcPr>
            <w:tcW w:w="6866" w:type="dxa"/>
          </w:tcPr>
          <w:p w14:paraId="05E5CE1F" w14:textId="47EDFEC4" w:rsidR="00395B24" w:rsidRDefault="00C87824">
            <w:pPr>
              <w:pStyle w:val="NormalHeadings"/>
              <w:jc w:val="left"/>
              <w:rPr>
                <w:caps/>
                <w:szCs w:val="24"/>
              </w:rPr>
            </w:pPr>
            <w:bookmarkStart w:id="22" w:name="Judgment_Dated"/>
            <w:r>
              <w:rPr>
                <w:caps/>
                <w:szCs w:val="24"/>
              </w:rPr>
              <w:t>12 July</w:t>
            </w:r>
            <w:r w:rsidR="002A3F9D">
              <w:rPr>
                <w:caps/>
                <w:szCs w:val="24"/>
              </w:rPr>
              <w:t xml:space="preserve"> 2022</w:t>
            </w:r>
            <w:bookmarkEnd w:id="22"/>
          </w:p>
        </w:tc>
      </w:tr>
    </w:tbl>
    <w:p w14:paraId="7E6FCCD2" w14:textId="77777777" w:rsidR="00395B24" w:rsidRDefault="00395B24">
      <w:pPr>
        <w:pStyle w:val="NormalHeadings"/>
        <w:rPr>
          <w:b w:val="0"/>
        </w:rPr>
      </w:pPr>
    </w:p>
    <w:p w14:paraId="2211A1E8" w14:textId="77777777" w:rsidR="008D1617" w:rsidRDefault="008D1617">
      <w:pPr>
        <w:pStyle w:val="NormalHeadings"/>
        <w:rPr>
          <w:b w:val="0"/>
        </w:rPr>
      </w:pPr>
    </w:p>
    <w:p w14:paraId="197D0073" w14:textId="77777777" w:rsidR="00395B24" w:rsidRDefault="002C7385">
      <w:pPr>
        <w:pStyle w:val="NormalHeadings"/>
      </w:pPr>
      <w:r>
        <w:t>THE COURT ORDERS THAT:</w:t>
      </w:r>
    </w:p>
    <w:p w14:paraId="6B86F3F9" w14:textId="77777777" w:rsidR="007F60DF" w:rsidRDefault="007F60DF" w:rsidP="00243E5E">
      <w:pPr>
        <w:pStyle w:val="NormalHeadings"/>
      </w:pPr>
    </w:p>
    <w:p w14:paraId="63A2E2E1" w14:textId="77777777" w:rsidR="00C82EFF" w:rsidRDefault="00C82EFF" w:rsidP="00C82EFF">
      <w:pPr>
        <w:pStyle w:val="Order1"/>
      </w:pPr>
      <w:r>
        <w:t>The appeal be allowed.</w:t>
      </w:r>
    </w:p>
    <w:p w14:paraId="02870DF2" w14:textId="06E0E88A" w:rsidR="00C82EFF" w:rsidRDefault="00C82EFF" w:rsidP="00C82EFF">
      <w:pPr>
        <w:pStyle w:val="Order1"/>
      </w:pPr>
      <w:r>
        <w:t xml:space="preserve">Orders 2 and 3 made on 12 February 2021 and order 1 made on 26 February 2021 be set aside and, in lieu thereof, it be ordered that </w:t>
      </w:r>
      <w:r w:rsidR="00C87824">
        <w:t>t</w:t>
      </w:r>
      <w:r>
        <w:t>he application be dismissed with costs.</w:t>
      </w:r>
    </w:p>
    <w:p w14:paraId="122EA527" w14:textId="77777777" w:rsidR="00C82EFF" w:rsidRDefault="00C82EFF" w:rsidP="00C82EFF">
      <w:pPr>
        <w:pStyle w:val="Order1"/>
      </w:pPr>
      <w:r>
        <w:t xml:space="preserve">The respondent pay the appellant’s costs of the appeal on a lump sum basis to be </w:t>
      </w:r>
      <w:proofErr w:type="gramStart"/>
      <w:r>
        <w:t>agreed</w:t>
      </w:r>
      <w:proofErr w:type="gramEnd"/>
      <w:r>
        <w:t xml:space="preserve"> or otherwise fixed by the Registrar.</w:t>
      </w:r>
    </w:p>
    <w:p w14:paraId="4B3C7318" w14:textId="77777777" w:rsidR="001A6C52" w:rsidRDefault="001A6C52" w:rsidP="001A6C52">
      <w:pPr>
        <w:pStyle w:val="BodyText"/>
      </w:pPr>
    </w:p>
    <w:p w14:paraId="69184C83" w14:textId="77777777" w:rsidR="00A431E6" w:rsidRDefault="00A431E6" w:rsidP="001A6C52">
      <w:pPr>
        <w:pStyle w:val="BodyText"/>
      </w:pPr>
    </w:p>
    <w:p w14:paraId="643C33E6" w14:textId="77777777" w:rsidR="0050309C" w:rsidRDefault="002A3F9D" w:rsidP="004D53E5">
      <w:pPr>
        <w:pStyle w:val="SingleSpace"/>
      </w:pPr>
      <w:bookmarkStart w:id="23" w:name="OrdersStatement"/>
      <w:r>
        <w:t>Note:</w:t>
      </w:r>
      <w:r>
        <w:tab/>
        <w:t xml:space="preserve">Entry of orders is dealt with in Rule 39.32 of the </w:t>
      </w:r>
      <w:r>
        <w:rPr>
          <w:i/>
        </w:rPr>
        <w:t>Federal Court Rules 2011</w:t>
      </w:r>
      <w:r>
        <w:t>.</w:t>
      </w:r>
      <w:bookmarkEnd w:id="23"/>
    </w:p>
    <w:p w14:paraId="749FF77C" w14:textId="77777777" w:rsidR="00E23577" w:rsidRDefault="00E23577" w:rsidP="002B0E91">
      <w:pPr>
        <w:pStyle w:val="BodyText"/>
      </w:pPr>
    </w:p>
    <w:p w14:paraId="37E656B2" w14:textId="77777777" w:rsidR="00395B24" w:rsidRDefault="00395B24">
      <w:pPr>
        <w:pStyle w:val="NormalHeadings"/>
        <w:spacing w:before="240" w:after="120"/>
        <w:rPr>
          <w:b w:val="0"/>
        </w:rPr>
        <w:sectPr w:rsidR="00395B24" w:rsidSect="0092590B">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fmt="lowerRoman" w:start="1"/>
          <w:cols w:space="720"/>
          <w:noEndnote/>
          <w:titlePg/>
        </w:sectPr>
      </w:pPr>
    </w:p>
    <w:p w14:paraId="1A98ADE1" w14:textId="77777777" w:rsidR="00484F6D" w:rsidRPr="00045BB7" w:rsidRDefault="00484F6D" w:rsidP="00045BB7">
      <w:pPr>
        <w:pStyle w:val="NormalHeadings"/>
        <w:spacing w:line="480" w:lineRule="auto"/>
        <w:jc w:val="center"/>
        <w:rPr>
          <w:sz w:val="28"/>
          <w:szCs w:val="28"/>
        </w:rPr>
      </w:pPr>
      <w:bookmarkStart w:id="24" w:name="ReasonsPage"/>
      <w:bookmarkEnd w:id="24"/>
      <w:r w:rsidRPr="00045BB7">
        <w:rPr>
          <w:sz w:val="28"/>
          <w:szCs w:val="28"/>
        </w:rPr>
        <w:lastRenderedPageBreak/>
        <w:t>REASONS FOR JUDGMENT</w:t>
      </w:r>
    </w:p>
    <w:p w14:paraId="6E534197" w14:textId="54AB9A89" w:rsidR="00694BEB" w:rsidRDefault="00383160" w:rsidP="005E0510">
      <w:pPr>
        <w:pStyle w:val="NormalHeadings"/>
        <w:spacing w:line="360" w:lineRule="auto"/>
        <w:jc w:val="left"/>
        <w:rPr>
          <w:sz w:val="26"/>
          <w:szCs w:val="26"/>
        </w:rPr>
      </w:pPr>
      <w:r>
        <w:rPr>
          <w:sz w:val="26"/>
          <w:szCs w:val="26"/>
        </w:rPr>
        <w:t>THE COURT</w:t>
      </w:r>
      <w:r w:rsidR="00C5685A">
        <w:rPr>
          <w:sz w:val="26"/>
          <w:szCs w:val="26"/>
        </w:rPr>
        <w:t>:</w:t>
      </w:r>
    </w:p>
    <w:p w14:paraId="52FA3CF5" w14:textId="77777777" w:rsidR="00AB48C5" w:rsidRDefault="00AB48C5" w:rsidP="00AB48C5">
      <w:pPr>
        <w:pStyle w:val="Heading1"/>
      </w:pPr>
      <w:r>
        <w:t>BACKGROUND</w:t>
      </w:r>
    </w:p>
    <w:p w14:paraId="65017172" w14:textId="4DC1A341" w:rsidR="00F31CD4" w:rsidRDefault="005E1F73" w:rsidP="00EE4DF3">
      <w:pPr>
        <w:pStyle w:val="ParaNumbering"/>
      </w:pPr>
      <w:bookmarkStart w:id="25" w:name="_Ref106519985"/>
      <w:r>
        <w:t xml:space="preserve">Mr </w:t>
      </w:r>
      <w:r w:rsidR="00C5685A">
        <w:t xml:space="preserve">Kyle </w:t>
      </w:r>
      <w:r w:rsidR="00CD6608" w:rsidRPr="00C87824">
        <w:t>Warren</w:t>
      </w:r>
      <w:r w:rsidR="00CD6608">
        <w:t xml:space="preserve"> worke</w:t>
      </w:r>
      <w:r w:rsidR="002323CA">
        <w:t>d in the coal mining industry</w:t>
      </w:r>
      <w:r w:rsidR="00C65E4C">
        <w:t>.  The terms of his employment were contained in</w:t>
      </w:r>
      <w:r w:rsidR="002323CA">
        <w:t xml:space="preserve"> </w:t>
      </w:r>
      <w:r w:rsidR="00880D28">
        <w:t xml:space="preserve">a contract of employment </w:t>
      </w:r>
      <w:r w:rsidR="000B429B">
        <w:t>(the “</w:t>
      </w:r>
      <w:r w:rsidR="000B429B" w:rsidRPr="00164BFE">
        <w:rPr>
          <w:b/>
        </w:rPr>
        <w:t>letter agreement</w:t>
      </w:r>
      <w:r w:rsidR="000B429B">
        <w:t xml:space="preserve">”) </w:t>
      </w:r>
      <w:r w:rsidR="00880D28">
        <w:t>dated 14 May 2013</w:t>
      </w:r>
      <w:r w:rsidR="00C65E4C">
        <w:t xml:space="preserve"> as </w:t>
      </w:r>
      <w:r w:rsidR="00CD6608">
        <w:t xml:space="preserve">affected by the </w:t>
      </w:r>
      <w:r w:rsidR="00CD6608" w:rsidRPr="008E6F85">
        <w:rPr>
          <w:i/>
        </w:rPr>
        <w:t>Fair Work Act</w:t>
      </w:r>
      <w:r w:rsidR="00CD6608">
        <w:rPr>
          <w:i/>
        </w:rPr>
        <w:t xml:space="preserve"> 2009</w:t>
      </w:r>
      <w:r w:rsidR="00CD6608">
        <w:t xml:space="preserve"> (</w:t>
      </w:r>
      <w:proofErr w:type="spellStart"/>
      <w:r w:rsidR="00CD6608">
        <w:t>Cth</w:t>
      </w:r>
      <w:proofErr w:type="spellEnd"/>
      <w:r w:rsidR="00CD6608">
        <w:t>) (</w:t>
      </w:r>
      <w:r w:rsidR="00F468A5">
        <w:rPr>
          <w:b/>
        </w:rPr>
        <w:t>FW Act</w:t>
      </w:r>
      <w:r w:rsidR="00F468A5">
        <w:t>)</w:t>
      </w:r>
      <w:r w:rsidR="00D633DC">
        <w:t xml:space="preserve"> </w:t>
      </w:r>
      <w:r w:rsidR="00CD6608">
        <w:t xml:space="preserve">and the </w:t>
      </w:r>
      <w:r w:rsidR="00CD6608" w:rsidRPr="008E6F85">
        <w:rPr>
          <w:i/>
        </w:rPr>
        <w:t>Black Coal Mining Industry Award 2010</w:t>
      </w:r>
      <w:r w:rsidR="00EE4DF3">
        <w:rPr>
          <w:i/>
        </w:rPr>
        <w:t xml:space="preserve"> </w:t>
      </w:r>
      <w:r w:rsidR="00F014E6">
        <w:t>(</w:t>
      </w:r>
      <w:r w:rsidR="00F014E6" w:rsidRPr="00C82EFF">
        <w:rPr>
          <w:b/>
        </w:rPr>
        <w:t>Award</w:t>
      </w:r>
      <w:r w:rsidR="00F014E6">
        <w:t>).</w:t>
      </w:r>
      <w:r w:rsidR="00CD6608">
        <w:t xml:space="preserve">  </w:t>
      </w:r>
      <w:r w:rsidR="00F31CD4">
        <w:t>Mr Warren’s employment contract could not be legally effective to displace his ‘statutory’ entitlements</w:t>
      </w:r>
      <w:r w:rsidR="00C5685A">
        <w:t>.  That is because</w:t>
      </w:r>
      <w:r w:rsidR="00F31CD4">
        <w:t>:</w:t>
      </w:r>
      <w:bookmarkEnd w:id="25"/>
    </w:p>
    <w:p w14:paraId="036A1894" w14:textId="3ADA5FCC" w:rsidR="00F31CD4" w:rsidRDefault="00697E30" w:rsidP="00F31CD4">
      <w:pPr>
        <w:pStyle w:val="ListNo1"/>
      </w:pPr>
      <w:r>
        <w:t>t</w:t>
      </w:r>
      <w:r w:rsidRPr="0078082D">
        <w:t xml:space="preserve">he </w:t>
      </w:r>
      <w:r w:rsidR="00F31CD4" w:rsidRPr="0078082D">
        <w:t xml:space="preserve">National Employment Standards </w:t>
      </w:r>
      <w:r w:rsidR="00F31CD4">
        <w:t xml:space="preserve">in Pt 2-2 of the FW Act </w:t>
      </w:r>
      <w:r w:rsidR="00F31CD4" w:rsidRPr="0078082D">
        <w:t xml:space="preserve">contain minimum standards that apply to the employment of </w:t>
      </w:r>
      <w:r w:rsidR="00F31CD4">
        <w:t xml:space="preserve">all </w:t>
      </w:r>
      <w:r w:rsidR="00F31CD4" w:rsidRPr="0078082D">
        <w:t>employees</w:t>
      </w:r>
      <w:r w:rsidR="00F31CD4">
        <w:t xml:space="preserve">.  </w:t>
      </w:r>
      <w:r w:rsidR="00626E4F">
        <w:t xml:space="preserve">Pt 2-2 is divided into thirteen divisions.  Relevantly, </w:t>
      </w:r>
      <w:proofErr w:type="spellStart"/>
      <w:r w:rsidR="00626E4F">
        <w:t>Div</w:t>
      </w:r>
      <w:proofErr w:type="spellEnd"/>
      <w:r w:rsidR="00626E4F">
        <w:t xml:space="preserve"> 6 provides statutory “Annual leave” entitlements and </w:t>
      </w:r>
      <w:proofErr w:type="spellStart"/>
      <w:r w:rsidR="00626E4F">
        <w:t>Div</w:t>
      </w:r>
      <w:proofErr w:type="spellEnd"/>
      <w:r w:rsidR="00626E4F">
        <w:t xml:space="preserve"> 11 provides statutory “Notice of termination and redundancy pay” entitlements.  </w:t>
      </w:r>
      <w:r w:rsidR="00F31CD4">
        <w:t>These minimum standards</w:t>
      </w:r>
      <w:r w:rsidR="00F31CD4" w:rsidRPr="0078082D">
        <w:t xml:space="preserve"> cannot be displaced: s 61(1)</w:t>
      </w:r>
      <w:r w:rsidR="00F31CD4">
        <w:t xml:space="preserve">.  An employer must not contravene a provision of the National Employment Standards: s 44(1).  </w:t>
      </w:r>
    </w:p>
    <w:p w14:paraId="183DAA67" w14:textId="7B2A989E" w:rsidR="00F31CD4" w:rsidRDefault="00697E30" w:rsidP="00F31CD4">
      <w:pPr>
        <w:pStyle w:val="ListNo1"/>
      </w:pPr>
      <w:r>
        <w:t>t</w:t>
      </w:r>
      <w:r w:rsidR="00C5685A">
        <w:t xml:space="preserve">he Award was governed by Pt </w:t>
      </w:r>
      <w:r w:rsidR="00F31CD4">
        <w:t>2-3 of the FW Act</w:t>
      </w:r>
      <w:r w:rsidR="00C5685A">
        <w:t>, which</w:t>
      </w:r>
      <w:r w:rsidR="00F31CD4">
        <w:t xml:space="preserve"> is entitled “Modern awards”.  A modern award must not exclude the National Employment Standards, but it may include terms that are permitted by, or which are ancillary to, or which supplement, the National Employment Standards: </w:t>
      </w:r>
      <w:proofErr w:type="spellStart"/>
      <w:r w:rsidR="00F31CD4">
        <w:t>ss</w:t>
      </w:r>
      <w:proofErr w:type="spellEnd"/>
      <w:r w:rsidR="00F31CD4">
        <w:t xml:space="preserve"> 55(1) to (4). If a modern award applies to a person, then the person must not contravene the award: s 45.  The Award supplemented the annual leave entitlements provided by the FW Act: </w:t>
      </w:r>
      <w:proofErr w:type="spellStart"/>
      <w:r w:rsidR="00822255">
        <w:t>cll</w:t>
      </w:r>
      <w:proofErr w:type="spellEnd"/>
      <w:r w:rsidR="00F31CD4">
        <w:t> 25.1</w:t>
      </w:r>
      <w:r w:rsidR="005E7B3D">
        <w:t>, 25.2</w:t>
      </w:r>
      <w:r w:rsidR="00F31CD4">
        <w:t xml:space="preserve"> and 25.7.  The Award also provided for redundancy and severance pay: </w:t>
      </w:r>
      <w:proofErr w:type="spellStart"/>
      <w:r w:rsidR="00822255">
        <w:t>cll</w:t>
      </w:r>
      <w:proofErr w:type="spellEnd"/>
      <w:r w:rsidR="00F31CD4">
        <w:t> 13.1, 14.3 and 14.4.</w:t>
      </w:r>
    </w:p>
    <w:p w14:paraId="10BEF395" w14:textId="413D5246" w:rsidR="00F32685" w:rsidRDefault="00822255" w:rsidP="00F32685">
      <w:pPr>
        <w:pStyle w:val="ParaNumbering"/>
      </w:pPr>
      <w:r>
        <w:t>T</w:t>
      </w:r>
      <w:r w:rsidR="00C5685A">
        <w:t>he letter agreement</w:t>
      </w:r>
      <w:r w:rsidR="00F32685">
        <w:t xml:space="preserve"> </w:t>
      </w:r>
      <w:r w:rsidR="00541140">
        <w:t xml:space="preserve">purported to </w:t>
      </w:r>
      <w:r w:rsidR="00F32685">
        <w:t xml:space="preserve">designate </w:t>
      </w:r>
      <w:r>
        <w:t xml:space="preserve">Mr Warren’s </w:t>
      </w:r>
      <w:r w:rsidR="00F32685">
        <w:t xml:space="preserve">employment to be casual employment.  </w:t>
      </w:r>
      <w:r w:rsidR="00C5685A">
        <w:t xml:space="preserve">However, it </w:t>
      </w:r>
      <w:r w:rsidR="00F32685">
        <w:t>was common ground that</w:t>
      </w:r>
      <w:r w:rsidR="00F32685" w:rsidRPr="00C65E4C">
        <w:t xml:space="preserve"> </w:t>
      </w:r>
      <w:r w:rsidR="00F32685">
        <w:t xml:space="preserve">Mr Warren was: </w:t>
      </w:r>
    </w:p>
    <w:p w14:paraId="08935D85" w14:textId="387108F8" w:rsidR="00F32685" w:rsidRDefault="00F32685" w:rsidP="00F32685">
      <w:pPr>
        <w:pStyle w:val="ListNo1alt"/>
      </w:pPr>
      <w:r>
        <w:t xml:space="preserve">not within a classification in cl 10.4 and </w:t>
      </w:r>
      <w:proofErr w:type="spellStart"/>
      <w:r>
        <w:t>Sch</w:t>
      </w:r>
      <w:proofErr w:type="spellEnd"/>
      <w:r>
        <w:t xml:space="preserve"> B to the Award, with the result that casual employment was not permitted; </w:t>
      </w:r>
    </w:p>
    <w:p w14:paraId="1877683F" w14:textId="77777777" w:rsidR="00F32685" w:rsidRDefault="00F32685" w:rsidP="00F32685">
      <w:pPr>
        <w:pStyle w:val="ListNo1alt"/>
      </w:pPr>
      <w:r>
        <w:t>therefore entitled to be paid on the basis that he was a permanent employee; and</w:t>
      </w:r>
    </w:p>
    <w:p w14:paraId="37E703D1" w14:textId="6C877534" w:rsidR="00F32685" w:rsidRDefault="00F32685" w:rsidP="00F32685">
      <w:pPr>
        <w:pStyle w:val="ListNo1alt"/>
      </w:pPr>
      <w:r>
        <w:t xml:space="preserve">entitled under the National Employment Standards and Award to paid </w:t>
      </w:r>
      <w:r w:rsidR="00626E4F">
        <w:t>annual leave and redundancy pay</w:t>
      </w:r>
      <w:r>
        <w:t>.</w:t>
      </w:r>
      <w:r w:rsidRPr="00D633DC">
        <w:t xml:space="preserve"> </w:t>
      </w:r>
      <w:r>
        <w:t xml:space="preserve"> </w:t>
      </w:r>
    </w:p>
    <w:p w14:paraId="348A34FB" w14:textId="77777777" w:rsidR="00E03512" w:rsidRDefault="00E03512" w:rsidP="00E03512">
      <w:pPr>
        <w:pStyle w:val="ParaNumbering"/>
      </w:pPr>
      <w:r>
        <w:t xml:space="preserve">Clause 3 of the </w:t>
      </w:r>
      <w:r w:rsidR="00C5685A">
        <w:t>letter agreement</w:t>
      </w:r>
      <w:r w:rsidR="00E022F6">
        <w:t xml:space="preserve"> </w:t>
      </w:r>
      <w:r>
        <w:t>provided for Mr Warren’s “rate of pay”.  It provided:</w:t>
      </w:r>
    </w:p>
    <w:p w14:paraId="351F42AC" w14:textId="77777777" w:rsidR="00E03512" w:rsidRPr="00E03512" w:rsidRDefault="00E03512" w:rsidP="00E022F6">
      <w:pPr>
        <w:pStyle w:val="Quote1"/>
        <w:keepNext/>
        <w:ind w:left="1417" w:hanging="680"/>
        <w:rPr>
          <w:b/>
        </w:rPr>
      </w:pPr>
      <w:r w:rsidRPr="00E03512">
        <w:rPr>
          <w:b/>
        </w:rPr>
        <w:lastRenderedPageBreak/>
        <w:t>3.</w:t>
      </w:r>
      <w:r w:rsidRPr="00E03512">
        <w:rPr>
          <w:b/>
        </w:rPr>
        <w:tab/>
        <w:t>Rate of Pay</w:t>
      </w:r>
    </w:p>
    <w:p w14:paraId="0B4D90E3" w14:textId="77777777" w:rsidR="00E03512" w:rsidRDefault="00E03512" w:rsidP="00E022F6">
      <w:pPr>
        <w:pStyle w:val="Quote1"/>
        <w:widowControl/>
        <w:ind w:left="1418" w:hanging="681"/>
      </w:pPr>
      <w:r>
        <w:t>3.1</w:t>
      </w:r>
      <w:r>
        <w:tab/>
        <w:t xml:space="preserve">You will be paid an all-inclusive flat rate for all hours worked. Your hourly rate will be </w:t>
      </w:r>
      <w:r>
        <w:rPr>
          <w:b/>
        </w:rPr>
        <w:t>$39.01</w:t>
      </w:r>
      <w:r>
        <w:t xml:space="preserve"> per hour (gross). This includes a base rate plus 25% casual loading and further loading to compensate for other loadings, penalty rates and allowances. You will be paid weekly by electronic deposit to an account nominated by you.</w:t>
      </w:r>
    </w:p>
    <w:p w14:paraId="39BC041F" w14:textId="77777777" w:rsidR="00E03512" w:rsidRDefault="00E03512" w:rsidP="00E022F6">
      <w:pPr>
        <w:pStyle w:val="Quote1"/>
        <w:widowControl/>
        <w:ind w:left="1418" w:hanging="681"/>
      </w:pPr>
      <w:r>
        <w:t>3.2</w:t>
      </w:r>
      <w:r>
        <w:tab/>
        <w:t xml:space="preserve">Notwithstanding clause 3.1 of this letter, your hourly rate of pay for work on a recognised public holiday will be </w:t>
      </w:r>
      <w:r>
        <w:rPr>
          <w:b/>
        </w:rPr>
        <w:t>$80.29</w:t>
      </w:r>
      <w:r>
        <w:t xml:space="preserve"> per hour (gross). This public holiday rate includes a base rate plus 25% casual loading and a further loading to compensate for other loadings and allowances. Where you are required to work on a recognised public holiday, you will be paid at the rate of treble time the public holiday rate.</w:t>
      </w:r>
    </w:p>
    <w:p w14:paraId="7CF6E0D1" w14:textId="77777777" w:rsidR="00E03512" w:rsidRDefault="00E03512" w:rsidP="00E022F6">
      <w:pPr>
        <w:pStyle w:val="Quote1"/>
        <w:widowControl/>
        <w:ind w:left="1440" w:hanging="703"/>
      </w:pPr>
      <w:r>
        <w:t>3.3</w:t>
      </w:r>
      <w:r>
        <w:tab/>
        <w:t>The payment of a casual loading of 25% is inclusive of, and compensates you for, any and all benefits with respect to paid annual leave, other forms of paid leave (including but not limited to paid personal/carer</w:t>
      </w:r>
      <w:r w:rsidR="00056471">
        <w:t>’</w:t>
      </w:r>
      <w:r>
        <w:t>s leave, paid compassionate leave and paid community service leave) and severance pay (other than as set out in this letter) that arise under the Award or any other industrial agreement. The payment of the further over-award loading is inclusive of, and compensates you for, all allowances, penalty rates and loadings (other than as set out in this letter) that arise under the Award or any other industrial agreement, including all:</w:t>
      </w:r>
    </w:p>
    <w:p w14:paraId="261B9DAD" w14:textId="77777777" w:rsidR="00E03512" w:rsidRDefault="00E03512" w:rsidP="00E022F6">
      <w:pPr>
        <w:pStyle w:val="Quote2"/>
        <w:widowControl/>
        <w:ind w:left="2160" w:hanging="720"/>
      </w:pPr>
      <w:r>
        <w:t xml:space="preserve">(a) </w:t>
      </w:r>
      <w:r>
        <w:tab/>
        <w:t>rest breaks;</w:t>
      </w:r>
    </w:p>
    <w:p w14:paraId="0C7CB11F" w14:textId="77777777" w:rsidR="00E03512" w:rsidRDefault="00E03512" w:rsidP="00E022F6">
      <w:pPr>
        <w:pStyle w:val="Quote2"/>
        <w:widowControl/>
        <w:ind w:left="2160" w:hanging="720"/>
      </w:pPr>
      <w:r>
        <w:t xml:space="preserve">(b) </w:t>
      </w:r>
      <w:r>
        <w:tab/>
        <w:t>incentive based payments and bonuses;</w:t>
      </w:r>
    </w:p>
    <w:p w14:paraId="26A39960" w14:textId="77777777" w:rsidR="00E03512" w:rsidRDefault="00E03512" w:rsidP="00E022F6">
      <w:pPr>
        <w:pStyle w:val="Quote2"/>
        <w:widowControl/>
        <w:ind w:left="2160" w:hanging="720"/>
      </w:pPr>
      <w:r>
        <w:t xml:space="preserve">(c) </w:t>
      </w:r>
      <w:r>
        <w:tab/>
        <w:t>monetary allowances for expenses incurred in the course of employment;</w:t>
      </w:r>
    </w:p>
    <w:p w14:paraId="6D3FCAAB" w14:textId="77777777" w:rsidR="00E03512" w:rsidRDefault="00E03512" w:rsidP="00E022F6">
      <w:pPr>
        <w:pStyle w:val="Quote2"/>
        <w:widowControl/>
        <w:ind w:left="2160" w:hanging="720"/>
      </w:pPr>
      <w:r>
        <w:t xml:space="preserve">(d) </w:t>
      </w:r>
      <w:r>
        <w:tab/>
        <w:t>monetary allowances for disabilities associated with the performance of particular tasks or work in particular conditions or locations;</w:t>
      </w:r>
    </w:p>
    <w:p w14:paraId="434EF74F" w14:textId="77777777" w:rsidR="00E03512" w:rsidRDefault="00E03512" w:rsidP="00E022F6">
      <w:pPr>
        <w:pStyle w:val="Quote2"/>
        <w:widowControl/>
        <w:ind w:left="2160" w:hanging="720"/>
      </w:pPr>
      <w:r>
        <w:t xml:space="preserve">(e) </w:t>
      </w:r>
      <w:r>
        <w:tab/>
        <w:t>loadings for working overtime;</w:t>
      </w:r>
    </w:p>
    <w:p w14:paraId="47726ED6" w14:textId="77777777" w:rsidR="00E03512" w:rsidRDefault="00E03512" w:rsidP="00E022F6">
      <w:pPr>
        <w:pStyle w:val="Quote2"/>
        <w:widowControl/>
        <w:ind w:left="2160" w:hanging="720"/>
      </w:pPr>
      <w:r>
        <w:t xml:space="preserve">(f) </w:t>
      </w:r>
      <w:r>
        <w:tab/>
        <w:t>loadings for working shift work;</w:t>
      </w:r>
    </w:p>
    <w:p w14:paraId="0C12D91E" w14:textId="77777777" w:rsidR="00E03512" w:rsidRDefault="00E03512" w:rsidP="00E022F6">
      <w:pPr>
        <w:pStyle w:val="Quote2"/>
        <w:widowControl/>
        <w:ind w:left="2160" w:hanging="720"/>
      </w:pPr>
      <w:r>
        <w:t xml:space="preserve">(g) </w:t>
      </w:r>
      <w:r>
        <w:tab/>
        <w:t>penalty rates; and</w:t>
      </w:r>
    </w:p>
    <w:p w14:paraId="4A20116A" w14:textId="77777777" w:rsidR="00E03512" w:rsidRDefault="00E03512" w:rsidP="00E022F6">
      <w:pPr>
        <w:pStyle w:val="Quote2"/>
        <w:widowControl/>
        <w:ind w:left="2160" w:hanging="720"/>
      </w:pPr>
      <w:r>
        <w:t xml:space="preserve">(h) </w:t>
      </w:r>
      <w:r>
        <w:tab/>
        <w:t>outworker conditions.</w:t>
      </w:r>
    </w:p>
    <w:p w14:paraId="4B48EE38" w14:textId="77777777" w:rsidR="00E03512" w:rsidRDefault="00E03512" w:rsidP="00E022F6">
      <w:pPr>
        <w:pStyle w:val="Quote1"/>
        <w:widowControl/>
        <w:ind w:left="1440" w:hanging="703"/>
      </w:pPr>
      <w:r>
        <w:t>3.4</w:t>
      </w:r>
      <w:r>
        <w:tab/>
        <w:t>You agree that the payment of the casual and over-award loadings fully discharge the Company</w:t>
      </w:r>
      <w:r w:rsidR="0097268C">
        <w:t>’</w:t>
      </w:r>
      <w:r>
        <w:t>s obligations with respect to these benefits. In the event any of the above benefits become due and payable for any reason, the monetary value of such benefit may be set off against the amount paid as casual or over-award loading (as applicable), in which case the monetary value of the benefit will be calculated by reference to your base rate of pay.</w:t>
      </w:r>
    </w:p>
    <w:p w14:paraId="47E7A499" w14:textId="185AB34D" w:rsidR="00F32685" w:rsidRDefault="00822255" w:rsidP="00AA07A6">
      <w:pPr>
        <w:pStyle w:val="ParaNumbering"/>
        <w:rPr>
          <w:lang w:eastAsia="en-AU"/>
        </w:rPr>
      </w:pPr>
      <w:r>
        <w:rPr>
          <w:lang w:eastAsia="en-AU"/>
        </w:rPr>
        <w:t xml:space="preserve">Clauses 6.3 and 7.1 of the </w:t>
      </w:r>
      <w:r w:rsidR="00C5685A">
        <w:rPr>
          <w:lang w:eastAsia="en-AU"/>
        </w:rPr>
        <w:t xml:space="preserve">letter agreement </w:t>
      </w:r>
      <w:r w:rsidR="00F31CD4">
        <w:rPr>
          <w:lang w:eastAsia="en-AU"/>
        </w:rPr>
        <w:t xml:space="preserve">expressly </w:t>
      </w:r>
      <w:r w:rsidR="00F32685">
        <w:rPr>
          <w:lang w:eastAsia="en-AU"/>
        </w:rPr>
        <w:t xml:space="preserve">purported to </w:t>
      </w:r>
      <w:r w:rsidR="00626E4F">
        <w:rPr>
          <w:lang w:eastAsia="en-AU"/>
        </w:rPr>
        <w:t xml:space="preserve">(but could not) </w:t>
      </w:r>
      <w:r w:rsidR="00F32685">
        <w:rPr>
          <w:lang w:eastAsia="en-AU"/>
        </w:rPr>
        <w:t xml:space="preserve">exclude </w:t>
      </w:r>
      <w:r w:rsidR="009E70C7">
        <w:rPr>
          <w:lang w:eastAsia="en-AU"/>
        </w:rPr>
        <w:t xml:space="preserve">Mr Warren’s </w:t>
      </w:r>
      <w:r w:rsidR="00F32685">
        <w:rPr>
          <w:lang w:eastAsia="en-AU"/>
        </w:rPr>
        <w:t>entitlement</w:t>
      </w:r>
      <w:r w:rsidR="009E70C7">
        <w:rPr>
          <w:lang w:eastAsia="en-AU"/>
        </w:rPr>
        <w:t>s</w:t>
      </w:r>
      <w:r w:rsidR="00F32685">
        <w:rPr>
          <w:lang w:eastAsia="en-AU"/>
        </w:rPr>
        <w:t xml:space="preserve"> to redundancy pay</w:t>
      </w:r>
      <w:r w:rsidRPr="00822255">
        <w:rPr>
          <w:lang w:eastAsia="en-AU"/>
        </w:rPr>
        <w:t xml:space="preserve"> </w:t>
      </w:r>
      <w:r>
        <w:rPr>
          <w:lang w:eastAsia="en-AU"/>
        </w:rPr>
        <w:t>and annual leave.  Those clauses provided</w:t>
      </w:r>
      <w:r w:rsidR="00F32685">
        <w:rPr>
          <w:lang w:eastAsia="en-AU"/>
        </w:rPr>
        <w:t>:</w:t>
      </w:r>
    </w:p>
    <w:p w14:paraId="1CA25BA6" w14:textId="77777777" w:rsidR="00F32685" w:rsidRPr="00BC6FF7" w:rsidRDefault="00F32685" w:rsidP="00F31CD4">
      <w:pPr>
        <w:pStyle w:val="Quote1"/>
        <w:keepNext/>
        <w:ind w:left="1440" w:hanging="703"/>
        <w:rPr>
          <w:b/>
        </w:rPr>
      </w:pPr>
      <w:r w:rsidRPr="00BC6FF7">
        <w:rPr>
          <w:b/>
        </w:rPr>
        <w:t xml:space="preserve">6. </w:t>
      </w:r>
      <w:r>
        <w:rPr>
          <w:b/>
        </w:rPr>
        <w:tab/>
      </w:r>
      <w:r w:rsidRPr="00BC6FF7">
        <w:rPr>
          <w:b/>
        </w:rPr>
        <w:t>Termination</w:t>
      </w:r>
    </w:p>
    <w:p w14:paraId="1BA2AF85" w14:textId="77777777" w:rsidR="00F32685" w:rsidRDefault="00F32685" w:rsidP="00F31CD4">
      <w:pPr>
        <w:pStyle w:val="Quote1"/>
        <w:keepNext/>
        <w:ind w:left="1440" w:hanging="703"/>
      </w:pPr>
      <w:r>
        <w:t>…</w:t>
      </w:r>
    </w:p>
    <w:p w14:paraId="4B344E58" w14:textId="77777777" w:rsidR="00F32685" w:rsidRDefault="00F32685" w:rsidP="00F32685">
      <w:pPr>
        <w:pStyle w:val="Quote1"/>
      </w:pPr>
      <w:r>
        <w:t xml:space="preserve">6.3 </w:t>
      </w:r>
      <w:r>
        <w:tab/>
        <w:t>As you are a casual employee, you will not be entitled to redundancy pay.</w:t>
      </w:r>
    </w:p>
    <w:p w14:paraId="30AE5552" w14:textId="77777777" w:rsidR="00F32685" w:rsidRPr="00BC6FF7" w:rsidRDefault="00F32685" w:rsidP="00F32685">
      <w:pPr>
        <w:pStyle w:val="Quote1"/>
        <w:ind w:left="1440" w:hanging="703"/>
        <w:rPr>
          <w:b/>
        </w:rPr>
      </w:pPr>
      <w:r w:rsidRPr="00BC6FF7">
        <w:rPr>
          <w:b/>
        </w:rPr>
        <w:lastRenderedPageBreak/>
        <w:t xml:space="preserve">7. </w:t>
      </w:r>
      <w:r>
        <w:rPr>
          <w:b/>
        </w:rPr>
        <w:tab/>
      </w:r>
      <w:r w:rsidRPr="00BC6FF7">
        <w:rPr>
          <w:b/>
        </w:rPr>
        <w:t>Leave</w:t>
      </w:r>
    </w:p>
    <w:p w14:paraId="2B0BEBFA" w14:textId="6371F020" w:rsidR="00F32685" w:rsidRDefault="00F32685" w:rsidP="00F32685">
      <w:pPr>
        <w:pStyle w:val="Quote1"/>
        <w:ind w:left="1440" w:hanging="703"/>
      </w:pPr>
      <w:r>
        <w:t xml:space="preserve">7.1 </w:t>
      </w:r>
      <w:r>
        <w:tab/>
        <w:t>As you are a casual employee, you will not be entitled to annual leave or any other forms of paid leave including but not limited to paid personal/carer</w:t>
      </w:r>
      <w:r w:rsidR="00541140">
        <w:t>’</w:t>
      </w:r>
      <w:r>
        <w:t>s leave, paid compassionate leave and paid community service leave (with the exception of long service leave).</w:t>
      </w:r>
    </w:p>
    <w:p w14:paraId="0368B0B6" w14:textId="77777777" w:rsidR="00056471" w:rsidRDefault="008F4FF2" w:rsidP="00AA07A6">
      <w:pPr>
        <w:pStyle w:val="ParaNumbering"/>
        <w:rPr>
          <w:lang w:eastAsia="en-AU"/>
        </w:rPr>
      </w:pPr>
      <w:r>
        <w:rPr>
          <w:lang w:eastAsia="en-AU"/>
        </w:rPr>
        <w:t xml:space="preserve">The rights </w:t>
      </w:r>
      <w:r w:rsidRPr="008324DD">
        <w:rPr>
          <w:lang w:eastAsia="en-AU"/>
        </w:rPr>
        <w:t>and liabilities of parties under a contract</w:t>
      </w:r>
      <w:r>
        <w:rPr>
          <w:lang w:eastAsia="en-AU"/>
        </w:rPr>
        <w:t>ual provision</w:t>
      </w:r>
      <w:r w:rsidRPr="008324DD">
        <w:rPr>
          <w:lang w:eastAsia="en-AU"/>
        </w:rPr>
        <w:t xml:space="preserve"> are determined objectively</w:t>
      </w:r>
      <w:r>
        <w:rPr>
          <w:lang w:eastAsia="en-AU"/>
        </w:rPr>
        <w:t>,</w:t>
      </w:r>
      <w:r w:rsidRPr="008324DD">
        <w:rPr>
          <w:lang w:eastAsia="en-AU"/>
        </w:rPr>
        <w:t xml:space="preserve"> by reference to </w:t>
      </w:r>
      <w:r>
        <w:rPr>
          <w:lang w:eastAsia="en-AU"/>
        </w:rPr>
        <w:t>the</w:t>
      </w:r>
      <w:r w:rsidRPr="008324DD">
        <w:rPr>
          <w:lang w:eastAsia="en-AU"/>
        </w:rPr>
        <w:t xml:space="preserve"> text</w:t>
      </w:r>
      <w:r>
        <w:rPr>
          <w:lang w:eastAsia="en-AU"/>
        </w:rPr>
        <w:t xml:space="preserve"> of the provision and </w:t>
      </w:r>
      <w:r w:rsidR="009E70C7">
        <w:rPr>
          <w:lang w:eastAsia="en-AU"/>
        </w:rPr>
        <w:t>its</w:t>
      </w:r>
      <w:r w:rsidR="009E70C7" w:rsidRPr="008324DD">
        <w:rPr>
          <w:lang w:eastAsia="en-AU"/>
        </w:rPr>
        <w:t xml:space="preserve"> </w:t>
      </w:r>
      <w:r w:rsidRPr="008324DD">
        <w:rPr>
          <w:lang w:eastAsia="en-AU"/>
        </w:rPr>
        <w:t>context</w:t>
      </w:r>
      <w:r w:rsidR="00C379DD">
        <w:rPr>
          <w:lang w:eastAsia="en-AU"/>
        </w:rPr>
        <w:t xml:space="preserve"> and purpose; t</w:t>
      </w:r>
      <w:r w:rsidR="002323CA">
        <w:rPr>
          <w:lang w:eastAsia="en-AU"/>
        </w:rPr>
        <w:t>he context</w:t>
      </w:r>
      <w:r w:rsidRPr="008324DD">
        <w:rPr>
          <w:lang w:eastAsia="en-AU"/>
        </w:rPr>
        <w:t xml:space="preserve"> </w:t>
      </w:r>
      <w:r w:rsidR="002323CA">
        <w:rPr>
          <w:lang w:eastAsia="en-AU"/>
        </w:rPr>
        <w:t xml:space="preserve">is </w:t>
      </w:r>
      <w:r w:rsidRPr="008324DD">
        <w:rPr>
          <w:lang w:eastAsia="en-AU"/>
        </w:rPr>
        <w:t>the text of the</w:t>
      </w:r>
      <w:r>
        <w:rPr>
          <w:lang w:eastAsia="en-AU"/>
        </w:rPr>
        <w:t xml:space="preserve"> whole</w:t>
      </w:r>
      <w:r w:rsidRPr="008324DD">
        <w:rPr>
          <w:lang w:eastAsia="en-AU"/>
        </w:rPr>
        <w:t xml:space="preserve"> contract </w:t>
      </w:r>
      <w:r>
        <w:rPr>
          <w:lang w:eastAsia="en-AU"/>
        </w:rPr>
        <w:t>and</w:t>
      </w:r>
      <w:r w:rsidRPr="008324DD">
        <w:rPr>
          <w:lang w:eastAsia="en-AU"/>
        </w:rPr>
        <w:t xml:space="preserve"> any contract, document or statutory provision referred to in the contract</w:t>
      </w:r>
      <w:r w:rsidR="00C379DD">
        <w:rPr>
          <w:lang w:eastAsia="en-AU"/>
        </w:rPr>
        <w:t xml:space="preserve">: </w:t>
      </w:r>
      <w:r w:rsidR="00C379DD" w:rsidRPr="00796156">
        <w:rPr>
          <w:i/>
          <w:iCs/>
          <w:lang w:eastAsia="en-AU"/>
        </w:rPr>
        <w:t>Mount Bruce Mining Pty Limited v Wright Prospecting Pty Limited </w:t>
      </w:r>
      <w:r w:rsidR="00C379DD" w:rsidRPr="00796156">
        <w:rPr>
          <w:iCs/>
          <w:lang w:eastAsia="en-AU"/>
        </w:rPr>
        <w:t>(2015) 256 CLR 104</w:t>
      </w:r>
      <w:r w:rsidR="00C379DD">
        <w:rPr>
          <w:lang w:eastAsia="en-AU"/>
        </w:rPr>
        <w:t xml:space="preserve"> at [46] (French CJ, Nettle and Gordon JJ); see also: at [107]-[113] (</w:t>
      </w:r>
      <w:proofErr w:type="spellStart"/>
      <w:r w:rsidR="00C379DD">
        <w:rPr>
          <w:lang w:eastAsia="en-AU"/>
        </w:rPr>
        <w:t>Kiefel</w:t>
      </w:r>
      <w:proofErr w:type="spellEnd"/>
      <w:r w:rsidR="00C379DD">
        <w:rPr>
          <w:lang w:eastAsia="en-AU"/>
        </w:rPr>
        <w:t xml:space="preserve"> and Keane JJ) and at [119]-[121] (Bell and </w:t>
      </w:r>
      <w:proofErr w:type="spellStart"/>
      <w:r w:rsidR="00C379DD">
        <w:rPr>
          <w:lang w:eastAsia="en-AU"/>
        </w:rPr>
        <w:t>Gageler</w:t>
      </w:r>
      <w:proofErr w:type="spellEnd"/>
      <w:r w:rsidR="00C379DD">
        <w:rPr>
          <w:lang w:eastAsia="en-AU"/>
        </w:rPr>
        <w:t xml:space="preserve"> JJ).  </w:t>
      </w:r>
      <w:r w:rsidR="00056471">
        <w:rPr>
          <w:lang w:eastAsia="en-AU"/>
        </w:rPr>
        <w:t xml:space="preserve">Construing the </w:t>
      </w:r>
      <w:r w:rsidR="00437483">
        <w:rPr>
          <w:lang w:eastAsia="en-AU"/>
        </w:rPr>
        <w:t>letter agreement</w:t>
      </w:r>
      <w:r w:rsidR="00056471">
        <w:rPr>
          <w:lang w:eastAsia="en-AU"/>
        </w:rPr>
        <w:t xml:space="preserve"> in this way</w:t>
      </w:r>
      <w:r w:rsidR="006D3DA1">
        <w:rPr>
          <w:lang w:eastAsia="en-AU"/>
        </w:rPr>
        <w:t xml:space="preserve"> and </w:t>
      </w:r>
      <w:r w:rsidR="00E022F6">
        <w:rPr>
          <w:lang w:eastAsia="en-AU"/>
        </w:rPr>
        <w:t>noting its express reference to the Award</w:t>
      </w:r>
      <w:r w:rsidR="006D3DA1">
        <w:rPr>
          <w:lang w:eastAsia="en-AU"/>
        </w:rPr>
        <w:t xml:space="preserve"> in cl 3.3</w:t>
      </w:r>
      <w:r w:rsidR="00056471">
        <w:rPr>
          <w:lang w:eastAsia="en-AU"/>
        </w:rPr>
        <w:t>:</w:t>
      </w:r>
    </w:p>
    <w:p w14:paraId="624FF641" w14:textId="2515FA41" w:rsidR="008324DD" w:rsidRDefault="00056471" w:rsidP="00F31CD4">
      <w:pPr>
        <w:pStyle w:val="ListNo1"/>
        <w:numPr>
          <w:ilvl w:val="0"/>
          <w:numId w:val="35"/>
        </w:numPr>
        <w:rPr>
          <w:lang w:eastAsia="en-AU"/>
        </w:rPr>
      </w:pPr>
      <w:r>
        <w:rPr>
          <w:lang w:eastAsia="en-AU"/>
        </w:rPr>
        <w:t xml:space="preserve">the reference in the </w:t>
      </w:r>
      <w:r w:rsidR="009E70C7">
        <w:rPr>
          <w:lang w:eastAsia="en-AU"/>
        </w:rPr>
        <w:t xml:space="preserve">letter agreement </w:t>
      </w:r>
      <w:r>
        <w:rPr>
          <w:lang w:eastAsia="en-AU"/>
        </w:rPr>
        <w:t>to “base rate” was a reference to the base hourly rate as provided in the Award;</w:t>
      </w:r>
    </w:p>
    <w:p w14:paraId="30A70809" w14:textId="77777777" w:rsidR="00E022F6" w:rsidRDefault="00056471" w:rsidP="0083743B">
      <w:pPr>
        <w:pStyle w:val="ListNo1"/>
        <w:numPr>
          <w:ilvl w:val="0"/>
          <w:numId w:val="35"/>
        </w:numPr>
        <w:rPr>
          <w:lang w:eastAsia="en-AU"/>
        </w:rPr>
      </w:pPr>
      <w:r>
        <w:rPr>
          <w:lang w:eastAsia="en-AU"/>
        </w:rPr>
        <w:t>the 25% “casual loading” and the “further loading” were</w:t>
      </w:r>
      <w:r w:rsidR="00E022F6">
        <w:rPr>
          <w:lang w:eastAsia="en-AU"/>
        </w:rPr>
        <w:t xml:space="preserve"> together</w:t>
      </w:r>
      <w:r w:rsidR="006D3DA1" w:rsidRPr="006D3DA1">
        <w:rPr>
          <w:lang w:eastAsia="en-AU"/>
        </w:rPr>
        <w:t xml:space="preserve"> </w:t>
      </w:r>
      <w:r w:rsidR="006D3DA1">
        <w:rPr>
          <w:lang w:eastAsia="en-AU"/>
        </w:rPr>
        <w:t>intended</w:t>
      </w:r>
      <w:r w:rsidR="00E022F6">
        <w:rPr>
          <w:lang w:eastAsia="en-AU"/>
        </w:rPr>
        <w:t>:</w:t>
      </w:r>
    </w:p>
    <w:p w14:paraId="12EC14BE" w14:textId="77777777" w:rsidR="00E022F6" w:rsidRDefault="00056471" w:rsidP="0083743B">
      <w:pPr>
        <w:pStyle w:val="ListNo2"/>
        <w:numPr>
          <w:ilvl w:val="1"/>
          <w:numId w:val="35"/>
        </w:numPr>
        <w:rPr>
          <w:lang w:eastAsia="en-AU"/>
        </w:rPr>
      </w:pPr>
      <w:r>
        <w:rPr>
          <w:lang w:eastAsia="en-AU"/>
        </w:rPr>
        <w:t>to compensate Mr Warren for</w:t>
      </w:r>
      <w:r>
        <w:t xml:space="preserve"> </w:t>
      </w:r>
      <w:r w:rsidR="00CD6608">
        <w:t xml:space="preserve">the various </w:t>
      </w:r>
      <w:r>
        <w:t>benefits</w:t>
      </w:r>
      <w:r w:rsidR="00E022F6">
        <w:t xml:space="preserve"> referred to in cl 3.3</w:t>
      </w:r>
      <w:r w:rsidR="00626E4F">
        <w:t xml:space="preserve"> which arose under the FW Act or Award</w:t>
      </w:r>
      <w:r w:rsidR="00E022F6">
        <w:t>; and</w:t>
      </w:r>
    </w:p>
    <w:p w14:paraId="05E47DD7" w14:textId="77777777" w:rsidR="00626E4F" w:rsidRDefault="00E022F6" w:rsidP="0083743B">
      <w:pPr>
        <w:pStyle w:val="ListNo2"/>
        <w:numPr>
          <w:ilvl w:val="1"/>
          <w:numId w:val="35"/>
        </w:numPr>
        <w:rPr>
          <w:lang w:eastAsia="en-AU"/>
        </w:rPr>
      </w:pPr>
      <w:r>
        <w:t>to</w:t>
      </w:r>
      <w:r w:rsidR="00796156">
        <w:t xml:space="preserve"> discharge </w:t>
      </w:r>
      <w:r w:rsidR="00626E4F">
        <w:t>the employer’s obligation</w:t>
      </w:r>
      <w:r w:rsidR="009E70C7">
        <w:t>s</w:t>
      </w:r>
      <w:r w:rsidR="00626E4F">
        <w:t xml:space="preserve"> with respect to the benefits in cl 3.3 – see: cl 3.4 (first sentence); </w:t>
      </w:r>
      <w:r w:rsidR="0031518D">
        <w:t xml:space="preserve">and </w:t>
      </w:r>
    </w:p>
    <w:p w14:paraId="29BC5927" w14:textId="77777777" w:rsidR="00E022F6" w:rsidRDefault="0031518D" w:rsidP="0083743B">
      <w:pPr>
        <w:pStyle w:val="ListNo2"/>
        <w:numPr>
          <w:ilvl w:val="1"/>
          <w:numId w:val="35"/>
        </w:numPr>
        <w:rPr>
          <w:lang w:eastAsia="en-AU"/>
        </w:rPr>
      </w:pPr>
      <w:r>
        <w:t>to</w:t>
      </w:r>
      <w:r w:rsidR="00E022F6">
        <w:t xml:space="preserve"> be set off against any entitlement </w:t>
      </w:r>
      <w:r w:rsidR="00E022F6">
        <w:rPr>
          <w:lang w:eastAsia="en-AU"/>
        </w:rPr>
        <w:t>to payment of</w:t>
      </w:r>
      <w:r w:rsidR="00E022F6">
        <w:t xml:space="preserve"> the various benefits referred to in cl 3.3 </w:t>
      </w:r>
      <w:r w:rsidR="00F468A5">
        <w:rPr>
          <w:lang w:eastAsia="en-AU"/>
        </w:rPr>
        <w:t xml:space="preserve">which might be found to arise </w:t>
      </w:r>
      <w:r w:rsidR="00E022F6">
        <w:t>(including in the event that Mr Warren was in fact a permanent employee rather than a casual employee)</w:t>
      </w:r>
      <w:r w:rsidR="00F468A5">
        <w:t xml:space="preserve"> – see: cl 3.4</w:t>
      </w:r>
      <w:r w:rsidR="00626E4F">
        <w:t xml:space="preserve"> (second sentence)</w:t>
      </w:r>
      <w:r w:rsidR="00E022F6">
        <w:t>.</w:t>
      </w:r>
      <w:r w:rsidR="00D633DC">
        <w:t xml:space="preserve">  </w:t>
      </w:r>
    </w:p>
    <w:p w14:paraId="39B501EA" w14:textId="77777777" w:rsidR="00F31CD4" w:rsidRDefault="00F31CD4" w:rsidP="00230D58">
      <w:pPr>
        <w:pStyle w:val="ParaNumbering"/>
      </w:pPr>
      <w:r>
        <w:t>Although the parties objectively intended the 25% loading to discharge any entitlement</w:t>
      </w:r>
      <w:r w:rsidR="009E70C7">
        <w:t xml:space="preserve"> of Mr Warren</w:t>
      </w:r>
      <w:r>
        <w:t xml:space="preserve"> to payment of the benefits in cl 3.3, the </w:t>
      </w:r>
      <w:r w:rsidR="009E70C7">
        <w:t xml:space="preserve">letter agreement </w:t>
      </w:r>
      <w:r>
        <w:t>was legally ineffective to achieve that result so far as concerned annual leave and redundancy pay by reason of the provisions of the FW Act.</w:t>
      </w:r>
    </w:p>
    <w:p w14:paraId="70173231" w14:textId="6FF156B6" w:rsidR="00F31CD4" w:rsidRDefault="00230D58" w:rsidP="00230D58">
      <w:pPr>
        <w:pStyle w:val="ParaNumbering"/>
      </w:pPr>
      <w:r>
        <w:t>Mr Warren’s employment was terminated on 30 September 2016 by reason of his employer’s insolvency.  Mr Warren applied for financial assistance</w:t>
      </w:r>
      <w:r w:rsidR="00A91446" w:rsidRPr="00A91446">
        <w:t xml:space="preserve"> </w:t>
      </w:r>
      <w:r w:rsidR="00A91446">
        <w:t>under s 14</w:t>
      </w:r>
      <w:r w:rsidR="008D0FD6">
        <w:t xml:space="preserve"> of the</w:t>
      </w:r>
      <w:r w:rsidR="00A91446">
        <w:t xml:space="preserve"> </w:t>
      </w:r>
      <w:r w:rsidR="00A91446" w:rsidRPr="00A2260F">
        <w:rPr>
          <w:i/>
        </w:rPr>
        <w:t>Fair Entitlements Guarantee Act 2012</w:t>
      </w:r>
      <w:r w:rsidR="00A91446" w:rsidRPr="00A2260F">
        <w:t xml:space="preserve"> (</w:t>
      </w:r>
      <w:proofErr w:type="spellStart"/>
      <w:r w:rsidR="00A91446" w:rsidRPr="00A2260F">
        <w:t>Cth</w:t>
      </w:r>
      <w:proofErr w:type="spellEnd"/>
      <w:r w:rsidR="00A91446" w:rsidRPr="00A2260F">
        <w:t>)</w:t>
      </w:r>
      <w:r w:rsidR="00A91446">
        <w:t xml:space="preserve"> (</w:t>
      </w:r>
      <w:r w:rsidR="00A91446">
        <w:rPr>
          <w:b/>
        </w:rPr>
        <w:t>FEG Act</w:t>
      </w:r>
      <w:r w:rsidR="00A91446">
        <w:t>).</w:t>
      </w:r>
      <w:r>
        <w:t xml:space="preserve"> </w:t>
      </w:r>
      <w:r w:rsidR="006D3DA1">
        <w:t xml:space="preserve"> </w:t>
      </w:r>
    </w:p>
    <w:p w14:paraId="44ED66E1" w14:textId="77777777" w:rsidR="00F31CD4" w:rsidRDefault="00F31CD4" w:rsidP="00F31CD4">
      <w:pPr>
        <w:pStyle w:val="Heading1"/>
      </w:pPr>
      <w:r>
        <w:lastRenderedPageBreak/>
        <w:t>THE FEG ACT</w:t>
      </w:r>
    </w:p>
    <w:p w14:paraId="6290A0ED" w14:textId="2A681AA0" w:rsidR="00230D58" w:rsidRDefault="00A91446" w:rsidP="00230D58">
      <w:pPr>
        <w:pStyle w:val="ParaNumbering"/>
      </w:pPr>
      <w:r>
        <w:t>The FEG Act establishes a scheme of providing limited financial assistance</w:t>
      </w:r>
      <w:r w:rsidR="009E70C7">
        <w:t xml:space="preserve"> to an employee</w:t>
      </w:r>
      <w:r>
        <w:t xml:space="preserve"> (referred to as an “advance” (see s 5)) in respect of </w:t>
      </w:r>
      <w:r w:rsidR="006D3DA1">
        <w:t>five</w:t>
      </w:r>
      <w:r>
        <w:t xml:space="preserve"> specified </w:t>
      </w:r>
      <w:r w:rsidR="006D3DA1">
        <w:t xml:space="preserve">types of </w:t>
      </w:r>
      <w:r>
        <w:t xml:space="preserve">“employee entitlement” on insolvency of </w:t>
      </w:r>
      <w:r w:rsidR="009E70C7">
        <w:t xml:space="preserve">his or her </w:t>
      </w:r>
      <w:r>
        <w:t xml:space="preserve">employer. </w:t>
      </w:r>
      <w:r w:rsidR="002F59DC">
        <w:t xml:space="preserve"> </w:t>
      </w:r>
      <w:r w:rsidR="00F31CD4">
        <w:t xml:space="preserve">As is made clear by s 3(a) of the FEG Act, the scheme is only concerned with “unpaid” employee entitlements.  </w:t>
      </w:r>
      <w:r w:rsidR="002F59DC">
        <w:t xml:space="preserve">The scheme is one of </w:t>
      </w:r>
      <w:r w:rsidR="006733A2">
        <w:t>“</w:t>
      </w:r>
      <w:r w:rsidR="002F59DC">
        <w:t>last resort</w:t>
      </w:r>
      <w:r w:rsidR="006733A2">
        <w:t>”</w:t>
      </w:r>
      <w:r w:rsidR="002F59DC">
        <w:t>, in the sense that</w:t>
      </w:r>
      <w:r>
        <w:t xml:space="preserve"> </w:t>
      </w:r>
      <w:r w:rsidR="002F59DC">
        <w:t>n</w:t>
      </w:r>
      <w:r>
        <w:t xml:space="preserve">o requirement to make an advance will arise unless there is no other source of funds.  The scheme </w:t>
      </w:r>
      <w:r w:rsidR="003C418D">
        <w:t xml:space="preserve">also </w:t>
      </w:r>
      <w:r>
        <w:t>contains provisions for potential recovery of advances</w:t>
      </w:r>
      <w:r w:rsidR="002F59DC">
        <w:t xml:space="preserve"> made</w:t>
      </w:r>
      <w:r>
        <w:t>.</w:t>
      </w:r>
      <w:r w:rsidR="000D40A1">
        <w:t xml:space="preserve"> </w:t>
      </w:r>
    </w:p>
    <w:p w14:paraId="617A801C" w14:textId="77777777" w:rsidR="00CD0FDE" w:rsidRDefault="00CD0FDE" w:rsidP="00CD0FDE">
      <w:pPr>
        <w:pStyle w:val="ParaNumbering"/>
      </w:pPr>
      <w:r>
        <w:t xml:space="preserve">The long title of the </w:t>
      </w:r>
      <w:r w:rsidRPr="00957E67">
        <w:rPr>
          <w:iCs/>
        </w:rPr>
        <w:t>FEG Act</w:t>
      </w:r>
      <w:r w:rsidRPr="001C17CE">
        <w:rPr>
          <w:i/>
          <w:iCs/>
        </w:rPr>
        <w:t xml:space="preserve"> </w:t>
      </w:r>
      <w:r>
        <w:t>is:</w:t>
      </w:r>
    </w:p>
    <w:p w14:paraId="33918E1C" w14:textId="7D7A12BC" w:rsidR="00CD0FDE" w:rsidRDefault="00CD0FDE" w:rsidP="00CD0FDE">
      <w:pPr>
        <w:pStyle w:val="Quote1"/>
      </w:pPr>
      <w:r w:rsidRPr="00677BD4">
        <w:t>An Act to provide for financial assistance for workers who have not been fully paid for work done for insolvents or bankrupts, and for related purposes</w:t>
      </w:r>
    </w:p>
    <w:p w14:paraId="72059D23" w14:textId="77777777" w:rsidR="00CD0FDE" w:rsidRDefault="00CD0FDE" w:rsidP="00CD0FDE">
      <w:pPr>
        <w:pStyle w:val="ParaNumbering"/>
      </w:pPr>
      <w:r>
        <w:t xml:space="preserve">The main objects of the </w:t>
      </w:r>
      <w:r w:rsidRPr="00957E67">
        <w:rPr>
          <w:iCs/>
        </w:rPr>
        <w:t>FEG Act</w:t>
      </w:r>
      <w:r>
        <w:rPr>
          <w:i/>
          <w:iCs/>
        </w:rPr>
        <w:t xml:space="preserve"> </w:t>
      </w:r>
      <w:r>
        <w:t>are set out in s 3:</w:t>
      </w:r>
    </w:p>
    <w:p w14:paraId="5C6A472B" w14:textId="77777777" w:rsidR="00CD0FDE" w:rsidRDefault="00CD0FDE" w:rsidP="00CD0FDE">
      <w:pPr>
        <w:pStyle w:val="Quote1"/>
      </w:pPr>
      <w:r w:rsidRPr="00C451AE">
        <w:rPr>
          <w:b/>
        </w:rPr>
        <w:t>3</w:t>
      </w:r>
      <w:r w:rsidRPr="00C451AE">
        <w:rPr>
          <w:b/>
        </w:rPr>
        <w:tab/>
        <w:t>Objects of this Act</w:t>
      </w:r>
    </w:p>
    <w:p w14:paraId="74391569" w14:textId="77777777" w:rsidR="009E70C7" w:rsidRPr="00164BFE" w:rsidRDefault="009E70C7" w:rsidP="00CD0FDE">
      <w:pPr>
        <w:pStyle w:val="Quote1"/>
        <w:rPr>
          <w:caps/>
        </w:rPr>
      </w:pPr>
      <w:r>
        <w:t>The main objects of this Act are:</w:t>
      </w:r>
    </w:p>
    <w:p w14:paraId="4CF74059" w14:textId="77777777" w:rsidR="00CD0FDE" w:rsidRDefault="00CD0FDE" w:rsidP="00CD0FDE">
      <w:pPr>
        <w:pStyle w:val="Quote1"/>
        <w:ind w:left="1418" w:hanging="681"/>
      </w:pPr>
      <w:r>
        <w:t>(a)</w:t>
      </w:r>
      <w:r>
        <w:tab/>
        <w:t xml:space="preserve">to provide for the Commonwealth to pay advances on account of unpaid employment entitlements of former employees of employers in cases where: </w:t>
      </w:r>
    </w:p>
    <w:p w14:paraId="446C830E" w14:textId="77777777" w:rsidR="00CD0FDE" w:rsidRDefault="00CD0FDE" w:rsidP="00C82EFF">
      <w:pPr>
        <w:pStyle w:val="Quote2"/>
      </w:pPr>
      <w:r>
        <w:t>(</w:t>
      </w:r>
      <w:proofErr w:type="spellStart"/>
      <w:r>
        <w:t>i</w:t>
      </w:r>
      <w:proofErr w:type="spellEnd"/>
      <w:r>
        <w:t>)</w:t>
      </w:r>
      <w:r>
        <w:tab/>
        <w:t xml:space="preserve">the employers are insolvent or bankrupt; and </w:t>
      </w:r>
    </w:p>
    <w:p w14:paraId="11EC7912" w14:textId="77777777" w:rsidR="00CD0FDE" w:rsidRDefault="00CD0FDE" w:rsidP="00C82EFF">
      <w:pPr>
        <w:pStyle w:val="Quote2"/>
        <w:ind w:left="2160" w:hanging="720"/>
      </w:pPr>
      <w:r>
        <w:t>(ii)</w:t>
      </w:r>
      <w:r>
        <w:tab/>
        <w:t xml:space="preserve">the end of the employment of the former employees was connected with that insolvency or bankruptcy; and </w:t>
      </w:r>
    </w:p>
    <w:p w14:paraId="37ED57DE" w14:textId="03CDB1AD" w:rsidR="00CD0FDE" w:rsidRDefault="00CD0FDE" w:rsidP="00C82EFF">
      <w:pPr>
        <w:pStyle w:val="Quote2"/>
        <w:ind w:left="2160" w:hanging="720"/>
      </w:pPr>
      <w:r>
        <w:t>(iii)</w:t>
      </w:r>
      <w:r>
        <w:tab/>
        <w:t xml:space="preserve">the former employees cannot get payment of the entitlements from other sources; </w:t>
      </w:r>
      <w:r w:rsidR="0066672C">
        <w:t>and</w:t>
      </w:r>
    </w:p>
    <w:p w14:paraId="2750BF8F" w14:textId="77777777" w:rsidR="00CD0FDE" w:rsidRDefault="00CD0FDE" w:rsidP="00CD0FDE">
      <w:pPr>
        <w:pStyle w:val="Quote1"/>
        <w:ind w:left="1418" w:hanging="681"/>
      </w:pPr>
      <w:r>
        <w:rPr>
          <w:color w:val="000000"/>
          <w:szCs w:val="22"/>
          <w:shd w:val="clear" w:color="auto" w:fill="FFFFFF"/>
        </w:rPr>
        <w:t xml:space="preserve">(b)  </w:t>
      </w:r>
      <w:r>
        <w:rPr>
          <w:color w:val="000000"/>
          <w:szCs w:val="22"/>
          <w:shd w:val="clear" w:color="auto" w:fill="FFFFFF"/>
        </w:rPr>
        <w:tab/>
        <w:t>to allow the Commonwealth to recover the advances through the winding up or bankruptcy of the employers and from other payments the former employees receive for the entitlements.</w:t>
      </w:r>
    </w:p>
    <w:p w14:paraId="4D8D5E72" w14:textId="77777777" w:rsidR="00B61738" w:rsidRDefault="00697E30" w:rsidP="00B61738">
      <w:pPr>
        <w:pStyle w:val="ParaNumbering"/>
      </w:pPr>
      <w:r>
        <w:t>The simplified outline of the FEG Act in s 4 states that “a person is eligible for financial assistance under this Act (called an advance)</w:t>
      </w:r>
      <w:r w:rsidR="000C75EC">
        <w:t>”</w:t>
      </w:r>
      <w:r>
        <w:t xml:space="preserve"> </w:t>
      </w:r>
      <w:r w:rsidR="000C75EC">
        <w:t xml:space="preserve">under Pt 2 </w:t>
      </w:r>
      <w:r>
        <w:t xml:space="preserve">if certain conditions prescribed in Pt 2 are met (s 4(2)).  </w:t>
      </w:r>
      <w:r w:rsidR="000C75EC">
        <w:t xml:space="preserve">An advance is defined in s 5 as meaning “financial assistance under this Act on account of employee entitlements”.  </w:t>
      </w:r>
      <w:r w:rsidR="000D40A1">
        <w:t>There are two unpaid “employee entitlement</w:t>
      </w:r>
      <w:r w:rsidR="006D3DA1">
        <w:t>s</w:t>
      </w:r>
      <w:r w:rsidR="000D40A1">
        <w:t xml:space="preserve">” </w:t>
      </w:r>
      <w:r w:rsidR="006D3DA1">
        <w:t xml:space="preserve">(defined in s 5) </w:t>
      </w:r>
      <w:r w:rsidR="000D40A1">
        <w:t xml:space="preserve">relevant to the present case: “annual leave entitlement” </w:t>
      </w:r>
      <w:r w:rsidR="006D3DA1">
        <w:t>(s 6(2)</w:t>
      </w:r>
      <w:r w:rsidR="00CD0FDE">
        <w:t>)</w:t>
      </w:r>
      <w:r w:rsidR="006D3DA1">
        <w:t xml:space="preserve"> </w:t>
      </w:r>
      <w:r w:rsidR="000D40A1">
        <w:t>and “redundancy pay entitlement”</w:t>
      </w:r>
      <w:r w:rsidR="006D3DA1">
        <w:t xml:space="preserve"> (s 6(5))</w:t>
      </w:r>
      <w:r w:rsidR="000D40A1">
        <w:t xml:space="preserve">.  </w:t>
      </w:r>
      <w:r w:rsidR="00B61738">
        <w:t>Section 6 of the FEG Act relevantly includes:</w:t>
      </w:r>
    </w:p>
    <w:p w14:paraId="436D139B" w14:textId="77777777" w:rsidR="00B61738" w:rsidRPr="009238BC" w:rsidRDefault="00B61738" w:rsidP="00B61738">
      <w:pPr>
        <w:pStyle w:val="Quote1"/>
        <w:keepNext/>
        <w:widowControl/>
        <w:rPr>
          <w:b/>
        </w:rPr>
      </w:pPr>
      <w:r w:rsidRPr="009238BC">
        <w:rPr>
          <w:b/>
        </w:rPr>
        <w:t>6</w:t>
      </w:r>
      <w:r w:rsidRPr="009238BC">
        <w:rPr>
          <w:b/>
        </w:rPr>
        <w:tab/>
        <w:t>Kinds</w:t>
      </w:r>
      <w:r>
        <w:rPr>
          <w:b/>
        </w:rPr>
        <w:t xml:space="preserve"> </w:t>
      </w:r>
      <w:r w:rsidRPr="009238BC">
        <w:rPr>
          <w:b/>
        </w:rPr>
        <w:t>of</w:t>
      </w:r>
      <w:r>
        <w:rPr>
          <w:b/>
        </w:rPr>
        <w:t xml:space="preserve"> </w:t>
      </w:r>
      <w:r w:rsidRPr="009238BC">
        <w:rPr>
          <w:b/>
        </w:rPr>
        <w:t>employment</w:t>
      </w:r>
      <w:r>
        <w:rPr>
          <w:b/>
        </w:rPr>
        <w:t xml:space="preserve"> </w:t>
      </w:r>
      <w:r w:rsidRPr="009238BC">
        <w:rPr>
          <w:b/>
        </w:rPr>
        <w:t>entitlements</w:t>
      </w:r>
    </w:p>
    <w:p w14:paraId="4A95F321" w14:textId="77777777" w:rsidR="00B61738" w:rsidRPr="00475AC4" w:rsidRDefault="00B61738" w:rsidP="00B61738">
      <w:pPr>
        <w:pStyle w:val="Quote1"/>
        <w:widowControl/>
        <w:ind w:left="1418" w:hanging="681"/>
      </w:pPr>
      <w:r w:rsidRPr="00475AC4">
        <w:t>(1)</w:t>
      </w:r>
      <w:r>
        <w:tab/>
      </w:r>
      <w:r w:rsidRPr="00475AC4">
        <w:t>This</w:t>
      </w:r>
      <w:r>
        <w:t xml:space="preserve"> </w:t>
      </w:r>
      <w:r w:rsidRPr="00475AC4">
        <w:t>section</w:t>
      </w:r>
      <w:r>
        <w:t xml:space="preserve"> </w:t>
      </w:r>
      <w:r w:rsidRPr="00475AC4">
        <w:t>defines</w:t>
      </w:r>
      <w:r>
        <w:t xml:space="preserve"> </w:t>
      </w:r>
      <w:r w:rsidRPr="00475AC4">
        <w:t>the</w:t>
      </w:r>
      <w:r>
        <w:t xml:space="preserve"> </w:t>
      </w:r>
      <w:r w:rsidRPr="00475AC4">
        <w:t>various</w:t>
      </w:r>
      <w:r>
        <w:t xml:space="preserve"> </w:t>
      </w:r>
      <w:r w:rsidRPr="00475AC4">
        <w:t>kinds</w:t>
      </w:r>
      <w:r>
        <w:t xml:space="preserve"> </w:t>
      </w:r>
      <w:r w:rsidRPr="00475AC4">
        <w:t>of</w:t>
      </w:r>
      <w:r>
        <w:t xml:space="preserve"> </w:t>
      </w:r>
      <w:r w:rsidRPr="00475AC4">
        <w:t>employment</w:t>
      </w:r>
      <w:r>
        <w:t xml:space="preserve"> </w:t>
      </w:r>
      <w:r w:rsidRPr="00475AC4">
        <w:t>entitlements</w:t>
      </w:r>
      <w:r>
        <w:t xml:space="preserve"> </w:t>
      </w:r>
      <w:r w:rsidRPr="00475AC4">
        <w:t>of</w:t>
      </w:r>
      <w:r>
        <w:t xml:space="preserve"> </w:t>
      </w:r>
      <w:r w:rsidRPr="00475AC4">
        <w:t>a</w:t>
      </w:r>
      <w:r>
        <w:t xml:space="preserve"> </w:t>
      </w:r>
      <w:r w:rsidRPr="00475AC4">
        <w:t>person</w:t>
      </w:r>
      <w:r>
        <w:t xml:space="preserve"> </w:t>
      </w:r>
      <w:r w:rsidRPr="00475AC4">
        <w:t>whose</w:t>
      </w:r>
      <w:r>
        <w:t xml:space="preserve"> </w:t>
      </w:r>
      <w:r w:rsidRPr="00475AC4">
        <w:t>employment</w:t>
      </w:r>
      <w:r>
        <w:t xml:space="preserve"> </w:t>
      </w:r>
      <w:r w:rsidRPr="00475AC4">
        <w:t>by</w:t>
      </w:r>
      <w:r>
        <w:t xml:space="preserve"> </w:t>
      </w:r>
      <w:r w:rsidRPr="00475AC4">
        <w:t>an</w:t>
      </w:r>
      <w:r>
        <w:t xml:space="preserve"> </w:t>
      </w:r>
      <w:r w:rsidRPr="00475AC4">
        <w:t>employer</w:t>
      </w:r>
      <w:r>
        <w:t xml:space="preserve"> </w:t>
      </w:r>
      <w:r w:rsidRPr="00475AC4">
        <w:t>has</w:t>
      </w:r>
      <w:r>
        <w:t xml:space="preserve"> </w:t>
      </w:r>
      <w:r w:rsidRPr="00475AC4">
        <w:t>ended,</w:t>
      </w:r>
      <w:r>
        <w:t xml:space="preserve"> </w:t>
      </w:r>
      <w:r w:rsidRPr="00475AC4">
        <w:t>by</w:t>
      </w:r>
      <w:r>
        <w:t xml:space="preserve"> </w:t>
      </w:r>
      <w:r w:rsidRPr="00475AC4">
        <w:t>reference</w:t>
      </w:r>
      <w:r>
        <w:t xml:space="preserve"> </w:t>
      </w:r>
      <w:r w:rsidRPr="00475AC4">
        <w:t>to</w:t>
      </w:r>
      <w:r>
        <w:t xml:space="preserve"> </w:t>
      </w:r>
      <w:r w:rsidRPr="00475AC4">
        <w:t>the</w:t>
      </w:r>
      <w:r>
        <w:t xml:space="preserve"> </w:t>
      </w:r>
      <w:r w:rsidRPr="00475AC4">
        <w:t>person</w:t>
      </w:r>
      <w:r>
        <w:t>’</w:t>
      </w:r>
      <w:r w:rsidRPr="00475AC4">
        <w:t>s</w:t>
      </w:r>
      <w:r>
        <w:t xml:space="preserve"> </w:t>
      </w:r>
      <w:r w:rsidRPr="00475AC4">
        <w:t>entitlements</w:t>
      </w:r>
      <w:r>
        <w:t xml:space="preserve"> </w:t>
      </w:r>
      <w:r w:rsidRPr="00475AC4">
        <w:t>under</w:t>
      </w:r>
      <w:r>
        <w:t xml:space="preserve"> </w:t>
      </w:r>
      <w:r w:rsidRPr="00475AC4">
        <w:t>the</w:t>
      </w:r>
      <w:r>
        <w:t xml:space="preserve"> </w:t>
      </w:r>
      <w:r w:rsidRPr="00475AC4">
        <w:t>governing</w:t>
      </w:r>
      <w:r>
        <w:t xml:space="preserve"> </w:t>
      </w:r>
      <w:r w:rsidRPr="00475AC4">
        <w:t>instrument</w:t>
      </w:r>
      <w:r>
        <w:t xml:space="preserve"> </w:t>
      </w:r>
      <w:r w:rsidRPr="00475AC4">
        <w:t>for</w:t>
      </w:r>
      <w:r>
        <w:t xml:space="preserve"> </w:t>
      </w:r>
      <w:r w:rsidRPr="00475AC4">
        <w:t>the</w:t>
      </w:r>
      <w:r>
        <w:t xml:space="preserve"> </w:t>
      </w:r>
      <w:r w:rsidRPr="00475AC4">
        <w:t>employment.</w:t>
      </w:r>
      <w:r>
        <w:t xml:space="preserve"> </w:t>
      </w:r>
    </w:p>
    <w:p w14:paraId="759D2050" w14:textId="77777777" w:rsidR="00B61738" w:rsidRPr="00C82EFF" w:rsidRDefault="00B61738" w:rsidP="00B61738">
      <w:pPr>
        <w:pStyle w:val="Quote2"/>
        <w:ind w:left="2160" w:hanging="720"/>
        <w:rPr>
          <w:sz w:val="20"/>
        </w:rPr>
      </w:pPr>
      <w:r w:rsidRPr="00C82EFF">
        <w:rPr>
          <w:sz w:val="20"/>
        </w:rPr>
        <w:t>Note:</w:t>
      </w:r>
      <w:r w:rsidRPr="00C82EFF">
        <w:rPr>
          <w:sz w:val="20"/>
        </w:rPr>
        <w:tab/>
        <w:t xml:space="preserve">Part 3 may affect the calculation of the person’s employment entitlements for the purposes of working out the amount of an advance the person is eligible </w:t>
      </w:r>
      <w:r w:rsidRPr="00C82EFF">
        <w:rPr>
          <w:sz w:val="20"/>
        </w:rPr>
        <w:lastRenderedPageBreak/>
        <w:t xml:space="preserve">for. </w:t>
      </w:r>
    </w:p>
    <w:p w14:paraId="27ED8969" w14:textId="77777777" w:rsidR="00B61738" w:rsidRPr="009238BC" w:rsidRDefault="00B61738" w:rsidP="00B61738">
      <w:pPr>
        <w:pStyle w:val="Quote1"/>
        <w:widowControl/>
        <w:ind w:left="1418"/>
        <w:rPr>
          <w:i/>
        </w:rPr>
      </w:pPr>
      <w:r w:rsidRPr="009238BC">
        <w:rPr>
          <w:i/>
        </w:rPr>
        <w:t>Annual</w:t>
      </w:r>
      <w:r>
        <w:rPr>
          <w:i/>
        </w:rPr>
        <w:t xml:space="preserve"> </w:t>
      </w:r>
      <w:r w:rsidRPr="009238BC">
        <w:rPr>
          <w:i/>
        </w:rPr>
        <w:t>leave</w:t>
      </w:r>
      <w:r>
        <w:rPr>
          <w:i/>
        </w:rPr>
        <w:t xml:space="preserve"> </w:t>
      </w:r>
      <w:r w:rsidRPr="009238BC">
        <w:rPr>
          <w:i/>
        </w:rPr>
        <w:t>entitlement</w:t>
      </w:r>
    </w:p>
    <w:p w14:paraId="5EBD4DCB" w14:textId="77777777" w:rsidR="00B61738" w:rsidRPr="00475AC4" w:rsidRDefault="00B61738" w:rsidP="00B61738">
      <w:pPr>
        <w:pStyle w:val="Quote1"/>
        <w:widowControl/>
        <w:ind w:left="1418" w:hanging="681"/>
      </w:pPr>
      <w:r w:rsidRPr="00475AC4">
        <w:t>(2)</w:t>
      </w:r>
      <w:r>
        <w:tab/>
      </w:r>
      <w:r w:rsidRPr="00475AC4">
        <w:t>The</w:t>
      </w:r>
      <w:r>
        <w:t xml:space="preserve"> </w:t>
      </w:r>
      <w:r w:rsidRPr="00475AC4">
        <w:t>person</w:t>
      </w:r>
      <w:r>
        <w:t>’</w:t>
      </w:r>
      <w:r w:rsidRPr="00475AC4">
        <w:t>s</w:t>
      </w:r>
      <w:r>
        <w:t xml:space="preserve"> </w:t>
      </w:r>
      <w:r w:rsidRPr="009C6A63">
        <w:rPr>
          <w:b/>
          <w:i/>
        </w:rPr>
        <w:t>annual</w:t>
      </w:r>
      <w:r>
        <w:rPr>
          <w:b/>
          <w:i/>
        </w:rPr>
        <w:t xml:space="preserve"> </w:t>
      </w:r>
      <w:r w:rsidRPr="009C6A63">
        <w:rPr>
          <w:b/>
          <w:i/>
        </w:rPr>
        <w:t>leave</w:t>
      </w:r>
      <w:r>
        <w:rPr>
          <w:b/>
          <w:i/>
        </w:rPr>
        <w:t xml:space="preserve"> </w:t>
      </w:r>
      <w:r w:rsidRPr="009C6A63">
        <w:rPr>
          <w:b/>
          <w:i/>
        </w:rPr>
        <w:t>entitlement</w:t>
      </w:r>
      <w:r>
        <w:t xml:space="preserve"> </w:t>
      </w:r>
      <w:r w:rsidRPr="00475AC4">
        <w:t>is</w:t>
      </w:r>
      <w:r>
        <w:t xml:space="preserve"> </w:t>
      </w:r>
      <w:r w:rsidRPr="00475AC4">
        <w:t>the</w:t>
      </w:r>
      <w:r>
        <w:t xml:space="preserve"> </w:t>
      </w:r>
      <w:r w:rsidRPr="00475AC4">
        <w:t>amount</w:t>
      </w:r>
      <w:r>
        <w:t xml:space="preserve"> </w:t>
      </w:r>
      <w:r w:rsidRPr="00475AC4">
        <w:t>the</w:t>
      </w:r>
      <w:r>
        <w:t xml:space="preserve"> </w:t>
      </w:r>
      <w:r w:rsidRPr="00475AC4">
        <w:t>person</w:t>
      </w:r>
      <w:r>
        <w:t xml:space="preserve"> </w:t>
      </w:r>
      <w:r w:rsidRPr="00475AC4">
        <w:t>is</w:t>
      </w:r>
      <w:r>
        <w:t xml:space="preserve"> </w:t>
      </w:r>
      <w:r w:rsidRPr="00475AC4">
        <w:t>entitled</w:t>
      </w:r>
      <w:r>
        <w:t xml:space="preserve"> </w:t>
      </w:r>
      <w:r w:rsidRPr="00475AC4">
        <w:t>to</w:t>
      </w:r>
      <w:r>
        <w:t xml:space="preserve"> </w:t>
      </w:r>
      <w:r w:rsidRPr="00475AC4">
        <w:t>under</w:t>
      </w:r>
      <w:r>
        <w:t xml:space="preserve"> </w:t>
      </w:r>
      <w:r w:rsidRPr="00475AC4">
        <w:t>the</w:t>
      </w:r>
      <w:r>
        <w:t xml:space="preserve"> </w:t>
      </w:r>
      <w:r w:rsidRPr="00475AC4">
        <w:t>governing</w:t>
      </w:r>
      <w:r>
        <w:t xml:space="preserve"> </w:t>
      </w:r>
      <w:r w:rsidRPr="00475AC4">
        <w:t>instrument</w:t>
      </w:r>
      <w:r>
        <w:t xml:space="preserve"> </w:t>
      </w:r>
      <w:r w:rsidRPr="00475AC4">
        <w:t>from</w:t>
      </w:r>
      <w:r>
        <w:t xml:space="preserve"> </w:t>
      </w:r>
      <w:r w:rsidRPr="00475AC4">
        <w:t>the</w:t>
      </w:r>
      <w:r>
        <w:t xml:space="preserve"> </w:t>
      </w:r>
      <w:hyperlink r:id="rId15" w:anchor="employer" w:history="1">
        <w:r w:rsidRPr="00475AC4">
          <w:t>employer</w:t>
        </w:r>
      </w:hyperlink>
      <w:r>
        <w:t xml:space="preserve"> </w:t>
      </w:r>
      <w:r w:rsidRPr="00475AC4">
        <w:t>for</w:t>
      </w:r>
      <w:r>
        <w:t xml:space="preserve"> </w:t>
      </w:r>
      <w:r w:rsidRPr="00475AC4">
        <w:t>paid</w:t>
      </w:r>
      <w:r>
        <w:t xml:space="preserve"> </w:t>
      </w:r>
      <w:r w:rsidRPr="00475AC4">
        <w:t>annual</w:t>
      </w:r>
      <w:r>
        <w:t xml:space="preserve"> </w:t>
      </w:r>
      <w:r w:rsidRPr="00475AC4">
        <w:t>leave</w:t>
      </w:r>
      <w:r>
        <w:t xml:space="preserve"> </w:t>
      </w:r>
      <w:r w:rsidRPr="00475AC4">
        <w:t>that</w:t>
      </w:r>
      <w:r>
        <w:t xml:space="preserve"> </w:t>
      </w:r>
      <w:r w:rsidRPr="00475AC4">
        <w:t>the</w:t>
      </w:r>
      <w:r>
        <w:t xml:space="preserve"> </w:t>
      </w:r>
      <w:r w:rsidRPr="00475AC4">
        <w:t>person:</w:t>
      </w:r>
      <w:r>
        <w:t xml:space="preserve"> </w:t>
      </w:r>
    </w:p>
    <w:p w14:paraId="1F5E5DFB" w14:textId="77777777" w:rsidR="00B61738" w:rsidRPr="00475AC4" w:rsidRDefault="00B61738" w:rsidP="00B61738">
      <w:pPr>
        <w:pStyle w:val="Quote2"/>
      </w:pPr>
      <w:r w:rsidRPr="00475AC4">
        <w:t>(a)</w:t>
      </w:r>
      <w:r>
        <w:tab/>
      </w:r>
      <w:r w:rsidRPr="00475AC4">
        <w:t>had</w:t>
      </w:r>
      <w:r>
        <w:t xml:space="preserve"> </w:t>
      </w:r>
      <w:r w:rsidRPr="00475AC4">
        <w:t>accrued</w:t>
      </w:r>
      <w:r>
        <w:t xml:space="preserve"> </w:t>
      </w:r>
      <w:r w:rsidRPr="00475AC4">
        <w:t>at</w:t>
      </w:r>
      <w:r>
        <w:t xml:space="preserve"> </w:t>
      </w:r>
      <w:r w:rsidRPr="00475AC4">
        <w:t>the</w:t>
      </w:r>
      <w:r>
        <w:t xml:space="preserve"> </w:t>
      </w:r>
      <w:r w:rsidRPr="00475AC4">
        <w:t>end</w:t>
      </w:r>
      <w:r>
        <w:t xml:space="preserve"> </w:t>
      </w:r>
      <w:r w:rsidRPr="00475AC4">
        <w:t>of</w:t>
      </w:r>
      <w:r>
        <w:t xml:space="preserve"> </w:t>
      </w:r>
      <w:r w:rsidRPr="00475AC4">
        <w:t>the</w:t>
      </w:r>
      <w:r>
        <w:t xml:space="preserve"> </w:t>
      </w:r>
      <w:r w:rsidRPr="00475AC4">
        <w:t>employment;</w:t>
      </w:r>
      <w:r>
        <w:t xml:space="preserve"> </w:t>
      </w:r>
      <w:r w:rsidRPr="00475AC4">
        <w:t>and</w:t>
      </w:r>
      <w:r>
        <w:t xml:space="preserve"> </w:t>
      </w:r>
    </w:p>
    <w:p w14:paraId="02483BFB" w14:textId="77777777" w:rsidR="00B61738" w:rsidRPr="00475AC4" w:rsidRDefault="00B61738" w:rsidP="00B61738">
      <w:pPr>
        <w:pStyle w:val="Quote2"/>
      </w:pPr>
      <w:r w:rsidRPr="00475AC4">
        <w:t>(b)</w:t>
      </w:r>
      <w:r>
        <w:tab/>
      </w:r>
      <w:r w:rsidRPr="00475AC4">
        <w:t>had</w:t>
      </w:r>
      <w:r>
        <w:t xml:space="preserve"> </w:t>
      </w:r>
      <w:r w:rsidRPr="00475AC4">
        <w:t>not</w:t>
      </w:r>
      <w:r>
        <w:t xml:space="preserve"> </w:t>
      </w:r>
      <w:r w:rsidRPr="00475AC4">
        <w:t>taken</w:t>
      </w:r>
      <w:r>
        <w:t xml:space="preserve"> </w:t>
      </w:r>
      <w:r w:rsidRPr="00475AC4">
        <w:t>by</w:t>
      </w:r>
      <w:r>
        <w:t xml:space="preserve"> </w:t>
      </w:r>
      <w:r w:rsidRPr="00475AC4">
        <w:t>then.</w:t>
      </w:r>
      <w:r>
        <w:t xml:space="preserve"> </w:t>
      </w:r>
    </w:p>
    <w:p w14:paraId="2831BED6" w14:textId="77777777" w:rsidR="00B61738" w:rsidRDefault="00B61738" w:rsidP="00B61738">
      <w:pPr>
        <w:pStyle w:val="Quote1"/>
        <w:widowControl/>
        <w:ind w:left="1440" w:hanging="703"/>
      </w:pPr>
      <w:r>
        <w:t>…</w:t>
      </w:r>
    </w:p>
    <w:p w14:paraId="1772E97E" w14:textId="77777777" w:rsidR="00B61738" w:rsidRPr="009238BC" w:rsidRDefault="00B61738" w:rsidP="00B61738">
      <w:pPr>
        <w:pStyle w:val="Quote1"/>
        <w:widowControl/>
        <w:ind w:left="1418"/>
        <w:rPr>
          <w:i/>
        </w:rPr>
      </w:pPr>
      <w:r w:rsidRPr="009238BC">
        <w:rPr>
          <w:i/>
        </w:rPr>
        <w:t>Redundancy</w:t>
      </w:r>
      <w:r>
        <w:rPr>
          <w:i/>
        </w:rPr>
        <w:t xml:space="preserve"> </w:t>
      </w:r>
      <w:r w:rsidRPr="009238BC">
        <w:rPr>
          <w:i/>
        </w:rPr>
        <w:t>pay</w:t>
      </w:r>
      <w:r>
        <w:rPr>
          <w:i/>
        </w:rPr>
        <w:t xml:space="preserve"> </w:t>
      </w:r>
      <w:r w:rsidRPr="009238BC">
        <w:rPr>
          <w:i/>
        </w:rPr>
        <w:t>entitlement</w:t>
      </w:r>
    </w:p>
    <w:p w14:paraId="2E7457C6" w14:textId="77777777" w:rsidR="00B61738" w:rsidRPr="00475AC4" w:rsidRDefault="00B61738" w:rsidP="00B61738">
      <w:pPr>
        <w:pStyle w:val="Quote1"/>
        <w:widowControl/>
        <w:ind w:left="1418" w:hanging="681"/>
      </w:pPr>
      <w:r w:rsidRPr="00475AC4">
        <w:t>(5)</w:t>
      </w:r>
      <w:r>
        <w:tab/>
      </w:r>
      <w:r w:rsidRPr="00475AC4">
        <w:t>The</w:t>
      </w:r>
      <w:r>
        <w:t xml:space="preserve"> </w:t>
      </w:r>
      <w:r w:rsidRPr="00475AC4">
        <w:t>person</w:t>
      </w:r>
      <w:r>
        <w:t>’</w:t>
      </w:r>
      <w:r w:rsidRPr="00475AC4">
        <w:t>s</w:t>
      </w:r>
      <w:r>
        <w:t xml:space="preserve"> </w:t>
      </w:r>
      <w:r w:rsidRPr="009C6A63">
        <w:rPr>
          <w:b/>
          <w:i/>
        </w:rPr>
        <w:t>redundancy</w:t>
      </w:r>
      <w:r>
        <w:rPr>
          <w:b/>
          <w:i/>
        </w:rPr>
        <w:t xml:space="preserve"> </w:t>
      </w:r>
      <w:r w:rsidRPr="009C6A63">
        <w:rPr>
          <w:b/>
          <w:i/>
        </w:rPr>
        <w:t>pay</w:t>
      </w:r>
      <w:r>
        <w:rPr>
          <w:b/>
          <w:i/>
        </w:rPr>
        <w:t xml:space="preserve"> </w:t>
      </w:r>
      <w:r w:rsidRPr="009C6A63">
        <w:rPr>
          <w:b/>
          <w:i/>
        </w:rPr>
        <w:t>entitlement</w:t>
      </w:r>
      <w:r>
        <w:t xml:space="preserve"> </w:t>
      </w:r>
      <w:r w:rsidRPr="00475AC4">
        <w:t>is</w:t>
      </w:r>
      <w:r>
        <w:t xml:space="preserve"> </w:t>
      </w:r>
      <w:r w:rsidRPr="00475AC4">
        <w:t>the</w:t>
      </w:r>
      <w:r>
        <w:t xml:space="preserve"> </w:t>
      </w:r>
      <w:r w:rsidRPr="00475AC4">
        <w:t>amount</w:t>
      </w:r>
      <w:r>
        <w:t xml:space="preserve"> </w:t>
      </w:r>
      <w:r w:rsidRPr="00475AC4">
        <w:t>of</w:t>
      </w:r>
      <w:r>
        <w:t xml:space="preserve"> </w:t>
      </w:r>
      <w:r w:rsidRPr="00475AC4">
        <w:t>redundancy</w:t>
      </w:r>
      <w:r>
        <w:t xml:space="preserve"> </w:t>
      </w:r>
      <w:r w:rsidRPr="00475AC4">
        <w:t>pay</w:t>
      </w:r>
      <w:r>
        <w:t xml:space="preserve"> </w:t>
      </w:r>
      <w:r w:rsidRPr="00475AC4">
        <w:t>the</w:t>
      </w:r>
      <w:r>
        <w:t xml:space="preserve"> </w:t>
      </w:r>
      <w:r w:rsidRPr="00475AC4">
        <w:t>person</w:t>
      </w:r>
      <w:r>
        <w:t xml:space="preserve"> </w:t>
      </w:r>
      <w:r w:rsidRPr="00475AC4">
        <w:t>is</w:t>
      </w:r>
      <w:r>
        <w:t xml:space="preserve"> </w:t>
      </w:r>
      <w:r w:rsidRPr="00475AC4">
        <w:t>entitled</w:t>
      </w:r>
      <w:r>
        <w:t xml:space="preserve"> </w:t>
      </w:r>
      <w:r w:rsidRPr="00475AC4">
        <w:t>to</w:t>
      </w:r>
      <w:r>
        <w:t xml:space="preserve"> </w:t>
      </w:r>
      <w:r w:rsidRPr="00475AC4">
        <w:t>under</w:t>
      </w:r>
      <w:r>
        <w:t xml:space="preserve"> </w:t>
      </w:r>
      <w:r w:rsidRPr="00475AC4">
        <w:t>the</w:t>
      </w:r>
      <w:r>
        <w:t xml:space="preserve"> </w:t>
      </w:r>
      <w:hyperlink r:id="rId16" w:anchor="governing_instrument" w:history="1">
        <w:r w:rsidRPr="00475AC4">
          <w:t>governing</w:t>
        </w:r>
        <w:r>
          <w:t xml:space="preserve"> </w:t>
        </w:r>
        <w:r w:rsidRPr="00475AC4">
          <w:t>instrument</w:t>
        </w:r>
      </w:hyperlink>
      <w:r>
        <w:t xml:space="preserve"> </w:t>
      </w:r>
      <w:r w:rsidRPr="00475AC4">
        <w:t>from</w:t>
      </w:r>
      <w:r>
        <w:t xml:space="preserve"> </w:t>
      </w:r>
      <w:r w:rsidRPr="00475AC4">
        <w:t>the</w:t>
      </w:r>
      <w:r>
        <w:t xml:space="preserve"> </w:t>
      </w:r>
      <w:r w:rsidRPr="00475AC4">
        <w:t>employer</w:t>
      </w:r>
      <w:r>
        <w:t xml:space="preserve"> </w:t>
      </w:r>
      <w:r w:rsidRPr="00475AC4">
        <w:t>for</w:t>
      </w:r>
      <w:r>
        <w:t xml:space="preserve"> </w:t>
      </w:r>
      <w:r w:rsidRPr="00475AC4">
        <w:t>termination</w:t>
      </w:r>
      <w:r>
        <w:t xml:space="preserve"> </w:t>
      </w:r>
      <w:r w:rsidRPr="00475AC4">
        <w:t>of</w:t>
      </w:r>
      <w:r>
        <w:t xml:space="preserve"> </w:t>
      </w:r>
      <w:r w:rsidRPr="00475AC4">
        <w:t>the</w:t>
      </w:r>
      <w:r>
        <w:t xml:space="preserve"> </w:t>
      </w:r>
      <w:r w:rsidRPr="00475AC4">
        <w:t>employment.</w:t>
      </w:r>
      <w:r>
        <w:t xml:space="preserve"> </w:t>
      </w:r>
    </w:p>
    <w:p w14:paraId="5FD1979B" w14:textId="5935AEAC" w:rsidR="0031518D" w:rsidRDefault="00B61738" w:rsidP="0031518D">
      <w:pPr>
        <w:pStyle w:val="ParaNumbering"/>
      </w:pPr>
      <w:r>
        <w:t>The</w:t>
      </w:r>
      <w:r w:rsidR="003C418D">
        <w:t xml:space="preserve"> </w:t>
      </w:r>
      <w:r>
        <w:t xml:space="preserve">amount of the </w:t>
      </w:r>
      <w:r w:rsidR="003C418D">
        <w:t>unpaid</w:t>
      </w:r>
      <w:r w:rsidR="00AC4D73">
        <w:t xml:space="preserve"> entitlement is determined by reference to the amount</w:t>
      </w:r>
      <w:r w:rsidR="003C418D">
        <w:t xml:space="preserve"> of</w:t>
      </w:r>
      <w:r w:rsidR="00AC4D73">
        <w:t xml:space="preserve"> the person’s entitlement “under the governing instrument for the employment”</w:t>
      </w:r>
      <w:r>
        <w:t>: s 6(1), (2) and (5)</w:t>
      </w:r>
      <w:r w:rsidR="00AC4D73">
        <w:t xml:space="preserve">.  </w:t>
      </w:r>
      <w:r w:rsidR="0031518D">
        <w:t>The term “governing instrument” is defined in s 5 as follows:</w:t>
      </w:r>
    </w:p>
    <w:p w14:paraId="06B1FA2A" w14:textId="77777777" w:rsidR="0031518D" w:rsidRDefault="0031518D" w:rsidP="0031518D">
      <w:pPr>
        <w:pStyle w:val="Quote1"/>
      </w:pPr>
      <w:r w:rsidRPr="00B2528B">
        <w:rPr>
          <w:b/>
          <w:bCs/>
          <w:i/>
          <w:iCs/>
        </w:rPr>
        <w:t>governing instrument</w:t>
      </w:r>
      <w:r>
        <w:t xml:space="preserve"> for employment means any of the following that governs the employment:</w:t>
      </w:r>
    </w:p>
    <w:p w14:paraId="74D6E376" w14:textId="77777777" w:rsidR="0031518D" w:rsidRDefault="0031518D" w:rsidP="0031518D">
      <w:pPr>
        <w:pStyle w:val="Quote1"/>
        <w:ind w:left="1440" w:hanging="703"/>
      </w:pPr>
      <w:r>
        <w:t>(a)</w:t>
      </w:r>
      <w:r>
        <w:tab/>
        <w:t>a written law of the Commonwealth, a State or a Territory;</w:t>
      </w:r>
    </w:p>
    <w:p w14:paraId="72E12DA2" w14:textId="77777777" w:rsidR="0031518D" w:rsidRDefault="0031518D" w:rsidP="0031518D">
      <w:pPr>
        <w:pStyle w:val="Quote1"/>
        <w:ind w:left="1440" w:hanging="703"/>
      </w:pPr>
      <w:r>
        <w:t>(b)</w:t>
      </w:r>
      <w:r>
        <w:tab/>
        <w:t>an award, determination or order that is made or recorded in writing;</w:t>
      </w:r>
    </w:p>
    <w:p w14:paraId="43A0A526" w14:textId="77777777" w:rsidR="0031518D" w:rsidRDefault="0031518D" w:rsidP="0031518D">
      <w:pPr>
        <w:pStyle w:val="Quote1"/>
        <w:ind w:left="1440" w:hanging="703"/>
      </w:pPr>
      <w:r>
        <w:t>(c)</w:t>
      </w:r>
      <w:r>
        <w:tab/>
        <w:t>a written instrument;</w:t>
      </w:r>
    </w:p>
    <w:p w14:paraId="04EC820B" w14:textId="77777777" w:rsidR="0031518D" w:rsidRDefault="0031518D" w:rsidP="0031518D">
      <w:pPr>
        <w:pStyle w:val="Quote1"/>
        <w:ind w:left="1440" w:hanging="703"/>
      </w:pPr>
      <w:r>
        <w:t>(d)</w:t>
      </w:r>
      <w:r>
        <w:tab/>
        <w:t>an agreement (whether a contract or not).</w:t>
      </w:r>
    </w:p>
    <w:p w14:paraId="659220C8" w14:textId="76B69904" w:rsidR="00401B63" w:rsidRPr="00475AC4" w:rsidRDefault="00B61738" w:rsidP="00B80D27">
      <w:pPr>
        <w:pStyle w:val="ParaNumbering"/>
      </w:pPr>
      <w:r>
        <w:t>It follows that t</w:t>
      </w:r>
      <w:r w:rsidR="0031518D">
        <w:t xml:space="preserve">he “governing instrument” for Mr Warren’s employment was </w:t>
      </w:r>
      <w:r w:rsidR="009E70C7">
        <w:t xml:space="preserve">the letter agreement, </w:t>
      </w:r>
      <w:r w:rsidR="0031518D">
        <w:t xml:space="preserve">the FW Act and the Award.  </w:t>
      </w:r>
    </w:p>
    <w:p w14:paraId="320081B5" w14:textId="4F668C8B" w:rsidR="003C418D" w:rsidRDefault="0013695F" w:rsidP="00AA07A6">
      <w:pPr>
        <w:pStyle w:val="ParaNumbering"/>
      </w:pPr>
      <w:bookmarkStart w:id="26" w:name="_Ref106186656"/>
      <w:r>
        <w:t>Mr Warren made an “effective claim” under s 14 of the FEG Act.  The Secretary therefore ha</w:t>
      </w:r>
      <w:r w:rsidR="000B0C45">
        <w:t xml:space="preserve">d to decide whether Mr Warren was “eligible for </w:t>
      </w:r>
      <w:r w:rsidR="008F7515">
        <w:t xml:space="preserve">the </w:t>
      </w:r>
      <w:r w:rsidR="000B0C45">
        <w:t>advance” and, if so, dec</w:t>
      </w:r>
      <w:r w:rsidR="003C418D">
        <w:t>ide the “amount of the advance”</w:t>
      </w:r>
      <w:r w:rsidR="000B0C45">
        <w:t>.</w:t>
      </w:r>
      <w:r>
        <w:t xml:space="preserve"> </w:t>
      </w:r>
      <w:r w:rsidR="000B0C45">
        <w:t xml:space="preserve"> </w:t>
      </w:r>
      <w:r w:rsidR="003C418D">
        <w:t>Section 15 provides (notes excluded):</w:t>
      </w:r>
    </w:p>
    <w:p w14:paraId="587CC98E" w14:textId="2C2A94AD" w:rsidR="003C418D" w:rsidRPr="003C418D" w:rsidRDefault="003C418D" w:rsidP="00B80D27">
      <w:pPr>
        <w:pStyle w:val="Quote1"/>
        <w:keepNext/>
        <w:widowControl/>
        <w:rPr>
          <w:b/>
        </w:rPr>
      </w:pPr>
      <w:bookmarkStart w:id="27" w:name="_Toc92279612"/>
      <w:r w:rsidRPr="003C418D">
        <w:rPr>
          <w:rStyle w:val="CharSectno"/>
          <w:b/>
        </w:rPr>
        <w:t>15</w:t>
      </w:r>
      <w:r w:rsidR="008F7515">
        <w:rPr>
          <w:b/>
        </w:rPr>
        <w:tab/>
      </w:r>
      <w:r w:rsidRPr="003C418D">
        <w:rPr>
          <w:b/>
        </w:rPr>
        <w:t>Secretary must decide effective claim</w:t>
      </w:r>
      <w:bookmarkEnd w:id="27"/>
    </w:p>
    <w:p w14:paraId="464D2D65" w14:textId="77777777" w:rsidR="003C418D" w:rsidRPr="008D1926" w:rsidRDefault="003C418D" w:rsidP="00B80D27">
      <w:pPr>
        <w:pStyle w:val="Quote1"/>
        <w:widowControl/>
        <w:ind w:left="1418" w:hanging="681"/>
      </w:pPr>
      <w:r w:rsidRPr="008D1926">
        <w:t>(1)</w:t>
      </w:r>
      <w:r w:rsidRPr="008D1926">
        <w:tab/>
        <w:t>If an effective claim that a person is eligible for an advance is made to the Secretary, the Secretary must decide whether the person is eligible for the advance.</w:t>
      </w:r>
    </w:p>
    <w:p w14:paraId="19D3493F" w14:textId="77777777" w:rsidR="003C418D" w:rsidRPr="008D1926" w:rsidRDefault="003C418D" w:rsidP="00B80D27">
      <w:pPr>
        <w:pStyle w:val="Quote1"/>
        <w:widowControl/>
        <w:ind w:left="1418" w:hanging="681"/>
      </w:pPr>
      <w:r w:rsidRPr="008D1926">
        <w:t>(2)</w:t>
      </w:r>
      <w:r w:rsidRPr="008D1926">
        <w:tab/>
        <w:t>If it is decided that a person is eligible for an advance, the Secretary must decide the amount of the advance in accordance with Part 3.</w:t>
      </w:r>
    </w:p>
    <w:p w14:paraId="59ADA949" w14:textId="77777777" w:rsidR="00B24C3C" w:rsidRDefault="000B0C45" w:rsidP="00AA07A6">
      <w:pPr>
        <w:pStyle w:val="ParaNumbering"/>
      </w:pPr>
      <w:r>
        <w:t xml:space="preserve">There </w:t>
      </w:r>
      <w:r w:rsidR="003C418D">
        <w:t>was</w:t>
      </w:r>
      <w:r>
        <w:t xml:space="preserve"> no issue</w:t>
      </w:r>
      <w:r w:rsidR="003C418D">
        <w:t xml:space="preserve"> on appeal</w:t>
      </w:r>
      <w:r>
        <w:t xml:space="preserve"> that Mr Warren was </w:t>
      </w:r>
      <w:r w:rsidR="00ED6A94">
        <w:t>“</w:t>
      </w:r>
      <w:r>
        <w:t>eligible for an advance</w:t>
      </w:r>
      <w:r w:rsidR="00ED6A94">
        <w:t>”</w:t>
      </w:r>
      <w:r>
        <w:t xml:space="preserve">.  </w:t>
      </w:r>
      <w:r w:rsidR="00B24C3C">
        <w:t xml:space="preserve">It </w:t>
      </w:r>
      <w:r w:rsidR="00626E4F">
        <w:t>was</w:t>
      </w:r>
      <w:r w:rsidR="00B24C3C">
        <w:t xml:space="preserve"> the </w:t>
      </w:r>
      <w:r w:rsidR="0031518D">
        <w:t>amount of the advance</w:t>
      </w:r>
      <w:r w:rsidR="00B24C3C">
        <w:t xml:space="preserve"> which </w:t>
      </w:r>
      <w:r w:rsidR="0031518D">
        <w:t>divide</w:t>
      </w:r>
      <w:r w:rsidR="003C418D">
        <w:t>d</w:t>
      </w:r>
      <w:r w:rsidR="0031518D">
        <w:t xml:space="preserve"> the parties</w:t>
      </w:r>
      <w:r w:rsidR="00B24C3C">
        <w:t>.</w:t>
      </w:r>
    </w:p>
    <w:p w14:paraId="76444695" w14:textId="1057FA7C" w:rsidR="00D04B02" w:rsidRDefault="00B24C3C" w:rsidP="008C2BC3">
      <w:pPr>
        <w:pStyle w:val="ParaNumbering"/>
      </w:pPr>
      <w:bookmarkStart w:id="28" w:name="_Ref106196503"/>
      <w:r>
        <w:lastRenderedPageBreak/>
        <w:t>Section</w:t>
      </w:r>
      <w:r w:rsidRPr="00DD28B8">
        <w:t> 16(1)</w:t>
      </w:r>
      <w:r>
        <w:t>, in Div</w:t>
      </w:r>
      <w:r w:rsidR="00A623EE">
        <w:t>ision</w:t>
      </w:r>
      <w:r>
        <w:t> 1 of Part 3,</w:t>
      </w:r>
      <w:r w:rsidRPr="00DD28B8">
        <w:t xml:space="preserve"> </w:t>
      </w:r>
      <w:r w:rsidR="00ED6A94">
        <w:t>provides</w:t>
      </w:r>
      <w:r w:rsidRPr="00DD28B8">
        <w:t xml:space="preserve"> that </w:t>
      </w:r>
      <w:r w:rsidR="00ED6A94">
        <w:t xml:space="preserve">the </w:t>
      </w:r>
      <w:r w:rsidRPr="00DD28B8">
        <w:t xml:space="preserve">amount </w:t>
      </w:r>
      <w:r w:rsidR="00ED6A94">
        <w:t>of the advance</w:t>
      </w:r>
      <w:r w:rsidRPr="00DD28B8">
        <w:t xml:space="preserve"> be worked out under Div</w:t>
      </w:r>
      <w:r w:rsidR="00A623EE">
        <w:t>ision</w:t>
      </w:r>
      <w:r w:rsidR="00AA07A6">
        <w:t> </w:t>
      </w:r>
      <w:r w:rsidRPr="00DD28B8">
        <w:t>2</w:t>
      </w:r>
      <w:r>
        <w:t xml:space="preserve"> of Part 3</w:t>
      </w:r>
      <w:r w:rsidR="00ED6A94">
        <w:t xml:space="preserve"> for each of the person’s employment entitlements</w:t>
      </w:r>
      <w:r w:rsidRPr="00DD28B8">
        <w:t xml:space="preserve">. </w:t>
      </w:r>
      <w:r>
        <w:t xml:space="preserve"> Division 2 contains three subdivisions.  Subdivision A comprises s 19</w:t>
      </w:r>
      <w:r w:rsidR="003C418D">
        <w:t xml:space="preserve">.  </w:t>
      </w:r>
      <w:r w:rsidR="00D04B02">
        <w:t xml:space="preserve">Subdivision B contains “general rules for working out basic amounts for employment entitlements”.  Subdivision C contains “special rules for working out basic amounts for employment entitlements”. </w:t>
      </w:r>
    </w:p>
    <w:p w14:paraId="3454C601" w14:textId="4F5C18CE" w:rsidR="00B24C3C" w:rsidRDefault="00AA07A6" w:rsidP="008C2BC3">
      <w:pPr>
        <w:pStyle w:val="ParaNumbering"/>
      </w:pPr>
      <w:r>
        <w:t xml:space="preserve">Section 19(1) provides that the amount of a person’s employment entitlement is determined by “working out the basic amount for the entitlement under Subdivisions B and C” and reducing the basic amount by amounts described in </w:t>
      </w:r>
      <w:proofErr w:type="spellStart"/>
      <w:r>
        <w:t>s</w:t>
      </w:r>
      <w:r w:rsidR="00A1191C">
        <w:t>s</w:t>
      </w:r>
      <w:proofErr w:type="spellEnd"/>
      <w:r>
        <w:t> 19(2) and (3)</w:t>
      </w:r>
      <w:r w:rsidR="00ED6A94">
        <w:t>, if any</w:t>
      </w:r>
      <w:r>
        <w:t>.  It is only s 19(2) which is of present relevance</w:t>
      </w:r>
      <w:r w:rsidR="00D04B02">
        <w:t>, but s 19(3) is relevant to the correct construction of s 19(2)</w:t>
      </w:r>
      <w:r>
        <w:t>.</w:t>
      </w:r>
      <w:bookmarkEnd w:id="28"/>
      <w:r w:rsidR="00AB48C5">
        <w:t xml:space="preserve">  </w:t>
      </w:r>
      <w:r w:rsidR="009E70C7">
        <w:t xml:space="preserve">Section </w:t>
      </w:r>
      <w:r w:rsidR="00AB48C5">
        <w:t>19 provide</w:t>
      </w:r>
      <w:r w:rsidR="009E70C7">
        <w:t>s</w:t>
      </w:r>
      <w:r w:rsidR="00AB48C5">
        <w:t>:</w:t>
      </w:r>
    </w:p>
    <w:p w14:paraId="333CE237" w14:textId="77777777" w:rsidR="00AB48C5" w:rsidRPr="00D04B02" w:rsidRDefault="00AB48C5" w:rsidP="00D04B02">
      <w:pPr>
        <w:pStyle w:val="Quote1"/>
        <w:rPr>
          <w:b/>
        </w:rPr>
      </w:pPr>
      <w:r w:rsidRPr="00D04B02">
        <w:rPr>
          <w:b/>
        </w:rPr>
        <w:t xml:space="preserve">19 </w:t>
      </w:r>
      <w:r w:rsidRPr="00D04B02">
        <w:rPr>
          <w:b/>
        </w:rPr>
        <w:tab/>
        <w:t>Working out amounts for employment entitlements</w:t>
      </w:r>
    </w:p>
    <w:p w14:paraId="41BF2741" w14:textId="78968510" w:rsidR="00AB48C5" w:rsidRDefault="00AB48C5" w:rsidP="00D04B02">
      <w:pPr>
        <w:pStyle w:val="Quote1"/>
        <w:ind w:left="1418" w:hanging="681"/>
      </w:pPr>
      <w:r>
        <w:t xml:space="preserve">(1) </w:t>
      </w:r>
      <w:r>
        <w:tab/>
        <w:t xml:space="preserve">Work out the amount </w:t>
      </w:r>
      <w:r w:rsidR="00EF2346">
        <w:t xml:space="preserve">for </w:t>
      </w:r>
      <w:r>
        <w:t>each of a person’s employment entitlements to be taken into account under section 16 by:</w:t>
      </w:r>
    </w:p>
    <w:p w14:paraId="5D51C932" w14:textId="77777777" w:rsidR="00AB48C5" w:rsidRDefault="00AB48C5" w:rsidP="00C82EFF">
      <w:pPr>
        <w:pStyle w:val="Quote2"/>
        <w:ind w:left="2160" w:hanging="720"/>
      </w:pPr>
      <w:r>
        <w:t xml:space="preserve">(a) </w:t>
      </w:r>
      <w:r>
        <w:tab/>
        <w:t>working out the basic amount for the entitlement under Subdivisions B and C; and</w:t>
      </w:r>
    </w:p>
    <w:p w14:paraId="25A0622D" w14:textId="77777777" w:rsidR="00AB48C5" w:rsidRDefault="00AB48C5" w:rsidP="00C82EFF">
      <w:pPr>
        <w:pStyle w:val="Quote2"/>
        <w:ind w:left="2160" w:hanging="720"/>
      </w:pPr>
      <w:r>
        <w:t xml:space="preserve">(b) </w:t>
      </w:r>
      <w:r>
        <w:tab/>
        <w:t>reducing the basic amount (but not below nil) by the sum of the amounts described in subsections (2) and (3) for the entitlement.</w:t>
      </w:r>
    </w:p>
    <w:p w14:paraId="14E3181D" w14:textId="77777777" w:rsidR="00AB48C5" w:rsidRDefault="00AB48C5" w:rsidP="00D04B02">
      <w:pPr>
        <w:pStyle w:val="Quote1"/>
        <w:ind w:left="1418" w:hanging="681"/>
      </w:pPr>
      <w:r>
        <w:t xml:space="preserve">(2) </w:t>
      </w:r>
      <w:r>
        <w:tab/>
        <w:t>One amount of the reduction of the basic amount for a particular employment entitlement of a person for his or her employment by an employer is the total of amounts that:</w:t>
      </w:r>
    </w:p>
    <w:p w14:paraId="6720DA1D" w14:textId="77777777" w:rsidR="00AB48C5" w:rsidRDefault="00AB48C5" w:rsidP="00C82EFF">
      <w:pPr>
        <w:pStyle w:val="Quote2"/>
      </w:pPr>
      <w:r>
        <w:t xml:space="preserve">(a) </w:t>
      </w:r>
      <w:r>
        <w:tab/>
        <w:t>are attributable to the entitlement; and</w:t>
      </w:r>
    </w:p>
    <w:p w14:paraId="725C729C" w14:textId="77777777" w:rsidR="00AB48C5" w:rsidRDefault="00AB48C5" w:rsidP="00C82EFF">
      <w:pPr>
        <w:pStyle w:val="Quote2"/>
      </w:pPr>
      <w:r>
        <w:t xml:space="preserve">(b) </w:t>
      </w:r>
      <w:r>
        <w:tab/>
        <w:t>have been paid by anyone:</w:t>
      </w:r>
    </w:p>
    <w:p w14:paraId="5FA5AFF9" w14:textId="77777777" w:rsidR="00AB48C5" w:rsidRDefault="00AB48C5" w:rsidP="00C82EFF">
      <w:pPr>
        <w:pStyle w:val="Quote3"/>
        <w:ind w:left="2880" w:hanging="720"/>
      </w:pPr>
      <w:r>
        <w:t>(</w:t>
      </w:r>
      <w:proofErr w:type="spellStart"/>
      <w:r>
        <w:t>i</w:t>
      </w:r>
      <w:proofErr w:type="spellEnd"/>
      <w:r>
        <w:t xml:space="preserve">) </w:t>
      </w:r>
      <w:r>
        <w:tab/>
        <w:t>to the person; or</w:t>
      </w:r>
    </w:p>
    <w:p w14:paraId="725CD379" w14:textId="77777777" w:rsidR="00AB48C5" w:rsidRDefault="00AB48C5" w:rsidP="00C82EFF">
      <w:pPr>
        <w:pStyle w:val="Quote3"/>
        <w:ind w:left="2880" w:hanging="720"/>
      </w:pPr>
      <w:r>
        <w:t>(ii)</w:t>
      </w:r>
      <w:r>
        <w:tab/>
        <w:t>to someone else for the person’s benefit or in accordance with the person’s direction; and</w:t>
      </w:r>
    </w:p>
    <w:p w14:paraId="6E29B800" w14:textId="77777777" w:rsidR="00AB48C5" w:rsidRDefault="00D04B02" w:rsidP="00C82EFF">
      <w:pPr>
        <w:pStyle w:val="Quote2"/>
      </w:pPr>
      <w:r>
        <w:t>(c)</w:t>
      </w:r>
      <w:r>
        <w:tab/>
      </w:r>
      <w:r w:rsidR="00AB48C5">
        <w:t>are not costs of the winding up or bankruptcy of the employer.</w:t>
      </w:r>
    </w:p>
    <w:p w14:paraId="5184B955" w14:textId="77777777" w:rsidR="00D04B02" w:rsidRDefault="00D04B02" w:rsidP="00D04B02">
      <w:pPr>
        <w:pStyle w:val="Quote1"/>
        <w:ind w:left="1418" w:hanging="681"/>
      </w:pPr>
      <w:r>
        <w:t xml:space="preserve">(3) </w:t>
      </w:r>
      <w:r>
        <w:tab/>
        <w:t>The other amount of the reduction of the basic amount for a particular employment entitlement of a person for his or her employment by an employer is the total of amounts that:</w:t>
      </w:r>
    </w:p>
    <w:p w14:paraId="6BC6C9EB" w14:textId="417BBD4F" w:rsidR="00D04B02" w:rsidRDefault="00D04B02" w:rsidP="00C82EFF">
      <w:pPr>
        <w:pStyle w:val="Quote2"/>
      </w:pPr>
      <w:r>
        <w:t xml:space="preserve">(a) </w:t>
      </w:r>
      <w:r>
        <w:tab/>
        <w:t xml:space="preserve">are attributable to </w:t>
      </w:r>
      <w:r w:rsidR="00EF2346">
        <w:t xml:space="preserve">the </w:t>
      </w:r>
      <w:r>
        <w:t>entitlement; and</w:t>
      </w:r>
    </w:p>
    <w:p w14:paraId="443D269F" w14:textId="77777777" w:rsidR="00D04B02" w:rsidRDefault="00D04B02" w:rsidP="00C82EFF">
      <w:pPr>
        <w:pStyle w:val="Quote2"/>
      </w:pPr>
      <w:r>
        <w:t xml:space="preserve">(b) </w:t>
      </w:r>
      <w:r>
        <w:tab/>
        <w:t>are payable (and have not been paid) by anyone:</w:t>
      </w:r>
    </w:p>
    <w:p w14:paraId="78FF6B1D" w14:textId="77777777" w:rsidR="00D04B02" w:rsidRDefault="00D04B02" w:rsidP="00C82EFF">
      <w:pPr>
        <w:pStyle w:val="Quote3"/>
        <w:ind w:left="2880" w:hanging="720"/>
      </w:pPr>
      <w:r>
        <w:t>(</w:t>
      </w:r>
      <w:proofErr w:type="spellStart"/>
      <w:r>
        <w:t>i</w:t>
      </w:r>
      <w:proofErr w:type="spellEnd"/>
      <w:r>
        <w:t>)</w:t>
      </w:r>
      <w:r>
        <w:tab/>
        <w:t>to the person; or</w:t>
      </w:r>
    </w:p>
    <w:p w14:paraId="79BD3111" w14:textId="77777777" w:rsidR="00D04B02" w:rsidRDefault="00D04B02" w:rsidP="00C82EFF">
      <w:pPr>
        <w:pStyle w:val="Quote3"/>
        <w:ind w:left="2880" w:hanging="720"/>
      </w:pPr>
      <w:r>
        <w:t xml:space="preserve">(ii) </w:t>
      </w:r>
      <w:r>
        <w:tab/>
        <w:t>to someone else for the person’s benefit or in accordance with the person’s direction; and</w:t>
      </w:r>
    </w:p>
    <w:p w14:paraId="6A104AFD" w14:textId="77777777" w:rsidR="00D04B02" w:rsidRDefault="00D04B02" w:rsidP="00C82EFF">
      <w:pPr>
        <w:pStyle w:val="Quote2"/>
      </w:pPr>
      <w:r>
        <w:t xml:space="preserve">(c) </w:t>
      </w:r>
      <w:r>
        <w:tab/>
        <w:t>are not payable:</w:t>
      </w:r>
    </w:p>
    <w:p w14:paraId="0E19C8D2" w14:textId="77777777" w:rsidR="00D04B02" w:rsidRDefault="00D04B02" w:rsidP="00C82EFF">
      <w:pPr>
        <w:pStyle w:val="Quote3"/>
        <w:ind w:left="2880" w:hanging="720"/>
      </w:pPr>
      <w:r>
        <w:t>(</w:t>
      </w:r>
      <w:proofErr w:type="spellStart"/>
      <w:r>
        <w:t>i</w:t>
      </w:r>
      <w:proofErr w:type="spellEnd"/>
      <w:r>
        <w:t xml:space="preserve">) </w:t>
      </w:r>
      <w:r>
        <w:tab/>
        <w:t xml:space="preserve">under the </w:t>
      </w:r>
      <w:r w:rsidRPr="00BA2451">
        <w:rPr>
          <w:i/>
        </w:rPr>
        <w:t>Corporations Act 2001</w:t>
      </w:r>
      <w:r>
        <w:t xml:space="preserve"> in the winding up of the </w:t>
      </w:r>
      <w:r>
        <w:lastRenderedPageBreak/>
        <w:t>person’s employer; or</w:t>
      </w:r>
    </w:p>
    <w:p w14:paraId="0E39CBE7" w14:textId="77777777" w:rsidR="00D04B02" w:rsidRDefault="00D04B02" w:rsidP="00C82EFF">
      <w:pPr>
        <w:pStyle w:val="Quote3"/>
        <w:ind w:left="2880" w:hanging="720"/>
      </w:pPr>
      <w:r>
        <w:t xml:space="preserve">(ii) </w:t>
      </w:r>
      <w:r>
        <w:tab/>
        <w:t xml:space="preserve">under the </w:t>
      </w:r>
      <w:r w:rsidRPr="00BA2451">
        <w:rPr>
          <w:i/>
        </w:rPr>
        <w:t>Bankruptcy Act 1966</w:t>
      </w:r>
      <w:r>
        <w:t xml:space="preserve"> from the proceeds of the property of the bankrupt employer of the person; or</w:t>
      </w:r>
    </w:p>
    <w:p w14:paraId="5A500574" w14:textId="77777777" w:rsidR="00D04B02" w:rsidRDefault="00D04B02" w:rsidP="00C82EFF">
      <w:pPr>
        <w:pStyle w:val="Quote3"/>
        <w:ind w:left="2880" w:hanging="720"/>
      </w:pPr>
      <w:r>
        <w:t>(iii)</w:t>
      </w:r>
      <w:r>
        <w:tab/>
        <w:t>under this Act.</w:t>
      </w:r>
    </w:p>
    <w:p w14:paraId="4AEE173F" w14:textId="39BE4275" w:rsidR="00AB48C5" w:rsidRDefault="003C418D" w:rsidP="008C2BC3">
      <w:pPr>
        <w:pStyle w:val="ParaNumbering"/>
      </w:pPr>
      <w:r>
        <w:t xml:space="preserve">The </w:t>
      </w:r>
      <w:r w:rsidR="00D251B0">
        <w:t>principal issue dividing the parties</w:t>
      </w:r>
      <w:r>
        <w:t xml:space="preserve"> </w:t>
      </w:r>
      <w:r w:rsidR="00B61738">
        <w:t>was</w:t>
      </w:r>
      <w:r w:rsidR="00D251B0">
        <w:t xml:space="preserve"> </w:t>
      </w:r>
      <w:r>
        <w:t>whether, in working out the advance to which Mr Warren was entitled, any part of the loading</w:t>
      </w:r>
      <w:r w:rsidR="00975BE0">
        <w:t>s</w:t>
      </w:r>
      <w:r>
        <w:t xml:space="preserve"> paid to him </w:t>
      </w:r>
      <w:r w:rsidR="00975BE0">
        <w:t xml:space="preserve">were </w:t>
      </w:r>
      <w:r>
        <w:t>to be taken into account in reducing the advance on the basis that the amount paid was “</w:t>
      </w:r>
      <w:r w:rsidRPr="00646E34">
        <w:t>attributable</w:t>
      </w:r>
      <w:r w:rsidR="003A3893">
        <w:t>”</w:t>
      </w:r>
      <w:r w:rsidRPr="00646E34">
        <w:t xml:space="preserve"> to </w:t>
      </w:r>
      <w:r>
        <w:t xml:space="preserve">Mr Warren’s “annual leave entitlement” or “redundancy pay entitlement”, within the meaning of s 19(2) of the FEG Act.  </w:t>
      </w:r>
    </w:p>
    <w:p w14:paraId="1CFF74AA" w14:textId="7C39821D" w:rsidR="00D251B0" w:rsidRDefault="00D251B0" w:rsidP="003C0D1A">
      <w:pPr>
        <w:pStyle w:val="Heading1"/>
      </w:pPr>
      <w:r>
        <w:t>PROCEDURAL BACKGROUND</w:t>
      </w:r>
    </w:p>
    <w:p w14:paraId="21B34FFB" w14:textId="1888A827" w:rsidR="00255434" w:rsidRDefault="003A3893" w:rsidP="003C0D1A">
      <w:pPr>
        <w:pStyle w:val="ParaNumbering"/>
      </w:pPr>
      <w:r>
        <w:t xml:space="preserve">The appellant, by a delegate, rejected Mr Warren’s application.  Mr Warren </w:t>
      </w:r>
      <w:r w:rsidR="00D251B0">
        <w:t>applied for</w:t>
      </w:r>
      <w:r>
        <w:t xml:space="preserve"> review of the delegate’s decision in the Administrative Appeals Tribunal.  The Tribunal concluded that the appellant had erred in the computation of Mr Warren’s entitlement to severance pay, but accepted that the loadings paid to Mr Warren were “attributable” to his “employee entitlements”: </w:t>
      </w:r>
      <w:r w:rsidRPr="00A2260F">
        <w:rPr>
          <w:i/>
        </w:rPr>
        <w:t xml:space="preserve">Warren and Secretary, Department of Jobs and Small Business </w:t>
      </w:r>
      <w:r w:rsidRPr="00A2260F">
        <w:t>[2019] AATA 95</w:t>
      </w:r>
      <w:r>
        <w:t xml:space="preserve">.  Mr Warren appealed to this Court, contending that the loadings were not “attributable” to his “employee entitlements”.  The primary </w:t>
      </w:r>
      <w:r w:rsidR="00255434">
        <w:t>judge accepted this contention:</w:t>
      </w:r>
      <w:r>
        <w:t xml:space="preserve"> </w:t>
      </w:r>
      <w:r w:rsidRPr="00A2260F">
        <w:rPr>
          <w:i/>
        </w:rPr>
        <w:t>Warren v Secretary, Attorney-General’s Department</w:t>
      </w:r>
      <w:r w:rsidRPr="00A2260F">
        <w:t xml:space="preserve"> [2021] FCA 89; 303 IR 72; 172 ALD 325</w:t>
      </w:r>
      <w:r w:rsidR="006252E6">
        <w:t xml:space="preserve"> at [</w:t>
      </w:r>
      <w:r w:rsidR="0062453C">
        <w:t>110</w:t>
      </w:r>
      <w:r w:rsidR="006252E6">
        <w:t>]-[117]</w:t>
      </w:r>
      <w:r w:rsidR="0062453C">
        <w:t>, [124]</w:t>
      </w:r>
      <w:r>
        <w:t>.</w:t>
      </w:r>
      <w:r w:rsidR="00255434">
        <w:t xml:space="preserve">  His Honour considered that a finding that any part of the </w:t>
      </w:r>
      <w:r w:rsidR="00975BE0">
        <w:t>loading component of the total</w:t>
      </w:r>
      <w:r w:rsidR="00255434">
        <w:t xml:space="preserve"> wages paid to Mr Warren was attributable to his employee entitlements was outside the “zone” of permissible factual decision-making, referring</w:t>
      </w:r>
      <w:r w:rsidR="0062453C">
        <w:t xml:space="preserve"> at [117]</w:t>
      </w:r>
      <w:r w:rsidR="00255434">
        <w:t xml:space="preserve"> to </w:t>
      </w:r>
      <w:r w:rsidR="00255434">
        <w:rPr>
          <w:i/>
        </w:rPr>
        <w:t xml:space="preserve">Haritos v Federal Commissioner of Taxation </w:t>
      </w:r>
      <w:r w:rsidR="00255434">
        <w:t xml:space="preserve">[2015] FCAFC 92; 233 FCR 315 at [201] (Allsop CJ, Kenny, </w:t>
      </w:r>
      <w:proofErr w:type="spellStart"/>
      <w:r w:rsidR="00255434">
        <w:t>Besanko</w:t>
      </w:r>
      <w:proofErr w:type="spellEnd"/>
      <w:r w:rsidR="00255434">
        <w:t>, Robertson and Mortimer JJ).</w:t>
      </w:r>
    </w:p>
    <w:p w14:paraId="1C73BF9F" w14:textId="4ED250CF" w:rsidR="00255434" w:rsidRDefault="00255434" w:rsidP="003C0D1A">
      <w:pPr>
        <w:pStyle w:val="ParaNumbering"/>
      </w:pPr>
      <w:r>
        <w:t xml:space="preserve">The appellant contends that the primary judge erred in </w:t>
      </w:r>
      <w:r w:rsidR="00D251B0">
        <w:t>s</w:t>
      </w:r>
      <w:r>
        <w:t>o concluding.</w:t>
      </w:r>
    </w:p>
    <w:bookmarkEnd w:id="26"/>
    <w:p w14:paraId="2AFE9924" w14:textId="77777777" w:rsidR="00AC4D73" w:rsidRDefault="001B6A08" w:rsidP="007A39D4">
      <w:pPr>
        <w:pStyle w:val="Heading1"/>
      </w:pPr>
      <w:r>
        <w:t>THE PRIMARY JUDGE’S REASONS</w:t>
      </w:r>
    </w:p>
    <w:p w14:paraId="0445B7F9" w14:textId="77777777" w:rsidR="002F59DC" w:rsidRDefault="001B6A08">
      <w:pPr>
        <w:pStyle w:val="Heading2"/>
      </w:pPr>
      <w:r>
        <w:t>A</w:t>
      </w:r>
      <w:r w:rsidR="002F59DC">
        <w:t>nnual leave entitlement</w:t>
      </w:r>
    </w:p>
    <w:p w14:paraId="01AF8049" w14:textId="77777777" w:rsidR="001B6A08" w:rsidRDefault="000B429B" w:rsidP="0006429E">
      <w:pPr>
        <w:pStyle w:val="ParaNumbering"/>
      </w:pPr>
      <w:r>
        <w:t>The</w:t>
      </w:r>
      <w:r w:rsidR="00A91446">
        <w:t xml:space="preserve"> primary judge</w:t>
      </w:r>
      <w:r w:rsidR="00205880">
        <w:t xml:space="preserve">’s </w:t>
      </w:r>
      <w:r>
        <w:t>reasons in relation to Mr Warren’s annual leave entitlement</w:t>
      </w:r>
      <w:r w:rsidR="0006429E">
        <w:t xml:space="preserve"> may </w:t>
      </w:r>
      <w:r w:rsidR="003C418D">
        <w:t xml:space="preserve">be </w:t>
      </w:r>
      <w:r w:rsidR="0006429E">
        <w:t xml:space="preserve">summarised in the following way.  </w:t>
      </w:r>
    </w:p>
    <w:p w14:paraId="44D9262B" w14:textId="77777777" w:rsidR="001B6A08" w:rsidRDefault="0097268C" w:rsidP="0006429E">
      <w:pPr>
        <w:pStyle w:val="ParaNumbering"/>
      </w:pPr>
      <w:r w:rsidRPr="0006429E">
        <w:rPr>
          <w:i/>
        </w:rPr>
        <w:t>First</w:t>
      </w:r>
      <w:r>
        <w:t xml:space="preserve">, </w:t>
      </w:r>
      <w:r w:rsidR="00A91446">
        <w:t>d</w:t>
      </w:r>
      <w:r w:rsidR="00A91446" w:rsidRPr="001525F8">
        <w:t xml:space="preserve">uring the term of </w:t>
      </w:r>
      <w:r w:rsidR="00A91446">
        <w:t>his</w:t>
      </w:r>
      <w:r w:rsidR="00A91446" w:rsidRPr="001525F8">
        <w:t xml:space="preserve"> employment, </w:t>
      </w:r>
      <w:r w:rsidR="00A91446">
        <w:t>Mr Warren</w:t>
      </w:r>
      <w:r w:rsidR="00A91446" w:rsidRPr="001525F8">
        <w:t xml:space="preserve"> accrued an entitlement to take a period of annual leave</w:t>
      </w:r>
      <w:r w:rsidR="00A91446">
        <w:t xml:space="preserve">: </w:t>
      </w:r>
      <w:r>
        <w:t>[110].  U</w:t>
      </w:r>
      <w:r w:rsidRPr="001525F8">
        <w:t xml:space="preserve">pon termination of </w:t>
      </w:r>
      <w:r>
        <w:t>Mr Warren’s</w:t>
      </w:r>
      <w:r w:rsidRPr="001525F8">
        <w:t xml:space="preserve"> employment, </w:t>
      </w:r>
      <w:r>
        <w:t>he</w:t>
      </w:r>
      <w:r w:rsidRPr="001525F8">
        <w:t xml:space="preserve"> had an accrued period of untaken paid annual leave</w:t>
      </w:r>
      <w:r w:rsidR="003C418D">
        <w:t xml:space="preserve"> of </w:t>
      </w:r>
      <w:r w:rsidRPr="001525F8">
        <w:t>783.469 hours</w:t>
      </w:r>
      <w:r>
        <w:t>: [110].</w:t>
      </w:r>
      <w:r w:rsidR="00437483">
        <w:t xml:space="preserve">  </w:t>
      </w:r>
      <w:r w:rsidR="001B6A08">
        <w:t>Section</w:t>
      </w:r>
      <w:r w:rsidR="001B6A08" w:rsidRPr="001525F8">
        <w:t xml:space="preserve"> 90(2) of the </w:t>
      </w:r>
      <w:r w:rsidR="001B6A08">
        <w:t>FW Act</w:t>
      </w:r>
      <w:r w:rsidR="001B6A08" w:rsidRPr="001525F8">
        <w:t xml:space="preserve">, </w:t>
      </w:r>
      <w:r w:rsidR="001B6A08" w:rsidRPr="001525F8">
        <w:lastRenderedPageBreak/>
        <w:t xml:space="preserve">required the employer to pay to </w:t>
      </w:r>
      <w:r w:rsidR="001B6A08">
        <w:t xml:space="preserve">Mr Warren </w:t>
      </w:r>
      <w:r w:rsidR="001B6A08" w:rsidRPr="001525F8">
        <w:t>“the amount that would have been payable to [</w:t>
      </w:r>
      <w:r w:rsidR="001B6A08">
        <w:t>him</w:t>
      </w:r>
      <w:r w:rsidR="001B6A08" w:rsidRPr="001525F8">
        <w:t>] had [</w:t>
      </w:r>
      <w:r w:rsidR="001B6A08">
        <w:t>he</w:t>
      </w:r>
      <w:r w:rsidR="001B6A08" w:rsidRPr="001525F8">
        <w:t>] taken that period of leave”</w:t>
      </w:r>
      <w:r w:rsidR="001B6A08">
        <w:t xml:space="preserve">, this </w:t>
      </w:r>
      <w:r w:rsidR="001B6A08" w:rsidRPr="001525F8">
        <w:t xml:space="preserve">amount </w:t>
      </w:r>
      <w:r w:rsidR="001B6A08">
        <w:t>being</w:t>
      </w:r>
      <w:r w:rsidR="001B6A08" w:rsidRPr="001525F8">
        <w:t xml:space="preserve"> in addition to whatever amounts had been paid to </w:t>
      </w:r>
      <w:r w:rsidR="001B6A08">
        <w:t xml:space="preserve">Mr Warren </w:t>
      </w:r>
      <w:r w:rsidR="001B6A08" w:rsidRPr="001525F8">
        <w:t>as wages</w:t>
      </w:r>
      <w:r w:rsidR="001B6A08">
        <w:t>: [110].</w:t>
      </w:r>
    </w:p>
    <w:p w14:paraId="599A1B8F" w14:textId="7CD90F5C" w:rsidR="001B6A08" w:rsidRDefault="001B6A08" w:rsidP="001B6A08">
      <w:pPr>
        <w:pStyle w:val="ParaNumbering"/>
      </w:pPr>
      <w:r w:rsidRPr="001B6A08">
        <w:rPr>
          <w:i/>
        </w:rPr>
        <w:t>Secondly</w:t>
      </w:r>
      <w:r>
        <w:t>, n</w:t>
      </w:r>
      <w:r w:rsidR="00A91446" w:rsidRPr="001525F8">
        <w:t xml:space="preserve">o part of the wages and loadings that the employer paid to </w:t>
      </w:r>
      <w:r w:rsidR="0097268C">
        <w:t>Mr Warren</w:t>
      </w:r>
      <w:r w:rsidR="00A91446" w:rsidRPr="001525F8">
        <w:t xml:space="preserve"> was capable of discharging </w:t>
      </w:r>
      <w:r w:rsidR="00437483">
        <w:t>Mr Warren’s</w:t>
      </w:r>
      <w:r w:rsidR="00A91446" w:rsidRPr="001525F8">
        <w:t xml:space="preserve"> statutory entitlement to </w:t>
      </w:r>
      <w:r w:rsidR="00437483">
        <w:t xml:space="preserve">untaken </w:t>
      </w:r>
      <w:r w:rsidR="00A91446" w:rsidRPr="001525F8">
        <w:t xml:space="preserve">paid </w:t>
      </w:r>
      <w:r w:rsidR="00437483">
        <w:t xml:space="preserve">annual </w:t>
      </w:r>
      <w:r w:rsidR="00A91446" w:rsidRPr="001525F8">
        <w:t>leave</w:t>
      </w:r>
      <w:r w:rsidR="00437483">
        <w:t>, payable when his employment ended</w:t>
      </w:r>
      <w:r w:rsidR="0097268C">
        <w:t>: [9</w:t>
      </w:r>
      <w:r w:rsidR="00437483">
        <w:t>5], [110]</w:t>
      </w:r>
      <w:r>
        <w:t>, [115]</w:t>
      </w:r>
      <w:r w:rsidR="00437483">
        <w:t xml:space="preserve">.  </w:t>
      </w:r>
      <w:r>
        <w:t>T</w:t>
      </w:r>
      <w:r w:rsidR="00437483">
        <w:t xml:space="preserve">he employer’s statutory obligation to make the payment to </w:t>
      </w:r>
      <w:r>
        <w:t>Mr Warren</w:t>
      </w:r>
      <w:r w:rsidR="00437483">
        <w:t xml:space="preserve"> under s 90(2) of the FW Act upon termination “could not be avoided or discharged by relying on the terms of the letter agreement, including the attempt </w:t>
      </w:r>
      <w:r w:rsidR="00A1777C">
        <w:t xml:space="preserve">at </w:t>
      </w:r>
      <w:r w:rsidR="00437483">
        <w:t xml:space="preserve">clause 3.4 of the letter agreement to apply the </w:t>
      </w:r>
      <w:r w:rsidR="009E70C7">
        <w:t xml:space="preserve">loading of his </w:t>
      </w:r>
      <w:r w:rsidR="00437483">
        <w:t xml:space="preserve">wages </w:t>
      </w:r>
      <w:r w:rsidR="00437483" w:rsidRPr="00F15966">
        <w:t>aga</w:t>
      </w:r>
      <w:r>
        <w:t>inst the amount payable under s </w:t>
      </w:r>
      <w:r w:rsidR="00437483" w:rsidRPr="00F15966">
        <w:t>90(2)</w:t>
      </w:r>
      <w:r w:rsidR="00437483">
        <w:t xml:space="preserve">”: [111].  </w:t>
      </w:r>
    </w:p>
    <w:p w14:paraId="082028ED" w14:textId="77777777" w:rsidR="00437483" w:rsidRDefault="00437483" w:rsidP="001B6A08">
      <w:pPr>
        <w:pStyle w:val="ParaNumbering"/>
      </w:pPr>
      <w:r>
        <w:t>This was so for two reasons</w:t>
      </w:r>
      <w:r w:rsidR="001B6A08">
        <w:t xml:space="preserve">, provided </w:t>
      </w:r>
      <w:r w:rsidR="00205880">
        <w:t>at</w:t>
      </w:r>
      <w:r w:rsidR="00F10411">
        <w:t xml:space="preserve"> </w:t>
      </w:r>
      <w:r w:rsidR="00205880">
        <w:t>[111]</w:t>
      </w:r>
      <w:r>
        <w:t>:</w:t>
      </w:r>
    </w:p>
    <w:p w14:paraId="54CEB5C2" w14:textId="77777777" w:rsidR="00437483" w:rsidRPr="0097268C" w:rsidRDefault="0006429E" w:rsidP="0006429E">
      <w:pPr>
        <w:pStyle w:val="Quote1"/>
      </w:pPr>
      <w:r>
        <w:t xml:space="preserve">… </w:t>
      </w:r>
      <w:proofErr w:type="gramStart"/>
      <w:r w:rsidR="00437483">
        <w:t xml:space="preserve">The </w:t>
      </w:r>
      <w:r w:rsidR="00437483" w:rsidRPr="004779DA">
        <w:t>first</w:t>
      </w:r>
      <w:r w:rsidR="00437483">
        <w:t xml:space="preserve"> reason is that it would be contrary to the terms of s 90(2) itself, which requires payment of the amount that would have been payable had the applicant taken the leave: see, </w:t>
      </w:r>
      <w:r w:rsidR="00437483" w:rsidRPr="00E375CC">
        <w:rPr>
          <w:i/>
        </w:rPr>
        <w:t>Centennial Northern Mining Services Pty Ltd v Construction, Forestry, Mining and Energy Union</w:t>
      </w:r>
      <w:r w:rsidR="00437483" w:rsidRPr="00E375CC">
        <w:t xml:space="preserve"> </w:t>
      </w:r>
      <w:r w:rsidR="00437483">
        <w:t>[</w:t>
      </w:r>
      <w:r w:rsidR="00437483" w:rsidRPr="00E375CC">
        <w:t>2015</w:t>
      </w:r>
      <w:r w:rsidR="00437483">
        <w:t>] FCAFC 100;</w:t>
      </w:r>
      <w:r w:rsidR="00437483" w:rsidRPr="00E375CC">
        <w:t xml:space="preserve"> 231 FCR 298</w:t>
      </w:r>
      <w:r w:rsidR="00437483">
        <w:t xml:space="preserve"> at [42] (Tracey, Flick and </w:t>
      </w:r>
      <w:proofErr w:type="spellStart"/>
      <w:r w:rsidR="00437483">
        <w:t>Katzmann</w:t>
      </w:r>
      <w:proofErr w:type="spellEnd"/>
      <w:r w:rsidR="00437483">
        <w:t> JJ).</w:t>
      </w:r>
      <w:proofErr w:type="gramEnd"/>
      <w:r w:rsidR="00437483">
        <w:t xml:space="preserve"> That entitlement was in addition to the wages that had been paid, including the loadings which I find were not capable of being applied to paid annual leave. The </w:t>
      </w:r>
      <w:r w:rsidR="00437483" w:rsidRPr="004779DA">
        <w:t>second</w:t>
      </w:r>
      <w:r w:rsidR="00437483">
        <w:t xml:space="preserve"> reason relates to the prohibition on cashing out in s 92 of the </w:t>
      </w:r>
      <w:r w:rsidR="00437483">
        <w:rPr>
          <w:i/>
        </w:rPr>
        <w:t>Fair Work Act</w:t>
      </w:r>
      <w:r w:rsidR="00437483">
        <w:t>. To permit the employer to set-off the loadings that were said to be included in the wages against the amount due to the applicant under s 90(2) would be to give effect to an agreement to cash out the annual leave, and would give rise to a legally incoherent result.</w:t>
      </w:r>
    </w:p>
    <w:p w14:paraId="191FAD05" w14:textId="77777777" w:rsidR="0006429E" w:rsidRDefault="0006429E" w:rsidP="0006429E">
      <w:pPr>
        <w:pStyle w:val="ParaNumbering"/>
      </w:pPr>
      <w:r w:rsidRPr="001B6A08">
        <w:rPr>
          <w:i/>
        </w:rPr>
        <w:t>Thirdly</w:t>
      </w:r>
      <w:r>
        <w:t>, t</w:t>
      </w:r>
      <w:r w:rsidR="00205880">
        <w:t xml:space="preserve">he primary judge reasoned that, because the employer’s </w:t>
      </w:r>
      <w:r>
        <w:t xml:space="preserve">statutory </w:t>
      </w:r>
      <w:r w:rsidR="00205880">
        <w:t xml:space="preserve">obligation to pay untaken </w:t>
      </w:r>
      <w:r w:rsidR="00AD196A">
        <w:t xml:space="preserve">paid </w:t>
      </w:r>
      <w:r w:rsidR="00205880">
        <w:t>annual leave could not be discharged</w:t>
      </w:r>
      <w:r>
        <w:t xml:space="preserve"> by the earlier payment of loadings directed in part to </w:t>
      </w:r>
      <w:r w:rsidR="009E70C7">
        <w:t xml:space="preserve">compensating for the absence of a right to </w:t>
      </w:r>
      <w:r>
        <w:t xml:space="preserve">annual </w:t>
      </w:r>
      <w:r w:rsidR="009E70C7">
        <w:t>leave</w:t>
      </w:r>
      <w:r w:rsidR="00205880">
        <w:t xml:space="preserve">, it followed </w:t>
      </w:r>
      <w:r>
        <w:t>that the loading</w:t>
      </w:r>
      <w:r w:rsidR="00205880">
        <w:t xml:space="preserve"> paid to </w:t>
      </w:r>
      <w:r w:rsidR="00725B14">
        <w:t xml:space="preserve">Mr Warren “was </w:t>
      </w:r>
      <w:r w:rsidR="00725B14" w:rsidRPr="0006429E">
        <w:t>not capable of being properly attributable to the statutory entitlement to paid leave</w:t>
      </w:r>
      <w:r w:rsidR="00725B14">
        <w:t>”: at</w:t>
      </w:r>
      <w:r w:rsidR="00F10411">
        <w:t xml:space="preserve"> </w:t>
      </w:r>
      <w:r w:rsidR="00725B14">
        <w:t>[115].</w:t>
      </w:r>
      <w:r w:rsidR="00AD718E">
        <w:t xml:space="preserve">  His Honour concluded:</w:t>
      </w:r>
    </w:p>
    <w:p w14:paraId="6F3D4E9D" w14:textId="77777777" w:rsidR="00205880" w:rsidRDefault="00725B14" w:rsidP="0006429E">
      <w:pPr>
        <w:pStyle w:val="Quote1"/>
      </w:pPr>
      <w:r w:rsidRPr="00725B14">
        <w:t>In the case of the applicant’s annual leave entitlement, for all the reasons that I have given above, the regular payment by the employer of wages</w:t>
      </w:r>
      <w:r w:rsidR="0006429E">
        <w:t xml:space="preserve"> was </w:t>
      </w:r>
      <w:r w:rsidR="0006429E" w:rsidRPr="0006429E">
        <w:t xml:space="preserve">not capable of being properly attributable to the statutory entitlement to paid leave, or as having any correlation such that any part of the wages discharged the employer’s statutory obligation to afford the applicant paid leave, and in consequence the annual leave entitlement that was payable under s 90(2) of the </w:t>
      </w:r>
      <w:r w:rsidR="0006429E" w:rsidRPr="0006429E">
        <w:rPr>
          <w:i/>
        </w:rPr>
        <w:t>Fair Work Act</w:t>
      </w:r>
      <w:r w:rsidR="0006429E" w:rsidRPr="0006429E">
        <w:t>.</w:t>
      </w:r>
      <w:r w:rsidR="00205880">
        <w:t xml:space="preserve"> </w:t>
      </w:r>
    </w:p>
    <w:p w14:paraId="1DFDC6E9" w14:textId="77777777" w:rsidR="0006429E" w:rsidRDefault="002F59DC" w:rsidP="00205880">
      <w:pPr>
        <w:pStyle w:val="ParaNumbering"/>
      </w:pPr>
      <w:r>
        <w:t>The primary judge</w:t>
      </w:r>
      <w:r w:rsidR="00626E4F">
        <w:t xml:space="preserve"> further</w:t>
      </w:r>
      <w:r w:rsidR="0006429E">
        <w:t xml:space="preserve"> </w:t>
      </w:r>
      <w:r w:rsidR="00C13AA7">
        <w:t>explained</w:t>
      </w:r>
      <w:r w:rsidR="00F10411">
        <w:t xml:space="preserve"> at </w:t>
      </w:r>
      <w:r w:rsidR="0006429E">
        <w:t>[116]:</w:t>
      </w:r>
    </w:p>
    <w:p w14:paraId="2BC4A573" w14:textId="2E2F2878" w:rsidR="0006429E" w:rsidRPr="0006429E" w:rsidRDefault="0006429E" w:rsidP="0006429E">
      <w:pPr>
        <w:pStyle w:val="Quote1"/>
      </w:pPr>
      <w:r w:rsidRPr="0006429E">
        <w:t>… Once it is recognised that the payments of wages by the employer do not have a sufficient connection with the statutory entitlement to a payment under s 90(2) to affect the employer’s liability to make that payment upon termination, it is difficult to see how, for the purposes of s 19(2) the FEG Act</w:t>
      </w:r>
      <w:r w:rsidRPr="0006429E">
        <w:rPr>
          <w:i/>
        </w:rPr>
        <w:t>,</w:t>
      </w:r>
      <w:r w:rsidRPr="0006429E">
        <w:t xml:space="preserve"> the wages paid by the employer are capable of being attributable to the entitlement. The respondent’s submission that </w:t>
      </w:r>
      <w:r w:rsidRPr="0006429E">
        <w:lastRenderedPageBreak/>
        <w:t>s 19(2) should be construed broadly and in a practical way does not overcome the difficulty for the respondent that the relevant object of the FEG Act</w:t>
      </w:r>
      <w:r w:rsidRPr="0006429E">
        <w:rPr>
          <w:i/>
        </w:rPr>
        <w:t xml:space="preserve"> </w:t>
      </w:r>
      <w:r w:rsidRPr="0006429E">
        <w:t>is to provide for advances on account of unpaid employment entitlements in the event of the employer’s insolvency. In relation to the annual leave entitlement, the effect of the respondent’s submissions is to undermine that object of the FEG Act by reducing the applicant’s entitlement to an advance by a process of dissection and attribution which the employer would not have been permitted to undertake to reduce its liability to pay that entitlement</w:t>
      </w:r>
      <w:r>
        <w:t xml:space="preserve"> …</w:t>
      </w:r>
      <w:r w:rsidR="0078472D">
        <w:t xml:space="preserve"> </w:t>
      </w:r>
      <w:r w:rsidR="0078472D" w:rsidRPr="0078472D">
        <w:t>The effect of the respondent’s submissions is to reduce the applicant’s claim by treating the applicant’s unpaid annual leave entitlement as having been paid by the employer, when this did not occur.</w:t>
      </w:r>
    </w:p>
    <w:p w14:paraId="320BE739" w14:textId="7415C1A6" w:rsidR="00CA1CF4" w:rsidRDefault="00CA1CF4" w:rsidP="00CA1CF4">
      <w:pPr>
        <w:pStyle w:val="Heading2"/>
      </w:pPr>
      <w:r>
        <w:t>The primary judge’s conclusions in respect of redundancy pay entitlement</w:t>
      </w:r>
    </w:p>
    <w:p w14:paraId="0DB24343" w14:textId="01B2F7F7" w:rsidR="00CA1CF4" w:rsidRDefault="000B429B" w:rsidP="00CA1CF4">
      <w:pPr>
        <w:pStyle w:val="ParaNumbering"/>
      </w:pPr>
      <w:r>
        <w:t>T</w:t>
      </w:r>
      <w:r w:rsidR="00CA1CF4">
        <w:t xml:space="preserve">he primary judge’s </w:t>
      </w:r>
      <w:r>
        <w:t xml:space="preserve">reasons in relation to redundancy pay entitlement </w:t>
      </w:r>
      <w:r w:rsidR="00CA1CF4">
        <w:t>ca</w:t>
      </w:r>
      <w:r>
        <w:t>n</w:t>
      </w:r>
      <w:r w:rsidR="00CA1CF4">
        <w:t xml:space="preserve"> be summarised as follows.  </w:t>
      </w:r>
    </w:p>
    <w:p w14:paraId="0ACB14BF" w14:textId="749AF28D" w:rsidR="00CA1CF4" w:rsidRDefault="00CA1CF4" w:rsidP="00CA1CF4">
      <w:pPr>
        <w:pStyle w:val="ParaNumbering"/>
      </w:pPr>
      <w:r w:rsidRPr="00500093">
        <w:rPr>
          <w:i/>
        </w:rPr>
        <w:t>First</w:t>
      </w:r>
      <w:r w:rsidRPr="00500093">
        <w:t xml:space="preserve">, Mr Warren was entitled to a severance payment under </w:t>
      </w:r>
      <w:proofErr w:type="spellStart"/>
      <w:r w:rsidR="00822255">
        <w:t>cll</w:t>
      </w:r>
      <w:proofErr w:type="spellEnd"/>
      <w:r w:rsidRPr="00500093">
        <w:t xml:space="preserve"> 14.3 </w:t>
      </w:r>
      <w:r>
        <w:t xml:space="preserve">and 14.4 </w:t>
      </w:r>
      <w:r w:rsidRPr="00500093">
        <w:t xml:space="preserve">of the Award, </w:t>
      </w:r>
      <w:r>
        <w:t xml:space="preserve">both of </w:t>
      </w:r>
      <w:r w:rsidRPr="00500093">
        <w:t xml:space="preserve">which </w:t>
      </w:r>
      <w:r>
        <w:t>comprise</w:t>
      </w:r>
      <w:r w:rsidRPr="00500093">
        <w:t xml:space="preserve"> a redundancy pay entitlement within the meaning of s 6(5) of the FEG Act.</w:t>
      </w:r>
      <w:r>
        <w:t xml:space="preserve">  More specifically, Mr Warren was entitled under the Award to a total of nine ordinary weeks’ pay</w:t>
      </w:r>
      <w:r w:rsidR="009E70C7">
        <w:t>, comprising</w:t>
      </w:r>
      <w:r>
        <w:t xml:space="preserve">: </w:t>
      </w:r>
    </w:p>
    <w:p w14:paraId="2BE787BA" w14:textId="77777777" w:rsidR="00CA1CF4" w:rsidRDefault="00CA1CF4" w:rsidP="00CA1CF4">
      <w:pPr>
        <w:pStyle w:val="ListNo1"/>
        <w:numPr>
          <w:ilvl w:val="0"/>
          <w:numId w:val="34"/>
        </w:numPr>
      </w:pPr>
      <w:r>
        <w:t>a severance payment, in the event of redundancy, equal to one ordinary week’s pay for each completed year of employment, amounting to three ordinary weeks’ pay in Mr Warren’s case: Award, cl 14.3; and</w:t>
      </w:r>
    </w:p>
    <w:p w14:paraId="6C4EC814" w14:textId="77777777" w:rsidR="00CA1CF4" w:rsidRDefault="00CA1CF4" w:rsidP="00CA1CF4">
      <w:pPr>
        <w:pStyle w:val="ListNo1"/>
        <w:numPr>
          <w:ilvl w:val="0"/>
          <w:numId w:val="34"/>
        </w:numPr>
      </w:pPr>
      <w:r>
        <w:t>a retrenchment payment, in the event of redundancy due to technological change, market forces or diminution of reserves equal to two ordinary weeks’ pay for each completed year of service, amounting to six ordinary weeks’ pay in Mr Warren’s case: Award, cl 14.4.</w:t>
      </w:r>
    </w:p>
    <w:p w14:paraId="255E9B7B" w14:textId="77777777" w:rsidR="00CA1CF4" w:rsidRDefault="00CA1CF4" w:rsidP="00CA1CF4">
      <w:pPr>
        <w:pStyle w:val="ParaNumbering"/>
      </w:pPr>
      <w:r w:rsidRPr="00500093">
        <w:rPr>
          <w:i/>
        </w:rPr>
        <w:t>Secondly</w:t>
      </w:r>
      <w:r>
        <w:t xml:space="preserve">, the primary judge concluded that the employer’s payment of wages could not be effective to discharge the employer’s statutory liability to pay a severance payment under </w:t>
      </w:r>
      <w:r w:rsidRPr="00500093">
        <w:t>the Award</w:t>
      </w:r>
      <w:r w:rsidR="00F10411">
        <w:t xml:space="preserve">: </w:t>
      </w:r>
      <w:r>
        <w:t>[</w:t>
      </w:r>
      <w:r w:rsidR="00F10411">
        <w:t xml:space="preserve">122].  His Honour explained at </w:t>
      </w:r>
      <w:r>
        <w:t xml:space="preserve">[122] (emphasis in original): </w:t>
      </w:r>
    </w:p>
    <w:p w14:paraId="397F8D09" w14:textId="77777777" w:rsidR="00CA1CF4" w:rsidRPr="00500093" w:rsidRDefault="00CA1CF4" w:rsidP="00CA1CF4">
      <w:pPr>
        <w:pStyle w:val="Quote1"/>
        <w:widowControl/>
      </w:pPr>
      <w:r>
        <w:t>… That is because the terms of c</w:t>
      </w:r>
      <w:r w:rsidRPr="00500093">
        <w:t>lause 14.3 of the Award had a temporal dimension in relation to the employer’s obligation to pay a severance payment”</w:t>
      </w:r>
      <w:r>
        <w:t xml:space="preserve">.  </w:t>
      </w:r>
      <w:r w:rsidRPr="00500093">
        <w:t xml:space="preserve">It was </w:t>
      </w:r>
      <w:r w:rsidRPr="00500093">
        <w:rPr>
          <w:i/>
        </w:rPr>
        <w:t>when the termination occurred</w:t>
      </w:r>
      <w:r w:rsidRPr="00500093">
        <w:t xml:space="preserve"> that the applicant, then being a </w:t>
      </w:r>
      <w:r w:rsidRPr="00500093">
        <w:rPr>
          <w:i/>
        </w:rPr>
        <w:t>terminated employee</w:t>
      </w:r>
      <w:r w:rsidRPr="00500093">
        <w:t xml:space="preserve">, became </w:t>
      </w:r>
      <w:r w:rsidRPr="00500093">
        <w:rPr>
          <w:i/>
        </w:rPr>
        <w:t>entitled to severance pay</w:t>
      </w:r>
      <w:r w:rsidRPr="00500093">
        <w:t>, and correspondingly the employer became obliged to make the severance payment.</w:t>
      </w:r>
    </w:p>
    <w:p w14:paraId="6D525374" w14:textId="77777777" w:rsidR="00CA1CF4" w:rsidRPr="00500093" w:rsidRDefault="00CA1CF4" w:rsidP="00CA1CF4">
      <w:pPr>
        <w:pStyle w:val="ParaNumbering"/>
      </w:pPr>
      <w:r w:rsidRPr="00500093">
        <w:t>The prim</w:t>
      </w:r>
      <w:r w:rsidR="00F10411">
        <w:t xml:space="preserve">ary judge further explained at </w:t>
      </w:r>
      <w:r w:rsidRPr="00500093">
        <w:t>[123]:</w:t>
      </w:r>
    </w:p>
    <w:p w14:paraId="0A588A65" w14:textId="77777777" w:rsidR="00CA1CF4" w:rsidRDefault="00CA1CF4" w:rsidP="00CA1CF4">
      <w:pPr>
        <w:pStyle w:val="Quote1"/>
      </w:pPr>
      <w:r>
        <w:t xml:space="preserve">… In this case, the employer could not, at the time of the applicant’s termination, rely on what was in effect an earlier attempt to pre-pay by way of loaded wages any future conditional liability for severance pay, when at the time those wages were paid, the applicant’s employment had not been terminated due to redundancy and therefore the employer’s statutory liability had not arisen. The intent of the </w:t>
      </w:r>
      <w:r>
        <w:rPr>
          <w:i/>
        </w:rPr>
        <w:t>Fair Work Act</w:t>
      </w:r>
      <w:r>
        <w:t xml:space="preserve"> is that an </w:t>
      </w:r>
      <w:r>
        <w:lastRenderedPageBreak/>
        <w:t xml:space="preserve">employee will enjoy entitlements in accordance with, </w:t>
      </w:r>
      <w:r>
        <w:rPr>
          <w:i/>
        </w:rPr>
        <w:t>inter alia</w:t>
      </w:r>
      <w:r>
        <w:t xml:space="preserve">, any modern award that applies to the employee’s employment. While the employer and the applicant by the letter agreement agreed that the employer would pre-pay any severance pay that may become payable to the applicant upon termination due to redundancy, the consequence of giving effect to that agreement would be to exclude the Award entitlement to severance pay that arises </w:t>
      </w:r>
      <w:r>
        <w:rPr>
          <w:i/>
        </w:rPr>
        <w:t xml:space="preserve">when the termination occurs </w:t>
      </w:r>
      <w:r>
        <w:t>due to redundancy …</w:t>
      </w:r>
    </w:p>
    <w:p w14:paraId="01C204E9" w14:textId="77777777" w:rsidR="00CA1CF4" w:rsidRDefault="00CA1CF4" w:rsidP="008C2BC3">
      <w:pPr>
        <w:pStyle w:val="ParaNumbering"/>
      </w:pPr>
      <w:r w:rsidRPr="008B778C">
        <w:rPr>
          <w:i/>
        </w:rPr>
        <w:t>Thirdly</w:t>
      </w:r>
      <w:r w:rsidR="00F10411">
        <w:t xml:space="preserve">, his Honour concluded at </w:t>
      </w:r>
      <w:r>
        <w:t xml:space="preserve">[124] that it was not open to the Tribunal </w:t>
      </w:r>
      <w:r w:rsidRPr="00FA16E5">
        <w:t xml:space="preserve">to treat </w:t>
      </w:r>
      <w:r>
        <w:t xml:space="preserve">the loading on the </w:t>
      </w:r>
      <w:r w:rsidRPr="00FA16E5">
        <w:t>wages</w:t>
      </w:r>
      <w:r>
        <w:t xml:space="preserve"> </w:t>
      </w:r>
      <w:r w:rsidRPr="00FA16E5">
        <w:t xml:space="preserve">as being attributable to </w:t>
      </w:r>
      <w:r>
        <w:t>Mr Warren’s</w:t>
      </w:r>
      <w:r w:rsidRPr="00FA16E5">
        <w:t xml:space="preserve"> entitlement to a severance payment for the purposes of s</w:t>
      </w:r>
      <w:r>
        <w:t> </w:t>
      </w:r>
      <w:r w:rsidRPr="00FA16E5">
        <w:t xml:space="preserve">19(2) of the </w:t>
      </w:r>
      <w:r w:rsidRPr="009C6A63">
        <w:t>FEG Act</w:t>
      </w:r>
      <w:r>
        <w:t xml:space="preserve">, </w:t>
      </w:r>
      <w:r w:rsidR="008B778C">
        <w:t>because “[o]</w:t>
      </w:r>
      <w:proofErr w:type="spellStart"/>
      <w:r w:rsidR="008B778C" w:rsidRPr="00FA16E5">
        <w:t>nce</w:t>
      </w:r>
      <w:proofErr w:type="spellEnd"/>
      <w:r w:rsidR="008B778C" w:rsidRPr="00FA16E5">
        <w:t xml:space="preserve"> it is recognised that the employer’s payments of wages do not have a sufficient connection with the statutory entitlement to a severance payment under the Award, for the purposes of s</w:t>
      </w:r>
      <w:r w:rsidR="008B778C">
        <w:t> </w:t>
      </w:r>
      <w:r w:rsidR="008B778C" w:rsidRPr="00FA16E5">
        <w:t xml:space="preserve">19(2) of the </w:t>
      </w:r>
      <w:r w:rsidR="008B778C" w:rsidRPr="009C6A63">
        <w:t>FEG Act</w:t>
      </w:r>
      <w:r w:rsidR="008B778C" w:rsidRPr="00FA16E5">
        <w:t xml:space="preserve"> </w:t>
      </w:r>
      <w:r w:rsidR="008B778C">
        <w:t xml:space="preserve">it follows in the circumstances of this case that </w:t>
      </w:r>
      <w:r w:rsidR="008B778C" w:rsidRPr="00FA16E5">
        <w:t>the payments of wages are</w:t>
      </w:r>
      <w:r w:rsidR="008B778C">
        <w:t xml:space="preserve"> not</w:t>
      </w:r>
      <w:r w:rsidR="008B778C" w:rsidRPr="00FA16E5">
        <w:t xml:space="preserve"> capable of being attributable to the entitlement</w:t>
      </w:r>
      <w:r w:rsidR="008B778C">
        <w:t>”.  His Honour added:</w:t>
      </w:r>
    </w:p>
    <w:p w14:paraId="0B430550" w14:textId="77777777" w:rsidR="00CA1CF4" w:rsidRDefault="00626E4F" w:rsidP="00CA1CF4">
      <w:pPr>
        <w:pStyle w:val="Quote1"/>
      </w:pPr>
      <w:r>
        <w:t>…</w:t>
      </w:r>
      <w:r w:rsidR="00CA1CF4" w:rsidRPr="00FA16E5">
        <w:t xml:space="preserve"> As with annual leave, the effect of the respondent’s submissions is to reduce the applicant’s claim by treating the applicant’s unpaid severance pay entitlement as having been paid by the employer, when that </w:t>
      </w:r>
      <w:r w:rsidR="00CA1CF4">
        <w:t xml:space="preserve">did not </w:t>
      </w:r>
      <w:r w:rsidR="00CA1CF4" w:rsidRPr="00FA16E5">
        <w:t>occur</w:t>
      </w:r>
      <w:r w:rsidR="00EC3692">
        <w:t xml:space="preserve"> …</w:t>
      </w:r>
      <w:r w:rsidR="00AD718E">
        <w:t xml:space="preserve">  </w:t>
      </w:r>
    </w:p>
    <w:p w14:paraId="252F770D" w14:textId="77777777" w:rsidR="00B842FC" w:rsidRDefault="00E51BA5" w:rsidP="00B842FC">
      <w:pPr>
        <w:pStyle w:val="Heading1"/>
      </w:pPr>
      <w:r>
        <w:rPr>
          <w:caps w:val="0"/>
        </w:rPr>
        <w:t>CONSIDERATION</w:t>
      </w:r>
    </w:p>
    <w:p w14:paraId="28F705E8" w14:textId="42188665" w:rsidR="003C418D" w:rsidRDefault="00AD718E" w:rsidP="003C418D">
      <w:pPr>
        <w:pStyle w:val="ParaNumbering"/>
      </w:pPr>
      <w:bookmarkStart w:id="29" w:name="_Ref106196493"/>
      <w:r>
        <w:t>As noted earlier, there was no dispute that Mr Warren had made an effective claim under s 14 of the FEG Act and that the Secretary (by a delegate) was satisfied that Mr Warren was “eligible for the advance” within the meaning of s 15(1).  Section 15(2)</w:t>
      </w:r>
      <w:r w:rsidR="003C418D">
        <w:t xml:space="preserve"> therefore required the decision-maker </w:t>
      </w:r>
      <w:r>
        <w:t>to determine</w:t>
      </w:r>
      <w:r w:rsidR="003C418D">
        <w:t xml:space="preserve"> the “amount of </w:t>
      </w:r>
      <w:r>
        <w:t>the</w:t>
      </w:r>
      <w:r w:rsidR="003C418D">
        <w:t xml:space="preserve"> advance” to Mr Warren under </w:t>
      </w:r>
      <w:r>
        <w:t>Part 3.  This required the decision-maker to</w:t>
      </w:r>
      <w:r w:rsidR="003C418D">
        <w:t>:</w:t>
      </w:r>
      <w:bookmarkEnd w:id="29"/>
    </w:p>
    <w:p w14:paraId="27AA57DB" w14:textId="09201DEB" w:rsidR="003C418D" w:rsidRDefault="003C418D" w:rsidP="003C418D">
      <w:pPr>
        <w:pStyle w:val="ListNo1"/>
        <w:numPr>
          <w:ilvl w:val="0"/>
          <w:numId w:val="31"/>
        </w:numPr>
      </w:pPr>
      <w:r>
        <w:t xml:space="preserve">identify whether Mr Warren had an unpaid </w:t>
      </w:r>
      <w:r w:rsidR="00AD718E">
        <w:t xml:space="preserve">(s 3(a)) </w:t>
      </w:r>
      <w:r>
        <w:t>“employee entitlement”</w:t>
      </w:r>
      <w:r w:rsidR="00AD718E">
        <w:t xml:space="preserve"> (defined in </w:t>
      </w:r>
      <w:proofErr w:type="spellStart"/>
      <w:r w:rsidR="00AD718E">
        <w:t>s</w:t>
      </w:r>
      <w:r w:rsidR="00BE63D1">
        <w:t>s</w:t>
      </w:r>
      <w:proofErr w:type="spellEnd"/>
      <w:r w:rsidR="00AD718E">
        <w:t> 5 and 6)</w:t>
      </w:r>
      <w:r>
        <w:t xml:space="preserve">, which involved identification of that to which Mr Warren was entitled under the </w:t>
      </w:r>
      <w:r w:rsidR="00AD718E">
        <w:t xml:space="preserve">“governing instrument” (namely the contract of </w:t>
      </w:r>
      <w:r>
        <w:t>employment</w:t>
      </w:r>
      <w:r w:rsidR="009E70C7">
        <w:t xml:space="preserve"> in the letter agreement</w:t>
      </w:r>
      <w:r>
        <w:t xml:space="preserve">, </w:t>
      </w:r>
      <w:r w:rsidR="00AD718E">
        <w:t xml:space="preserve">as affected by </w:t>
      </w:r>
      <w:r>
        <w:t>the FW Act and</w:t>
      </w:r>
      <w:r w:rsidR="00AD718E">
        <w:t xml:space="preserve"> the Award)</w:t>
      </w:r>
      <w:r>
        <w:t>;</w:t>
      </w:r>
    </w:p>
    <w:p w14:paraId="4CF94217" w14:textId="77777777" w:rsidR="003C418D" w:rsidRPr="00646E34" w:rsidRDefault="003C418D" w:rsidP="0083743B">
      <w:pPr>
        <w:pStyle w:val="ListNo1"/>
        <w:numPr>
          <w:ilvl w:val="0"/>
          <w:numId w:val="31"/>
        </w:numPr>
      </w:pPr>
      <w:r>
        <w:t>determine</w:t>
      </w:r>
      <w:r w:rsidRPr="00646E34">
        <w:t xml:space="preserve"> the amount of the advance </w:t>
      </w:r>
      <w:r>
        <w:t xml:space="preserve">in accordance with s 16 of the FEG Act, </w:t>
      </w:r>
      <w:r w:rsidRPr="00646E34">
        <w:t xml:space="preserve">which </w:t>
      </w:r>
      <w:r>
        <w:t xml:space="preserve">in turn </w:t>
      </w:r>
      <w:r w:rsidRPr="00646E34">
        <w:t>require</w:t>
      </w:r>
      <w:r>
        <w:t>d</w:t>
      </w:r>
      <w:r w:rsidRPr="00646E34">
        <w:t xml:space="preserve"> determination of:</w:t>
      </w:r>
    </w:p>
    <w:p w14:paraId="1169402A" w14:textId="1E2CD5E9" w:rsidR="003C418D" w:rsidRPr="00646E34" w:rsidRDefault="003C418D" w:rsidP="0083743B">
      <w:pPr>
        <w:pStyle w:val="ListNo2"/>
        <w:numPr>
          <w:ilvl w:val="1"/>
          <w:numId w:val="31"/>
        </w:numPr>
      </w:pPr>
      <w:r w:rsidRPr="00646E34">
        <w:t>the basic amount</w:t>
      </w:r>
      <w:r>
        <w:t xml:space="preserve"> under </w:t>
      </w:r>
      <w:proofErr w:type="spellStart"/>
      <w:r>
        <w:t>Subdivs</w:t>
      </w:r>
      <w:proofErr w:type="spellEnd"/>
      <w:r>
        <w:t xml:space="preserve"> C and D</w:t>
      </w:r>
      <w:r w:rsidR="00AD718E">
        <w:t xml:space="preserve"> of Pt 3</w:t>
      </w:r>
      <w:r w:rsidRPr="00646E34">
        <w:t xml:space="preserve">; and </w:t>
      </w:r>
    </w:p>
    <w:p w14:paraId="0DCF584A" w14:textId="77777777" w:rsidR="003C418D" w:rsidRDefault="003C418D" w:rsidP="0083743B">
      <w:pPr>
        <w:pStyle w:val="ListNo2"/>
        <w:numPr>
          <w:ilvl w:val="1"/>
          <w:numId w:val="31"/>
        </w:numPr>
      </w:pPr>
      <w:r>
        <w:t>whether there were</w:t>
      </w:r>
      <w:r w:rsidRPr="00646E34">
        <w:t xml:space="preserve"> any amounts paid by any person to </w:t>
      </w:r>
      <w:r>
        <w:t xml:space="preserve">Mr Warren </w:t>
      </w:r>
      <w:r w:rsidRPr="00646E34">
        <w:t xml:space="preserve">which </w:t>
      </w:r>
      <w:r>
        <w:t>were</w:t>
      </w:r>
      <w:r w:rsidRPr="00646E34">
        <w:t xml:space="preserve"> </w:t>
      </w:r>
      <w:r>
        <w:t>“</w:t>
      </w:r>
      <w:r w:rsidRPr="00646E34">
        <w:t>attributable to the entitlement”</w:t>
      </w:r>
      <w:r>
        <w:t xml:space="preserve"> within the meaning of s 19(2) which would reduce the basic amount in accordance with s 19(1)</w:t>
      </w:r>
      <w:r w:rsidRPr="00646E34">
        <w:t>.</w:t>
      </w:r>
    </w:p>
    <w:p w14:paraId="667AB7DE" w14:textId="77777777" w:rsidR="00E275EA" w:rsidRDefault="00B842FC" w:rsidP="00AA07A6">
      <w:pPr>
        <w:pStyle w:val="ParaNumbering"/>
      </w:pPr>
      <w:r>
        <w:t xml:space="preserve">It is </w:t>
      </w:r>
      <w:r w:rsidR="00EE2F5E">
        <w:t>convenient</w:t>
      </w:r>
      <w:r>
        <w:t xml:space="preserve"> to approach the appeal by reference to the</w:t>
      </w:r>
      <w:r w:rsidR="00AD718E">
        <w:t>se issues.</w:t>
      </w:r>
    </w:p>
    <w:p w14:paraId="0CECA734" w14:textId="77777777" w:rsidR="00B24C3C" w:rsidRDefault="00B24C3C" w:rsidP="00B842FC">
      <w:pPr>
        <w:pStyle w:val="Heading2"/>
      </w:pPr>
      <w:r>
        <w:lastRenderedPageBreak/>
        <w:t>Did Mr Warren have an “</w:t>
      </w:r>
      <w:r w:rsidR="00B842FC">
        <w:t>employee</w:t>
      </w:r>
      <w:r>
        <w:t xml:space="preserve"> entitlement”?</w:t>
      </w:r>
    </w:p>
    <w:p w14:paraId="72830B02" w14:textId="433529D7" w:rsidR="007C38B4" w:rsidRDefault="006C4091" w:rsidP="008C2BC3">
      <w:pPr>
        <w:pStyle w:val="ParaNumbering"/>
      </w:pPr>
      <w:r>
        <w:t xml:space="preserve">The primary judge correctly concluded </w:t>
      </w:r>
      <w:r w:rsidR="00AD196A">
        <w:t xml:space="preserve">that the </w:t>
      </w:r>
      <w:r w:rsidR="00EC3692">
        <w:t>employment contract</w:t>
      </w:r>
      <w:r w:rsidR="00AD196A">
        <w:t xml:space="preserve"> did not discharge the employer’s liability to pay untaken paid annual leave with the result that Mr Warren had an unpaid “employee entitlement” being an “annual leave entitlemen</w:t>
      </w:r>
      <w:r>
        <w:t xml:space="preserve">t”.  </w:t>
      </w:r>
      <w:r w:rsidR="007C38B4">
        <w:t xml:space="preserve">The primary judge also correctly concluded that the loadings paid to Mr Warren did not discharge the employer’s obligation to make the </w:t>
      </w:r>
      <w:r w:rsidR="00EC3692">
        <w:t xml:space="preserve">redundancy </w:t>
      </w:r>
      <w:r w:rsidR="007C38B4">
        <w:t xml:space="preserve">payments required by </w:t>
      </w:r>
      <w:proofErr w:type="spellStart"/>
      <w:r w:rsidR="00822255">
        <w:t>cll</w:t>
      </w:r>
      <w:proofErr w:type="spellEnd"/>
      <w:r w:rsidR="007C38B4">
        <w:t> 14.3 and 14.4 of the Award.</w:t>
      </w:r>
    </w:p>
    <w:p w14:paraId="284A3826" w14:textId="32946B95" w:rsidR="009403C1" w:rsidRDefault="009403C1" w:rsidP="008C2BC3">
      <w:pPr>
        <w:pStyle w:val="ParaNumbering"/>
      </w:pPr>
      <w:r>
        <w:t>None</w:t>
      </w:r>
      <w:r w:rsidR="00EC3692">
        <w:t xml:space="preserve"> of</w:t>
      </w:r>
      <w:r w:rsidR="00796156">
        <w:t xml:space="preserve"> </w:t>
      </w:r>
      <w:proofErr w:type="spellStart"/>
      <w:r w:rsidR="00822255">
        <w:t>cll</w:t>
      </w:r>
      <w:proofErr w:type="spellEnd"/>
      <w:r w:rsidR="00796156">
        <w:t> 3.4</w:t>
      </w:r>
      <w:r>
        <w:t xml:space="preserve">, </w:t>
      </w:r>
      <w:r w:rsidR="007C38B4">
        <w:t>6.3,</w:t>
      </w:r>
      <w:r>
        <w:t> 7.1</w:t>
      </w:r>
      <w:r w:rsidR="00796156">
        <w:t xml:space="preserve"> </w:t>
      </w:r>
      <w:r w:rsidR="009E70C7">
        <w:t xml:space="preserve">of the letter agreement </w:t>
      </w:r>
      <w:r>
        <w:t>or</w:t>
      </w:r>
      <w:r w:rsidR="00B24C3C">
        <w:t xml:space="preserve"> the</w:t>
      </w:r>
      <w:r w:rsidR="00E275EA" w:rsidRPr="009617FA">
        <w:t xml:space="preserve"> employer’s agreement to pay wages at the </w:t>
      </w:r>
      <w:r w:rsidR="00E275EA">
        <w:t xml:space="preserve">loaded base </w:t>
      </w:r>
      <w:r w:rsidR="00E275EA" w:rsidRPr="009617FA">
        <w:t xml:space="preserve">rate </w:t>
      </w:r>
      <w:r>
        <w:t>was legally</w:t>
      </w:r>
      <w:r w:rsidR="00E275EA" w:rsidRPr="009617FA">
        <w:t xml:space="preserve"> effective to discharge </w:t>
      </w:r>
      <w:r w:rsidR="00E275EA">
        <w:t>the employer’s</w:t>
      </w:r>
      <w:r w:rsidR="00E275EA" w:rsidRPr="009617FA">
        <w:t xml:space="preserve"> statutory liability to give </w:t>
      </w:r>
      <w:r w:rsidR="00873878">
        <w:t xml:space="preserve">paid </w:t>
      </w:r>
      <w:r w:rsidR="00E275EA">
        <w:t xml:space="preserve">annual leave or to pay for </w:t>
      </w:r>
      <w:r w:rsidR="00873878">
        <w:t xml:space="preserve">untaken </w:t>
      </w:r>
      <w:r w:rsidR="004D6333">
        <w:t xml:space="preserve">paid </w:t>
      </w:r>
      <w:r w:rsidR="00E275EA">
        <w:t xml:space="preserve">annual leave on termination </w:t>
      </w:r>
      <w:r w:rsidR="007C38B4">
        <w:t>or to make the redundancy payments referred to in the Award</w:t>
      </w:r>
      <w:r w:rsidR="00E275EA">
        <w:t>.</w:t>
      </w:r>
      <w:r w:rsidR="00B24C3C">
        <w:t xml:space="preserve">  </w:t>
      </w:r>
      <w:r w:rsidR="008F4FF2">
        <w:t>T</w:t>
      </w:r>
      <w:r w:rsidR="006C4091">
        <w:t xml:space="preserve">he reason </w:t>
      </w:r>
      <w:r w:rsidR="008F4FF2">
        <w:t xml:space="preserve">the </w:t>
      </w:r>
      <w:r w:rsidR="009E70C7">
        <w:t>letter agreement</w:t>
      </w:r>
      <w:r w:rsidR="008F4FF2">
        <w:t xml:space="preserve"> did not discharge the employer’s obligation</w:t>
      </w:r>
      <w:r w:rsidR="007C38B4">
        <w:t>s in this respect</w:t>
      </w:r>
      <w:r w:rsidR="006C4091">
        <w:t xml:space="preserve"> </w:t>
      </w:r>
      <w:r>
        <w:t xml:space="preserve">is </w:t>
      </w:r>
      <w:r w:rsidR="007C38B4">
        <w:t>the contract’s</w:t>
      </w:r>
      <w:r>
        <w:t xml:space="preserve"> inconsistency with the FW Act and the Award – see</w:t>
      </w:r>
      <w:r w:rsidR="00EC2BDD">
        <w:t xml:space="preserve"> </w:t>
      </w:r>
      <w:proofErr w:type="gramStart"/>
      <w:r w:rsidR="00EC2BDD">
        <w:t>above</w:t>
      </w:r>
      <w:r>
        <w:t>:</w:t>
      </w:r>
      <w:proofErr w:type="gramEnd"/>
      <w:r>
        <w:t xml:space="preserve"> </w:t>
      </w:r>
      <w:r w:rsidR="00EC2BDD">
        <w:t xml:space="preserve">at </w:t>
      </w:r>
      <w:r>
        <w:t>[</w:t>
      </w:r>
      <w:r>
        <w:fldChar w:fldCharType="begin" w:fldLock="1"/>
      </w:r>
      <w:r>
        <w:instrText xml:space="preserve"> REF _Ref106519985 \r \h </w:instrText>
      </w:r>
      <w:r>
        <w:fldChar w:fldCharType="separate"/>
      </w:r>
      <w:r w:rsidR="002A3F9D">
        <w:t>2</w:t>
      </w:r>
      <w:r>
        <w:fldChar w:fldCharType="end"/>
      </w:r>
      <w:r>
        <w:t xml:space="preserve">] </w:t>
      </w:r>
      <w:r w:rsidR="00873878">
        <w:t>of these reasons</w:t>
      </w:r>
      <w:r>
        <w:t>.</w:t>
      </w:r>
    </w:p>
    <w:p w14:paraId="4258DD5A" w14:textId="77777777" w:rsidR="007C38B4" w:rsidRDefault="007C38B4" w:rsidP="008C2BC3">
      <w:pPr>
        <w:pStyle w:val="ParaNumbering"/>
      </w:pPr>
      <w:r>
        <w:t>It follows that Mr Warren had two unpaid “employee entitlements”</w:t>
      </w:r>
      <w:r w:rsidR="00EC3692">
        <w:t xml:space="preserve"> within the meaning of s 6 of the FEG Act</w:t>
      </w:r>
      <w:r>
        <w:t xml:space="preserve">: the “annual leave entitlement” and the “redundancy pay entitlement”.  </w:t>
      </w:r>
    </w:p>
    <w:p w14:paraId="66308D7A" w14:textId="77777777" w:rsidR="00B24C3C" w:rsidRDefault="007C38B4" w:rsidP="00B842FC">
      <w:pPr>
        <w:pStyle w:val="Heading2"/>
      </w:pPr>
      <w:r>
        <w:t>D</w:t>
      </w:r>
      <w:r w:rsidR="00B24C3C">
        <w:t>etermination of the basic amount</w:t>
      </w:r>
    </w:p>
    <w:p w14:paraId="6FB05B9B" w14:textId="2404DC0B" w:rsidR="00EA0A78" w:rsidRDefault="008F4FF2" w:rsidP="006C4091">
      <w:pPr>
        <w:pStyle w:val="ParaNumbering"/>
      </w:pPr>
      <w:r>
        <w:t>No issue</w:t>
      </w:r>
      <w:r w:rsidR="006C4091">
        <w:t xml:space="preserve"> was raised </w:t>
      </w:r>
      <w:r w:rsidR="00796156">
        <w:t xml:space="preserve">on appeal </w:t>
      </w:r>
      <w:r w:rsidR="006C4091">
        <w:t>about question (2)(a) at [</w:t>
      </w:r>
      <w:r w:rsidR="004D6333">
        <w:t>32</w:t>
      </w:r>
      <w:r w:rsidR="006C4091">
        <w:t>] above</w:t>
      </w:r>
      <w:r w:rsidR="00796156">
        <w:t xml:space="preserve">, namely the determination of </w:t>
      </w:r>
      <w:r w:rsidR="00796156" w:rsidRPr="00646E34">
        <w:t xml:space="preserve">the </w:t>
      </w:r>
      <w:r w:rsidR="00796156">
        <w:t>“</w:t>
      </w:r>
      <w:r w:rsidR="00796156" w:rsidRPr="00646E34">
        <w:t>basic amount</w:t>
      </w:r>
      <w:r w:rsidR="00796156">
        <w:t>”</w:t>
      </w:r>
      <w:r w:rsidR="00EA0A78">
        <w:t xml:space="preserve"> payable for Mr Warren’s annual leave entitlement</w:t>
      </w:r>
      <w:r w:rsidR="006C4091">
        <w:t>.</w:t>
      </w:r>
      <w:r w:rsidR="00F468A5">
        <w:t xml:space="preserve">  </w:t>
      </w:r>
      <w:r w:rsidR="00EA0A78">
        <w:t>In this regard, s 20 provides</w:t>
      </w:r>
      <w:r w:rsidR="00003DC3">
        <w:t xml:space="preserve"> (notes excluded)</w:t>
      </w:r>
      <w:r w:rsidR="00EA0A78">
        <w:t>:</w:t>
      </w:r>
    </w:p>
    <w:p w14:paraId="5BB744CA" w14:textId="77777777" w:rsidR="00EA0A78" w:rsidRPr="000D063E" w:rsidRDefault="00EA0A78" w:rsidP="00EA0A78">
      <w:pPr>
        <w:pStyle w:val="Quote1"/>
        <w:keepNext/>
        <w:rPr>
          <w:b/>
        </w:rPr>
      </w:pPr>
      <w:r w:rsidRPr="000D063E">
        <w:rPr>
          <w:b/>
        </w:rPr>
        <w:t>20</w:t>
      </w:r>
      <w:r w:rsidRPr="000D063E">
        <w:rPr>
          <w:b/>
        </w:rPr>
        <w:tab/>
        <w:t>Basic amount for annual leave entitlement</w:t>
      </w:r>
    </w:p>
    <w:p w14:paraId="20D6E069" w14:textId="77777777" w:rsidR="00EA0A78" w:rsidRDefault="00EA0A78" w:rsidP="00EA0A78">
      <w:pPr>
        <w:pStyle w:val="Quote1"/>
      </w:pPr>
      <w:r>
        <w:t>The basic amount for a person’s annual leave entitlement for his or her employment by an employer is so much of the entitlement as is not a cost of the winding up or bankruptcy of the employer.</w:t>
      </w:r>
    </w:p>
    <w:p w14:paraId="6E6BEC9D" w14:textId="6B8B3F1E" w:rsidR="00B842FC" w:rsidRDefault="00B842FC" w:rsidP="00B842FC">
      <w:pPr>
        <w:pStyle w:val="ParaNumbering"/>
      </w:pPr>
      <w:r>
        <w:t xml:space="preserve">No issue was raised on appeal about determination of </w:t>
      </w:r>
      <w:r w:rsidRPr="00646E34">
        <w:t xml:space="preserve">the </w:t>
      </w:r>
      <w:r>
        <w:t>“</w:t>
      </w:r>
      <w:r w:rsidRPr="00646E34">
        <w:t>basic amount</w:t>
      </w:r>
      <w:r>
        <w:t>” payable for Mr Warren’s redundancy pay entitlement.  In this regard, s 23 of the FEG Act provides</w:t>
      </w:r>
      <w:r w:rsidR="00707717">
        <w:t xml:space="preserve"> (notes excluded)</w:t>
      </w:r>
      <w:r>
        <w:t>:</w:t>
      </w:r>
    </w:p>
    <w:p w14:paraId="3D614663" w14:textId="77777777" w:rsidR="00B842FC" w:rsidRPr="009E3566" w:rsidRDefault="00B842FC" w:rsidP="00A44146">
      <w:pPr>
        <w:pStyle w:val="Quote1"/>
        <w:keepNext/>
        <w:rPr>
          <w:b/>
          <w:bCs/>
        </w:rPr>
      </w:pPr>
      <w:bookmarkStart w:id="30" w:name="_TOC_250021"/>
      <w:r w:rsidRPr="009E3566">
        <w:rPr>
          <w:b/>
          <w:bCs/>
        </w:rPr>
        <w:t>23</w:t>
      </w:r>
      <w:r w:rsidRPr="009E3566">
        <w:rPr>
          <w:b/>
          <w:bCs/>
        </w:rPr>
        <w:tab/>
        <w:t xml:space="preserve">Basic amount for redundancy pay </w:t>
      </w:r>
      <w:bookmarkEnd w:id="30"/>
      <w:r w:rsidRPr="009E3566">
        <w:rPr>
          <w:b/>
          <w:bCs/>
        </w:rPr>
        <w:t>entitlement</w:t>
      </w:r>
    </w:p>
    <w:p w14:paraId="57D60779" w14:textId="77777777" w:rsidR="00B842FC" w:rsidRPr="00C04960" w:rsidRDefault="00B842FC" w:rsidP="00A44146">
      <w:pPr>
        <w:pStyle w:val="Quote1"/>
        <w:widowControl/>
      </w:pPr>
      <w:r w:rsidRPr="00C04960">
        <w:t>The basic amount for a person</w:t>
      </w:r>
      <w:r>
        <w:t>’</w:t>
      </w:r>
      <w:r w:rsidRPr="00C04960">
        <w:t>s redundancy pay entitlement for his or her employment by an employer is so much of the entitlement as:</w:t>
      </w:r>
    </w:p>
    <w:p w14:paraId="48E9A00C" w14:textId="77777777" w:rsidR="00B842FC" w:rsidRPr="00C04960" w:rsidRDefault="00B842FC" w:rsidP="00A44146">
      <w:pPr>
        <w:pStyle w:val="Quote1"/>
        <w:widowControl/>
      </w:pPr>
      <w:r>
        <w:t>(a)</w:t>
      </w:r>
      <w:r>
        <w:tab/>
      </w:r>
      <w:r w:rsidRPr="00C04960">
        <w:t>is not a cost of the winding up or bankruptcy of the employer; and</w:t>
      </w:r>
    </w:p>
    <w:p w14:paraId="45ADC633" w14:textId="77777777" w:rsidR="00B842FC" w:rsidRPr="00C04960" w:rsidRDefault="00B842FC" w:rsidP="00A44146">
      <w:pPr>
        <w:pStyle w:val="Quote1"/>
        <w:widowControl/>
      </w:pPr>
      <w:r>
        <w:t>(b)</w:t>
      </w:r>
      <w:r>
        <w:tab/>
      </w:r>
      <w:r w:rsidRPr="00C04960">
        <w:t>does not exceed the total of:</w:t>
      </w:r>
    </w:p>
    <w:p w14:paraId="36996433" w14:textId="77777777" w:rsidR="00B842FC" w:rsidRPr="00C04960" w:rsidRDefault="00B842FC" w:rsidP="00A44146">
      <w:pPr>
        <w:pStyle w:val="Quote2"/>
        <w:widowControl/>
        <w:ind w:left="2160" w:hanging="720"/>
      </w:pPr>
      <w:r>
        <w:t>(</w:t>
      </w:r>
      <w:proofErr w:type="spellStart"/>
      <w:r>
        <w:t>i</w:t>
      </w:r>
      <w:proofErr w:type="spellEnd"/>
      <w:r>
        <w:t>)</w:t>
      </w:r>
      <w:r>
        <w:tab/>
      </w:r>
      <w:r w:rsidRPr="00C04960">
        <w:t>4 weeks</w:t>
      </w:r>
      <w:r>
        <w:t>’</w:t>
      </w:r>
      <w:r w:rsidRPr="00C04960">
        <w:t xml:space="preserve"> pay (at the rate relevant to working out that entitlement) for each full year of the person</w:t>
      </w:r>
      <w:r>
        <w:t>’</w:t>
      </w:r>
      <w:r w:rsidRPr="00C04960">
        <w:t xml:space="preserve">s service with the employer for which the </w:t>
      </w:r>
      <w:r w:rsidRPr="00C04960">
        <w:lastRenderedPageBreak/>
        <w:t>employer was required to pay redundancy pay by the governing instrument for that employment; and</w:t>
      </w:r>
    </w:p>
    <w:p w14:paraId="35A5D1EB" w14:textId="77777777" w:rsidR="00B842FC" w:rsidRPr="00C04960" w:rsidRDefault="00B842FC" w:rsidP="00A44146">
      <w:pPr>
        <w:pStyle w:val="Quote2"/>
        <w:widowControl/>
        <w:ind w:left="2160" w:hanging="720"/>
      </w:pPr>
      <w:r>
        <w:t>(ii)</w:t>
      </w:r>
      <w:r>
        <w:tab/>
      </w:r>
      <w:r w:rsidRPr="00C04960">
        <w:t>if that instrument requires payment of redundancy pay for a proportion of a year (less than a full year) of the person</w:t>
      </w:r>
      <w:r>
        <w:t>’</w:t>
      </w:r>
      <w:r w:rsidRPr="00C04960">
        <w:t>s service with the employer—that proportion of 4 weeks</w:t>
      </w:r>
      <w:r>
        <w:t>’</w:t>
      </w:r>
      <w:r w:rsidRPr="00C04960">
        <w:t xml:space="preserve"> pay (at the rate relevant to working out that entitlement).</w:t>
      </w:r>
    </w:p>
    <w:p w14:paraId="3572F299" w14:textId="77777777" w:rsidR="00B24C3C" w:rsidRDefault="00B24C3C" w:rsidP="00B842FC">
      <w:pPr>
        <w:pStyle w:val="Heading2"/>
      </w:pPr>
      <w:r>
        <w:t xml:space="preserve">Were </w:t>
      </w:r>
      <w:r w:rsidRPr="00646E34">
        <w:t xml:space="preserve">amounts paid </w:t>
      </w:r>
      <w:r>
        <w:t>to Mr Warren</w:t>
      </w:r>
      <w:r w:rsidRPr="00646E34">
        <w:t xml:space="preserve"> which </w:t>
      </w:r>
      <w:r>
        <w:t>were</w:t>
      </w:r>
      <w:r w:rsidRPr="00646E34">
        <w:t xml:space="preserve"> </w:t>
      </w:r>
      <w:r>
        <w:t>“</w:t>
      </w:r>
      <w:r w:rsidRPr="00646E34">
        <w:t>attributable to the entitlement”</w:t>
      </w:r>
    </w:p>
    <w:p w14:paraId="15D1A356" w14:textId="697A6610" w:rsidR="006C4091" w:rsidRDefault="00B24C3C" w:rsidP="006C4091">
      <w:pPr>
        <w:pStyle w:val="ParaNumbering"/>
      </w:pPr>
      <w:r>
        <w:t xml:space="preserve">The central issue on the appeal is </w:t>
      </w:r>
      <w:r w:rsidR="00B76A26">
        <w:t>that in</w:t>
      </w:r>
      <w:r w:rsidR="00EA0A78">
        <w:t xml:space="preserve"> question (2)(b)</w:t>
      </w:r>
      <w:r>
        <w:t xml:space="preserve"> at [</w:t>
      </w:r>
      <w:r w:rsidR="004D6333">
        <w:t>32</w:t>
      </w:r>
      <w:r>
        <w:t>] above</w:t>
      </w:r>
      <w:r w:rsidR="00EA0A78">
        <w:t>, namely whether there were</w:t>
      </w:r>
      <w:r w:rsidR="00EA0A78" w:rsidRPr="00646E34">
        <w:t xml:space="preserve"> any amounts paid to </w:t>
      </w:r>
      <w:r>
        <w:t>Mr Warren</w:t>
      </w:r>
      <w:r w:rsidR="00EA0A78" w:rsidRPr="00646E34">
        <w:t xml:space="preserve"> which </w:t>
      </w:r>
      <w:r w:rsidR="00EA0A78">
        <w:t>were</w:t>
      </w:r>
      <w:r w:rsidR="00EA0A78" w:rsidRPr="00646E34">
        <w:t xml:space="preserve"> </w:t>
      </w:r>
      <w:r w:rsidR="00EA0A78">
        <w:t>“</w:t>
      </w:r>
      <w:r w:rsidR="00EA0A78" w:rsidRPr="00646E34">
        <w:t>attributable to the</w:t>
      </w:r>
      <w:r>
        <w:t xml:space="preserve"> [annual leave</w:t>
      </w:r>
      <w:r w:rsidR="00EA0A78" w:rsidRPr="00646E34">
        <w:t xml:space="preserve"> </w:t>
      </w:r>
      <w:r w:rsidR="001D12EE">
        <w:t xml:space="preserve">or redundancy pay] </w:t>
      </w:r>
      <w:r w:rsidR="00EA0A78" w:rsidRPr="00646E34">
        <w:t>entitlement”</w:t>
      </w:r>
      <w:r w:rsidR="00EA0A78">
        <w:t xml:space="preserve"> </w:t>
      </w:r>
      <w:r>
        <w:t>within the meaning of s 19(2) of the FEG Act.  If there were</w:t>
      </w:r>
      <w:r w:rsidR="001D12EE">
        <w:t>,</w:t>
      </w:r>
      <w:r>
        <w:t xml:space="preserve"> those amounts reduce the basic amount payable for </w:t>
      </w:r>
      <w:r w:rsidR="009E70C7">
        <w:t>each</w:t>
      </w:r>
      <w:r w:rsidR="00697E30">
        <w:t xml:space="preserve"> of those</w:t>
      </w:r>
      <w:r>
        <w:t xml:space="preserve"> entitlement</w:t>
      </w:r>
      <w:r w:rsidR="00697E30">
        <w:t>s</w:t>
      </w:r>
      <w:r>
        <w:t xml:space="preserve"> as calculated in accordance with s 16(1).</w:t>
      </w:r>
      <w:r w:rsidR="001D6F84">
        <w:t xml:space="preserve">  Section 19(2) is not concerned with whether the entitlement has been discharged or satisfied; its concern is with a payment which can be described as “attributable” to an employee entitlement.</w:t>
      </w:r>
    </w:p>
    <w:p w14:paraId="2673E639" w14:textId="77777777" w:rsidR="00AD196A" w:rsidRDefault="006C4091" w:rsidP="008C2BC3">
      <w:pPr>
        <w:pStyle w:val="ParaNumbering"/>
      </w:pPr>
      <w:r>
        <w:t xml:space="preserve">For the reasons which follow, and acknowledging that the issue is </w:t>
      </w:r>
      <w:r w:rsidR="00EA0A78">
        <w:t xml:space="preserve">a constructional </w:t>
      </w:r>
      <w:r>
        <w:t>one about which reasonable minds</w:t>
      </w:r>
      <w:r w:rsidR="00697E30">
        <w:t xml:space="preserve"> may</w:t>
      </w:r>
      <w:r>
        <w:t xml:space="preserve"> differ, </w:t>
      </w:r>
      <w:r w:rsidR="009E70C7">
        <w:t xml:space="preserve">we </w:t>
      </w:r>
      <w:r>
        <w:t xml:space="preserve">disagree </w:t>
      </w:r>
      <w:r w:rsidR="00426464">
        <w:t xml:space="preserve">with the primary judge </w:t>
      </w:r>
      <w:r>
        <w:t>that</w:t>
      </w:r>
      <w:r w:rsidR="00A67FF3">
        <w:t xml:space="preserve">, in deciding the “amount of the advance” under s 15(2) of the FEG Act, </w:t>
      </w:r>
      <w:r>
        <w:t xml:space="preserve">it was not possible to conclude that </w:t>
      </w:r>
      <w:r w:rsidR="00AD196A">
        <w:t>no part of the loading paid to Mr Warren was “attributable to the [annual leave</w:t>
      </w:r>
      <w:r w:rsidR="001D12EE">
        <w:t xml:space="preserve"> or redundancy pay</w:t>
      </w:r>
      <w:r w:rsidR="00AD196A">
        <w:t>] entitlement</w:t>
      </w:r>
      <w:r w:rsidR="00697E30">
        <w:t>[s]</w:t>
      </w:r>
      <w:r w:rsidR="00AD196A">
        <w:t>” within the meaning of s 19(2)</w:t>
      </w:r>
      <w:r>
        <w:t xml:space="preserve"> of the FEG Act</w:t>
      </w:r>
      <w:r w:rsidR="00AD196A">
        <w:t xml:space="preserve">.  </w:t>
      </w:r>
    </w:p>
    <w:p w14:paraId="4753D33A" w14:textId="3E8E5710" w:rsidR="009617FA" w:rsidRDefault="006102D5" w:rsidP="006102D5">
      <w:pPr>
        <w:pStyle w:val="ParaNumbering"/>
      </w:pPr>
      <w:r w:rsidRPr="006102D5">
        <w:rPr>
          <w:i/>
        </w:rPr>
        <w:t>First</w:t>
      </w:r>
      <w:r>
        <w:t>, t</w:t>
      </w:r>
      <w:r w:rsidR="009617FA">
        <w:t xml:space="preserve">he question of whether the employer’s obligations with respect to annual leave </w:t>
      </w:r>
      <w:r w:rsidR="001D12EE">
        <w:t xml:space="preserve">and redundancy pay </w:t>
      </w:r>
      <w:r w:rsidR="009617FA">
        <w:t xml:space="preserve">were </w:t>
      </w:r>
      <w:r w:rsidR="009617FA" w:rsidRPr="006102D5">
        <w:rPr>
          <w:i/>
        </w:rPr>
        <w:t>discharged</w:t>
      </w:r>
      <w:r w:rsidR="009617FA">
        <w:t xml:space="preserve"> by payment at the loaded base rate is distinct </w:t>
      </w:r>
      <w:r w:rsidR="009E70C7">
        <w:t>from</w:t>
      </w:r>
      <w:r w:rsidR="00377B71">
        <w:t>, and should not be conflated with,</w:t>
      </w:r>
      <w:r w:rsidR="009617FA">
        <w:t xml:space="preserve"> the question whether</w:t>
      </w:r>
      <w:r w:rsidR="009E70C7">
        <w:t xml:space="preserve">, for the purposes of, and within the meaning of s 19(2) of the FEG Act, </w:t>
      </w:r>
      <w:r w:rsidR="009617FA">
        <w:t xml:space="preserve">the payments made to Mr Warren </w:t>
      </w:r>
      <w:r w:rsidR="00EA0A78">
        <w:t>during his employment were</w:t>
      </w:r>
      <w:r w:rsidR="009617FA">
        <w:t xml:space="preserve"> “attributable to the [annual leave</w:t>
      </w:r>
      <w:r w:rsidR="001D12EE">
        <w:t xml:space="preserve"> or redundancy pay</w:t>
      </w:r>
      <w:r w:rsidR="009617FA">
        <w:t>] entitlement”</w:t>
      </w:r>
      <w:r>
        <w:t xml:space="preserve">.  A focus on the question of whether an </w:t>
      </w:r>
      <w:r w:rsidR="000C75EC">
        <w:t xml:space="preserve">employer’s legal </w:t>
      </w:r>
      <w:r>
        <w:t>obligation to make the relevant payment has been “discharged” distracts attention from the language</w:t>
      </w:r>
      <w:r w:rsidR="00697E30">
        <w:t xml:space="preserve"> and purpose</w:t>
      </w:r>
      <w:r>
        <w:t xml:space="preserve"> of the FEG Act, to a consideration of </w:t>
      </w:r>
      <w:r w:rsidR="00697E30">
        <w:t xml:space="preserve">the employer’s </w:t>
      </w:r>
      <w:r>
        <w:t xml:space="preserve">compliance with the FW Act.  The objects of the FEG Act do not </w:t>
      </w:r>
      <w:r w:rsidR="00F636B9">
        <w:t>include</w:t>
      </w:r>
      <w:r>
        <w:t xml:space="preserve"> securing compliance with the FW Act or to </w:t>
      </w:r>
      <w:r w:rsidR="00F636B9">
        <w:t xml:space="preserve">providing full </w:t>
      </w:r>
      <w:r>
        <w:t>compensati</w:t>
      </w:r>
      <w:r w:rsidR="00F636B9">
        <w:t>on to</w:t>
      </w:r>
      <w:r>
        <w:t xml:space="preserve"> employees for an employer’s breaches of the FW Act or an Award.  </w:t>
      </w:r>
      <w:r w:rsidR="00697E30">
        <w:t xml:space="preserve">Rather, the main objects of </w:t>
      </w:r>
      <w:r w:rsidR="000C75EC">
        <w:t>the FEG Act include the payment</w:t>
      </w:r>
      <w:r w:rsidR="00697E30">
        <w:t xml:space="preserve"> by the Commonwealth of advances, that is financial assistance under the Act “on account of employment entitlements” (</w:t>
      </w:r>
      <w:r w:rsidR="00A124F6">
        <w:t>s</w:t>
      </w:r>
      <w:r w:rsidR="00F63331">
        <w:t> </w:t>
      </w:r>
      <w:r w:rsidR="00697E30">
        <w:t>5</w:t>
      </w:r>
      <w:r w:rsidR="00F63331">
        <w:t xml:space="preserve"> definition of “advance”</w:t>
      </w:r>
      <w:r w:rsidR="00A124F6">
        <w:t>; see also s 3(a)</w:t>
      </w:r>
      <w:r w:rsidR="00697E30">
        <w:t xml:space="preserve">).  </w:t>
      </w:r>
    </w:p>
    <w:p w14:paraId="75DB2C96" w14:textId="0B306594" w:rsidR="006102D5" w:rsidRPr="00ED46D3" w:rsidRDefault="00F636B9" w:rsidP="006102D5">
      <w:pPr>
        <w:pStyle w:val="ParaNumbering"/>
        <w:rPr>
          <w:lang w:val="en-GB"/>
        </w:rPr>
      </w:pPr>
      <w:r>
        <w:t>A</w:t>
      </w:r>
      <w:r w:rsidR="006102D5">
        <w:t xml:space="preserve">s s 3(a) of the FEG Act makes clear, the focus of the FEG Act is </w:t>
      </w:r>
      <w:r w:rsidR="00697E30">
        <w:t>the payment of an advance</w:t>
      </w:r>
      <w:r w:rsidR="006102D5">
        <w:t xml:space="preserve"> </w:t>
      </w:r>
      <w:r w:rsidR="00697E30">
        <w:t xml:space="preserve">on account of </w:t>
      </w:r>
      <w:r w:rsidR="006102D5">
        <w:t xml:space="preserve">“unpaid” employee entitlements.  If the employer’s obligations with respect to </w:t>
      </w:r>
      <w:r w:rsidR="006102D5">
        <w:lastRenderedPageBreak/>
        <w:t xml:space="preserve">annual leave or redundancy pay had been wholly </w:t>
      </w:r>
      <w:r w:rsidR="006102D5" w:rsidRPr="006102D5">
        <w:rPr>
          <w:i/>
        </w:rPr>
        <w:t>discharged</w:t>
      </w:r>
      <w:r w:rsidR="006102D5">
        <w:t xml:space="preserve"> by earlier payments of </w:t>
      </w:r>
      <w:r w:rsidR="009E70C7">
        <w:t xml:space="preserve">a </w:t>
      </w:r>
      <w:r w:rsidR="006102D5">
        <w:t xml:space="preserve">loading (which they could not </w:t>
      </w:r>
      <w:r w:rsidR="000C75EC">
        <w:t xml:space="preserve">have been </w:t>
      </w:r>
      <w:r w:rsidR="006102D5">
        <w:t xml:space="preserve">for the reasons given earlier), then there would not be an unpaid annual leave or redundancy pay entitlement and no question would arise under </w:t>
      </w:r>
      <w:r w:rsidR="00697E30">
        <w:t>s 16 or</w:t>
      </w:r>
      <w:r w:rsidR="0062453C">
        <w:t xml:space="preserve"> </w:t>
      </w:r>
      <w:r w:rsidR="004D6333">
        <w:t>s</w:t>
      </w:r>
      <w:r w:rsidR="0062453C">
        <w:t> </w:t>
      </w:r>
      <w:r w:rsidR="006102D5">
        <w:t xml:space="preserve">19(2).  If either entitlement had been </w:t>
      </w:r>
      <w:r w:rsidR="006102D5" w:rsidRPr="006102D5">
        <w:rPr>
          <w:i/>
        </w:rPr>
        <w:t>partly</w:t>
      </w:r>
      <w:r w:rsidR="006102D5">
        <w:t xml:space="preserve"> </w:t>
      </w:r>
      <w:r w:rsidR="006102D5" w:rsidRPr="006102D5">
        <w:rPr>
          <w:i/>
        </w:rPr>
        <w:t>discharged</w:t>
      </w:r>
      <w:r w:rsidR="006102D5">
        <w:t xml:space="preserve"> by earlier payments of </w:t>
      </w:r>
      <w:r w:rsidR="009E70C7">
        <w:t xml:space="preserve">a </w:t>
      </w:r>
      <w:r w:rsidR="006102D5">
        <w:t xml:space="preserve">loading (which they could not </w:t>
      </w:r>
      <w:r w:rsidR="000C75EC">
        <w:t xml:space="preserve">have been </w:t>
      </w:r>
      <w:r w:rsidR="006102D5">
        <w:t>for the reasons given earlier), the basic amount of the employee entitlement</w:t>
      </w:r>
      <w:r w:rsidR="000C75EC">
        <w:t>s</w:t>
      </w:r>
      <w:r w:rsidR="006102D5">
        <w:t xml:space="preserve"> would have been less.  In both scenarios, the answer to question (1) at [</w:t>
      </w:r>
      <w:r w:rsidR="004D6333">
        <w:t>32</w:t>
      </w:r>
      <w:r w:rsidR="006102D5">
        <w:t xml:space="preserve">] above would be different and the question under s 19(2) would have been posed with respect to the lesser unpaid employee entitlement.  </w:t>
      </w:r>
    </w:p>
    <w:p w14:paraId="744A727F" w14:textId="27875E4D" w:rsidR="00F636B9" w:rsidRDefault="006102D5" w:rsidP="008C2BC3">
      <w:pPr>
        <w:pStyle w:val="ParaNumbering"/>
        <w:rPr>
          <w:lang w:eastAsia="en-AU"/>
        </w:rPr>
      </w:pPr>
      <w:r w:rsidRPr="006102D5">
        <w:rPr>
          <w:i/>
          <w:lang w:eastAsia="en-AU"/>
        </w:rPr>
        <w:t>Secondly</w:t>
      </w:r>
      <w:r>
        <w:rPr>
          <w:lang w:eastAsia="en-AU"/>
        </w:rPr>
        <w:t>, the language of the FEG Act</w:t>
      </w:r>
      <w:r w:rsidR="00F636B9">
        <w:rPr>
          <w:lang w:eastAsia="en-AU"/>
        </w:rPr>
        <w:t>, construed in context,</w:t>
      </w:r>
      <w:r>
        <w:rPr>
          <w:lang w:eastAsia="en-AU"/>
        </w:rPr>
        <w:t xml:space="preserve"> indicates that a</w:t>
      </w:r>
      <w:r>
        <w:t xml:space="preserve"> payment can be “attributable” to an entitlement whether or not it is a payment made in strict conformity with the FW Act or an Award.  Section 19(2) covers payment</w:t>
      </w:r>
      <w:r w:rsidR="00DF1F1A">
        <w:t>s made “by anyone” (s 19(2)(b))</w:t>
      </w:r>
      <w:r>
        <w:t xml:space="preserve"> and payments “to someone else for the person’s benefit or in accordance with the person’s direction” (s 19(2)(b)(ii)).  </w:t>
      </w:r>
      <w:r w:rsidR="00BB0DAA">
        <w:t>Section 19(2)</w:t>
      </w:r>
      <w:r>
        <w:t xml:space="preserve"> does not require that the payment be made at the time</w:t>
      </w:r>
      <w:r w:rsidR="00BB0DAA">
        <w:t xml:space="preserve"> the payment should have been made </w:t>
      </w:r>
      <w:r w:rsidR="000C75EC">
        <w:t xml:space="preserve">in discharge of any legal obligation or entitlement or </w:t>
      </w:r>
      <w:r w:rsidR="00BB0DAA">
        <w:t>as required either by the FW Act or the Award</w:t>
      </w:r>
      <w:r w:rsidR="009E70C7">
        <w:t xml:space="preserve">, </w:t>
      </w:r>
      <w:proofErr w:type="spellStart"/>
      <w:r w:rsidR="009E70C7">
        <w:t>ie</w:t>
      </w:r>
      <w:proofErr w:type="spellEnd"/>
      <w:r w:rsidR="009E70C7">
        <w:t>, for the purpose or with the effect of discharging the employer’s liability</w:t>
      </w:r>
      <w:r>
        <w:t>.  Section 19(2) simply requires that the</w:t>
      </w:r>
      <w:r w:rsidR="00F636B9">
        <w:t>re be a</w:t>
      </w:r>
      <w:r>
        <w:t xml:space="preserve"> payment </w:t>
      </w:r>
      <w:r w:rsidR="00F636B9">
        <w:t>which is “attributable” to an entitlement</w:t>
      </w:r>
      <w:r>
        <w:t xml:space="preserve">.  </w:t>
      </w:r>
    </w:p>
    <w:p w14:paraId="671763A7" w14:textId="788B5F57" w:rsidR="006102D5" w:rsidRDefault="006102D5" w:rsidP="008C2BC3">
      <w:pPr>
        <w:pStyle w:val="ParaNumbering"/>
        <w:rPr>
          <w:lang w:eastAsia="en-AU"/>
        </w:rPr>
      </w:pPr>
      <w:r>
        <w:t>Section 19(3) capture</w:t>
      </w:r>
      <w:r w:rsidR="00BB0DAA">
        <w:t>s</w:t>
      </w:r>
      <w:r>
        <w:t xml:space="preserve"> amounts</w:t>
      </w:r>
      <w:r w:rsidRPr="009147B0">
        <w:t xml:space="preserve"> </w:t>
      </w:r>
      <w:r>
        <w:t>which are payable but have not been paid and are “attributable to an entitlement”.</w:t>
      </w:r>
      <w:r w:rsidR="00BB0DAA">
        <w:t xml:space="preserve">  There is no reason to read s 19(2) as not intended to capture a payment made before</w:t>
      </w:r>
      <w:r w:rsidR="000C75EC">
        <w:t xml:space="preserve"> the</w:t>
      </w:r>
      <w:r w:rsidR="00BB0DAA">
        <w:t xml:space="preserve"> </w:t>
      </w:r>
      <w:r w:rsidR="00DF1F1A">
        <w:t xml:space="preserve">payment </w:t>
      </w:r>
      <w:r w:rsidR="000C75EC">
        <w:t xml:space="preserve">of an obligation or entitlement </w:t>
      </w:r>
      <w:r w:rsidR="00DF1F1A">
        <w:t xml:space="preserve">as required by the FW Act or an Award or before </w:t>
      </w:r>
      <w:r w:rsidR="000C75EC">
        <w:t xml:space="preserve">such </w:t>
      </w:r>
      <w:r w:rsidR="00DF1F1A">
        <w:t>an entitlement arose</w:t>
      </w:r>
      <w:r w:rsidR="00BB0DAA">
        <w:t>.  An example is afforded by payments made on behalf of employees to a redundancy trust</w:t>
      </w:r>
      <w:r w:rsidR="00DF1F1A">
        <w:t xml:space="preserve"> to cater for future redundancy</w:t>
      </w:r>
      <w:r w:rsidR="00BB0DAA">
        <w:t>.</w:t>
      </w:r>
    </w:p>
    <w:p w14:paraId="0756DEB4" w14:textId="2F2F7A3F" w:rsidR="006929A3" w:rsidRDefault="00BB0DAA" w:rsidP="008C2BC3">
      <w:pPr>
        <w:pStyle w:val="ParaNumbering"/>
        <w:rPr>
          <w:lang w:eastAsia="en-AU"/>
        </w:rPr>
      </w:pPr>
      <w:r w:rsidRPr="008023B3">
        <w:rPr>
          <w:i/>
        </w:rPr>
        <w:t>Thirdly</w:t>
      </w:r>
      <w:r>
        <w:t>, b</w:t>
      </w:r>
      <w:r w:rsidR="005A194C" w:rsidRPr="00BB0DAA">
        <w:t>y</w:t>
      </w:r>
      <w:r w:rsidR="005A194C">
        <w:t xml:space="preserve"> the </w:t>
      </w:r>
      <w:r w:rsidR="00426464">
        <w:t>employment contract</w:t>
      </w:r>
      <w:r w:rsidR="009E70C7">
        <w:t xml:space="preserve"> in the letter agreement</w:t>
      </w:r>
      <w:r w:rsidR="005A194C">
        <w:t xml:space="preserve">, </w:t>
      </w:r>
      <w:r w:rsidR="009617FA">
        <w:t>Mr Warren and his employer agreed that Mr Warren would be paid an additional loading</w:t>
      </w:r>
      <w:r w:rsidR="00F636B9">
        <w:t>.  The terms of the contract reveal that this was</w:t>
      </w:r>
      <w:r w:rsidR="009617FA">
        <w:t xml:space="preserve"> intended to </w:t>
      </w:r>
      <w:r w:rsidR="006929A3">
        <w:t>compensate Mr Warren in respect of the various benefits</w:t>
      </w:r>
      <w:r w:rsidR="001D6F84">
        <w:t xml:space="preserve">, or for the absence of </w:t>
      </w:r>
      <w:r w:rsidR="009F1783">
        <w:t>the various</w:t>
      </w:r>
      <w:r w:rsidR="001D6F84">
        <w:t xml:space="preserve"> benefits</w:t>
      </w:r>
      <w:r>
        <w:t>,</w:t>
      </w:r>
      <w:r w:rsidR="001D6F84">
        <w:t xml:space="preserve"> </w:t>
      </w:r>
      <w:r w:rsidR="009F1783">
        <w:t>referred to in cl 3.3</w:t>
      </w:r>
      <w:r>
        <w:t xml:space="preserve">.  These </w:t>
      </w:r>
      <w:r w:rsidR="00F468A5">
        <w:t>included annual leave</w:t>
      </w:r>
      <w:r w:rsidR="00EA0A78">
        <w:t xml:space="preserve"> </w:t>
      </w:r>
      <w:r w:rsidR="005A194C">
        <w:t xml:space="preserve">and redundancy benefits.  </w:t>
      </w:r>
      <w:r w:rsidR="008023B3">
        <w:t>The parties</w:t>
      </w:r>
      <w:r w:rsidR="005A194C">
        <w:t xml:space="preserve"> also</w:t>
      </w:r>
      <w:r w:rsidR="006929A3">
        <w:t xml:space="preserve"> </w:t>
      </w:r>
      <w:r w:rsidR="008023B3">
        <w:t>agreed in cl 3.4</w:t>
      </w:r>
      <w:r w:rsidR="005A194C">
        <w:t xml:space="preserve"> that the loading</w:t>
      </w:r>
      <w:r w:rsidR="006929A3">
        <w:t xml:space="preserve"> </w:t>
      </w:r>
      <w:r w:rsidR="00F636B9">
        <w:t>would: (</w:t>
      </w:r>
      <w:proofErr w:type="spellStart"/>
      <w:r w:rsidR="00F636B9">
        <w:t>i</w:t>
      </w:r>
      <w:proofErr w:type="spellEnd"/>
      <w:r w:rsidR="00F636B9">
        <w:t xml:space="preserve">) discharge the employer’s obligation with respect to the benefits in cl 3.3; and (ii) </w:t>
      </w:r>
      <w:r w:rsidR="00426464">
        <w:t>be</w:t>
      </w:r>
      <w:r w:rsidR="006929A3">
        <w:t xml:space="preserve"> set off against any entitlement </w:t>
      </w:r>
      <w:r w:rsidR="006929A3">
        <w:rPr>
          <w:lang w:eastAsia="en-AU"/>
        </w:rPr>
        <w:t>to payment of</w:t>
      </w:r>
      <w:r w:rsidR="006929A3">
        <w:t xml:space="preserve"> the various benefits </w:t>
      </w:r>
      <w:r w:rsidR="00F468A5">
        <w:rPr>
          <w:lang w:eastAsia="en-AU"/>
        </w:rPr>
        <w:t>which might be found to arise</w:t>
      </w:r>
      <w:r w:rsidR="006929A3">
        <w:t xml:space="preserve">.  </w:t>
      </w:r>
      <w:r w:rsidR="00EA0A78">
        <w:t xml:space="preserve">The first sentence of cl 3.4 was </w:t>
      </w:r>
      <w:r w:rsidR="006929A3">
        <w:t xml:space="preserve">ineffective to </w:t>
      </w:r>
      <w:r w:rsidR="008023B3">
        <w:t>displace</w:t>
      </w:r>
      <w:r w:rsidR="006929A3">
        <w:t xml:space="preserve"> the statutory obligation of the employer</w:t>
      </w:r>
      <w:r w:rsidR="005A194C">
        <w:t xml:space="preserve"> with respect to annual leave and redundancy pay</w:t>
      </w:r>
      <w:r w:rsidR="006929A3">
        <w:t xml:space="preserve">, but </w:t>
      </w:r>
      <w:proofErr w:type="spellStart"/>
      <w:r w:rsidR="00822255">
        <w:t>cll</w:t>
      </w:r>
      <w:proofErr w:type="spellEnd"/>
      <w:r w:rsidR="007C64EB">
        <w:t xml:space="preserve"> 3.3 and 3.4 </w:t>
      </w:r>
      <w:r w:rsidR="008023B3">
        <w:t>are not therefore</w:t>
      </w:r>
      <w:r w:rsidR="00697E30">
        <w:t xml:space="preserve"> deprived</w:t>
      </w:r>
      <w:r w:rsidR="008023B3">
        <w:t xml:space="preserve"> of</w:t>
      </w:r>
      <w:r w:rsidR="007C64EB">
        <w:t xml:space="preserve"> </w:t>
      </w:r>
      <w:r w:rsidR="008023B3">
        <w:t xml:space="preserve">contractual </w:t>
      </w:r>
      <w:r w:rsidR="007C64EB">
        <w:t>effect</w:t>
      </w:r>
      <w:r w:rsidR="008023B3">
        <w:t xml:space="preserve">.  </w:t>
      </w:r>
      <w:r w:rsidR="007C64EB">
        <w:t xml:space="preserve">Indeed, </w:t>
      </w:r>
      <w:proofErr w:type="spellStart"/>
      <w:r w:rsidR="00822255">
        <w:t>cll</w:t>
      </w:r>
      <w:proofErr w:type="spellEnd"/>
      <w:r w:rsidR="008023B3">
        <w:t> 3.3 and 3.4</w:t>
      </w:r>
      <w:r w:rsidR="007C64EB">
        <w:t xml:space="preserve"> </w:t>
      </w:r>
      <w:r w:rsidR="008023B3">
        <w:t>have contractual</w:t>
      </w:r>
      <w:r w:rsidR="007C64EB">
        <w:t xml:space="preserve"> effect, </w:t>
      </w:r>
      <w:r w:rsidR="009147B0">
        <w:t xml:space="preserve">albeit </w:t>
      </w:r>
      <w:r w:rsidR="008023B3">
        <w:t xml:space="preserve">that effect cannot go so far as </w:t>
      </w:r>
      <w:r w:rsidR="000B453A">
        <w:t xml:space="preserve">to </w:t>
      </w:r>
      <w:r w:rsidR="008023B3">
        <w:lastRenderedPageBreak/>
        <w:t>displac</w:t>
      </w:r>
      <w:r w:rsidR="000B453A">
        <w:t>e</w:t>
      </w:r>
      <w:r w:rsidR="009147B0">
        <w:t xml:space="preserve"> </w:t>
      </w:r>
      <w:r w:rsidR="009E70C7">
        <w:t xml:space="preserve">the employer’s liability under </w:t>
      </w:r>
      <w:r w:rsidR="009147B0">
        <w:t>the National Employment Standards in</w:t>
      </w:r>
      <w:r w:rsidR="007C64EB">
        <w:t xml:space="preserve"> the FW Act </w:t>
      </w:r>
      <w:r w:rsidR="009147B0">
        <w:t xml:space="preserve">or operate to deny an </w:t>
      </w:r>
      <w:r w:rsidR="009E70C7">
        <w:t xml:space="preserve">employee’s </w:t>
      </w:r>
      <w:r w:rsidR="009147B0">
        <w:t>entitlement under</w:t>
      </w:r>
      <w:r w:rsidR="007C64EB">
        <w:t xml:space="preserve"> the Award. </w:t>
      </w:r>
      <w:r w:rsidR="006929A3">
        <w:t xml:space="preserve"> </w:t>
      </w:r>
      <w:r w:rsidR="00426464">
        <w:t xml:space="preserve">The </w:t>
      </w:r>
      <w:r w:rsidR="007C64EB">
        <w:t xml:space="preserve">parties intended the </w:t>
      </w:r>
      <w:r w:rsidR="008023B3">
        <w:t>loadings</w:t>
      </w:r>
      <w:r w:rsidR="007C64EB">
        <w:t xml:space="preserve"> to be for the purposes identified</w:t>
      </w:r>
      <w:r w:rsidR="00426464">
        <w:t xml:space="preserve"> in</w:t>
      </w:r>
      <w:r w:rsidR="007C64EB">
        <w:t xml:space="preserve"> </w:t>
      </w:r>
      <w:r w:rsidR="00426464">
        <w:t>the</w:t>
      </w:r>
      <w:r w:rsidR="009E70C7">
        <w:t xml:space="preserve"> letter</w:t>
      </w:r>
      <w:r w:rsidR="00426464">
        <w:t xml:space="preserve"> agreement</w:t>
      </w:r>
      <w:r w:rsidR="007C64EB">
        <w:t xml:space="preserve">, whether or not the whole of </w:t>
      </w:r>
      <w:r w:rsidR="00426464">
        <w:t>the employment contract</w:t>
      </w:r>
      <w:r w:rsidR="007C64EB">
        <w:t xml:space="preserve"> was legally capable of achieving </w:t>
      </w:r>
      <w:r w:rsidR="00426464">
        <w:t>each</w:t>
      </w:r>
      <w:r w:rsidR="007C64EB">
        <w:t xml:space="preserve"> intended result</w:t>
      </w:r>
      <w:r w:rsidR="00E275EA">
        <w:t>.</w:t>
      </w:r>
      <w:r w:rsidR="00BB614D">
        <w:t xml:space="preserve">  A conclusion that the loadings are “attributable” to the employment entitlements</w:t>
      </w:r>
      <w:r w:rsidR="008023B3">
        <w:t xml:space="preserve"> </w:t>
      </w:r>
      <w:r w:rsidR="00BB614D">
        <w:t xml:space="preserve">respects what the parties intended as reflected in the language of their </w:t>
      </w:r>
      <w:r w:rsidR="00697E30">
        <w:t>contract</w:t>
      </w:r>
      <w:r w:rsidR="00BB614D">
        <w:t>.</w:t>
      </w:r>
    </w:p>
    <w:p w14:paraId="2AAA5B7C" w14:textId="57947418" w:rsidR="000C75EC" w:rsidRDefault="00377B71" w:rsidP="008C2BC3">
      <w:pPr>
        <w:pStyle w:val="ParaNumbering"/>
        <w:rPr>
          <w:lang w:eastAsia="en-AU"/>
        </w:rPr>
      </w:pPr>
      <w:r>
        <w:t>The primary judge stated at [119] that it would be “difficult to conclude that a payment made by way of compensation for the absence of entitlements</w:t>
      </w:r>
      <w:r w:rsidR="000B453A">
        <w:t xml:space="preserve"> …</w:t>
      </w:r>
      <w:r w:rsidR="002D77A9">
        <w:t xml:space="preserve"> could </w:t>
      </w:r>
      <w:r w:rsidR="008023B3">
        <w:t>…</w:t>
      </w:r>
      <w:r w:rsidR="002D77A9" w:rsidRPr="001C12B6">
        <w:rPr>
          <w:i/>
        </w:rPr>
        <w:t xml:space="preserve"> </w:t>
      </w:r>
      <w:r w:rsidR="002D77A9">
        <w:t>be attributable to those entitlements”</w:t>
      </w:r>
      <w:r w:rsidR="00AD3AF9">
        <w:t xml:space="preserve">.  </w:t>
      </w:r>
      <w:r w:rsidR="002066CE">
        <w:t xml:space="preserve">In </w:t>
      </w:r>
      <w:r w:rsidR="009E70C7">
        <w:t xml:space="preserve">our </w:t>
      </w:r>
      <w:r w:rsidR="002066CE">
        <w:t xml:space="preserve">view, an amount paid to an employee can be “attributable to </w:t>
      </w:r>
      <w:r w:rsidR="000B453A">
        <w:t xml:space="preserve">the </w:t>
      </w:r>
      <w:r w:rsidR="002066CE">
        <w:t>entitlement</w:t>
      </w:r>
      <w:r w:rsidR="00C85A28">
        <w:t>”</w:t>
      </w:r>
      <w:r w:rsidR="002066CE">
        <w:t xml:space="preserve"> even if the payment is made as consideration for the employer not providing a particular benefit</w:t>
      </w:r>
      <w:r w:rsidR="008023B3">
        <w:t>,</w:t>
      </w:r>
      <w:r w:rsidR="00C85A28">
        <w:t xml:space="preserve"> </w:t>
      </w:r>
      <w:r w:rsidR="001965D5">
        <w:t xml:space="preserve">or in substitution for that benefit, </w:t>
      </w:r>
      <w:r w:rsidR="00C85A28">
        <w:t xml:space="preserve">or </w:t>
      </w:r>
      <w:r w:rsidR="001965D5">
        <w:t xml:space="preserve">to increase the base hourly rate in recognition </w:t>
      </w:r>
      <w:r w:rsidR="00C85A28">
        <w:t xml:space="preserve">of the fact that the employee is not provided with certain benefits because the </w:t>
      </w:r>
      <w:r w:rsidR="00697E30">
        <w:t xml:space="preserve">employment </w:t>
      </w:r>
      <w:r w:rsidR="00C85A28">
        <w:t>is (or was thought to be) casual rather than permanent</w:t>
      </w:r>
      <w:r w:rsidR="002066CE">
        <w:t>.</w:t>
      </w:r>
      <w:r w:rsidR="009E70C7">
        <w:t xml:space="preserve">  </w:t>
      </w:r>
      <w:r w:rsidR="004D0C5D">
        <w:t>The sense in which the word “attributable” is used in s</w:t>
      </w:r>
      <w:r w:rsidR="000B453A">
        <w:t>ub-</w:t>
      </w:r>
      <w:proofErr w:type="spellStart"/>
      <w:r w:rsidR="000B453A">
        <w:t>ss</w:t>
      </w:r>
      <w:proofErr w:type="spellEnd"/>
      <w:r w:rsidR="004D0C5D">
        <w:t xml:space="preserve"> 19(2)(a) and (3)(a) </w:t>
      </w:r>
      <w:r w:rsidR="00697E30">
        <w:t>include</w:t>
      </w:r>
      <w:r w:rsidR="001C12B6">
        <w:t>s</w:t>
      </w:r>
      <w:r w:rsidR="004D0C5D">
        <w:t xml:space="preserve"> payments</w:t>
      </w:r>
      <w:r w:rsidR="00697E30">
        <w:t xml:space="preserve"> other than those that</w:t>
      </w:r>
      <w:r w:rsidR="004D0C5D">
        <w:t xml:space="preserve"> the employee received in</w:t>
      </w:r>
      <w:r w:rsidR="00697E30">
        <w:t xml:space="preserve"> strict</w:t>
      </w:r>
      <w:r w:rsidR="004D0C5D">
        <w:t xml:space="preserve"> legal discharge of the employer’s obligations.  </w:t>
      </w:r>
    </w:p>
    <w:p w14:paraId="64847172" w14:textId="4D362B6D" w:rsidR="00377B71" w:rsidRDefault="004D0C5D" w:rsidP="00AA07A6">
      <w:pPr>
        <w:pStyle w:val="ParaNumbering"/>
        <w:rPr>
          <w:lang w:eastAsia="en-AU"/>
        </w:rPr>
      </w:pPr>
      <w:r>
        <w:t xml:space="preserve">The purpose of the FEG Act is to create a scheme to </w:t>
      </w:r>
      <w:r w:rsidR="00697E30">
        <w:t>provide financial assistance to</w:t>
      </w:r>
      <w:r>
        <w:t xml:space="preserve"> an employee adversely affected by the insolvency of his or her employe</w:t>
      </w:r>
      <w:r w:rsidR="000C75EC">
        <w:t xml:space="preserve">r by ensuring that he or she receives an advance </w:t>
      </w:r>
      <w:r w:rsidR="00697E30">
        <w:t>“on account of employment entitlements”</w:t>
      </w:r>
      <w:r>
        <w:t xml:space="preserve"> </w:t>
      </w:r>
      <w:r w:rsidR="00F63331">
        <w:t xml:space="preserve">(s 5) </w:t>
      </w:r>
      <w:r>
        <w:t>under a formula</w:t>
      </w:r>
      <w:r w:rsidR="00A02688">
        <w:t xml:space="preserve"> in Pt 3</w:t>
      </w:r>
      <w:r>
        <w:t xml:space="preserve"> that has regard to the practical, as opposed to the strictly legal,</w:t>
      </w:r>
      <w:r w:rsidR="00A02688">
        <w:t xml:space="preserve"> effect of the</w:t>
      </w:r>
      <w:r>
        <w:t xml:space="preserve"> employer’s underpayment of certain </w:t>
      </w:r>
      <w:r w:rsidR="000C75EC">
        <w:t xml:space="preserve">of his or her </w:t>
      </w:r>
      <w:r>
        <w:t>employment entitlements.  This is why the Parliament used the expression “attributable to the entitlement” in s</w:t>
      </w:r>
      <w:r w:rsidR="000B453A">
        <w:t>ub-</w:t>
      </w:r>
      <w:proofErr w:type="spellStart"/>
      <w:r w:rsidR="000B453A">
        <w:t>ss</w:t>
      </w:r>
      <w:proofErr w:type="spellEnd"/>
      <w:r>
        <w:t> 19(2)(a) and (3)(a) as a criterion for reduction in the basic amount</w:t>
      </w:r>
      <w:r w:rsidR="00A02688">
        <w:t xml:space="preserve"> if </w:t>
      </w:r>
      <w:r w:rsidR="000B453A">
        <w:t xml:space="preserve">a person is eligible for </w:t>
      </w:r>
      <w:r w:rsidR="00A02688">
        <w:t>an advance</w:t>
      </w:r>
      <w:r>
        <w:t xml:space="preserve"> for a particular employment entitlement.  Parliament intended to broaden the class of receipts by the employee that </w:t>
      </w:r>
      <w:r w:rsidR="00A02688">
        <w:t>c</w:t>
      </w:r>
      <w:r>
        <w:t>ould be taken into account in the calculation of what</w:t>
      </w:r>
      <w:r w:rsidR="00A02688">
        <w:t xml:space="preserve"> </w:t>
      </w:r>
      <w:r w:rsidR="000C75EC">
        <w:t xml:space="preserve">advance </w:t>
      </w:r>
      <w:r w:rsidR="00A02688">
        <w:t>“on account of employment entitlements”</w:t>
      </w:r>
      <w:r>
        <w:t xml:space="preserve"> would be payable to him or her so as to include payments that, realistically, could be ascribed to</w:t>
      </w:r>
      <w:r w:rsidR="00A02688">
        <w:t>,</w:t>
      </w:r>
      <w:r>
        <w:t xml:space="preserve"> be characterised as due to</w:t>
      </w:r>
      <w:r w:rsidR="00A02688">
        <w:t>,</w:t>
      </w:r>
      <w:r>
        <w:t xml:space="preserve"> or produced by</w:t>
      </w:r>
      <w:r w:rsidR="00A02688">
        <w:t>,</w:t>
      </w:r>
      <w:r>
        <w:t xml:space="preserve"> the relevant employment entitlement, even though the employer had not paid that </w:t>
      </w:r>
      <w:r w:rsidR="001C12B6">
        <w:t xml:space="preserve">specific </w:t>
      </w:r>
      <w:r>
        <w:t>entitlement to the employee</w:t>
      </w:r>
      <w:r w:rsidR="009E70C7">
        <w:t>.</w:t>
      </w:r>
      <w:r w:rsidR="002066CE">
        <w:t xml:space="preserve">  T</w:t>
      </w:r>
      <w:r w:rsidR="00AD3AF9">
        <w:t xml:space="preserve">he </w:t>
      </w:r>
      <w:r w:rsidR="00BD5363">
        <w:t xml:space="preserve">loadings </w:t>
      </w:r>
      <w:r w:rsidR="009E70C7">
        <w:t xml:space="preserve">under the letter agreement </w:t>
      </w:r>
      <w:r w:rsidR="00BD5363">
        <w:t>were</w:t>
      </w:r>
      <w:r w:rsidR="00AD3AF9">
        <w:t xml:space="preserve"> </w:t>
      </w:r>
      <w:r w:rsidR="00BD5363">
        <w:t>paid</w:t>
      </w:r>
      <w:r w:rsidR="00AD3AF9">
        <w:t xml:space="preserve"> to replace</w:t>
      </w:r>
      <w:r w:rsidR="001965D5">
        <w:t>,</w:t>
      </w:r>
      <w:r w:rsidR="00AD3AF9">
        <w:t xml:space="preserve"> or substitute for</w:t>
      </w:r>
      <w:r w:rsidR="001965D5">
        <w:t>,</w:t>
      </w:r>
      <w:r w:rsidR="00AD3AF9">
        <w:t xml:space="preserve"> the benefit</w:t>
      </w:r>
      <w:r w:rsidR="00BD5363">
        <w:t>s</w:t>
      </w:r>
      <w:r w:rsidR="009E70C7">
        <w:t xml:space="preserve"> or entitlements</w:t>
      </w:r>
      <w:r w:rsidR="00C85A28">
        <w:t xml:space="preserve"> identified in cl 3.3</w:t>
      </w:r>
      <w:r w:rsidR="000C75EC">
        <w:t>, as cl 3.4 made clear</w:t>
      </w:r>
      <w:r w:rsidR="00C85A28">
        <w:t>.  In</w:t>
      </w:r>
      <w:r w:rsidR="00AD3AF9">
        <w:t xml:space="preserve"> those circumstances, the loading</w:t>
      </w:r>
      <w:r w:rsidR="001965D5">
        <w:t>s</w:t>
      </w:r>
      <w:r w:rsidR="000C75EC">
        <w:t xml:space="preserve"> to Mr Warren</w:t>
      </w:r>
      <w:r w:rsidR="00AD3AF9">
        <w:t xml:space="preserve"> </w:t>
      </w:r>
      <w:r w:rsidR="009147B0">
        <w:t>can be</w:t>
      </w:r>
      <w:r w:rsidR="00C85A28">
        <w:t xml:space="preserve"> described</w:t>
      </w:r>
      <w:r w:rsidR="000C75EC" w:rsidRPr="000C75EC">
        <w:t xml:space="preserve"> </w:t>
      </w:r>
      <w:r w:rsidR="000C75EC">
        <w:t>appropriately</w:t>
      </w:r>
      <w:r w:rsidR="00C85A28">
        <w:t xml:space="preserve"> as</w:t>
      </w:r>
      <w:r w:rsidR="00AD3AF9">
        <w:t xml:space="preserve"> </w:t>
      </w:r>
      <w:r w:rsidR="00C85A28">
        <w:t>“</w:t>
      </w:r>
      <w:r w:rsidR="00AD3AF9">
        <w:t>attributable to the entitlement</w:t>
      </w:r>
      <w:r w:rsidR="00A02688">
        <w:t>[</w:t>
      </w:r>
      <w:r w:rsidR="00AD3AF9">
        <w:t>s</w:t>
      </w:r>
      <w:r w:rsidR="00A02688">
        <w:t>]</w:t>
      </w:r>
      <w:r w:rsidR="00C85A28">
        <w:t>”</w:t>
      </w:r>
      <w:r w:rsidR="000C75EC">
        <w:t xml:space="preserve"> that he was not paid</w:t>
      </w:r>
      <w:r w:rsidR="00AD3AF9">
        <w:t>.</w:t>
      </w:r>
    </w:p>
    <w:p w14:paraId="4801149B" w14:textId="22939748" w:rsidR="00A245ED" w:rsidRDefault="008023B3" w:rsidP="001965D5">
      <w:pPr>
        <w:pStyle w:val="ParaNumbering"/>
        <w:rPr>
          <w:lang w:eastAsia="en-AU"/>
        </w:rPr>
      </w:pPr>
      <w:bookmarkStart w:id="31" w:name="_Ref106553158"/>
      <w:r w:rsidRPr="001965D5">
        <w:rPr>
          <w:i/>
        </w:rPr>
        <w:lastRenderedPageBreak/>
        <w:t>Finally</w:t>
      </w:r>
      <w:r>
        <w:t xml:space="preserve">, something should </w:t>
      </w:r>
      <w:r w:rsidR="00BC4ECD">
        <w:t xml:space="preserve">briefly </w:t>
      </w:r>
      <w:r>
        <w:t xml:space="preserve">be said about the </w:t>
      </w:r>
      <w:r w:rsidR="001965D5">
        <w:t>relevance</w:t>
      </w:r>
      <w:r w:rsidR="00CE7F0A">
        <w:t xml:space="preserve"> of </w:t>
      </w:r>
      <w:r w:rsidR="001965D5">
        <w:t xml:space="preserve">the question </w:t>
      </w:r>
      <w:r w:rsidR="00CE7F0A">
        <w:t>whether</w:t>
      </w:r>
      <w:r w:rsidR="001965D5">
        <w:t xml:space="preserve"> </w:t>
      </w:r>
      <w:r w:rsidR="00A245ED">
        <w:t xml:space="preserve">the employer </w:t>
      </w:r>
      <w:r w:rsidR="001965D5">
        <w:t xml:space="preserve">could have </w:t>
      </w:r>
      <w:r w:rsidR="00A245ED">
        <w:t xml:space="preserve">set off </w:t>
      </w:r>
      <w:r w:rsidR="001965D5">
        <w:t>the loadings if Mr Warren had pressed for his entitlements</w:t>
      </w:r>
      <w:r w:rsidR="00BC4ECD">
        <w:t xml:space="preserve"> on the basis he was a permanent employee</w:t>
      </w:r>
      <w:r w:rsidR="00CE7F0A">
        <w:t xml:space="preserve">.  </w:t>
      </w:r>
    </w:p>
    <w:p w14:paraId="6C805140" w14:textId="4AD316C4" w:rsidR="00A245ED" w:rsidRPr="00A245ED" w:rsidRDefault="00BC4ECD" w:rsidP="00A245ED">
      <w:pPr>
        <w:pStyle w:val="ParaNumbering"/>
        <w:rPr>
          <w:lang w:eastAsia="en-AU"/>
        </w:rPr>
      </w:pPr>
      <w:r>
        <w:t xml:space="preserve">The question of </w:t>
      </w:r>
      <w:r w:rsidR="003F5EB0">
        <w:t>whether an employer</w:t>
      </w:r>
      <w:r w:rsidR="009E70C7">
        <w:t>, facing a claim for underpayment,</w:t>
      </w:r>
      <w:r w:rsidR="003F5EB0">
        <w:t xml:space="preserve"> could </w:t>
      </w:r>
      <w:r>
        <w:t xml:space="preserve">set off </w:t>
      </w:r>
      <w:r w:rsidR="003F5EB0">
        <w:t xml:space="preserve">casual loadings paid to an employee </w:t>
      </w:r>
      <w:r>
        <w:t>incorrectly treated as a casual employee</w:t>
      </w:r>
      <w:r w:rsidR="003F5EB0">
        <w:t>, or whether such amounts could discharge the employe</w:t>
      </w:r>
      <w:r w:rsidR="00F10411">
        <w:t>e</w:t>
      </w:r>
      <w:r w:rsidR="003F5EB0">
        <w:t xml:space="preserve">’s </w:t>
      </w:r>
      <w:r w:rsidR="00F10411">
        <w:t>entitlements</w:t>
      </w:r>
      <w:r w:rsidR="003F5EB0">
        <w:t>,</w:t>
      </w:r>
      <w:r>
        <w:t xml:space="preserve"> was considered</w:t>
      </w:r>
      <w:r w:rsidR="00A245ED">
        <w:t xml:space="preserve"> in </w:t>
      </w:r>
      <w:proofErr w:type="spellStart"/>
      <w:r w:rsidR="00A245ED" w:rsidRPr="00ED46D3">
        <w:rPr>
          <w:i/>
        </w:rPr>
        <w:t>WorkPac</w:t>
      </w:r>
      <w:proofErr w:type="spellEnd"/>
      <w:r w:rsidR="00A245ED" w:rsidRPr="00ED46D3">
        <w:rPr>
          <w:i/>
        </w:rPr>
        <w:t xml:space="preserve"> v </w:t>
      </w:r>
      <w:proofErr w:type="spellStart"/>
      <w:r w:rsidR="00A245ED" w:rsidRPr="00ED46D3">
        <w:rPr>
          <w:i/>
        </w:rPr>
        <w:t>Rossato</w:t>
      </w:r>
      <w:proofErr w:type="spellEnd"/>
      <w:r w:rsidR="00A245ED" w:rsidRPr="00A2260F">
        <w:t xml:space="preserve"> [2020] FCAFC 84; 378 ALR 585</w:t>
      </w:r>
      <w:r w:rsidR="00A71864">
        <w:t xml:space="preserve"> – see:</w:t>
      </w:r>
      <w:r w:rsidR="00A245ED">
        <w:t xml:space="preserve"> at [221] (Bromberg J); [824]-[870] (White J); [986]-[100</w:t>
      </w:r>
      <w:r>
        <w:t>8</w:t>
      </w:r>
      <w:r w:rsidR="00A245ED">
        <w:t>] (Wheelahan J).  The question did not require resolution on appeal to the High Court</w:t>
      </w:r>
      <w:r>
        <w:t xml:space="preserve">, because the employee was found to be </w:t>
      </w:r>
      <w:r w:rsidR="009E70C7">
        <w:t xml:space="preserve">a </w:t>
      </w:r>
      <w:r>
        <w:t>casual</w:t>
      </w:r>
      <w:r w:rsidR="009E70C7">
        <w:t xml:space="preserve"> employee</w:t>
      </w:r>
      <w:r w:rsidR="00A245ED">
        <w:t xml:space="preserve">: </w:t>
      </w:r>
      <w:proofErr w:type="spellStart"/>
      <w:r w:rsidR="00A245ED" w:rsidRPr="00ED46D3">
        <w:rPr>
          <w:i/>
          <w:iCs/>
        </w:rPr>
        <w:t>WorkPac</w:t>
      </w:r>
      <w:proofErr w:type="spellEnd"/>
      <w:r w:rsidR="00A245ED" w:rsidRPr="00ED46D3">
        <w:rPr>
          <w:i/>
          <w:iCs/>
        </w:rPr>
        <w:t xml:space="preserve"> Pty Ltd v </w:t>
      </w:r>
      <w:proofErr w:type="spellStart"/>
      <w:r w:rsidR="00A245ED" w:rsidRPr="00BB614D">
        <w:rPr>
          <w:b/>
          <w:i/>
          <w:iCs/>
        </w:rPr>
        <w:t>Rossato</w:t>
      </w:r>
      <w:proofErr w:type="spellEnd"/>
      <w:r w:rsidR="00A245ED" w:rsidRPr="00ED46D3">
        <w:rPr>
          <w:i/>
          <w:iCs/>
        </w:rPr>
        <w:t xml:space="preserve"> </w:t>
      </w:r>
      <w:r w:rsidR="00A245ED" w:rsidRPr="00ED46D3">
        <w:rPr>
          <w:lang w:val="en-GB"/>
        </w:rPr>
        <w:t>[2021] HCA 23</w:t>
      </w:r>
      <w:proofErr w:type="gramStart"/>
      <w:r w:rsidR="00A245ED">
        <w:rPr>
          <w:lang w:val="en-GB"/>
        </w:rPr>
        <w:t>;</w:t>
      </w:r>
      <w:proofErr w:type="gramEnd"/>
      <w:r w:rsidR="00A245ED">
        <w:rPr>
          <w:lang w:val="en-GB"/>
        </w:rPr>
        <w:t xml:space="preserve"> 392 ALR 39</w:t>
      </w:r>
      <w:r w:rsidR="00A245ED" w:rsidRPr="00ED46D3">
        <w:rPr>
          <w:lang w:val="en-GB"/>
        </w:rPr>
        <w:t xml:space="preserve"> at [8]-[10].  </w:t>
      </w:r>
    </w:p>
    <w:bookmarkEnd w:id="31"/>
    <w:p w14:paraId="11BA0761" w14:textId="77777777" w:rsidR="007676F2" w:rsidRPr="007676F2" w:rsidRDefault="00CE7F0A" w:rsidP="00CE7F0A">
      <w:pPr>
        <w:pStyle w:val="ParaNumbering"/>
        <w:rPr>
          <w:lang w:val="en-GB"/>
        </w:rPr>
      </w:pPr>
      <w:r>
        <w:t>If the employer could have set off the loadings</w:t>
      </w:r>
      <w:r w:rsidR="007676F2">
        <w:t xml:space="preserve"> </w:t>
      </w:r>
      <w:r w:rsidR="00BC4ECD">
        <w:t xml:space="preserve">or a part of them </w:t>
      </w:r>
      <w:r w:rsidR="007676F2">
        <w:t xml:space="preserve">from any requirement to pay </w:t>
      </w:r>
      <w:r w:rsidR="00A02688">
        <w:t>the amount of an employment entitlement</w:t>
      </w:r>
      <w:r>
        <w:t xml:space="preserve">, </w:t>
      </w:r>
      <w:r w:rsidR="007676F2">
        <w:t xml:space="preserve">that </w:t>
      </w:r>
      <w:r w:rsidR="009E70C7">
        <w:t xml:space="preserve">would fortify </w:t>
      </w:r>
      <w:r w:rsidR="007676F2">
        <w:t xml:space="preserve">the conclusion that the loadings </w:t>
      </w:r>
      <w:r w:rsidR="009E70C7">
        <w:t xml:space="preserve">were </w:t>
      </w:r>
      <w:r w:rsidR="007676F2">
        <w:t xml:space="preserve">“attributable” to the benefits identified in cl 3.3.  But it is not necessary to </w:t>
      </w:r>
      <w:r w:rsidR="009E70C7">
        <w:t>resolve that issue</w:t>
      </w:r>
      <w:r w:rsidR="007676F2">
        <w:t xml:space="preserve">.  Irrespective of whether the employer could have set off amounts paid by way of loading, the parties </w:t>
      </w:r>
      <w:r w:rsidR="00A02688">
        <w:t xml:space="preserve">to the letter agreement </w:t>
      </w:r>
      <w:r w:rsidR="007676F2">
        <w:t xml:space="preserve">in this case objectively intended the loading to be referable in part to the employer’s annual leave obligations and in part to the employer’s redundancy pay obligations, or the absence of </w:t>
      </w:r>
      <w:r w:rsidR="009E70C7">
        <w:t xml:space="preserve">the </w:t>
      </w:r>
      <w:r w:rsidR="00A02688">
        <w:t xml:space="preserve">employee’s </w:t>
      </w:r>
      <w:r w:rsidR="009E70C7">
        <w:t xml:space="preserve">right otherwise to receive </w:t>
      </w:r>
      <w:r w:rsidR="007676F2">
        <w:t>those benefits, with the result that it was open to conclude</w:t>
      </w:r>
      <w:r w:rsidR="009E70C7">
        <w:t xml:space="preserve"> for the purposes of the FEG Act</w:t>
      </w:r>
      <w:r w:rsidR="007676F2">
        <w:t xml:space="preserve"> that some part of the loading was “attributable to the [annual leave and redundancy pay] entitlement[s]”</w:t>
      </w:r>
      <w:r w:rsidR="007676F2" w:rsidRPr="006929A3">
        <w:t xml:space="preserve"> </w:t>
      </w:r>
      <w:r w:rsidR="007676F2">
        <w:t xml:space="preserve">within the meaning of s 19(2).  </w:t>
      </w:r>
    </w:p>
    <w:p w14:paraId="28B9C2EC" w14:textId="77777777" w:rsidR="00CE7F0A" w:rsidRPr="006102D5" w:rsidRDefault="00CE7F0A" w:rsidP="00CE7F0A">
      <w:pPr>
        <w:pStyle w:val="ParaNumbering"/>
        <w:rPr>
          <w:lang w:val="en-GB"/>
        </w:rPr>
      </w:pPr>
      <w:r w:rsidRPr="00ED46D3">
        <w:rPr>
          <w:lang w:val="en-GB"/>
        </w:rPr>
        <w:t xml:space="preserve">It might be noted that the </w:t>
      </w:r>
      <w:r w:rsidRPr="00ED46D3">
        <w:rPr>
          <w:i/>
        </w:rPr>
        <w:t xml:space="preserve">Fair Work Amendment (Supporting Australia's Jobs and Economic Recovery) Act 2021 </w:t>
      </w:r>
      <w:r w:rsidRPr="00547CBC">
        <w:t>(</w:t>
      </w:r>
      <w:proofErr w:type="spellStart"/>
      <w:r w:rsidRPr="00547CBC">
        <w:t>Cth</w:t>
      </w:r>
      <w:proofErr w:type="spellEnd"/>
      <w:r w:rsidRPr="00547CBC">
        <w:t xml:space="preserve">), which came into effect after the filing of </w:t>
      </w:r>
      <w:r>
        <w:t>the</w:t>
      </w:r>
      <w:r w:rsidRPr="00547CBC">
        <w:t xml:space="preserve"> appeal</w:t>
      </w:r>
      <w:r>
        <w:t xml:space="preserve"> to the High Court in </w:t>
      </w:r>
      <w:proofErr w:type="spellStart"/>
      <w:r w:rsidRPr="00ED46D3">
        <w:rPr>
          <w:i/>
        </w:rPr>
        <w:t>Rossato</w:t>
      </w:r>
      <w:proofErr w:type="spellEnd"/>
      <w:r>
        <w:t>,</w:t>
      </w:r>
      <w:r w:rsidRPr="00547CBC">
        <w:t xml:space="preserve"> inserted</w:t>
      </w:r>
      <w:r>
        <w:t xml:space="preserve"> a definition of “casual employee”</w:t>
      </w:r>
      <w:r w:rsidRPr="00547CBC">
        <w:t xml:space="preserve"> into the</w:t>
      </w:r>
      <w:r>
        <w:t xml:space="preserve"> FW Act and </w:t>
      </w:r>
      <w:r w:rsidRPr="00ED46D3">
        <w:t>provided that an award of compensation for permanent employee entitlements payable to an employee mistakenly treated as a casual must be reduced by the amount of any identifiable casual loading paid to the employee</w:t>
      </w:r>
      <w:r>
        <w:t xml:space="preserve"> – see: </w:t>
      </w:r>
      <w:proofErr w:type="spellStart"/>
      <w:r>
        <w:rPr>
          <w:i/>
        </w:rPr>
        <w:t>Rossato</w:t>
      </w:r>
      <w:proofErr w:type="spellEnd"/>
      <w:r>
        <w:rPr>
          <w:i/>
        </w:rPr>
        <w:t xml:space="preserve"> </w:t>
      </w:r>
      <w:r>
        <w:t>at [10]</w:t>
      </w:r>
      <w:r w:rsidRPr="00ED46D3">
        <w:t xml:space="preserve">. </w:t>
      </w:r>
      <w:r>
        <w:t xml:space="preserve"> </w:t>
      </w:r>
    </w:p>
    <w:p w14:paraId="7977916D" w14:textId="77777777" w:rsidR="009238BC" w:rsidRDefault="00500093" w:rsidP="00500093">
      <w:pPr>
        <w:pStyle w:val="Heading1"/>
      </w:pPr>
      <w:r>
        <w:t>CONCLUSION</w:t>
      </w:r>
    </w:p>
    <w:p w14:paraId="7B12FD8D" w14:textId="204B823A" w:rsidR="00230D58" w:rsidRDefault="00D251B0">
      <w:pPr>
        <w:pStyle w:val="ParaNumbering"/>
      </w:pPr>
      <w:r>
        <w:t>The</w:t>
      </w:r>
      <w:r w:rsidR="00AC5F02">
        <w:t xml:space="preserve"> appeal should be allowed.  </w:t>
      </w:r>
    </w:p>
    <w:p w14:paraId="1D7F6DDE" w14:textId="77777777" w:rsidR="00534E82" w:rsidRDefault="00534E82" w:rsidP="00815065">
      <w:pPr>
        <w:pStyle w:val="BodyText"/>
      </w:pPr>
      <w:bookmarkStart w:id="32" w:name="Certification"/>
    </w:p>
    <w:tbl>
      <w:tblPr>
        <w:tblW w:w="0" w:type="auto"/>
        <w:tblLook w:val="04A0" w:firstRow="1" w:lastRow="0" w:firstColumn="1" w:lastColumn="0" w:noHBand="0" w:noVBand="1"/>
      </w:tblPr>
      <w:tblGrid>
        <w:gridCol w:w="3794"/>
      </w:tblGrid>
      <w:tr w:rsidR="00534E82" w:rsidRPr="00534E82" w14:paraId="5EEED537" w14:textId="77777777">
        <w:tc>
          <w:tcPr>
            <w:tcW w:w="3794" w:type="dxa"/>
            <w:shd w:val="clear" w:color="auto" w:fill="auto"/>
          </w:tcPr>
          <w:p w14:paraId="3CA69D57" w14:textId="7A5A09EC" w:rsidR="00534E82" w:rsidRPr="00534E82" w:rsidRDefault="00534E82" w:rsidP="00534E82">
            <w:pPr>
              <w:pStyle w:val="Normal1linespace"/>
            </w:pPr>
            <w:r w:rsidRPr="00534E82">
              <w:t xml:space="preserve">I certify that the preceding </w:t>
            </w:r>
            <w:bookmarkStart w:id="33" w:name="NumberWord"/>
            <w:r>
              <w:t>fifty-two</w:t>
            </w:r>
            <w:bookmarkEnd w:id="33"/>
            <w:r w:rsidRPr="00534E82">
              <w:t xml:space="preserve"> (</w:t>
            </w:r>
            <w:bookmarkStart w:id="34" w:name="NumberNumeral"/>
            <w:r>
              <w:t>52</w:t>
            </w:r>
            <w:bookmarkEnd w:id="34"/>
            <w:r w:rsidRPr="00534E82">
              <w:t xml:space="preserve">) numbered </w:t>
            </w:r>
            <w:bookmarkStart w:id="35" w:name="CertPara"/>
            <w:r>
              <w:t>paragraphs are</w:t>
            </w:r>
            <w:bookmarkEnd w:id="35"/>
            <w:r w:rsidRPr="00534E82">
              <w:t xml:space="preserve"> a true copy of the Reasons for Judgment of </w:t>
            </w:r>
            <w:bookmarkStart w:id="36" w:name="bkHonourable"/>
            <w:r w:rsidRPr="00534E82">
              <w:lastRenderedPageBreak/>
              <w:t xml:space="preserve">the Honourable </w:t>
            </w:r>
            <w:bookmarkStart w:id="37" w:name="Justice"/>
            <w:bookmarkEnd w:id="36"/>
            <w:r>
              <w:t xml:space="preserve">Justices Rares, </w:t>
            </w:r>
            <w:proofErr w:type="spellStart"/>
            <w:r>
              <w:t>Thawley</w:t>
            </w:r>
            <w:proofErr w:type="spellEnd"/>
            <w:r>
              <w:t xml:space="preserve"> and Anderson</w:t>
            </w:r>
            <w:bookmarkEnd w:id="37"/>
            <w:r w:rsidRPr="00534E82">
              <w:t>.</w:t>
            </w:r>
          </w:p>
        </w:tc>
      </w:tr>
    </w:tbl>
    <w:p w14:paraId="0B768B2E" w14:textId="77777777" w:rsidR="00534E82" w:rsidRDefault="00534E82" w:rsidP="00815065">
      <w:pPr>
        <w:pStyle w:val="BodyText"/>
      </w:pPr>
    </w:p>
    <w:p w14:paraId="5DC62246" w14:textId="77777777" w:rsidR="00534E82" w:rsidRDefault="00534E82" w:rsidP="00815065">
      <w:pPr>
        <w:pStyle w:val="BodyText"/>
      </w:pPr>
    </w:p>
    <w:p w14:paraId="151DCAF9" w14:textId="37C88EE6" w:rsidR="00534E82" w:rsidRDefault="00534E82" w:rsidP="00815065">
      <w:pPr>
        <w:pStyle w:val="BodyText"/>
      </w:pPr>
    </w:p>
    <w:p w14:paraId="33006961" w14:textId="7ABEE7B3" w:rsidR="00534E82" w:rsidRDefault="00534E82" w:rsidP="00815065">
      <w:pPr>
        <w:pStyle w:val="BodyText"/>
      </w:pPr>
      <w:r>
        <w:t xml:space="preserve">Associate: </w:t>
      </w:r>
    </w:p>
    <w:p w14:paraId="31D78D8C" w14:textId="77777777" w:rsidR="00534E82" w:rsidRDefault="00534E82" w:rsidP="00815065">
      <w:pPr>
        <w:pStyle w:val="BodyText"/>
      </w:pPr>
    </w:p>
    <w:p w14:paraId="355E0F7F" w14:textId="0F505371" w:rsidR="00534E82" w:rsidRDefault="00534E82" w:rsidP="00815065">
      <w:pPr>
        <w:pStyle w:val="BodyText"/>
        <w:tabs>
          <w:tab w:val="left" w:pos="1134"/>
        </w:tabs>
      </w:pPr>
      <w:r>
        <w:t>Dated:</w:t>
      </w:r>
      <w:r>
        <w:tab/>
      </w:r>
      <w:bookmarkStart w:id="38" w:name="CertifyDated"/>
      <w:r>
        <w:t>12 July 2022</w:t>
      </w:r>
      <w:bookmarkEnd w:id="38"/>
    </w:p>
    <w:p w14:paraId="74855A98" w14:textId="77777777" w:rsidR="00534E82" w:rsidRDefault="00534E82" w:rsidP="00815065">
      <w:pPr>
        <w:pStyle w:val="BodyText"/>
      </w:pPr>
    </w:p>
    <w:bookmarkEnd w:id="32"/>
    <w:p w14:paraId="0BCFA212" w14:textId="77777777" w:rsidR="00534E82" w:rsidRDefault="00534E82" w:rsidP="00534E82">
      <w:pPr>
        <w:pStyle w:val="BodyText"/>
      </w:pPr>
    </w:p>
    <w:sectPr w:rsidR="00534E82" w:rsidSect="00A84FD0">
      <w:headerReference w:type="even" r:id="rId17"/>
      <w:headerReference w:type="default" r:id="rId18"/>
      <w:footerReference w:type="default" r:id="rId19"/>
      <w:headerReference w:type="first" r:id="rId20"/>
      <w:footerReference w:type="first" r:id="rId21"/>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75CA2" w14:textId="77777777" w:rsidR="00FA059F" w:rsidRDefault="00FA059F">
      <w:pPr>
        <w:spacing w:line="20" w:lineRule="exact"/>
      </w:pPr>
    </w:p>
    <w:p w14:paraId="257990E3" w14:textId="77777777" w:rsidR="00FA059F" w:rsidRDefault="00FA059F"/>
    <w:p w14:paraId="43B82CBB" w14:textId="77777777" w:rsidR="00FA059F" w:rsidRDefault="00FA059F"/>
  </w:endnote>
  <w:endnote w:type="continuationSeparator" w:id="0">
    <w:p w14:paraId="020BCE6B" w14:textId="77777777" w:rsidR="00FA059F" w:rsidRDefault="00FA059F">
      <w:r>
        <w:t xml:space="preserve"> </w:t>
      </w:r>
    </w:p>
    <w:p w14:paraId="19FA7EDE" w14:textId="77777777" w:rsidR="00FA059F" w:rsidRDefault="00FA059F"/>
    <w:p w14:paraId="39E1D3A2" w14:textId="77777777" w:rsidR="00FA059F" w:rsidRDefault="00FA059F"/>
  </w:endnote>
  <w:endnote w:type="continuationNotice" w:id="1">
    <w:p w14:paraId="0FB3A2EB" w14:textId="77777777" w:rsidR="00FA059F" w:rsidRDefault="00FA059F">
      <w:r>
        <w:t xml:space="preserve"> </w:t>
      </w:r>
    </w:p>
    <w:p w14:paraId="797DD8D9" w14:textId="77777777" w:rsidR="00FA059F" w:rsidRDefault="00FA059F"/>
    <w:p w14:paraId="6BF507F9" w14:textId="77777777" w:rsidR="00FA059F" w:rsidRDefault="00FA05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350EF" w14:textId="419B835B" w:rsidR="006252E6" w:rsidRPr="00C47B9D" w:rsidRDefault="006252E6"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3DE7A429" wp14:editId="7A91883E">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D32042"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A44146">
          <w:rPr>
            <w:bCs/>
            <w:sz w:val="18"/>
            <w:szCs w:val="18"/>
          </w:rPr>
          <w:t xml:space="preserve">Secretary, Attorney-General’s Department v Warren [2022] FCAFC 118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B1F70" w14:textId="039AE70F" w:rsidR="006252E6" w:rsidRPr="00A436E8" w:rsidRDefault="006252E6" w:rsidP="00A436E8">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1BB3B" w14:textId="0163B82A" w:rsidR="006252E6" w:rsidRPr="00C47B9D" w:rsidRDefault="006252E6"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3C249A13" wp14:editId="6337A5F0">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A2BC83"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D5AEFD3FE4854640A83F5C2DA65FC2F8"/>
        </w:placeholder>
        <w:dataBinding w:prefixMappings="xmlns:ns0='http://schemas.globalmacros.com/FCA'" w:xpath="/ns0:root[1]/ns0:Name[1]" w:storeItemID="{687E7CCB-4AA5-44E7-B148-17BA2B6F57C0}"/>
        <w:text w:multiLine="1"/>
      </w:sdtPr>
      <w:sdtEndPr/>
      <w:sdtContent>
        <w:r w:rsidR="00A44146">
          <w:rPr>
            <w:bCs/>
            <w:sz w:val="18"/>
            <w:szCs w:val="18"/>
          </w:rPr>
          <w:t xml:space="preserve">Secretary, Attorney-General’s Department v Warren [2022] FCAFC 118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p w14:paraId="39E89569" w14:textId="2BAF0B9E" w:rsidR="006252E6" w:rsidRPr="00A84FD0" w:rsidRDefault="006252E6" w:rsidP="00A84FD0">
    <w:pPr>
      <w:pStyle w:val="Footer"/>
      <w:jc w:val="center"/>
      <w:rPr>
        <w:sz w:val="28"/>
      </w:rPr>
    </w:pPr>
    <w:r>
      <w:rPr>
        <w:b/>
        <w:sz w:val="28"/>
      </w:rPr>
      <w:t xml:space="preserve">DRAFT - Judgment Template v.1.3 - </w:t>
    </w:r>
    <w:r>
      <w:rPr>
        <w:b/>
        <w:sz w:val="28"/>
      </w:rPr>
      <w:fldChar w:fldCharType="begin"/>
    </w:r>
    <w:r>
      <w:rPr>
        <w:b/>
        <w:sz w:val="28"/>
      </w:rPr>
      <w:instrText xml:space="preserve"> DATE  \@ "d MMMM yyyy"  \* MERGEFORMAT </w:instrText>
    </w:r>
    <w:r>
      <w:rPr>
        <w:b/>
        <w:sz w:val="28"/>
      </w:rPr>
      <w:fldChar w:fldCharType="separate"/>
    </w:r>
    <w:r w:rsidR="00081616">
      <w:rPr>
        <w:b/>
        <w:noProof/>
        <w:sz w:val="28"/>
      </w:rPr>
      <w:t>12 July 2022</w:t>
    </w:r>
    <w:r>
      <w:rPr>
        <w:b/>
        <w:sz w:val="28"/>
      </w:rPr>
      <w:fldChar w:fldCharType="end"/>
    </w:r>
    <w:r>
      <w:rPr>
        <w:b/>
        <w:sz w:val="28"/>
      </w:rPr>
      <w:t xml:space="preserve"> </w:t>
    </w:r>
    <w:r>
      <w:rPr>
        <w:b/>
        <w:sz w:val="28"/>
      </w:rPr>
      <w:fldChar w:fldCharType="begin"/>
    </w:r>
    <w:r>
      <w:rPr>
        <w:b/>
        <w:sz w:val="28"/>
      </w:rPr>
      <w:instrText xml:space="preserve"> TIME  \@ "h:mm am/pm"  \* MERGEFORMAT </w:instrText>
    </w:r>
    <w:r>
      <w:rPr>
        <w:b/>
        <w:sz w:val="28"/>
      </w:rPr>
      <w:fldChar w:fldCharType="separate"/>
    </w:r>
    <w:r w:rsidR="00081616">
      <w:rPr>
        <w:b/>
        <w:noProof/>
        <w:sz w:val="28"/>
      </w:rPr>
      <w:t>12:23 PM</w:t>
    </w:r>
    <w:r>
      <w:rPr>
        <w:b/>
        <w:sz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15557" w14:textId="1C4A8DFF" w:rsidR="006252E6" w:rsidRPr="00C47B9D" w:rsidRDefault="006252E6"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68E5DCA0" wp14:editId="554DCA4E">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05EB26"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846CB8249A7D4CB3A631697322E19569"/>
        </w:placeholder>
        <w:dataBinding w:prefixMappings="xmlns:ns0='http://schemas.globalmacros.com/FCA'" w:xpath="/ns0:root[1]/ns0:Name[1]" w:storeItemID="{687E7CCB-4AA5-44E7-B148-17BA2B6F57C0}"/>
        <w:text w:multiLine="1"/>
      </w:sdtPr>
      <w:sdtEndPr/>
      <w:sdtContent>
        <w:r w:rsidR="00A44146">
          <w:rPr>
            <w:bCs/>
            <w:sz w:val="18"/>
            <w:szCs w:val="18"/>
          </w:rPr>
          <w:t xml:space="preserve">Secretary, Attorney-General’s Department v Warren [2022] FCAFC 118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081616">
      <w:rPr>
        <w:bCs/>
        <w:noProof/>
        <w:sz w:val="20"/>
      </w:rPr>
      <w:t>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4D192" w14:textId="7E9BDAA3" w:rsidR="006252E6" w:rsidRPr="00C47B9D" w:rsidRDefault="006252E6"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2456E68F" wp14:editId="34D7B5B8">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0C7A58"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ADC37DCA504E4A20ABF1C4C7B52FA313"/>
        </w:placeholder>
        <w:dataBinding w:prefixMappings="xmlns:ns0='http://schemas.globalmacros.com/FCA'" w:xpath="/ns0:root[1]/ns0:Name[1]" w:storeItemID="{687E7CCB-4AA5-44E7-B148-17BA2B6F57C0}"/>
        <w:text w:multiLine="1"/>
      </w:sdtPr>
      <w:sdtEndPr/>
      <w:sdtContent>
        <w:r w:rsidR="00A44146">
          <w:rPr>
            <w:bCs/>
            <w:sz w:val="18"/>
            <w:szCs w:val="18"/>
          </w:rPr>
          <w:t xml:space="preserve">Secretary, Attorney-General’s Department v Warren [2022] FCAFC 118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081616">
      <w:rPr>
        <w:bCs/>
        <w:noProof/>
        <w:sz w:val="20"/>
      </w:rPr>
      <w:t>9</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67C38" w14:textId="7EF960B0" w:rsidR="006252E6" w:rsidRPr="00C47B9D" w:rsidRDefault="006252E6"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2632F68" wp14:editId="421E8146">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4FB320"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5193C43BB4E94C3F96B188A3E3329F41"/>
        </w:placeholder>
        <w:dataBinding w:prefixMappings="xmlns:ns0='http://schemas.globalmacros.com/FCA'" w:xpath="/ns0:root[1]/ns0:Name[1]" w:storeItemID="{687E7CCB-4AA5-44E7-B148-17BA2B6F57C0}"/>
        <w:text w:multiLine="1"/>
      </w:sdtPr>
      <w:sdtEndPr/>
      <w:sdtContent>
        <w:r w:rsidR="00A44146">
          <w:rPr>
            <w:bCs/>
            <w:sz w:val="18"/>
            <w:szCs w:val="18"/>
          </w:rPr>
          <w:t xml:space="preserve">Secretary, Attorney-General’s Department v Warren [2022] FCAFC 118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081616">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CB0C1" w14:textId="77777777" w:rsidR="00FA059F" w:rsidRDefault="00FA059F"/>
  </w:footnote>
  <w:footnote w:type="continuationSeparator" w:id="0">
    <w:p w14:paraId="5CAD3B38" w14:textId="77777777" w:rsidR="00FA059F" w:rsidRDefault="00FA059F">
      <w:r>
        <w:continuationSeparator/>
      </w:r>
    </w:p>
    <w:p w14:paraId="7CC5C78E" w14:textId="77777777" w:rsidR="00FA059F" w:rsidRDefault="00FA059F"/>
    <w:p w14:paraId="4A858839" w14:textId="77777777" w:rsidR="00FA059F" w:rsidRDefault="00FA05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853A1" w14:textId="77777777" w:rsidR="006252E6" w:rsidRDefault="006252E6">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617B1" w14:textId="77777777" w:rsidR="006252E6" w:rsidRDefault="006252E6">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CDB2C" w14:textId="77777777" w:rsidR="006252E6" w:rsidRDefault="006252E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01E6B" w14:textId="77777777" w:rsidR="006252E6" w:rsidRDefault="006252E6">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DE397" w14:textId="77777777" w:rsidR="006252E6" w:rsidRDefault="006252E6"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0BD75CBB"/>
    <w:multiLevelType w:val="hybridMultilevel"/>
    <w:tmpl w:val="9C7E20D8"/>
    <w:lvl w:ilvl="0" w:tplc="F8E0567E">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B39463C"/>
    <w:multiLevelType w:val="hybridMultilevel"/>
    <w:tmpl w:val="E1786472"/>
    <w:lvl w:ilvl="0" w:tplc="B1FC82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4817A7"/>
    <w:multiLevelType w:val="multilevel"/>
    <w:tmpl w:val="0F0EC90E"/>
    <w:numStyleLink w:val="FCListNo"/>
  </w:abstractNum>
  <w:abstractNum w:abstractNumId="22"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57C4EEB"/>
    <w:multiLevelType w:val="multilevel"/>
    <w:tmpl w:val="0C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5"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7"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22"/>
  </w:num>
  <w:num w:numId="14">
    <w:abstractNumId w:val="23"/>
  </w:num>
  <w:num w:numId="15">
    <w:abstractNumId w:val="27"/>
  </w:num>
  <w:num w:numId="16">
    <w:abstractNumId w:val="14"/>
  </w:num>
  <w:num w:numId="17">
    <w:abstractNumId w:val="26"/>
  </w:num>
  <w:num w:numId="18">
    <w:abstractNumId w:val="11"/>
  </w:num>
  <w:num w:numId="19">
    <w:abstractNumId w:val="19"/>
  </w:num>
  <w:num w:numId="20">
    <w:abstractNumId w:val="16"/>
  </w:num>
  <w:num w:numId="21">
    <w:abstractNumId w:val="17"/>
  </w:num>
  <w:num w:numId="22">
    <w:abstractNumId w:val="21"/>
  </w:num>
  <w:num w:numId="23">
    <w:abstractNumId w:val="10"/>
  </w:num>
  <w:num w:numId="24">
    <w:abstractNumId w:val="10"/>
  </w:num>
  <w:num w:numId="25">
    <w:abstractNumId w:val="13"/>
  </w:num>
  <w:num w:numId="26">
    <w:abstractNumId w:val="18"/>
  </w:num>
  <w:num w:numId="27">
    <w:abstractNumId w:val="18"/>
  </w:num>
  <w:num w:numId="28">
    <w:abstractNumId w:val="18"/>
  </w:num>
  <w:num w:numId="29">
    <w:abstractNumId w:val="15"/>
    <w:lvlOverride w:ilvl="0">
      <w:startOverride w:val="1"/>
    </w:lvlOverride>
  </w:num>
  <w:num w:numId="30">
    <w:abstractNumId w:val="15"/>
    <w:lvlOverride w:ilvl="0">
      <w:startOverride w:val="1"/>
    </w:lvlOverride>
  </w:num>
  <w:num w:numId="31">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2"/>
  </w:num>
  <w:num w:numId="40">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0"/>
  <w:activeWritingStyle w:appName="MSWord" w:lang="en-GB" w:vendorID="64" w:dllVersion="131078" w:nlCheck="1" w:checkStyle="0"/>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alText" w:val="Warren v Secretary, Attorney-General's Department [2021] FCA 89"/>
    <w:docVar w:name="CounselParties" w:val="Appellant"/>
    <w:docVar w:name="CounselType" w:val="Counsel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FileNumbers" w:val="NSD 204 of 2021"/>
    <w:docVar w:name="Initiators" w:val="(and another named in the Schedule)"/>
    <w:docVar w:name="Judgdate" w:val="12 July 2022"/>
    <w:docVar w:name="Judge" w:val="Rares, Thawley and Anderson"/>
    <w:docVar w:name="JudgeType" w:val="Justices"/>
    <w:docVar w:name="lstEntryList" w:val="-1"/>
    <w:docVar w:name="NSD" w:val="NSD "/>
    <w:docVar w:name="NumApps" w:val="0"/>
    <w:docVar w:name="NumApps_" w:val="0"/>
    <w:docVar w:name="NumCrossResps" w:val="0"/>
    <w:docVar w:name="NumDefs" w:val="0"/>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Employment and Industrial Relations"/>
    <w:docVar w:name="RESAndAnother" w:val="True"/>
    <w:docVar w:name="RESAndOthers" w:val="False"/>
    <w:docVar w:name="ResState" w:val="New South Wales"/>
    <w:docVar w:name="SubArea" w:val="(none)"/>
  </w:docVars>
  <w:rsids>
    <w:rsidRoot w:val="004E5575"/>
    <w:rsid w:val="00000747"/>
    <w:rsid w:val="00003DC3"/>
    <w:rsid w:val="000115C5"/>
    <w:rsid w:val="0001469E"/>
    <w:rsid w:val="00015993"/>
    <w:rsid w:val="00021CCB"/>
    <w:rsid w:val="00022289"/>
    <w:rsid w:val="000237E9"/>
    <w:rsid w:val="00027398"/>
    <w:rsid w:val="0003201A"/>
    <w:rsid w:val="0003207A"/>
    <w:rsid w:val="00032F9F"/>
    <w:rsid w:val="00041C07"/>
    <w:rsid w:val="00045BB7"/>
    <w:rsid w:val="00055719"/>
    <w:rsid w:val="0005641B"/>
    <w:rsid w:val="00056471"/>
    <w:rsid w:val="0006196A"/>
    <w:rsid w:val="0006429E"/>
    <w:rsid w:val="000650F0"/>
    <w:rsid w:val="0006683F"/>
    <w:rsid w:val="0006729E"/>
    <w:rsid w:val="00071FB3"/>
    <w:rsid w:val="00077768"/>
    <w:rsid w:val="00081497"/>
    <w:rsid w:val="00081616"/>
    <w:rsid w:val="000831EC"/>
    <w:rsid w:val="00084126"/>
    <w:rsid w:val="00084789"/>
    <w:rsid w:val="00085255"/>
    <w:rsid w:val="000871D1"/>
    <w:rsid w:val="000A2E76"/>
    <w:rsid w:val="000A4807"/>
    <w:rsid w:val="000A4BE4"/>
    <w:rsid w:val="000A6F4E"/>
    <w:rsid w:val="000B0C45"/>
    <w:rsid w:val="000B429B"/>
    <w:rsid w:val="000B42EF"/>
    <w:rsid w:val="000B453A"/>
    <w:rsid w:val="000C023E"/>
    <w:rsid w:val="000C1825"/>
    <w:rsid w:val="000C3273"/>
    <w:rsid w:val="000C405D"/>
    <w:rsid w:val="000C5195"/>
    <w:rsid w:val="000C62EF"/>
    <w:rsid w:val="000C75EC"/>
    <w:rsid w:val="000D063E"/>
    <w:rsid w:val="000D2137"/>
    <w:rsid w:val="000D3FD2"/>
    <w:rsid w:val="000D40A1"/>
    <w:rsid w:val="000D4B2E"/>
    <w:rsid w:val="000E3FC8"/>
    <w:rsid w:val="000E7BAE"/>
    <w:rsid w:val="000F133D"/>
    <w:rsid w:val="0010536B"/>
    <w:rsid w:val="0011145C"/>
    <w:rsid w:val="001128BD"/>
    <w:rsid w:val="0011419D"/>
    <w:rsid w:val="00114B02"/>
    <w:rsid w:val="001226C0"/>
    <w:rsid w:val="00126EC8"/>
    <w:rsid w:val="0012731C"/>
    <w:rsid w:val="00132054"/>
    <w:rsid w:val="00132987"/>
    <w:rsid w:val="00134964"/>
    <w:rsid w:val="001351B9"/>
    <w:rsid w:val="0013695F"/>
    <w:rsid w:val="0015375F"/>
    <w:rsid w:val="00155CD2"/>
    <w:rsid w:val="00164BFE"/>
    <w:rsid w:val="001727A4"/>
    <w:rsid w:val="0017376C"/>
    <w:rsid w:val="001738AB"/>
    <w:rsid w:val="001765E0"/>
    <w:rsid w:val="00177759"/>
    <w:rsid w:val="00180BB3"/>
    <w:rsid w:val="00185DD6"/>
    <w:rsid w:val="00185E6B"/>
    <w:rsid w:val="00187BBC"/>
    <w:rsid w:val="0019074F"/>
    <w:rsid w:val="001932F3"/>
    <w:rsid w:val="001965D5"/>
    <w:rsid w:val="001A2B40"/>
    <w:rsid w:val="001A4309"/>
    <w:rsid w:val="001A46AE"/>
    <w:rsid w:val="001A6C52"/>
    <w:rsid w:val="001B1053"/>
    <w:rsid w:val="001B14AC"/>
    <w:rsid w:val="001B6A08"/>
    <w:rsid w:val="001B7940"/>
    <w:rsid w:val="001C12B6"/>
    <w:rsid w:val="001C171A"/>
    <w:rsid w:val="001C2FE0"/>
    <w:rsid w:val="001C37CA"/>
    <w:rsid w:val="001C3C72"/>
    <w:rsid w:val="001C4085"/>
    <w:rsid w:val="001C44C6"/>
    <w:rsid w:val="001C4B48"/>
    <w:rsid w:val="001C4D5E"/>
    <w:rsid w:val="001D12EE"/>
    <w:rsid w:val="001D4303"/>
    <w:rsid w:val="001D43E8"/>
    <w:rsid w:val="001D6746"/>
    <w:rsid w:val="001D6F84"/>
    <w:rsid w:val="001E0C61"/>
    <w:rsid w:val="001E0EA8"/>
    <w:rsid w:val="001E3B49"/>
    <w:rsid w:val="001E4A05"/>
    <w:rsid w:val="001E6A19"/>
    <w:rsid w:val="001E7388"/>
    <w:rsid w:val="001F13DD"/>
    <w:rsid w:val="001F2473"/>
    <w:rsid w:val="001F2DBC"/>
    <w:rsid w:val="001F73E8"/>
    <w:rsid w:val="0020262C"/>
    <w:rsid w:val="00202723"/>
    <w:rsid w:val="00205880"/>
    <w:rsid w:val="002066CE"/>
    <w:rsid w:val="00210A6C"/>
    <w:rsid w:val="00211A3E"/>
    <w:rsid w:val="00213F20"/>
    <w:rsid w:val="00214055"/>
    <w:rsid w:val="00215BCA"/>
    <w:rsid w:val="002160F5"/>
    <w:rsid w:val="00217AC4"/>
    <w:rsid w:val="00221461"/>
    <w:rsid w:val="00224537"/>
    <w:rsid w:val="00230D58"/>
    <w:rsid w:val="002323CA"/>
    <w:rsid w:val="00235956"/>
    <w:rsid w:val="00235D44"/>
    <w:rsid w:val="00243E5E"/>
    <w:rsid w:val="002467A6"/>
    <w:rsid w:val="00247C9A"/>
    <w:rsid w:val="0025160C"/>
    <w:rsid w:val="002535D0"/>
    <w:rsid w:val="002539B3"/>
    <w:rsid w:val="00255434"/>
    <w:rsid w:val="00256336"/>
    <w:rsid w:val="00257480"/>
    <w:rsid w:val="00257C3E"/>
    <w:rsid w:val="002602C2"/>
    <w:rsid w:val="0026298E"/>
    <w:rsid w:val="002666C9"/>
    <w:rsid w:val="00270136"/>
    <w:rsid w:val="00270FD7"/>
    <w:rsid w:val="00274F5B"/>
    <w:rsid w:val="00280836"/>
    <w:rsid w:val="00282E1A"/>
    <w:rsid w:val="002840F1"/>
    <w:rsid w:val="00285922"/>
    <w:rsid w:val="0029113B"/>
    <w:rsid w:val="002934C0"/>
    <w:rsid w:val="00293E1F"/>
    <w:rsid w:val="0029764C"/>
    <w:rsid w:val="002A16DE"/>
    <w:rsid w:val="002A1B50"/>
    <w:rsid w:val="002A3F9D"/>
    <w:rsid w:val="002B0E91"/>
    <w:rsid w:val="002B132C"/>
    <w:rsid w:val="002B3F23"/>
    <w:rsid w:val="002B4EB5"/>
    <w:rsid w:val="002B50C7"/>
    <w:rsid w:val="002B5AF5"/>
    <w:rsid w:val="002B6779"/>
    <w:rsid w:val="002B71C0"/>
    <w:rsid w:val="002B7A34"/>
    <w:rsid w:val="002C2949"/>
    <w:rsid w:val="002C31AD"/>
    <w:rsid w:val="002C7385"/>
    <w:rsid w:val="002D2DBB"/>
    <w:rsid w:val="002D315E"/>
    <w:rsid w:val="002D37D8"/>
    <w:rsid w:val="002D54A6"/>
    <w:rsid w:val="002D77A9"/>
    <w:rsid w:val="002E3779"/>
    <w:rsid w:val="002E5BF9"/>
    <w:rsid w:val="002E6A7A"/>
    <w:rsid w:val="002F1E49"/>
    <w:rsid w:val="002F4E9C"/>
    <w:rsid w:val="002F59DC"/>
    <w:rsid w:val="002F6E15"/>
    <w:rsid w:val="00302F4E"/>
    <w:rsid w:val="0031256C"/>
    <w:rsid w:val="00313748"/>
    <w:rsid w:val="00314D6C"/>
    <w:rsid w:val="0031518D"/>
    <w:rsid w:val="00316D2A"/>
    <w:rsid w:val="00322A7C"/>
    <w:rsid w:val="00322EEC"/>
    <w:rsid w:val="00323061"/>
    <w:rsid w:val="00330404"/>
    <w:rsid w:val="003402D3"/>
    <w:rsid w:val="0034068E"/>
    <w:rsid w:val="00343ABC"/>
    <w:rsid w:val="003463FE"/>
    <w:rsid w:val="003472FC"/>
    <w:rsid w:val="00347D41"/>
    <w:rsid w:val="003554B3"/>
    <w:rsid w:val="00356632"/>
    <w:rsid w:val="00357C7E"/>
    <w:rsid w:val="003653B6"/>
    <w:rsid w:val="00370310"/>
    <w:rsid w:val="00370327"/>
    <w:rsid w:val="00374CC4"/>
    <w:rsid w:val="003774B2"/>
    <w:rsid w:val="00377B71"/>
    <w:rsid w:val="00380F2D"/>
    <w:rsid w:val="00383160"/>
    <w:rsid w:val="003845A9"/>
    <w:rsid w:val="003850C9"/>
    <w:rsid w:val="00390883"/>
    <w:rsid w:val="003922F8"/>
    <w:rsid w:val="00395B24"/>
    <w:rsid w:val="003A2D38"/>
    <w:rsid w:val="003A388F"/>
    <w:rsid w:val="003A3893"/>
    <w:rsid w:val="003A7ECC"/>
    <w:rsid w:val="003B2C72"/>
    <w:rsid w:val="003B58B4"/>
    <w:rsid w:val="003C0B0F"/>
    <w:rsid w:val="003C0D1A"/>
    <w:rsid w:val="003C1333"/>
    <w:rsid w:val="003C20FF"/>
    <w:rsid w:val="003C418D"/>
    <w:rsid w:val="003C550A"/>
    <w:rsid w:val="003C6055"/>
    <w:rsid w:val="003D0C21"/>
    <w:rsid w:val="003D2650"/>
    <w:rsid w:val="003D560C"/>
    <w:rsid w:val="003D5C00"/>
    <w:rsid w:val="003E3154"/>
    <w:rsid w:val="003E5874"/>
    <w:rsid w:val="003E72D3"/>
    <w:rsid w:val="003F193E"/>
    <w:rsid w:val="003F242C"/>
    <w:rsid w:val="003F34F1"/>
    <w:rsid w:val="003F5EB0"/>
    <w:rsid w:val="00401B63"/>
    <w:rsid w:val="004031D8"/>
    <w:rsid w:val="004104B6"/>
    <w:rsid w:val="004107D7"/>
    <w:rsid w:val="00411AE8"/>
    <w:rsid w:val="00413B74"/>
    <w:rsid w:val="00426464"/>
    <w:rsid w:val="004342F3"/>
    <w:rsid w:val="00435432"/>
    <w:rsid w:val="00435C5F"/>
    <w:rsid w:val="00436155"/>
    <w:rsid w:val="00436460"/>
    <w:rsid w:val="00437483"/>
    <w:rsid w:val="00441E98"/>
    <w:rsid w:val="00450F3A"/>
    <w:rsid w:val="004532F7"/>
    <w:rsid w:val="00464D51"/>
    <w:rsid w:val="00472027"/>
    <w:rsid w:val="00476D9A"/>
    <w:rsid w:val="004804CF"/>
    <w:rsid w:val="00483314"/>
    <w:rsid w:val="00484962"/>
    <w:rsid w:val="00484F6D"/>
    <w:rsid w:val="00484FB7"/>
    <w:rsid w:val="0048554D"/>
    <w:rsid w:val="0048630D"/>
    <w:rsid w:val="00490293"/>
    <w:rsid w:val="0049338A"/>
    <w:rsid w:val="0049417F"/>
    <w:rsid w:val="00496D41"/>
    <w:rsid w:val="004A6602"/>
    <w:rsid w:val="004B3EFA"/>
    <w:rsid w:val="004C2A87"/>
    <w:rsid w:val="004C4D7B"/>
    <w:rsid w:val="004C4ED3"/>
    <w:rsid w:val="004C667B"/>
    <w:rsid w:val="004C7ECD"/>
    <w:rsid w:val="004D0C5D"/>
    <w:rsid w:val="004D2EA5"/>
    <w:rsid w:val="004D32A6"/>
    <w:rsid w:val="004D53E5"/>
    <w:rsid w:val="004D6333"/>
    <w:rsid w:val="004D7950"/>
    <w:rsid w:val="004E5575"/>
    <w:rsid w:val="004E6DC4"/>
    <w:rsid w:val="004F21C1"/>
    <w:rsid w:val="00500093"/>
    <w:rsid w:val="00501A12"/>
    <w:rsid w:val="0050309C"/>
    <w:rsid w:val="0051327C"/>
    <w:rsid w:val="0051346D"/>
    <w:rsid w:val="00513EAE"/>
    <w:rsid w:val="0051434F"/>
    <w:rsid w:val="005158F0"/>
    <w:rsid w:val="00516806"/>
    <w:rsid w:val="0052098C"/>
    <w:rsid w:val="00525A49"/>
    <w:rsid w:val="005262D1"/>
    <w:rsid w:val="00530876"/>
    <w:rsid w:val="00534E82"/>
    <w:rsid w:val="00535613"/>
    <w:rsid w:val="005359EB"/>
    <w:rsid w:val="00541140"/>
    <w:rsid w:val="0054254A"/>
    <w:rsid w:val="0054500B"/>
    <w:rsid w:val="005466B5"/>
    <w:rsid w:val="00554314"/>
    <w:rsid w:val="00562829"/>
    <w:rsid w:val="005629B3"/>
    <w:rsid w:val="0057128A"/>
    <w:rsid w:val="00571616"/>
    <w:rsid w:val="005724F6"/>
    <w:rsid w:val="00573AC4"/>
    <w:rsid w:val="005801FC"/>
    <w:rsid w:val="0058349B"/>
    <w:rsid w:val="00585BA9"/>
    <w:rsid w:val="00587359"/>
    <w:rsid w:val="00595016"/>
    <w:rsid w:val="00597AAE"/>
    <w:rsid w:val="005A194C"/>
    <w:rsid w:val="005A222C"/>
    <w:rsid w:val="005A4B6B"/>
    <w:rsid w:val="005A4DF8"/>
    <w:rsid w:val="005A78C8"/>
    <w:rsid w:val="005B1426"/>
    <w:rsid w:val="005C0A8E"/>
    <w:rsid w:val="005C1767"/>
    <w:rsid w:val="005C185C"/>
    <w:rsid w:val="005C1FA0"/>
    <w:rsid w:val="005C42EF"/>
    <w:rsid w:val="005D24A0"/>
    <w:rsid w:val="005D48BD"/>
    <w:rsid w:val="005E02F5"/>
    <w:rsid w:val="005E0510"/>
    <w:rsid w:val="005E176E"/>
    <w:rsid w:val="005E1F73"/>
    <w:rsid w:val="005E218E"/>
    <w:rsid w:val="005E35A0"/>
    <w:rsid w:val="005E7B3D"/>
    <w:rsid w:val="005F0D1B"/>
    <w:rsid w:val="005F1865"/>
    <w:rsid w:val="006007BD"/>
    <w:rsid w:val="006013C8"/>
    <w:rsid w:val="0060270D"/>
    <w:rsid w:val="00604342"/>
    <w:rsid w:val="00604611"/>
    <w:rsid w:val="006102D5"/>
    <w:rsid w:val="00611586"/>
    <w:rsid w:val="00612D26"/>
    <w:rsid w:val="00615855"/>
    <w:rsid w:val="00620DA8"/>
    <w:rsid w:val="00621887"/>
    <w:rsid w:val="00624520"/>
    <w:rsid w:val="0062453C"/>
    <w:rsid w:val="006252E6"/>
    <w:rsid w:val="00626E4F"/>
    <w:rsid w:val="006271F5"/>
    <w:rsid w:val="00632300"/>
    <w:rsid w:val="00632BB7"/>
    <w:rsid w:val="00635B36"/>
    <w:rsid w:val="00636871"/>
    <w:rsid w:val="00640EE1"/>
    <w:rsid w:val="00640F4E"/>
    <w:rsid w:val="00643DE0"/>
    <w:rsid w:val="0064437D"/>
    <w:rsid w:val="00644E85"/>
    <w:rsid w:val="006460B0"/>
    <w:rsid w:val="00646E34"/>
    <w:rsid w:val="006516D8"/>
    <w:rsid w:val="00652C52"/>
    <w:rsid w:val="0066063F"/>
    <w:rsid w:val="00662BB0"/>
    <w:rsid w:val="00663878"/>
    <w:rsid w:val="0066672C"/>
    <w:rsid w:val="00667773"/>
    <w:rsid w:val="00670743"/>
    <w:rsid w:val="006733A2"/>
    <w:rsid w:val="00680A85"/>
    <w:rsid w:val="00681ADF"/>
    <w:rsid w:val="00690EE2"/>
    <w:rsid w:val="006929A3"/>
    <w:rsid w:val="00693854"/>
    <w:rsid w:val="00694BEB"/>
    <w:rsid w:val="00697E30"/>
    <w:rsid w:val="006A0E20"/>
    <w:rsid w:val="006A24E3"/>
    <w:rsid w:val="006A3859"/>
    <w:rsid w:val="006A5586"/>
    <w:rsid w:val="006A5695"/>
    <w:rsid w:val="006B0439"/>
    <w:rsid w:val="006B3904"/>
    <w:rsid w:val="006B5B7D"/>
    <w:rsid w:val="006C4091"/>
    <w:rsid w:val="006C5B46"/>
    <w:rsid w:val="006C6E39"/>
    <w:rsid w:val="006D0ECF"/>
    <w:rsid w:val="006D3D5B"/>
    <w:rsid w:val="006D3DA1"/>
    <w:rsid w:val="006D4C92"/>
    <w:rsid w:val="006D4EB6"/>
    <w:rsid w:val="006D7FBC"/>
    <w:rsid w:val="006E35BF"/>
    <w:rsid w:val="006E7850"/>
    <w:rsid w:val="006F19D8"/>
    <w:rsid w:val="006F46D6"/>
    <w:rsid w:val="006F4BBB"/>
    <w:rsid w:val="007028D9"/>
    <w:rsid w:val="00707218"/>
    <w:rsid w:val="00707717"/>
    <w:rsid w:val="00710D04"/>
    <w:rsid w:val="00712B1D"/>
    <w:rsid w:val="00715751"/>
    <w:rsid w:val="007171BA"/>
    <w:rsid w:val="00717616"/>
    <w:rsid w:val="00725B14"/>
    <w:rsid w:val="007325D9"/>
    <w:rsid w:val="0073413F"/>
    <w:rsid w:val="0073583B"/>
    <w:rsid w:val="007360CA"/>
    <w:rsid w:val="0074667B"/>
    <w:rsid w:val="007470BD"/>
    <w:rsid w:val="00760EC0"/>
    <w:rsid w:val="007676F2"/>
    <w:rsid w:val="007711BD"/>
    <w:rsid w:val="0078003A"/>
    <w:rsid w:val="00780771"/>
    <w:rsid w:val="0078082D"/>
    <w:rsid w:val="0078472D"/>
    <w:rsid w:val="007929CF"/>
    <w:rsid w:val="00796156"/>
    <w:rsid w:val="00797BA8"/>
    <w:rsid w:val="007A081D"/>
    <w:rsid w:val="007A39D4"/>
    <w:rsid w:val="007A49E7"/>
    <w:rsid w:val="007A6F28"/>
    <w:rsid w:val="007B03C6"/>
    <w:rsid w:val="007B0DB1"/>
    <w:rsid w:val="007B25DD"/>
    <w:rsid w:val="007B2C12"/>
    <w:rsid w:val="007B5673"/>
    <w:rsid w:val="007B7238"/>
    <w:rsid w:val="007B76FF"/>
    <w:rsid w:val="007C38B4"/>
    <w:rsid w:val="007C3BF6"/>
    <w:rsid w:val="007C64EB"/>
    <w:rsid w:val="007C67B3"/>
    <w:rsid w:val="007D0FD2"/>
    <w:rsid w:val="007D2EF8"/>
    <w:rsid w:val="007D561F"/>
    <w:rsid w:val="007D7FD2"/>
    <w:rsid w:val="007E13D9"/>
    <w:rsid w:val="007E2AEC"/>
    <w:rsid w:val="007E3449"/>
    <w:rsid w:val="007E41BE"/>
    <w:rsid w:val="007E4DB6"/>
    <w:rsid w:val="007E53EE"/>
    <w:rsid w:val="007E6733"/>
    <w:rsid w:val="007E7CD4"/>
    <w:rsid w:val="007F12AC"/>
    <w:rsid w:val="007F4501"/>
    <w:rsid w:val="007F60DF"/>
    <w:rsid w:val="00801800"/>
    <w:rsid w:val="00801861"/>
    <w:rsid w:val="00801B5B"/>
    <w:rsid w:val="008023B3"/>
    <w:rsid w:val="00805A30"/>
    <w:rsid w:val="008216E7"/>
    <w:rsid w:val="00822255"/>
    <w:rsid w:val="00825BE6"/>
    <w:rsid w:val="008276B4"/>
    <w:rsid w:val="00831927"/>
    <w:rsid w:val="008324DD"/>
    <w:rsid w:val="00837288"/>
    <w:rsid w:val="0083743B"/>
    <w:rsid w:val="00841BD3"/>
    <w:rsid w:val="0084273D"/>
    <w:rsid w:val="00844E3F"/>
    <w:rsid w:val="00845A83"/>
    <w:rsid w:val="00846BB9"/>
    <w:rsid w:val="00847AE2"/>
    <w:rsid w:val="008649D5"/>
    <w:rsid w:val="0086501A"/>
    <w:rsid w:val="008712BB"/>
    <w:rsid w:val="00873878"/>
    <w:rsid w:val="00880D28"/>
    <w:rsid w:val="008830E7"/>
    <w:rsid w:val="0088638D"/>
    <w:rsid w:val="00890EDE"/>
    <w:rsid w:val="00892B38"/>
    <w:rsid w:val="00893249"/>
    <w:rsid w:val="008A1741"/>
    <w:rsid w:val="008A2484"/>
    <w:rsid w:val="008A52F3"/>
    <w:rsid w:val="008B1095"/>
    <w:rsid w:val="008B778C"/>
    <w:rsid w:val="008C26D9"/>
    <w:rsid w:val="008C2BC3"/>
    <w:rsid w:val="008C6569"/>
    <w:rsid w:val="008C6D50"/>
    <w:rsid w:val="008C7167"/>
    <w:rsid w:val="008C7503"/>
    <w:rsid w:val="008D0FD6"/>
    <w:rsid w:val="008D1617"/>
    <w:rsid w:val="008D330F"/>
    <w:rsid w:val="008D48C1"/>
    <w:rsid w:val="008E6315"/>
    <w:rsid w:val="008F0480"/>
    <w:rsid w:val="008F07FC"/>
    <w:rsid w:val="008F11E0"/>
    <w:rsid w:val="008F3EA7"/>
    <w:rsid w:val="008F4FF2"/>
    <w:rsid w:val="008F7515"/>
    <w:rsid w:val="008F78BC"/>
    <w:rsid w:val="008F7B63"/>
    <w:rsid w:val="008F7D6A"/>
    <w:rsid w:val="00901C86"/>
    <w:rsid w:val="00903603"/>
    <w:rsid w:val="009054CB"/>
    <w:rsid w:val="00911F8D"/>
    <w:rsid w:val="00912F94"/>
    <w:rsid w:val="009147B0"/>
    <w:rsid w:val="009154BF"/>
    <w:rsid w:val="009171BC"/>
    <w:rsid w:val="009238BC"/>
    <w:rsid w:val="0092497E"/>
    <w:rsid w:val="0092590B"/>
    <w:rsid w:val="00925BF3"/>
    <w:rsid w:val="00925E60"/>
    <w:rsid w:val="009264B3"/>
    <w:rsid w:val="00931E4C"/>
    <w:rsid w:val="009342F4"/>
    <w:rsid w:val="009365E0"/>
    <w:rsid w:val="009403C1"/>
    <w:rsid w:val="00942653"/>
    <w:rsid w:val="00942BA2"/>
    <w:rsid w:val="009432B7"/>
    <w:rsid w:val="00944C86"/>
    <w:rsid w:val="00947C02"/>
    <w:rsid w:val="00950BE6"/>
    <w:rsid w:val="009518B7"/>
    <w:rsid w:val="00955D76"/>
    <w:rsid w:val="00957DE8"/>
    <w:rsid w:val="00960ECB"/>
    <w:rsid w:val="009615D6"/>
    <w:rsid w:val="009617FA"/>
    <w:rsid w:val="00967855"/>
    <w:rsid w:val="00970FDB"/>
    <w:rsid w:val="00971CD1"/>
    <w:rsid w:val="0097268C"/>
    <w:rsid w:val="00974709"/>
    <w:rsid w:val="00975BE0"/>
    <w:rsid w:val="009770DE"/>
    <w:rsid w:val="009801AE"/>
    <w:rsid w:val="00980736"/>
    <w:rsid w:val="00981A39"/>
    <w:rsid w:val="00982D56"/>
    <w:rsid w:val="00982F69"/>
    <w:rsid w:val="00983DBF"/>
    <w:rsid w:val="00987097"/>
    <w:rsid w:val="009901FF"/>
    <w:rsid w:val="00991123"/>
    <w:rsid w:val="00991CAB"/>
    <w:rsid w:val="009A3A9C"/>
    <w:rsid w:val="009A4F7A"/>
    <w:rsid w:val="009A6A95"/>
    <w:rsid w:val="009B046C"/>
    <w:rsid w:val="009B13FA"/>
    <w:rsid w:val="009B1E2D"/>
    <w:rsid w:val="009C59FB"/>
    <w:rsid w:val="009C6F3B"/>
    <w:rsid w:val="009C7FEF"/>
    <w:rsid w:val="009D1467"/>
    <w:rsid w:val="009D30CE"/>
    <w:rsid w:val="009D328D"/>
    <w:rsid w:val="009E4FA6"/>
    <w:rsid w:val="009E70C7"/>
    <w:rsid w:val="009E7D93"/>
    <w:rsid w:val="009F1783"/>
    <w:rsid w:val="009F3C34"/>
    <w:rsid w:val="009F462C"/>
    <w:rsid w:val="009F5C33"/>
    <w:rsid w:val="00A02688"/>
    <w:rsid w:val="00A026F0"/>
    <w:rsid w:val="00A03EAC"/>
    <w:rsid w:val="00A04DBB"/>
    <w:rsid w:val="00A061CF"/>
    <w:rsid w:val="00A07EA0"/>
    <w:rsid w:val="00A1191C"/>
    <w:rsid w:val="00A11CA6"/>
    <w:rsid w:val="00A124F6"/>
    <w:rsid w:val="00A1777C"/>
    <w:rsid w:val="00A20C49"/>
    <w:rsid w:val="00A22932"/>
    <w:rsid w:val="00A245ED"/>
    <w:rsid w:val="00A269CA"/>
    <w:rsid w:val="00A30CE5"/>
    <w:rsid w:val="00A336EE"/>
    <w:rsid w:val="00A33DDC"/>
    <w:rsid w:val="00A33F46"/>
    <w:rsid w:val="00A3427E"/>
    <w:rsid w:val="00A359AC"/>
    <w:rsid w:val="00A40F83"/>
    <w:rsid w:val="00A410FB"/>
    <w:rsid w:val="00A41413"/>
    <w:rsid w:val="00A431E6"/>
    <w:rsid w:val="00A436E8"/>
    <w:rsid w:val="00A44146"/>
    <w:rsid w:val="00A45FB1"/>
    <w:rsid w:val="00A46A0F"/>
    <w:rsid w:val="00A46CCC"/>
    <w:rsid w:val="00A47996"/>
    <w:rsid w:val="00A51CFE"/>
    <w:rsid w:val="00A5204D"/>
    <w:rsid w:val="00A56519"/>
    <w:rsid w:val="00A56E77"/>
    <w:rsid w:val="00A61605"/>
    <w:rsid w:val="00A623EE"/>
    <w:rsid w:val="00A65F97"/>
    <w:rsid w:val="00A67FF3"/>
    <w:rsid w:val="00A71864"/>
    <w:rsid w:val="00A73B04"/>
    <w:rsid w:val="00A76C13"/>
    <w:rsid w:val="00A84FD0"/>
    <w:rsid w:val="00A91446"/>
    <w:rsid w:val="00A92E79"/>
    <w:rsid w:val="00A950B6"/>
    <w:rsid w:val="00A95D45"/>
    <w:rsid w:val="00A97B86"/>
    <w:rsid w:val="00AA07A6"/>
    <w:rsid w:val="00AA3EA8"/>
    <w:rsid w:val="00AB41C1"/>
    <w:rsid w:val="00AB48C5"/>
    <w:rsid w:val="00AB4CF2"/>
    <w:rsid w:val="00AB60C9"/>
    <w:rsid w:val="00AB6CCA"/>
    <w:rsid w:val="00AB6DF5"/>
    <w:rsid w:val="00AC223F"/>
    <w:rsid w:val="00AC33B1"/>
    <w:rsid w:val="00AC4D73"/>
    <w:rsid w:val="00AC5F02"/>
    <w:rsid w:val="00AD12A8"/>
    <w:rsid w:val="00AD196A"/>
    <w:rsid w:val="00AD3AF9"/>
    <w:rsid w:val="00AD6843"/>
    <w:rsid w:val="00AD718E"/>
    <w:rsid w:val="00AE023F"/>
    <w:rsid w:val="00AE5A0D"/>
    <w:rsid w:val="00AF3577"/>
    <w:rsid w:val="00AF35F9"/>
    <w:rsid w:val="00B0424C"/>
    <w:rsid w:val="00B05C7D"/>
    <w:rsid w:val="00B15D57"/>
    <w:rsid w:val="00B16347"/>
    <w:rsid w:val="00B17D6E"/>
    <w:rsid w:val="00B2435E"/>
    <w:rsid w:val="00B24C3C"/>
    <w:rsid w:val="00B346C3"/>
    <w:rsid w:val="00B37CD8"/>
    <w:rsid w:val="00B4005C"/>
    <w:rsid w:val="00B4227E"/>
    <w:rsid w:val="00B4471C"/>
    <w:rsid w:val="00B451A6"/>
    <w:rsid w:val="00B51009"/>
    <w:rsid w:val="00B56D6E"/>
    <w:rsid w:val="00B61738"/>
    <w:rsid w:val="00B64347"/>
    <w:rsid w:val="00B65DC6"/>
    <w:rsid w:val="00B67AC2"/>
    <w:rsid w:val="00B722DE"/>
    <w:rsid w:val="00B751E3"/>
    <w:rsid w:val="00B75BA6"/>
    <w:rsid w:val="00B76A26"/>
    <w:rsid w:val="00B76C44"/>
    <w:rsid w:val="00B80244"/>
    <w:rsid w:val="00B80D27"/>
    <w:rsid w:val="00B8184A"/>
    <w:rsid w:val="00B82283"/>
    <w:rsid w:val="00B828D8"/>
    <w:rsid w:val="00B83F87"/>
    <w:rsid w:val="00B842FC"/>
    <w:rsid w:val="00B87CDC"/>
    <w:rsid w:val="00B910C1"/>
    <w:rsid w:val="00BA2CA4"/>
    <w:rsid w:val="00BA2EFA"/>
    <w:rsid w:val="00BA3DBC"/>
    <w:rsid w:val="00BA707A"/>
    <w:rsid w:val="00BB0DAA"/>
    <w:rsid w:val="00BB1AFB"/>
    <w:rsid w:val="00BB1B5C"/>
    <w:rsid w:val="00BB27AE"/>
    <w:rsid w:val="00BB2DA2"/>
    <w:rsid w:val="00BB56DC"/>
    <w:rsid w:val="00BB614D"/>
    <w:rsid w:val="00BC4ECD"/>
    <w:rsid w:val="00BC5F6E"/>
    <w:rsid w:val="00BD5363"/>
    <w:rsid w:val="00BE183D"/>
    <w:rsid w:val="00BE63D1"/>
    <w:rsid w:val="00BF24C2"/>
    <w:rsid w:val="00BF2922"/>
    <w:rsid w:val="00BF5D7A"/>
    <w:rsid w:val="00C01C2E"/>
    <w:rsid w:val="00C02D33"/>
    <w:rsid w:val="00C04B53"/>
    <w:rsid w:val="00C06DED"/>
    <w:rsid w:val="00C1232C"/>
    <w:rsid w:val="00C13AA7"/>
    <w:rsid w:val="00C27C6B"/>
    <w:rsid w:val="00C3594D"/>
    <w:rsid w:val="00C35CB3"/>
    <w:rsid w:val="00C36442"/>
    <w:rsid w:val="00C379DD"/>
    <w:rsid w:val="00C400CE"/>
    <w:rsid w:val="00C410FD"/>
    <w:rsid w:val="00C451AE"/>
    <w:rsid w:val="00C457DE"/>
    <w:rsid w:val="00C47DD3"/>
    <w:rsid w:val="00C52E4A"/>
    <w:rsid w:val="00C5316F"/>
    <w:rsid w:val="00C53562"/>
    <w:rsid w:val="00C539FB"/>
    <w:rsid w:val="00C5685A"/>
    <w:rsid w:val="00C60E2B"/>
    <w:rsid w:val="00C65E4C"/>
    <w:rsid w:val="00C66AA3"/>
    <w:rsid w:val="00C66E57"/>
    <w:rsid w:val="00C724D7"/>
    <w:rsid w:val="00C74150"/>
    <w:rsid w:val="00C75594"/>
    <w:rsid w:val="00C82EFF"/>
    <w:rsid w:val="00C84220"/>
    <w:rsid w:val="00C85982"/>
    <w:rsid w:val="00C85A28"/>
    <w:rsid w:val="00C87824"/>
    <w:rsid w:val="00C912DD"/>
    <w:rsid w:val="00CA0466"/>
    <w:rsid w:val="00CA1CF4"/>
    <w:rsid w:val="00CA246D"/>
    <w:rsid w:val="00CA50D9"/>
    <w:rsid w:val="00CB3054"/>
    <w:rsid w:val="00CB5636"/>
    <w:rsid w:val="00CB5F30"/>
    <w:rsid w:val="00CC0305"/>
    <w:rsid w:val="00CC3EE5"/>
    <w:rsid w:val="00CC65B2"/>
    <w:rsid w:val="00CC6E47"/>
    <w:rsid w:val="00CD0FDE"/>
    <w:rsid w:val="00CD1346"/>
    <w:rsid w:val="00CD1552"/>
    <w:rsid w:val="00CD6608"/>
    <w:rsid w:val="00CD7312"/>
    <w:rsid w:val="00CE1D3B"/>
    <w:rsid w:val="00CE425C"/>
    <w:rsid w:val="00CE58AC"/>
    <w:rsid w:val="00CE60B3"/>
    <w:rsid w:val="00CE7F0A"/>
    <w:rsid w:val="00CF476F"/>
    <w:rsid w:val="00CF5A80"/>
    <w:rsid w:val="00D034FE"/>
    <w:rsid w:val="00D045EE"/>
    <w:rsid w:val="00D04B02"/>
    <w:rsid w:val="00D05091"/>
    <w:rsid w:val="00D10CA6"/>
    <w:rsid w:val="00D10F21"/>
    <w:rsid w:val="00D134CF"/>
    <w:rsid w:val="00D1573B"/>
    <w:rsid w:val="00D24806"/>
    <w:rsid w:val="00D251B0"/>
    <w:rsid w:val="00D34040"/>
    <w:rsid w:val="00D34E69"/>
    <w:rsid w:val="00D36C78"/>
    <w:rsid w:val="00D375EE"/>
    <w:rsid w:val="00D55AE8"/>
    <w:rsid w:val="00D56056"/>
    <w:rsid w:val="00D6085F"/>
    <w:rsid w:val="00D62699"/>
    <w:rsid w:val="00D633DC"/>
    <w:rsid w:val="00D77064"/>
    <w:rsid w:val="00D778E9"/>
    <w:rsid w:val="00D812BF"/>
    <w:rsid w:val="00D82620"/>
    <w:rsid w:val="00D85707"/>
    <w:rsid w:val="00D92394"/>
    <w:rsid w:val="00D940E4"/>
    <w:rsid w:val="00D9725F"/>
    <w:rsid w:val="00DA01B1"/>
    <w:rsid w:val="00DA11A2"/>
    <w:rsid w:val="00DA14ED"/>
    <w:rsid w:val="00DA26D6"/>
    <w:rsid w:val="00DB2EF1"/>
    <w:rsid w:val="00DB3DE1"/>
    <w:rsid w:val="00DB5DA0"/>
    <w:rsid w:val="00DB716C"/>
    <w:rsid w:val="00DC5C85"/>
    <w:rsid w:val="00DC7C5D"/>
    <w:rsid w:val="00DD28B8"/>
    <w:rsid w:val="00DD4236"/>
    <w:rsid w:val="00DD44F1"/>
    <w:rsid w:val="00DD6957"/>
    <w:rsid w:val="00DD6E7A"/>
    <w:rsid w:val="00DE3067"/>
    <w:rsid w:val="00DF1F1A"/>
    <w:rsid w:val="00DF3EEE"/>
    <w:rsid w:val="00DF75E1"/>
    <w:rsid w:val="00E022F6"/>
    <w:rsid w:val="00E027BC"/>
    <w:rsid w:val="00E03512"/>
    <w:rsid w:val="00E045BE"/>
    <w:rsid w:val="00E10F0D"/>
    <w:rsid w:val="00E14EA5"/>
    <w:rsid w:val="00E171AA"/>
    <w:rsid w:val="00E2070E"/>
    <w:rsid w:val="00E21133"/>
    <w:rsid w:val="00E2327E"/>
    <w:rsid w:val="00E23577"/>
    <w:rsid w:val="00E266EF"/>
    <w:rsid w:val="00E275EA"/>
    <w:rsid w:val="00E326A8"/>
    <w:rsid w:val="00E374DC"/>
    <w:rsid w:val="00E47428"/>
    <w:rsid w:val="00E51BA5"/>
    <w:rsid w:val="00E56C33"/>
    <w:rsid w:val="00E56C8E"/>
    <w:rsid w:val="00E5716B"/>
    <w:rsid w:val="00E57F1F"/>
    <w:rsid w:val="00E66B9F"/>
    <w:rsid w:val="00E70A6A"/>
    <w:rsid w:val="00E710D6"/>
    <w:rsid w:val="00E73DA4"/>
    <w:rsid w:val="00E76E45"/>
    <w:rsid w:val="00E777C9"/>
    <w:rsid w:val="00E81DA6"/>
    <w:rsid w:val="00E84212"/>
    <w:rsid w:val="00E9086C"/>
    <w:rsid w:val="00E90AAA"/>
    <w:rsid w:val="00E91A0F"/>
    <w:rsid w:val="00E94A71"/>
    <w:rsid w:val="00E94CBF"/>
    <w:rsid w:val="00EA03CE"/>
    <w:rsid w:val="00EA0A78"/>
    <w:rsid w:val="00EA23E5"/>
    <w:rsid w:val="00EA4E2E"/>
    <w:rsid w:val="00EB2417"/>
    <w:rsid w:val="00EB2CCB"/>
    <w:rsid w:val="00EB7A25"/>
    <w:rsid w:val="00EC0F3E"/>
    <w:rsid w:val="00EC2BDD"/>
    <w:rsid w:val="00EC3692"/>
    <w:rsid w:val="00EC57A7"/>
    <w:rsid w:val="00ED0817"/>
    <w:rsid w:val="00ED46D3"/>
    <w:rsid w:val="00ED6A94"/>
    <w:rsid w:val="00ED7DD9"/>
    <w:rsid w:val="00EE2F5E"/>
    <w:rsid w:val="00EE445B"/>
    <w:rsid w:val="00EE4DF3"/>
    <w:rsid w:val="00EF2346"/>
    <w:rsid w:val="00EF3113"/>
    <w:rsid w:val="00EF3F84"/>
    <w:rsid w:val="00F014E6"/>
    <w:rsid w:val="00F073F9"/>
    <w:rsid w:val="00F10411"/>
    <w:rsid w:val="00F176AC"/>
    <w:rsid w:val="00F17C9C"/>
    <w:rsid w:val="00F228E7"/>
    <w:rsid w:val="00F26F28"/>
    <w:rsid w:val="00F27714"/>
    <w:rsid w:val="00F31CD4"/>
    <w:rsid w:val="00F32685"/>
    <w:rsid w:val="00F3276E"/>
    <w:rsid w:val="00F33D3C"/>
    <w:rsid w:val="00F37A91"/>
    <w:rsid w:val="00F408A0"/>
    <w:rsid w:val="00F41694"/>
    <w:rsid w:val="00F45CF5"/>
    <w:rsid w:val="00F468A5"/>
    <w:rsid w:val="00F47DB0"/>
    <w:rsid w:val="00F50C3F"/>
    <w:rsid w:val="00F50E34"/>
    <w:rsid w:val="00F51AFB"/>
    <w:rsid w:val="00F52FB0"/>
    <w:rsid w:val="00F53EF7"/>
    <w:rsid w:val="00F54BF2"/>
    <w:rsid w:val="00F63331"/>
    <w:rsid w:val="00F636B9"/>
    <w:rsid w:val="00F7694B"/>
    <w:rsid w:val="00F775AC"/>
    <w:rsid w:val="00F8792F"/>
    <w:rsid w:val="00F9214D"/>
    <w:rsid w:val="00F92355"/>
    <w:rsid w:val="00F93963"/>
    <w:rsid w:val="00F94291"/>
    <w:rsid w:val="00FA059F"/>
    <w:rsid w:val="00FA298A"/>
    <w:rsid w:val="00FA5B66"/>
    <w:rsid w:val="00FB0B9C"/>
    <w:rsid w:val="00FB30EB"/>
    <w:rsid w:val="00FB7982"/>
    <w:rsid w:val="00FC0734"/>
    <w:rsid w:val="00FC0FC5"/>
    <w:rsid w:val="00FC588F"/>
    <w:rsid w:val="00FC6879"/>
    <w:rsid w:val="00FD43C2"/>
    <w:rsid w:val="00FD4DB4"/>
    <w:rsid w:val="00FD57CC"/>
    <w:rsid w:val="00FE1B30"/>
    <w:rsid w:val="00FE4CE2"/>
    <w:rsid w:val="00FE7B44"/>
    <w:rsid w:val="00FF10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E60CAF"/>
  <w15:docId w15:val="{BDCB4750-3092-4199-ADA5-C23C5B5FD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uiPriority="99" w:qFormat="1"/>
    <w:lsdException w:name="heading 2" w:uiPriority="99" w:qFormat="1"/>
    <w:lsdException w:name="heading 3" w:uiPriority="99" w:qFormat="1"/>
    <w:lsdException w:name="heading 4" w:uiPriority="9"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uiPriority w:val="99"/>
    <w:qFormat/>
    <w:pPr>
      <w:keepNext/>
      <w:spacing w:before="240" w:after="60" w:line="240" w:lineRule="auto"/>
      <w:outlineLvl w:val="0"/>
    </w:pPr>
    <w:rPr>
      <w:b/>
      <w:caps/>
      <w:kern w:val="28"/>
    </w:rPr>
  </w:style>
  <w:style w:type="paragraph" w:styleId="Heading2">
    <w:name w:val="heading 2"/>
    <w:basedOn w:val="Normal"/>
    <w:next w:val="ParaNumbering"/>
    <w:uiPriority w:val="99"/>
    <w:qFormat/>
    <w:pPr>
      <w:keepNext/>
      <w:spacing w:before="240" w:after="60" w:line="240" w:lineRule="auto"/>
      <w:outlineLvl w:val="1"/>
    </w:pPr>
    <w:rPr>
      <w:b/>
      <w:szCs w:val="24"/>
    </w:rPr>
  </w:style>
  <w:style w:type="paragraph" w:styleId="Heading3">
    <w:name w:val="heading 3"/>
    <w:basedOn w:val="Normal"/>
    <w:next w:val="ParaNumbering"/>
    <w:uiPriority w:val="99"/>
    <w:qFormat/>
    <w:pPr>
      <w:keepNext/>
      <w:spacing w:before="240" w:after="60" w:line="240" w:lineRule="auto"/>
      <w:outlineLvl w:val="2"/>
    </w:pPr>
    <w:rPr>
      <w:b/>
      <w:i/>
    </w:rPr>
  </w:style>
  <w:style w:type="paragraph" w:styleId="Heading4">
    <w:name w:val="heading 4"/>
    <w:basedOn w:val="Normal"/>
    <w:next w:val="ParaNumbering"/>
    <w:link w:val="Heading4Char"/>
    <w:uiPriority w:val="9"/>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uiPriority w:val="99"/>
    <w:semiHidden/>
    <w:unhideWhenUsed/>
    <w:rsid w:val="00077768"/>
    <w:pPr>
      <w:spacing w:line="240" w:lineRule="auto"/>
    </w:pPr>
    <w:rPr>
      <w:sz w:val="20"/>
    </w:rPr>
  </w:style>
  <w:style w:type="character" w:customStyle="1" w:styleId="FootnoteTextChar">
    <w:name w:val="Footnote Text Char"/>
    <w:basedOn w:val="DefaultParagraphFont"/>
    <w:link w:val="FootnoteText"/>
    <w:uiPriority w:val="99"/>
    <w:semiHidden/>
    <w:rsid w:val="00077768"/>
    <w:rPr>
      <w:lang w:eastAsia="en-US"/>
    </w:rPr>
  </w:style>
  <w:style w:type="character" w:styleId="FootnoteReference">
    <w:name w:val="footnote reference"/>
    <w:basedOn w:val="DefaultParagraphFont"/>
    <w:uiPriority w:val="99"/>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paragraph" w:customStyle="1" w:styleId="ActHead4">
    <w:name w:val="ActHead 4"/>
    <w:aliases w:val="sd"/>
    <w:basedOn w:val="Normal"/>
    <w:next w:val="Normal"/>
    <w:qFormat/>
    <w:rsid w:val="000D063E"/>
    <w:pPr>
      <w:keepNext/>
      <w:keepLines/>
      <w:spacing w:before="220" w:line="240" w:lineRule="auto"/>
      <w:ind w:left="1134" w:hanging="1134"/>
      <w:jc w:val="left"/>
      <w:outlineLvl w:val="3"/>
    </w:pPr>
    <w:rPr>
      <w:rFonts w:eastAsia="Times New Roman"/>
      <w:b/>
      <w:kern w:val="28"/>
      <w:sz w:val="26"/>
      <w:lang w:eastAsia="en-AU"/>
    </w:rPr>
  </w:style>
  <w:style w:type="paragraph" w:customStyle="1" w:styleId="ActHead3">
    <w:name w:val="ActHead 3"/>
    <w:aliases w:val="d"/>
    <w:basedOn w:val="Normal"/>
    <w:next w:val="ActHead4"/>
    <w:qFormat/>
    <w:rsid w:val="000D063E"/>
    <w:pPr>
      <w:keepNext/>
      <w:keepLines/>
      <w:spacing w:before="240" w:line="240" w:lineRule="auto"/>
      <w:ind w:left="1134" w:hanging="1134"/>
      <w:jc w:val="left"/>
      <w:outlineLvl w:val="2"/>
    </w:pPr>
    <w:rPr>
      <w:rFonts w:eastAsia="Times New Roman"/>
      <w:b/>
      <w:kern w:val="28"/>
      <w:sz w:val="28"/>
      <w:lang w:eastAsia="en-AU"/>
    </w:rPr>
  </w:style>
  <w:style w:type="character" w:customStyle="1" w:styleId="CharDivNo">
    <w:name w:val="CharDivNo"/>
    <w:basedOn w:val="DefaultParagraphFont"/>
    <w:qFormat/>
    <w:rsid w:val="000D063E"/>
    <w:rPr>
      <w:rFonts w:ascii="Times New Roman" w:hAnsi="Times New Roman" w:cs="Times New Roman" w:hint="default"/>
    </w:rPr>
  </w:style>
  <w:style w:type="character" w:customStyle="1" w:styleId="CharDivText">
    <w:name w:val="CharDivText"/>
    <w:basedOn w:val="DefaultParagraphFont"/>
    <w:qFormat/>
    <w:rsid w:val="000D063E"/>
    <w:rPr>
      <w:rFonts w:ascii="Times New Roman" w:hAnsi="Times New Roman" w:cs="Times New Roman" w:hint="default"/>
    </w:rPr>
  </w:style>
  <w:style w:type="character" w:customStyle="1" w:styleId="CharSubdNo">
    <w:name w:val="CharSubdNo"/>
    <w:basedOn w:val="DefaultParagraphFont"/>
    <w:uiPriority w:val="1"/>
    <w:qFormat/>
    <w:rsid w:val="000D063E"/>
    <w:rPr>
      <w:rFonts w:ascii="Times New Roman" w:hAnsi="Times New Roman" w:cs="Times New Roman" w:hint="default"/>
    </w:rPr>
  </w:style>
  <w:style w:type="character" w:customStyle="1" w:styleId="CharSubdText">
    <w:name w:val="CharSubdText"/>
    <w:basedOn w:val="DefaultParagraphFont"/>
    <w:uiPriority w:val="1"/>
    <w:qFormat/>
    <w:rsid w:val="000D063E"/>
    <w:rPr>
      <w:rFonts w:ascii="Times New Roman" w:hAnsi="Times New Roman" w:cs="Times New Roman" w:hint="default"/>
    </w:rPr>
  </w:style>
  <w:style w:type="character" w:customStyle="1" w:styleId="CommentTextChar">
    <w:name w:val="Comment Text Char"/>
    <w:basedOn w:val="DefaultParagraphFont"/>
    <w:link w:val="CommentText"/>
    <w:uiPriority w:val="99"/>
    <w:semiHidden/>
    <w:locked/>
    <w:rsid w:val="0097268C"/>
    <w:rPr>
      <w:lang w:eastAsia="en-US"/>
    </w:rPr>
  </w:style>
  <w:style w:type="character" w:customStyle="1" w:styleId="Heading4Char">
    <w:name w:val="Heading 4 Char"/>
    <w:basedOn w:val="DefaultParagraphFont"/>
    <w:link w:val="Heading4"/>
    <w:uiPriority w:val="9"/>
    <w:locked/>
    <w:rsid w:val="005D24A0"/>
    <w:rPr>
      <w:i/>
      <w:sz w:val="24"/>
      <w:szCs w:val="24"/>
      <w:lang w:eastAsia="en-US"/>
    </w:rPr>
  </w:style>
  <w:style w:type="paragraph" w:styleId="Revision">
    <w:name w:val="Revision"/>
    <w:hidden/>
    <w:uiPriority w:val="99"/>
    <w:semiHidden/>
    <w:rsid w:val="00880D28"/>
    <w:rPr>
      <w:sz w:val="24"/>
      <w:lang w:eastAsia="en-US"/>
    </w:rPr>
  </w:style>
  <w:style w:type="paragraph" w:customStyle="1" w:styleId="ActHead5">
    <w:name w:val="ActHead 5"/>
    <w:aliases w:val="s"/>
    <w:basedOn w:val="Normal"/>
    <w:next w:val="subsection"/>
    <w:link w:val="ActHead5Char"/>
    <w:qFormat/>
    <w:rsid w:val="003C418D"/>
    <w:pPr>
      <w:keepNext/>
      <w:keepLines/>
      <w:spacing w:before="280" w:line="240" w:lineRule="auto"/>
      <w:ind w:left="1134" w:hanging="1134"/>
      <w:jc w:val="left"/>
      <w:outlineLvl w:val="4"/>
    </w:pPr>
    <w:rPr>
      <w:rFonts w:eastAsia="Times New Roman"/>
      <w:b/>
      <w:kern w:val="28"/>
      <w:lang w:eastAsia="en-AU"/>
    </w:rPr>
  </w:style>
  <w:style w:type="paragraph" w:customStyle="1" w:styleId="subsection">
    <w:name w:val="subsection"/>
    <w:aliases w:val="ss"/>
    <w:basedOn w:val="Normal"/>
    <w:link w:val="subsectionChar"/>
    <w:rsid w:val="003C418D"/>
    <w:pPr>
      <w:tabs>
        <w:tab w:val="right" w:pos="1021"/>
      </w:tabs>
      <w:spacing w:before="180" w:line="240" w:lineRule="auto"/>
      <w:ind w:left="1134" w:hanging="1134"/>
      <w:jc w:val="left"/>
    </w:pPr>
    <w:rPr>
      <w:rFonts w:eastAsia="Times New Roman"/>
      <w:sz w:val="22"/>
      <w:lang w:eastAsia="en-AU"/>
    </w:rPr>
  </w:style>
  <w:style w:type="character" w:customStyle="1" w:styleId="CharSectno">
    <w:name w:val="CharSectno"/>
    <w:basedOn w:val="DefaultParagraphFont"/>
    <w:qFormat/>
    <w:rsid w:val="003C418D"/>
    <w:rPr>
      <w:rFonts w:cs="Times New Roman"/>
    </w:rPr>
  </w:style>
  <w:style w:type="character" w:customStyle="1" w:styleId="subsectionChar">
    <w:name w:val="subsection Char"/>
    <w:aliases w:val="ss Char"/>
    <w:basedOn w:val="DefaultParagraphFont"/>
    <w:link w:val="subsection"/>
    <w:locked/>
    <w:rsid w:val="003C418D"/>
    <w:rPr>
      <w:rFonts w:eastAsia="Times New Roman"/>
      <w:sz w:val="22"/>
    </w:rPr>
  </w:style>
  <w:style w:type="character" w:customStyle="1" w:styleId="ActHead5Char">
    <w:name w:val="ActHead 5 Char"/>
    <w:aliases w:val="s Char"/>
    <w:link w:val="ActHead5"/>
    <w:locked/>
    <w:rsid w:val="003C418D"/>
    <w:rPr>
      <w:rFonts w:eastAsia="Times New Roman"/>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11392">
      <w:bodyDiv w:val="1"/>
      <w:marLeft w:val="0"/>
      <w:marRight w:val="0"/>
      <w:marTop w:val="0"/>
      <w:marBottom w:val="0"/>
      <w:divBdr>
        <w:top w:val="none" w:sz="0" w:space="0" w:color="auto"/>
        <w:left w:val="none" w:sz="0" w:space="0" w:color="auto"/>
        <w:bottom w:val="none" w:sz="0" w:space="0" w:color="auto"/>
        <w:right w:val="none" w:sz="0" w:space="0" w:color="auto"/>
      </w:divBdr>
    </w:div>
    <w:div w:id="66848147">
      <w:bodyDiv w:val="1"/>
      <w:marLeft w:val="0"/>
      <w:marRight w:val="0"/>
      <w:marTop w:val="0"/>
      <w:marBottom w:val="0"/>
      <w:divBdr>
        <w:top w:val="none" w:sz="0" w:space="0" w:color="auto"/>
        <w:left w:val="none" w:sz="0" w:space="0" w:color="auto"/>
        <w:bottom w:val="none" w:sz="0" w:space="0" w:color="auto"/>
        <w:right w:val="none" w:sz="0" w:space="0" w:color="auto"/>
      </w:divBdr>
    </w:div>
    <w:div w:id="88812416">
      <w:bodyDiv w:val="1"/>
      <w:marLeft w:val="0"/>
      <w:marRight w:val="0"/>
      <w:marTop w:val="0"/>
      <w:marBottom w:val="0"/>
      <w:divBdr>
        <w:top w:val="none" w:sz="0" w:space="0" w:color="auto"/>
        <w:left w:val="none" w:sz="0" w:space="0" w:color="auto"/>
        <w:bottom w:val="none" w:sz="0" w:space="0" w:color="auto"/>
        <w:right w:val="none" w:sz="0" w:space="0" w:color="auto"/>
      </w:divBdr>
    </w:div>
    <w:div w:id="231432816">
      <w:bodyDiv w:val="1"/>
      <w:marLeft w:val="0"/>
      <w:marRight w:val="0"/>
      <w:marTop w:val="0"/>
      <w:marBottom w:val="0"/>
      <w:divBdr>
        <w:top w:val="none" w:sz="0" w:space="0" w:color="auto"/>
        <w:left w:val="none" w:sz="0" w:space="0" w:color="auto"/>
        <w:bottom w:val="none" w:sz="0" w:space="0" w:color="auto"/>
        <w:right w:val="none" w:sz="0" w:space="0" w:color="auto"/>
      </w:divBdr>
    </w:div>
    <w:div w:id="336157855">
      <w:bodyDiv w:val="1"/>
      <w:marLeft w:val="0"/>
      <w:marRight w:val="0"/>
      <w:marTop w:val="0"/>
      <w:marBottom w:val="0"/>
      <w:divBdr>
        <w:top w:val="none" w:sz="0" w:space="0" w:color="auto"/>
        <w:left w:val="none" w:sz="0" w:space="0" w:color="auto"/>
        <w:bottom w:val="none" w:sz="0" w:space="0" w:color="auto"/>
        <w:right w:val="none" w:sz="0" w:space="0" w:color="auto"/>
      </w:divBdr>
    </w:div>
    <w:div w:id="672802924">
      <w:bodyDiv w:val="1"/>
      <w:marLeft w:val="0"/>
      <w:marRight w:val="0"/>
      <w:marTop w:val="0"/>
      <w:marBottom w:val="0"/>
      <w:divBdr>
        <w:top w:val="none" w:sz="0" w:space="0" w:color="auto"/>
        <w:left w:val="none" w:sz="0" w:space="0" w:color="auto"/>
        <w:bottom w:val="none" w:sz="0" w:space="0" w:color="auto"/>
        <w:right w:val="none" w:sz="0" w:space="0" w:color="auto"/>
      </w:divBdr>
    </w:div>
    <w:div w:id="767232350">
      <w:bodyDiv w:val="1"/>
      <w:marLeft w:val="0"/>
      <w:marRight w:val="0"/>
      <w:marTop w:val="0"/>
      <w:marBottom w:val="0"/>
      <w:divBdr>
        <w:top w:val="none" w:sz="0" w:space="0" w:color="auto"/>
        <w:left w:val="none" w:sz="0" w:space="0" w:color="auto"/>
        <w:bottom w:val="none" w:sz="0" w:space="0" w:color="auto"/>
        <w:right w:val="none" w:sz="0" w:space="0" w:color="auto"/>
      </w:divBdr>
    </w:div>
    <w:div w:id="1147043279">
      <w:bodyDiv w:val="1"/>
      <w:marLeft w:val="0"/>
      <w:marRight w:val="0"/>
      <w:marTop w:val="0"/>
      <w:marBottom w:val="0"/>
      <w:divBdr>
        <w:top w:val="none" w:sz="0" w:space="0" w:color="auto"/>
        <w:left w:val="none" w:sz="0" w:space="0" w:color="auto"/>
        <w:bottom w:val="none" w:sz="0" w:space="0" w:color="auto"/>
        <w:right w:val="none" w:sz="0" w:space="0" w:color="auto"/>
      </w:divBdr>
    </w:div>
    <w:div w:id="1764103834">
      <w:bodyDiv w:val="1"/>
      <w:marLeft w:val="0"/>
      <w:marRight w:val="0"/>
      <w:marTop w:val="0"/>
      <w:marBottom w:val="0"/>
      <w:divBdr>
        <w:top w:val="none" w:sz="0" w:space="0" w:color="auto"/>
        <w:left w:val="none" w:sz="0" w:space="0" w:color="auto"/>
        <w:bottom w:val="none" w:sz="0" w:space="0" w:color="auto"/>
        <w:right w:val="none" w:sz="0" w:space="0" w:color="auto"/>
      </w:divBdr>
    </w:div>
    <w:div w:id="1976788632">
      <w:bodyDiv w:val="1"/>
      <w:marLeft w:val="0"/>
      <w:marRight w:val="0"/>
      <w:marTop w:val="0"/>
      <w:marBottom w:val="0"/>
      <w:divBdr>
        <w:top w:val="none" w:sz="0" w:space="0" w:color="auto"/>
        <w:left w:val="none" w:sz="0" w:space="0" w:color="auto"/>
        <w:bottom w:val="none" w:sz="0" w:space="0" w:color="auto"/>
        <w:right w:val="none" w:sz="0" w:space="0" w:color="auto"/>
      </w:divBdr>
    </w:div>
    <w:div w:id="210819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classic.austlii.edu.au/au/legis/cth/consol_act/fega2012278/s5.htm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lassic.austlii.edu.au/au/legis/cth/consol_act/fega2012278/s5.html" TargetMode="External"/><Relationship Id="rId23"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0a\AppData\Roaming\Microsoft\Template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1BAC1B6AC14B76B93823B425E65235"/>
        <w:category>
          <w:name w:val="General"/>
          <w:gallery w:val="placeholder"/>
        </w:category>
        <w:types>
          <w:type w:val="bbPlcHdr"/>
        </w:types>
        <w:behaviors>
          <w:behavior w:val="content"/>
        </w:behaviors>
        <w:guid w:val="{C635F3B7-1163-40F6-A881-46E93F10A82A}"/>
      </w:docPartPr>
      <w:docPartBody>
        <w:p w:rsidR="007D00BD" w:rsidRDefault="00413ED3">
          <w:pPr>
            <w:pStyle w:val="FD1BAC1B6AC14B76B93823B425E65235"/>
          </w:pPr>
          <w:r>
            <w:rPr>
              <w:rStyle w:val="PlaceholderText"/>
            </w:rPr>
            <w:t>MNC Text</w:t>
          </w:r>
        </w:p>
      </w:docPartBody>
    </w:docPart>
    <w:docPart>
      <w:docPartPr>
        <w:name w:val="D5AEFD3FE4854640A83F5C2DA65FC2F8"/>
        <w:category>
          <w:name w:val="General"/>
          <w:gallery w:val="placeholder"/>
        </w:category>
        <w:types>
          <w:type w:val="bbPlcHdr"/>
        </w:types>
        <w:behaviors>
          <w:behavior w:val="content"/>
        </w:behaviors>
        <w:guid w:val="{F1415E11-67BC-4437-A2A6-820F8DCB550C}"/>
      </w:docPartPr>
      <w:docPartBody>
        <w:p w:rsidR="007D00BD" w:rsidRDefault="00413ED3">
          <w:pPr>
            <w:pStyle w:val="D5AEFD3FE4854640A83F5C2DA65FC2F8"/>
          </w:pPr>
          <w:r w:rsidRPr="005C44BE">
            <w:rPr>
              <w:rStyle w:val="PlaceholderText"/>
            </w:rPr>
            <w:t>Click or tap here to enter text.</w:t>
          </w:r>
        </w:p>
      </w:docPartBody>
    </w:docPart>
    <w:docPart>
      <w:docPartPr>
        <w:name w:val="846CB8249A7D4CB3A631697322E19569"/>
        <w:category>
          <w:name w:val="General"/>
          <w:gallery w:val="placeholder"/>
        </w:category>
        <w:types>
          <w:type w:val="bbPlcHdr"/>
        </w:types>
        <w:behaviors>
          <w:behavior w:val="content"/>
        </w:behaviors>
        <w:guid w:val="{9DEC392C-F9B6-4D18-88A7-58B6C2B770C7}"/>
      </w:docPartPr>
      <w:docPartBody>
        <w:p w:rsidR="007D00BD" w:rsidRDefault="00413ED3">
          <w:pPr>
            <w:pStyle w:val="846CB8249A7D4CB3A631697322E19569"/>
          </w:pPr>
          <w:r w:rsidRPr="005C44BE">
            <w:rPr>
              <w:rStyle w:val="PlaceholderText"/>
            </w:rPr>
            <w:t>Click or tap here to enter text.</w:t>
          </w:r>
        </w:p>
      </w:docPartBody>
    </w:docPart>
    <w:docPart>
      <w:docPartPr>
        <w:name w:val="ADC37DCA504E4A20ABF1C4C7B52FA313"/>
        <w:category>
          <w:name w:val="General"/>
          <w:gallery w:val="placeholder"/>
        </w:category>
        <w:types>
          <w:type w:val="bbPlcHdr"/>
        </w:types>
        <w:behaviors>
          <w:behavior w:val="content"/>
        </w:behaviors>
        <w:guid w:val="{06B27CF1-6911-4AF6-87DF-D89DC72F6CDC}"/>
      </w:docPartPr>
      <w:docPartBody>
        <w:p w:rsidR="007D00BD" w:rsidRDefault="00413ED3">
          <w:pPr>
            <w:pStyle w:val="ADC37DCA504E4A20ABF1C4C7B52FA313"/>
          </w:pPr>
          <w:r w:rsidRPr="005C44BE">
            <w:rPr>
              <w:rStyle w:val="PlaceholderText"/>
            </w:rPr>
            <w:t>Click or tap here to enter text.</w:t>
          </w:r>
        </w:p>
      </w:docPartBody>
    </w:docPart>
    <w:docPart>
      <w:docPartPr>
        <w:name w:val="5193C43BB4E94C3F96B188A3E3329F41"/>
        <w:category>
          <w:name w:val="General"/>
          <w:gallery w:val="placeholder"/>
        </w:category>
        <w:types>
          <w:type w:val="bbPlcHdr"/>
        </w:types>
        <w:behaviors>
          <w:behavior w:val="content"/>
        </w:behaviors>
        <w:guid w:val="{C99F1A47-01E6-4ECB-8E20-FF02E0C316B6}"/>
      </w:docPartPr>
      <w:docPartBody>
        <w:p w:rsidR="007D00BD" w:rsidRDefault="00413ED3">
          <w:pPr>
            <w:pStyle w:val="5193C43BB4E94C3F96B188A3E3329F41"/>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ED3"/>
    <w:rsid w:val="00160C2E"/>
    <w:rsid w:val="003961DE"/>
    <w:rsid w:val="003D116C"/>
    <w:rsid w:val="003F52E0"/>
    <w:rsid w:val="00413ED3"/>
    <w:rsid w:val="00433389"/>
    <w:rsid w:val="005151A1"/>
    <w:rsid w:val="005916FC"/>
    <w:rsid w:val="00620E6A"/>
    <w:rsid w:val="0064395E"/>
    <w:rsid w:val="007D00BD"/>
    <w:rsid w:val="008147D3"/>
    <w:rsid w:val="00883BCE"/>
    <w:rsid w:val="008F5E95"/>
    <w:rsid w:val="009719DB"/>
    <w:rsid w:val="009C7694"/>
    <w:rsid w:val="00B80524"/>
    <w:rsid w:val="00E27572"/>
    <w:rsid w:val="00EB236E"/>
    <w:rsid w:val="00F057E9"/>
    <w:rsid w:val="00FB0D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D1BAC1B6AC14B76B93823B425E65235">
    <w:name w:val="FD1BAC1B6AC14B76B93823B425E65235"/>
  </w:style>
  <w:style w:type="paragraph" w:customStyle="1" w:styleId="D5AEFD3FE4854640A83F5C2DA65FC2F8">
    <w:name w:val="D5AEFD3FE4854640A83F5C2DA65FC2F8"/>
  </w:style>
  <w:style w:type="paragraph" w:customStyle="1" w:styleId="846CB8249A7D4CB3A631697322E19569">
    <w:name w:val="846CB8249A7D4CB3A631697322E19569"/>
  </w:style>
  <w:style w:type="paragraph" w:customStyle="1" w:styleId="ADC37DCA504E4A20ABF1C4C7B52FA313">
    <w:name w:val="ADC37DCA504E4A20ABF1C4C7B52FA313"/>
  </w:style>
  <w:style w:type="paragraph" w:customStyle="1" w:styleId="5193C43BB4E94C3F96B188A3E3329F41">
    <w:name w:val="5193C43BB4E94C3F96B188A3E3329F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Secretary, Attorney-General’s Department v Warren [2022] FCAFC 118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62A30D64-B4C1-4566-B08A-9A4BE1821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19</Pages>
  <Words>6611</Words>
  <Characters>33066</Characters>
  <Application>Microsoft Office Word</Application>
  <DocSecurity>0</DocSecurity>
  <Lines>601</Lines>
  <Paragraphs>200</Paragraphs>
  <ScaleCrop>false</ScaleCrop>
  <HeadingPairs>
    <vt:vector size="2" baseType="variant">
      <vt:variant>
        <vt:lpstr>Title</vt:lpstr>
      </vt:variant>
      <vt:variant>
        <vt:i4>1</vt:i4>
      </vt:variant>
    </vt:vector>
  </HeadingPairs>
  <TitlesOfParts>
    <vt:vector size="1" baseType="lpstr">
      <vt:lpstr>Secretary, Attorney-General’s Department v Warren [2022] FCAFC 118   </vt:lpstr>
    </vt:vector>
  </TitlesOfParts>
  <Company>Federal Court of Australia</Company>
  <LinksUpToDate>false</LinksUpToDate>
  <CharactersWithSpaces>39477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 Attorney-General’s Department v Warren [2022] FCAFC 118</dc:title>
  <dc:creator>Justice Thawley (FCA)</dc:creator>
  <dc:description>v1.3</dc:description>
  <cp:lastModifiedBy>Amy Chan</cp:lastModifiedBy>
  <cp:revision>4</cp:revision>
  <cp:lastPrinted>2022-06-23T07:28:00Z</cp:lastPrinted>
  <dcterms:created xsi:type="dcterms:W3CDTF">2022-07-12T02:02:00Z</dcterms:created>
  <dcterms:modified xsi:type="dcterms:W3CDTF">2022-07-12T02:23:00Z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18</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Employment and Industrial Relations</vt:lpwstr>
  </property>
  <property fmtid="{D5CDD505-2E9C-101B-9397-08002B2CF9AE}" pid="16" name="Court">
    <vt:lpwstr>Federal Court of Australia</vt:lpwstr>
  </property>
  <property fmtid="{D5CDD505-2E9C-101B-9397-08002B2CF9AE}" pid="17" name="Sub Area">
    <vt:lpwstr>(none)</vt:lpwstr>
  </property>
  <property fmtid="{D5CDD505-2E9C-101B-9397-08002B2CF9AE}" pid="18" name="AppealFrom">
    <vt:lpwstr>Warren v Secretary, Attorney-General's Department [2021] FCA 89</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