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52E1F6" w14:textId="77777777" w:rsidR="00395B24" w:rsidRDefault="00CB1EA0" w:rsidP="00A22932">
      <w:pPr>
        <w:pStyle w:val="CourtTitle"/>
      </w:pPr>
      <w:r>
        <w:fldChar w:fldCharType="begin"/>
      </w:r>
      <w:r>
        <w:instrText xml:space="preserve"> DOCPROPERTY  Court  \* MERGEFORMAT </w:instrText>
      </w:r>
      <w:r>
        <w:fldChar w:fldCharType="separate"/>
      </w:r>
      <w:r w:rsidR="009852F8">
        <w:t>Federal Court of Australia</w:t>
      </w:r>
      <w:r>
        <w:fldChar w:fldCharType="end"/>
      </w:r>
    </w:p>
    <w:p w14:paraId="4DB38597" w14:textId="77777777" w:rsidR="00395B24" w:rsidRDefault="00395B24">
      <w:pPr>
        <w:pStyle w:val="NormalHeadings"/>
        <w:jc w:val="center"/>
        <w:rPr>
          <w:sz w:val="32"/>
        </w:rPr>
      </w:pPr>
    </w:p>
    <w:bookmarkStart w:id="0" w:name="MNC"/>
    <w:p w14:paraId="7B18C8FE" w14:textId="4D770E3D" w:rsidR="00374CC4" w:rsidRDefault="00CB1EA0" w:rsidP="001A2B40">
      <w:pPr>
        <w:pStyle w:val="MNC"/>
      </w:pPr>
      <w:sdt>
        <w:sdtPr>
          <w:alias w:val="MNC"/>
          <w:tag w:val="MNC"/>
          <w:id w:val="343289786"/>
          <w:lock w:val="sdtLocked"/>
          <w:placeholder>
            <w:docPart w:val="D3506C5EC22E45E69E25336E41FAF256"/>
          </w:placeholder>
          <w:dataBinding w:prefixMappings="xmlns:ns0='http://schemas.globalmacros.com/FCA'" w:xpath="/ns0:root[1]/ns0:Name[1]" w:storeItemID="{687E7CCB-4AA5-44E7-B148-17BA2B6F57C0}"/>
          <w:text w:multiLine="1"/>
        </w:sdtPr>
        <w:sdtEndPr/>
        <w:sdtContent>
          <w:r w:rsidR="008958BF">
            <w:t xml:space="preserve">Ittyerah v Coles Supermarkets (Australia) Pty Ltd (No 3) </w:t>
          </w:r>
          <w:r w:rsidR="00902D1E">
            <w:t xml:space="preserve">[2021] </w:t>
          </w:r>
          <w:r w:rsidR="008958BF">
            <w:t xml:space="preserve">FCA </w:t>
          </w:r>
          <w:r w:rsidR="00F55268">
            <w:t>1117</w:t>
          </w:r>
          <w:r w:rsidR="008958BF">
            <w:t xml:space="preserve"> </w:t>
          </w:r>
        </w:sdtContent>
      </w:sdt>
      <w:bookmarkEnd w:id="0"/>
      <w:r w:rsidR="005C185C">
        <w:t xml:space="preserve"> </w:t>
      </w:r>
    </w:p>
    <w:tbl>
      <w:tblPr>
        <w:tblW w:w="9072" w:type="dxa"/>
        <w:tblLayout w:type="fixed"/>
        <w:tblLook w:val="01E0" w:firstRow="1" w:lastRow="1" w:firstColumn="1" w:lastColumn="1" w:noHBand="0" w:noVBand="0"/>
        <w:tblCaption w:val="Cover Table"/>
        <w:tblDescription w:val="Cover Table"/>
      </w:tblPr>
      <w:tblGrid>
        <w:gridCol w:w="3083"/>
        <w:gridCol w:w="5989"/>
      </w:tblGrid>
      <w:tr w:rsidR="00395B24" w14:paraId="61CCBE85" w14:textId="77777777" w:rsidTr="004E5266">
        <w:tc>
          <w:tcPr>
            <w:tcW w:w="3083" w:type="dxa"/>
            <w:shd w:val="clear" w:color="auto" w:fill="auto"/>
          </w:tcPr>
          <w:p w14:paraId="00E3C1FF" w14:textId="77777777" w:rsidR="00395B24" w:rsidRDefault="00E207F5" w:rsidP="00E207F5">
            <w:pPr>
              <w:pStyle w:val="Normal1linespace"/>
              <w:widowControl w:val="0"/>
              <w:jc w:val="left"/>
            </w:pPr>
            <w:r>
              <w:t>File number</w:t>
            </w:r>
            <w:r w:rsidR="002C7385">
              <w:t>:</w:t>
            </w:r>
          </w:p>
        </w:tc>
        <w:tc>
          <w:tcPr>
            <w:tcW w:w="5989" w:type="dxa"/>
            <w:shd w:val="clear" w:color="auto" w:fill="auto"/>
          </w:tcPr>
          <w:p w14:paraId="3C9601B8" w14:textId="77777777" w:rsidR="00395B24" w:rsidRPr="00E63B8A" w:rsidRDefault="00621538" w:rsidP="00E63B8A">
            <w:pPr>
              <w:pStyle w:val="Normal1linespace"/>
              <w:jc w:val="left"/>
            </w:pPr>
            <w:fldSimple w:instr=" REF  FileNo  \* MERGEFORMAT " w:fldLock="1">
              <w:r w:rsidR="00E63B8A" w:rsidRPr="00E63B8A">
                <w:t>NSD 212 of 2020</w:t>
              </w:r>
            </w:fldSimple>
          </w:p>
        </w:tc>
      </w:tr>
      <w:tr w:rsidR="00395B24" w14:paraId="28A57F14" w14:textId="77777777" w:rsidTr="004E5266">
        <w:tc>
          <w:tcPr>
            <w:tcW w:w="3083" w:type="dxa"/>
            <w:shd w:val="clear" w:color="auto" w:fill="auto"/>
          </w:tcPr>
          <w:p w14:paraId="06B5CEFC" w14:textId="77777777" w:rsidR="00395B24" w:rsidRDefault="00395B24" w:rsidP="00663878">
            <w:pPr>
              <w:pStyle w:val="Normal1linespace"/>
              <w:widowControl w:val="0"/>
              <w:jc w:val="left"/>
            </w:pPr>
          </w:p>
        </w:tc>
        <w:tc>
          <w:tcPr>
            <w:tcW w:w="5989" w:type="dxa"/>
            <w:shd w:val="clear" w:color="auto" w:fill="auto"/>
          </w:tcPr>
          <w:p w14:paraId="07D244C9" w14:textId="77777777" w:rsidR="00395B24" w:rsidRDefault="00395B24" w:rsidP="00663878">
            <w:pPr>
              <w:pStyle w:val="Normal1linespace"/>
              <w:widowControl w:val="0"/>
              <w:jc w:val="left"/>
            </w:pPr>
          </w:p>
        </w:tc>
      </w:tr>
      <w:tr w:rsidR="00395B24" w14:paraId="7AA61027" w14:textId="77777777" w:rsidTr="004E5266">
        <w:tc>
          <w:tcPr>
            <w:tcW w:w="3083" w:type="dxa"/>
            <w:shd w:val="clear" w:color="auto" w:fill="auto"/>
          </w:tcPr>
          <w:p w14:paraId="7008F49C" w14:textId="77777777" w:rsidR="00395B24" w:rsidRDefault="002C7385" w:rsidP="00663878">
            <w:pPr>
              <w:pStyle w:val="Normal1linespace"/>
              <w:widowControl w:val="0"/>
              <w:jc w:val="left"/>
            </w:pPr>
            <w:r>
              <w:t>Judg</w:t>
            </w:r>
            <w:r w:rsidR="005724F6">
              <w:t>ment of</w:t>
            </w:r>
            <w:r>
              <w:t>:</w:t>
            </w:r>
          </w:p>
        </w:tc>
        <w:tc>
          <w:tcPr>
            <w:tcW w:w="5989" w:type="dxa"/>
            <w:shd w:val="clear" w:color="auto" w:fill="auto"/>
          </w:tcPr>
          <w:p w14:paraId="229CF66A" w14:textId="77777777" w:rsidR="00395B24" w:rsidRDefault="002C7385" w:rsidP="00663878">
            <w:pPr>
              <w:pStyle w:val="Normal1linespace"/>
              <w:widowControl w:val="0"/>
              <w:jc w:val="left"/>
              <w:rPr>
                <w:b/>
              </w:rPr>
            </w:pPr>
            <w:r w:rsidRPr="00E63B8A">
              <w:rPr>
                <w:b/>
              </w:rPr>
              <w:fldChar w:fldCharType="begin" w:fldLock="1"/>
            </w:r>
            <w:r w:rsidRPr="00E63B8A">
              <w:rPr>
                <w:b/>
              </w:rPr>
              <w:instrText xml:space="preserve"> REF  Judge  \* MERGEFORMAT </w:instrText>
            </w:r>
            <w:r w:rsidRPr="00E63B8A">
              <w:rPr>
                <w:b/>
              </w:rPr>
              <w:fldChar w:fldCharType="separate"/>
            </w:r>
            <w:r w:rsidR="00E63B8A" w:rsidRPr="00E63B8A">
              <w:rPr>
                <w:b/>
                <w:caps/>
                <w:szCs w:val="24"/>
              </w:rPr>
              <w:t>ABRAHAM J</w:t>
            </w:r>
            <w:r w:rsidRPr="00E63B8A">
              <w:rPr>
                <w:b/>
              </w:rPr>
              <w:fldChar w:fldCharType="end"/>
            </w:r>
          </w:p>
        </w:tc>
      </w:tr>
      <w:tr w:rsidR="00395B24" w14:paraId="22D76B81" w14:textId="77777777" w:rsidTr="004E5266">
        <w:tc>
          <w:tcPr>
            <w:tcW w:w="3083" w:type="dxa"/>
            <w:shd w:val="clear" w:color="auto" w:fill="auto"/>
          </w:tcPr>
          <w:p w14:paraId="4FC6AB97" w14:textId="77777777" w:rsidR="00395B24" w:rsidRDefault="00395B24" w:rsidP="00663878">
            <w:pPr>
              <w:pStyle w:val="Normal1linespace"/>
              <w:widowControl w:val="0"/>
              <w:jc w:val="left"/>
            </w:pPr>
          </w:p>
        </w:tc>
        <w:tc>
          <w:tcPr>
            <w:tcW w:w="5989" w:type="dxa"/>
            <w:shd w:val="clear" w:color="auto" w:fill="auto"/>
          </w:tcPr>
          <w:p w14:paraId="13B1B0C7" w14:textId="77777777" w:rsidR="00395B24" w:rsidRDefault="00395B24" w:rsidP="00663878">
            <w:pPr>
              <w:pStyle w:val="Normal1linespace"/>
              <w:widowControl w:val="0"/>
              <w:jc w:val="left"/>
            </w:pPr>
          </w:p>
        </w:tc>
      </w:tr>
      <w:tr w:rsidR="00395B24" w14:paraId="61EC84AB" w14:textId="77777777" w:rsidTr="004E5266">
        <w:tc>
          <w:tcPr>
            <w:tcW w:w="3083" w:type="dxa"/>
            <w:shd w:val="clear" w:color="auto" w:fill="auto"/>
          </w:tcPr>
          <w:p w14:paraId="3D4409F5" w14:textId="77777777" w:rsidR="00395B24" w:rsidRDefault="002C7385" w:rsidP="00663878">
            <w:pPr>
              <w:pStyle w:val="Normal1linespace"/>
              <w:widowControl w:val="0"/>
              <w:jc w:val="left"/>
            </w:pPr>
            <w:r>
              <w:t>Date of judgment:</w:t>
            </w:r>
          </w:p>
        </w:tc>
        <w:tc>
          <w:tcPr>
            <w:tcW w:w="5989" w:type="dxa"/>
            <w:shd w:val="clear" w:color="auto" w:fill="auto"/>
          </w:tcPr>
          <w:p w14:paraId="763ECA87" w14:textId="14D5BFC5" w:rsidR="00395B24" w:rsidRDefault="00565100" w:rsidP="00056AC7">
            <w:pPr>
              <w:pStyle w:val="Normal1linespace"/>
              <w:widowControl w:val="0"/>
              <w:jc w:val="left"/>
            </w:pPr>
            <w:r>
              <w:t>16</w:t>
            </w:r>
            <w:r w:rsidR="00151551">
              <w:t xml:space="preserve"> </w:t>
            </w:r>
            <w:r w:rsidR="00056AC7">
              <w:t xml:space="preserve">September </w:t>
            </w:r>
            <w:r w:rsidR="00151551">
              <w:t>2021</w:t>
            </w:r>
          </w:p>
        </w:tc>
      </w:tr>
      <w:tr w:rsidR="00395B24" w14:paraId="5E122D36" w14:textId="77777777" w:rsidTr="004E5266">
        <w:tc>
          <w:tcPr>
            <w:tcW w:w="3083" w:type="dxa"/>
            <w:shd w:val="clear" w:color="auto" w:fill="auto"/>
          </w:tcPr>
          <w:p w14:paraId="49AA760D" w14:textId="77777777" w:rsidR="00395B24" w:rsidRDefault="00395B24" w:rsidP="00663878">
            <w:pPr>
              <w:pStyle w:val="Normal1linespace"/>
              <w:widowControl w:val="0"/>
              <w:jc w:val="left"/>
            </w:pPr>
          </w:p>
        </w:tc>
        <w:tc>
          <w:tcPr>
            <w:tcW w:w="5989" w:type="dxa"/>
            <w:shd w:val="clear" w:color="auto" w:fill="auto"/>
          </w:tcPr>
          <w:p w14:paraId="2B7FBA13" w14:textId="77777777" w:rsidR="00395B24" w:rsidRDefault="00395B24" w:rsidP="00663878">
            <w:pPr>
              <w:pStyle w:val="Normal1linespace"/>
              <w:widowControl w:val="0"/>
              <w:jc w:val="left"/>
            </w:pPr>
          </w:p>
        </w:tc>
      </w:tr>
      <w:tr w:rsidR="00395B24" w14:paraId="773CA3B7" w14:textId="77777777" w:rsidTr="004E5266">
        <w:tc>
          <w:tcPr>
            <w:tcW w:w="3083" w:type="dxa"/>
            <w:shd w:val="clear" w:color="auto" w:fill="auto"/>
          </w:tcPr>
          <w:p w14:paraId="7A5D674D" w14:textId="77777777" w:rsidR="00395B24" w:rsidRDefault="002C7385" w:rsidP="00663878">
            <w:pPr>
              <w:pStyle w:val="Normal1linespace"/>
              <w:widowControl w:val="0"/>
              <w:jc w:val="left"/>
            </w:pPr>
            <w:r>
              <w:t>Catchwords:</w:t>
            </w:r>
          </w:p>
        </w:tc>
        <w:tc>
          <w:tcPr>
            <w:tcW w:w="5989" w:type="dxa"/>
            <w:shd w:val="clear" w:color="auto" w:fill="auto"/>
          </w:tcPr>
          <w:p w14:paraId="6C50EA62" w14:textId="11FF4EEE" w:rsidR="00395B24" w:rsidRPr="002E2037" w:rsidRDefault="00C41EC8" w:rsidP="00C95F2A">
            <w:pPr>
              <w:pStyle w:val="Normal1linespace"/>
              <w:widowControl w:val="0"/>
              <w:jc w:val="left"/>
            </w:pPr>
            <w:r>
              <w:rPr>
                <w:b/>
                <w:bCs/>
                <w:caps/>
                <w:szCs w:val="24"/>
              </w:rPr>
              <w:t>costs</w:t>
            </w:r>
            <w:r w:rsidR="002E2037">
              <w:t xml:space="preserve"> – application for costs under s</w:t>
            </w:r>
            <w:r w:rsidR="005B28D0">
              <w:t xml:space="preserve"> </w:t>
            </w:r>
            <w:r w:rsidR="002E2037">
              <w:t xml:space="preserve">570 of the </w:t>
            </w:r>
            <w:r w:rsidR="002E2037">
              <w:rPr>
                <w:i/>
              </w:rPr>
              <w:t xml:space="preserve">Fair Work Act 2009 </w:t>
            </w:r>
            <w:r w:rsidR="002E2037">
              <w:t>(Cth)</w:t>
            </w:r>
            <w:r w:rsidR="005B28D0">
              <w:t xml:space="preserve"> </w:t>
            </w:r>
            <w:r w:rsidR="002E2037">
              <w:t xml:space="preserve">– whether </w:t>
            </w:r>
            <w:r w:rsidR="008E44BA">
              <w:t xml:space="preserve">the proceedings, viewed objectively at the time </w:t>
            </w:r>
            <w:r w:rsidR="00593345">
              <w:t>they</w:t>
            </w:r>
            <w:r w:rsidR="008E44BA">
              <w:t xml:space="preserve"> were instituted, were instituted without reasonable cause – </w:t>
            </w:r>
            <w:r w:rsidR="00FE15DD">
              <w:t xml:space="preserve">whether </w:t>
            </w:r>
            <w:r w:rsidR="001170F8">
              <w:t xml:space="preserve">interlocutory application instituted without reasonable cause – whether </w:t>
            </w:r>
            <w:r w:rsidR="00FE15DD">
              <w:t>persisting</w:t>
            </w:r>
            <w:r w:rsidR="005B28D0">
              <w:t xml:space="preserve"> with interlocutory </w:t>
            </w:r>
            <w:r w:rsidR="002E2037">
              <w:t>application</w:t>
            </w:r>
            <w:r w:rsidR="005B28D0">
              <w:t xml:space="preserve"> in circumstances where there was no utility in the orders sought constituted an “unreasonable act” – application </w:t>
            </w:r>
            <w:r w:rsidR="002E2037">
              <w:t>dismissed</w:t>
            </w:r>
          </w:p>
        </w:tc>
      </w:tr>
      <w:tr w:rsidR="00395B24" w14:paraId="4C4E0857" w14:textId="77777777" w:rsidTr="004E5266">
        <w:tc>
          <w:tcPr>
            <w:tcW w:w="3083" w:type="dxa"/>
            <w:shd w:val="clear" w:color="auto" w:fill="auto"/>
          </w:tcPr>
          <w:p w14:paraId="6C6195E5" w14:textId="77777777" w:rsidR="00395B24" w:rsidRDefault="00395B24" w:rsidP="00663878">
            <w:pPr>
              <w:pStyle w:val="Normal1linespace"/>
              <w:widowControl w:val="0"/>
              <w:jc w:val="left"/>
            </w:pPr>
          </w:p>
        </w:tc>
        <w:tc>
          <w:tcPr>
            <w:tcW w:w="5989" w:type="dxa"/>
            <w:shd w:val="clear" w:color="auto" w:fill="auto"/>
          </w:tcPr>
          <w:p w14:paraId="76C05A1D" w14:textId="77777777" w:rsidR="00395B24" w:rsidRDefault="00395B24" w:rsidP="00663878">
            <w:pPr>
              <w:pStyle w:val="Normal1linespace"/>
              <w:widowControl w:val="0"/>
              <w:jc w:val="left"/>
            </w:pPr>
          </w:p>
        </w:tc>
      </w:tr>
      <w:tr w:rsidR="00395B24" w14:paraId="14CD2C58" w14:textId="77777777" w:rsidTr="004E5266">
        <w:tc>
          <w:tcPr>
            <w:tcW w:w="3083" w:type="dxa"/>
            <w:shd w:val="clear" w:color="auto" w:fill="auto"/>
          </w:tcPr>
          <w:p w14:paraId="68A2CA8B" w14:textId="77777777" w:rsidR="00395B24" w:rsidRDefault="002C7385" w:rsidP="00663878">
            <w:pPr>
              <w:pStyle w:val="Normal1linespace"/>
              <w:widowControl w:val="0"/>
              <w:jc w:val="left"/>
            </w:pPr>
            <w:r>
              <w:t>Legislation:</w:t>
            </w:r>
          </w:p>
        </w:tc>
        <w:tc>
          <w:tcPr>
            <w:tcW w:w="5989" w:type="dxa"/>
            <w:shd w:val="clear" w:color="auto" w:fill="auto"/>
          </w:tcPr>
          <w:p w14:paraId="484127A3" w14:textId="77777777" w:rsidR="00923CFA" w:rsidRPr="00923CFA" w:rsidRDefault="00923CFA" w:rsidP="00523B93">
            <w:pPr>
              <w:pStyle w:val="CasesLegislationAppealFrom"/>
              <w:spacing w:after="60"/>
              <w:rPr>
                <w:szCs w:val="24"/>
              </w:rPr>
            </w:pPr>
            <w:bookmarkStart w:id="1" w:name="Legislation"/>
            <w:r w:rsidRPr="00523B93">
              <w:rPr>
                <w:i/>
                <w:szCs w:val="24"/>
              </w:rPr>
              <w:t xml:space="preserve">Fair Work Act 2009 </w:t>
            </w:r>
            <w:r w:rsidRPr="00523B93">
              <w:rPr>
                <w:szCs w:val="24"/>
              </w:rPr>
              <w:t>(Cth) ss 570, 570(2), 570(2)(a)</w:t>
            </w:r>
            <w:r w:rsidRPr="00266246">
              <w:rPr>
                <w:szCs w:val="24"/>
              </w:rPr>
              <w:t>, 570(2)(b)</w:t>
            </w:r>
            <w:r w:rsidRPr="00923CFA">
              <w:rPr>
                <w:szCs w:val="24"/>
              </w:rPr>
              <w:t>, 394(3)</w:t>
            </w:r>
          </w:p>
          <w:p w14:paraId="069A7CB3" w14:textId="77777777" w:rsidR="00923CFA" w:rsidRPr="00523B93" w:rsidRDefault="00923CFA" w:rsidP="00523B93">
            <w:pPr>
              <w:pStyle w:val="CasesLegislationAppealFrom"/>
              <w:spacing w:after="60"/>
            </w:pPr>
            <w:r w:rsidRPr="00923CFA">
              <w:rPr>
                <w:i/>
              </w:rPr>
              <w:t xml:space="preserve">Federal Court of Australia Act 1976 </w:t>
            </w:r>
            <w:r w:rsidRPr="00923CFA">
              <w:t>(Cth)</w:t>
            </w:r>
            <w:r>
              <w:t xml:space="preserve"> </w:t>
            </w:r>
            <w:r w:rsidRPr="00004A1D">
              <w:t>ss 31A, 37M-37N</w:t>
            </w:r>
          </w:p>
          <w:p w14:paraId="6FAE8264" w14:textId="77777777" w:rsidR="00BA6253" w:rsidRPr="00923CFA" w:rsidRDefault="00923CFA">
            <w:pPr>
              <w:pStyle w:val="CasesLegislationAppealFrom"/>
              <w:spacing w:after="60"/>
            </w:pPr>
            <w:r w:rsidRPr="00F077E5">
              <w:rPr>
                <w:i/>
              </w:rPr>
              <w:t xml:space="preserve">Federal Court Rules 2011 </w:t>
            </w:r>
            <w:r w:rsidRPr="00F077E5">
              <w:t>(Cth)</w:t>
            </w:r>
            <w:r w:rsidRPr="00523B93">
              <w:t xml:space="preserve"> </w:t>
            </w:r>
            <w:r>
              <w:t>r 40.02(b)</w:t>
            </w:r>
            <w:r w:rsidRPr="00523B93" w:rsidDel="00923CFA">
              <w:rPr>
                <w:i/>
                <w:szCs w:val="24"/>
              </w:rPr>
              <w:t xml:space="preserve"> </w:t>
            </w:r>
            <w:bookmarkEnd w:id="1"/>
          </w:p>
        </w:tc>
      </w:tr>
      <w:tr w:rsidR="00395B24" w14:paraId="109D5A93" w14:textId="77777777" w:rsidTr="004E5266">
        <w:tc>
          <w:tcPr>
            <w:tcW w:w="3083" w:type="dxa"/>
            <w:shd w:val="clear" w:color="auto" w:fill="auto"/>
          </w:tcPr>
          <w:p w14:paraId="1E2AE2BE" w14:textId="77777777" w:rsidR="00395B24" w:rsidRDefault="00395B24" w:rsidP="00663878">
            <w:pPr>
              <w:pStyle w:val="Normal1linespace"/>
              <w:widowControl w:val="0"/>
              <w:jc w:val="left"/>
            </w:pPr>
          </w:p>
        </w:tc>
        <w:tc>
          <w:tcPr>
            <w:tcW w:w="5989" w:type="dxa"/>
            <w:shd w:val="clear" w:color="auto" w:fill="auto"/>
          </w:tcPr>
          <w:p w14:paraId="6E496465" w14:textId="77777777" w:rsidR="00395B24" w:rsidRDefault="00395B24" w:rsidP="00663878">
            <w:pPr>
              <w:pStyle w:val="Normal1linespace"/>
              <w:widowControl w:val="0"/>
              <w:jc w:val="left"/>
            </w:pPr>
          </w:p>
        </w:tc>
      </w:tr>
      <w:tr w:rsidR="00395B24" w14:paraId="04A1D2D7" w14:textId="77777777" w:rsidTr="004E5266">
        <w:tc>
          <w:tcPr>
            <w:tcW w:w="3083" w:type="dxa"/>
            <w:shd w:val="clear" w:color="auto" w:fill="auto"/>
          </w:tcPr>
          <w:p w14:paraId="7FA871D2" w14:textId="77777777" w:rsidR="00395B24" w:rsidRDefault="002C7385" w:rsidP="00663878">
            <w:pPr>
              <w:pStyle w:val="Normal1linespace"/>
              <w:widowControl w:val="0"/>
              <w:jc w:val="left"/>
            </w:pPr>
            <w:r>
              <w:t>Cases cited:</w:t>
            </w:r>
          </w:p>
        </w:tc>
        <w:tc>
          <w:tcPr>
            <w:tcW w:w="5989" w:type="dxa"/>
            <w:shd w:val="clear" w:color="auto" w:fill="auto"/>
          </w:tcPr>
          <w:p w14:paraId="7C237CDF" w14:textId="77777777" w:rsidR="00923CFA" w:rsidRPr="00923CFA" w:rsidRDefault="00923CFA" w:rsidP="00523B93">
            <w:pPr>
              <w:pStyle w:val="CasesLegislationAppealFrom"/>
              <w:spacing w:after="60"/>
            </w:pPr>
            <w:bookmarkStart w:id="2" w:name="Cases_Cited"/>
            <w:r w:rsidRPr="00523B93">
              <w:rPr>
                <w:i/>
              </w:rPr>
              <w:t xml:space="preserve">Australian Workers’ Union v Leighton Contractors Pty Limited </w:t>
            </w:r>
            <w:r w:rsidRPr="00923CFA">
              <w:rPr>
                <w:i/>
              </w:rPr>
              <w:t xml:space="preserve">&amp; Ors (No 2) </w:t>
            </w:r>
            <w:r w:rsidRPr="00923CFA">
              <w:t>[2013] FCAFC 23</w:t>
            </w:r>
            <w:r w:rsidRPr="00923CFA" w:rsidDel="008958BF">
              <w:t>2</w:t>
            </w:r>
            <w:r w:rsidRPr="00923CFA">
              <w:t>; (2013) 232 FCR 428</w:t>
            </w:r>
          </w:p>
          <w:p w14:paraId="787A7351" w14:textId="77777777" w:rsidR="00923CFA" w:rsidRPr="00923CFA" w:rsidRDefault="00923CFA">
            <w:pPr>
              <w:pStyle w:val="CasesLegislationAppealFrom"/>
              <w:spacing w:after="60"/>
              <w:rPr>
                <w:szCs w:val="24"/>
              </w:rPr>
            </w:pPr>
            <w:r w:rsidRPr="00923CFA">
              <w:rPr>
                <w:i/>
                <w:szCs w:val="24"/>
              </w:rPr>
              <w:t xml:space="preserve">Baker v Patrick Projects Pty Ltd (No 2) </w:t>
            </w:r>
            <w:r w:rsidRPr="00923CFA">
              <w:rPr>
                <w:szCs w:val="24"/>
              </w:rPr>
              <w:t>[2014] FCAFC 166; (2014) 145 ALD 548</w:t>
            </w:r>
          </w:p>
          <w:p w14:paraId="0CA6D175" w14:textId="77777777" w:rsidR="00923CFA" w:rsidRPr="00923CFA" w:rsidRDefault="00923CFA">
            <w:pPr>
              <w:pStyle w:val="CasesLegislationAppealFrom"/>
              <w:spacing w:after="60"/>
            </w:pPr>
            <w:r w:rsidRPr="00923CFA">
              <w:rPr>
                <w:i/>
              </w:rPr>
              <w:t xml:space="preserve">Construction, Forestry, Mining and Energy Union v BHP Coal Pty Ltd (No 2) </w:t>
            </w:r>
            <w:r w:rsidRPr="00923CFA">
              <w:t>[2015] FCAFC 97;</w:t>
            </w:r>
            <w:r w:rsidRPr="00923CFA">
              <w:rPr>
                <w:i/>
              </w:rPr>
              <w:t xml:space="preserve"> </w:t>
            </w:r>
            <w:r w:rsidRPr="00923CFA">
              <w:t>(2015) 230 FCR 337</w:t>
            </w:r>
          </w:p>
          <w:p w14:paraId="76BE1FAF" w14:textId="77777777" w:rsidR="00923CFA" w:rsidRPr="00523B93" w:rsidRDefault="00923CFA">
            <w:pPr>
              <w:pStyle w:val="CasesLegislationAppealFrom"/>
              <w:spacing w:after="60"/>
            </w:pPr>
            <w:r w:rsidRPr="00923CFA">
              <w:rPr>
                <w:bCs/>
                <w:i/>
                <w:color w:val="000000" w:themeColor="text1"/>
                <w:szCs w:val="24"/>
                <w:shd w:val="clear" w:color="auto" w:fill="FFFFFF"/>
              </w:rPr>
              <w:t>Harpham v Communications, Electrical, Electronic, Energy, Information, Postal, Plumbing and Allied Services Union of Australia (No 2)</w:t>
            </w:r>
            <w:r w:rsidRPr="00923CFA">
              <w:rPr>
                <w:bCs/>
                <w:color w:val="000000" w:themeColor="text1"/>
                <w:szCs w:val="24"/>
                <w:shd w:val="clear" w:color="auto" w:fill="FFFFFF"/>
              </w:rPr>
              <w:t> </w:t>
            </w:r>
            <w:r w:rsidR="00F71A83" w:rsidRPr="00523B93" w:rsidDel="00A9701B">
              <w:rPr>
                <w:bCs/>
                <w:color w:val="000000" w:themeColor="text1"/>
                <w:szCs w:val="24"/>
              </w:rPr>
              <w:t>[2017] FCA 140</w:t>
            </w:r>
          </w:p>
          <w:p w14:paraId="76D286E4" w14:textId="77777777" w:rsidR="00923CFA" w:rsidRPr="00923CFA" w:rsidRDefault="00923CFA">
            <w:pPr>
              <w:pStyle w:val="CasesLegislationAppealFrom"/>
              <w:spacing w:after="60"/>
              <w:rPr>
                <w:color w:val="000000" w:themeColor="text1"/>
              </w:rPr>
            </w:pPr>
            <w:r w:rsidRPr="00923CFA">
              <w:rPr>
                <w:i/>
                <w:color w:val="000000" w:themeColor="text1"/>
              </w:rPr>
              <w:t xml:space="preserve">Hartnett Legal Services Pty Ltd v Ballantyne (No 2) </w:t>
            </w:r>
            <w:r w:rsidRPr="00923CFA">
              <w:rPr>
                <w:color w:val="000000" w:themeColor="text1"/>
              </w:rPr>
              <w:t>[2015] FCA 1027</w:t>
            </w:r>
          </w:p>
          <w:p w14:paraId="058DBEA9" w14:textId="77777777" w:rsidR="00923CFA" w:rsidRPr="00523B93" w:rsidRDefault="00923CFA">
            <w:pPr>
              <w:pStyle w:val="CasesLegislationAppealFrom"/>
              <w:spacing w:after="60"/>
              <w:rPr>
                <w:bCs/>
                <w:lang w:val="en"/>
              </w:rPr>
            </w:pPr>
            <w:r w:rsidRPr="00923CFA">
              <w:rPr>
                <w:bCs/>
                <w:i/>
                <w:lang w:val="en"/>
              </w:rPr>
              <w:t>Ittyerah v Coles Supermarkets (Australia) Pty Ltd (No 2)</w:t>
            </w:r>
            <w:r w:rsidRPr="00923CFA">
              <w:rPr>
                <w:bCs/>
                <w:lang w:val="en"/>
              </w:rPr>
              <w:t xml:space="preserve"> </w:t>
            </w:r>
            <w:r w:rsidRPr="00523B93">
              <w:rPr>
                <w:bCs/>
                <w:lang w:val="en"/>
              </w:rPr>
              <w:t>[2021] FCA 412</w:t>
            </w:r>
          </w:p>
          <w:p w14:paraId="29D8072D" w14:textId="77777777" w:rsidR="00923CFA" w:rsidRPr="00523B93" w:rsidRDefault="00923CFA">
            <w:pPr>
              <w:pStyle w:val="CasesLegislationAppealFrom"/>
              <w:spacing w:after="60"/>
              <w:rPr>
                <w:bCs/>
                <w:lang w:val="en"/>
              </w:rPr>
            </w:pPr>
            <w:r w:rsidRPr="00523B93">
              <w:rPr>
                <w:bCs/>
                <w:i/>
                <w:lang w:val="en"/>
              </w:rPr>
              <w:t>Ittyerah v Coles Supermarkets (Australia) Pty Ltd</w:t>
            </w:r>
            <w:r w:rsidRPr="00523B93">
              <w:rPr>
                <w:bCs/>
                <w:lang w:val="en"/>
              </w:rPr>
              <w:t xml:space="preserve"> [2020] FCA 1497</w:t>
            </w:r>
          </w:p>
          <w:p w14:paraId="5F982283" w14:textId="77777777" w:rsidR="00923CFA" w:rsidRPr="00923CFA" w:rsidRDefault="00923CFA">
            <w:pPr>
              <w:pStyle w:val="CasesLegislationAppealFrom"/>
              <w:spacing w:after="60"/>
            </w:pPr>
            <w:r w:rsidRPr="00923CFA">
              <w:rPr>
                <w:i/>
              </w:rPr>
              <w:t xml:space="preserve">Ittyerah v Coles Supermarkets (Australia) Pty Ltd </w:t>
            </w:r>
            <w:r w:rsidRPr="00923CFA">
              <w:t>[2020] FWCFB 407</w:t>
            </w:r>
          </w:p>
          <w:p w14:paraId="6A70DB45" w14:textId="77777777" w:rsidR="00923CFA" w:rsidRPr="00923CFA" w:rsidRDefault="00923CFA">
            <w:pPr>
              <w:pStyle w:val="CasesLegislationAppealFrom"/>
              <w:spacing w:after="60"/>
            </w:pPr>
            <w:r w:rsidRPr="00923CFA">
              <w:rPr>
                <w:i/>
              </w:rPr>
              <w:t xml:space="preserve">Ittyerah v Coles Supermarkets Australia Pty Ltd </w:t>
            </w:r>
            <w:r w:rsidRPr="00923CFA">
              <w:t>[2019] FWC 7404</w:t>
            </w:r>
          </w:p>
          <w:p w14:paraId="0698E48D" w14:textId="77777777" w:rsidR="00923CFA" w:rsidRPr="00923CFA" w:rsidRDefault="00923CFA">
            <w:pPr>
              <w:pStyle w:val="CasesLegislationAppealFrom"/>
              <w:spacing w:after="60"/>
            </w:pPr>
            <w:r w:rsidRPr="00923CFA">
              <w:rPr>
                <w:i/>
              </w:rPr>
              <w:lastRenderedPageBreak/>
              <w:t xml:space="preserve">Liu v Stephen Grubits and Associates (No 2) </w:t>
            </w:r>
            <w:r w:rsidRPr="00923CFA">
              <w:t>[2019] FCAFC 42</w:t>
            </w:r>
          </w:p>
          <w:p w14:paraId="328499B7" w14:textId="77777777" w:rsidR="00923CFA" w:rsidRPr="00923CFA" w:rsidRDefault="00923CFA">
            <w:pPr>
              <w:pStyle w:val="CasesLegislationAppealFrom"/>
              <w:spacing w:after="60"/>
              <w:rPr>
                <w:szCs w:val="24"/>
              </w:rPr>
            </w:pPr>
            <w:r w:rsidRPr="00923CFA">
              <w:rPr>
                <w:i/>
                <w:szCs w:val="24"/>
              </w:rPr>
              <w:t xml:space="preserve">Menzies v Fair Work Commission </w:t>
            </w:r>
            <w:r w:rsidRPr="00923CFA">
              <w:rPr>
                <w:szCs w:val="24"/>
              </w:rPr>
              <w:t>[2020] FCA 36; (2020) 293 IR 301</w:t>
            </w:r>
          </w:p>
          <w:p w14:paraId="2409C691" w14:textId="77777777" w:rsidR="00923CFA" w:rsidRPr="00923CFA" w:rsidRDefault="00923CFA">
            <w:pPr>
              <w:pStyle w:val="CasesLegislationAppealFrom"/>
              <w:spacing w:after="60"/>
              <w:rPr>
                <w:szCs w:val="24"/>
              </w:rPr>
            </w:pPr>
            <w:r w:rsidRPr="00923CFA">
              <w:rPr>
                <w:i/>
                <w:szCs w:val="24"/>
              </w:rPr>
              <w:t xml:space="preserve">Pal v Commonwealth of Australia (No 2) </w:t>
            </w:r>
            <w:r w:rsidRPr="00923CFA">
              <w:rPr>
                <w:szCs w:val="24"/>
              </w:rPr>
              <w:t>[2021] FCA 37</w:t>
            </w:r>
          </w:p>
          <w:p w14:paraId="26136E49" w14:textId="77777777" w:rsidR="00923CFA" w:rsidRPr="00923CFA" w:rsidRDefault="00923CFA">
            <w:pPr>
              <w:pStyle w:val="CasesLegislationAppealFrom"/>
              <w:spacing w:after="60"/>
            </w:pPr>
            <w:r w:rsidRPr="00923CFA">
              <w:rPr>
                <w:i/>
              </w:rPr>
              <w:t xml:space="preserve">Reeve v Ramsay Health Care Australia Pty Ltd (No 2) </w:t>
            </w:r>
            <w:r w:rsidRPr="00923CFA">
              <w:t>[2012] FCA 1322</w:t>
            </w:r>
          </w:p>
          <w:p w14:paraId="527AB68B" w14:textId="77777777" w:rsidR="00923CFA" w:rsidRPr="00523B93" w:rsidRDefault="00923CFA">
            <w:pPr>
              <w:pStyle w:val="CasesLegislationAppealFrom"/>
              <w:spacing w:after="60"/>
              <w:rPr>
                <w:bCs/>
                <w:lang w:val="en"/>
              </w:rPr>
            </w:pPr>
            <w:r w:rsidRPr="00923CFA">
              <w:rPr>
                <w:bCs/>
                <w:i/>
                <w:lang w:val="en"/>
              </w:rPr>
              <w:t>Sabapathy v Jetstar Airways (No 2)</w:t>
            </w:r>
            <w:r w:rsidRPr="00923CFA">
              <w:rPr>
                <w:bCs/>
                <w:lang w:val="en"/>
              </w:rPr>
              <w:t xml:space="preserve"> </w:t>
            </w:r>
            <w:hyperlink r:id="rId9" w:tooltip="View Case" w:history="1">
              <w:r w:rsidRPr="00523B93" w:rsidDel="00774FC3">
                <w:rPr>
                  <w:bCs/>
                  <w:lang w:val="en"/>
                </w:rPr>
                <w:t>[2021] FCAFC 68</w:t>
              </w:r>
            </w:hyperlink>
            <w:r w:rsidRPr="00523B93">
              <w:rPr>
                <w:bCs/>
                <w:lang w:val="en"/>
              </w:rPr>
              <w:t>[2021] FCAFC 68</w:t>
            </w:r>
          </w:p>
          <w:p w14:paraId="48B9CC09" w14:textId="77777777" w:rsidR="00923CFA" w:rsidRPr="00923CFA" w:rsidRDefault="00923CFA">
            <w:pPr>
              <w:pStyle w:val="CasesLegislationAppealFrom"/>
              <w:spacing w:after="60"/>
            </w:pPr>
            <w:r w:rsidRPr="00923CFA">
              <w:rPr>
                <w:i/>
              </w:rPr>
              <w:t>Spotless</w:t>
            </w:r>
            <w:r w:rsidRPr="00923CFA">
              <w:rPr>
                <w:i/>
                <w:spacing w:val="-11"/>
              </w:rPr>
              <w:t xml:space="preserve"> </w:t>
            </w:r>
            <w:r w:rsidRPr="00923CFA">
              <w:rPr>
                <w:i/>
              </w:rPr>
              <w:t>Services</w:t>
            </w:r>
            <w:r w:rsidRPr="00923CFA">
              <w:rPr>
                <w:i/>
                <w:spacing w:val="-11"/>
              </w:rPr>
              <w:t xml:space="preserve"> </w:t>
            </w:r>
            <w:r w:rsidRPr="00923CFA">
              <w:rPr>
                <w:i/>
              </w:rPr>
              <w:t>Australia</w:t>
            </w:r>
            <w:r w:rsidRPr="00923CFA">
              <w:rPr>
                <w:i/>
                <w:spacing w:val="-12"/>
              </w:rPr>
              <w:t xml:space="preserve"> </w:t>
            </w:r>
            <w:r w:rsidRPr="00923CFA">
              <w:rPr>
                <w:i/>
              </w:rPr>
              <w:t>Ltd</w:t>
            </w:r>
            <w:r w:rsidRPr="00923CFA">
              <w:rPr>
                <w:i/>
                <w:spacing w:val="-11"/>
              </w:rPr>
              <w:t xml:space="preserve"> </w:t>
            </w:r>
            <w:r w:rsidRPr="00923CFA">
              <w:rPr>
                <w:i/>
              </w:rPr>
              <w:t>v</w:t>
            </w:r>
            <w:r w:rsidRPr="00923CFA">
              <w:rPr>
                <w:i/>
                <w:spacing w:val="-11"/>
              </w:rPr>
              <w:t xml:space="preserve"> </w:t>
            </w:r>
            <w:r w:rsidRPr="00923CFA">
              <w:rPr>
                <w:i/>
              </w:rPr>
              <w:t>The</w:t>
            </w:r>
            <w:r w:rsidRPr="00923CFA">
              <w:rPr>
                <w:i/>
                <w:spacing w:val="-11"/>
              </w:rPr>
              <w:t xml:space="preserve"> </w:t>
            </w:r>
            <w:r w:rsidRPr="00923CFA">
              <w:rPr>
                <w:i/>
              </w:rPr>
              <w:t>Honourable</w:t>
            </w:r>
            <w:r w:rsidRPr="00923CFA">
              <w:rPr>
                <w:i/>
                <w:spacing w:val="-11"/>
              </w:rPr>
              <w:t xml:space="preserve"> </w:t>
            </w:r>
            <w:r w:rsidRPr="00923CFA">
              <w:rPr>
                <w:i/>
              </w:rPr>
              <w:t>Senior</w:t>
            </w:r>
            <w:r w:rsidRPr="00923CFA">
              <w:rPr>
                <w:i/>
                <w:spacing w:val="-11"/>
              </w:rPr>
              <w:t xml:space="preserve"> </w:t>
            </w:r>
            <w:r w:rsidRPr="00923CFA">
              <w:rPr>
                <w:i/>
              </w:rPr>
              <w:t>Deputy</w:t>
            </w:r>
            <w:r w:rsidRPr="00923CFA">
              <w:rPr>
                <w:i/>
                <w:spacing w:val="-11"/>
              </w:rPr>
              <w:t xml:space="preserve"> </w:t>
            </w:r>
            <w:r w:rsidRPr="00923CFA">
              <w:rPr>
                <w:i/>
              </w:rPr>
              <w:t>President</w:t>
            </w:r>
            <w:r w:rsidRPr="00923CFA">
              <w:rPr>
                <w:i/>
                <w:spacing w:val="-11"/>
              </w:rPr>
              <w:t xml:space="preserve"> </w:t>
            </w:r>
            <w:r w:rsidRPr="00923CFA">
              <w:rPr>
                <w:i/>
              </w:rPr>
              <w:t>Jeanette</w:t>
            </w:r>
            <w:r w:rsidRPr="00923CFA">
              <w:rPr>
                <w:i/>
                <w:spacing w:val="-11"/>
              </w:rPr>
              <w:t xml:space="preserve"> </w:t>
            </w:r>
            <w:r w:rsidRPr="00923CFA">
              <w:rPr>
                <w:i/>
              </w:rPr>
              <w:t>Marsh</w:t>
            </w:r>
            <w:r w:rsidRPr="00923CFA">
              <w:rPr>
                <w:i/>
                <w:spacing w:val="-11"/>
              </w:rPr>
              <w:t xml:space="preserve"> </w:t>
            </w:r>
            <w:r w:rsidRPr="00923CFA">
              <w:t>[2004]</w:t>
            </w:r>
            <w:r w:rsidRPr="00923CFA">
              <w:rPr>
                <w:spacing w:val="-11"/>
              </w:rPr>
              <w:t xml:space="preserve"> </w:t>
            </w:r>
            <w:r w:rsidRPr="00923CFA">
              <w:t>FCAFC 155</w:t>
            </w:r>
          </w:p>
          <w:p w14:paraId="1AD5516F" w14:textId="77777777" w:rsidR="00923CFA" w:rsidRPr="00523B93" w:rsidRDefault="00923CFA">
            <w:pPr>
              <w:pStyle w:val="CasesLegislationAppealFrom"/>
              <w:spacing w:after="60"/>
            </w:pPr>
            <w:r w:rsidRPr="00923CFA">
              <w:rPr>
                <w:i/>
                <w:iCs/>
                <w:lang w:val="en"/>
              </w:rPr>
              <w:t>Trustee for The MTGI Trust v Johnston (No 2)</w:t>
            </w:r>
            <w:r w:rsidRPr="00923CFA">
              <w:rPr>
                <w:lang w:val="en"/>
              </w:rPr>
              <w:t xml:space="preserve"> </w:t>
            </w:r>
            <w:bookmarkEnd w:id="2"/>
            <w:r w:rsidR="00C857A6" w:rsidRPr="00523B93">
              <w:rPr>
                <w:lang w:val="en"/>
              </w:rPr>
              <w:t>[2016] FCAFC 190</w:t>
            </w:r>
          </w:p>
        </w:tc>
      </w:tr>
      <w:tr w:rsidR="004E0D3E" w14:paraId="3A483CFF" w14:textId="77777777" w:rsidTr="004E5266">
        <w:tc>
          <w:tcPr>
            <w:tcW w:w="3083" w:type="dxa"/>
            <w:shd w:val="clear" w:color="auto" w:fill="auto"/>
          </w:tcPr>
          <w:p w14:paraId="4F222878" w14:textId="77777777" w:rsidR="004E0D3E" w:rsidRDefault="004E0D3E" w:rsidP="00663878">
            <w:pPr>
              <w:pStyle w:val="Normal1linespace"/>
              <w:widowControl w:val="0"/>
              <w:jc w:val="left"/>
            </w:pPr>
          </w:p>
        </w:tc>
        <w:tc>
          <w:tcPr>
            <w:tcW w:w="5989" w:type="dxa"/>
            <w:shd w:val="clear" w:color="auto" w:fill="auto"/>
          </w:tcPr>
          <w:p w14:paraId="6C775D6E" w14:textId="77777777" w:rsidR="004E0D3E" w:rsidRPr="000A07A5" w:rsidRDefault="004E0D3E" w:rsidP="000A07A5">
            <w:pPr>
              <w:pStyle w:val="CasesLegislationAppealFrom"/>
              <w:spacing w:after="60"/>
              <w:rPr>
                <w:i/>
              </w:rPr>
            </w:pPr>
          </w:p>
        </w:tc>
      </w:tr>
      <w:tr w:rsidR="004E0D3E" w14:paraId="5E4C131A" w14:textId="77777777" w:rsidTr="004E5266">
        <w:tc>
          <w:tcPr>
            <w:tcW w:w="3083" w:type="dxa"/>
            <w:shd w:val="clear" w:color="auto" w:fill="auto"/>
          </w:tcPr>
          <w:p w14:paraId="0058DC2E" w14:textId="77777777" w:rsidR="004E0D3E" w:rsidRDefault="004E0D3E" w:rsidP="00663878">
            <w:pPr>
              <w:pStyle w:val="Normal1linespace"/>
              <w:widowControl w:val="0"/>
              <w:jc w:val="left"/>
            </w:pPr>
            <w:r>
              <w:t>Division</w:t>
            </w:r>
          </w:p>
        </w:tc>
        <w:tc>
          <w:tcPr>
            <w:tcW w:w="5989" w:type="dxa"/>
            <w:shd w:val="clear" w:color="auto" w:fill="auto"/>
          </w:tcPr>
          <w:p w14:paraId="6C038682" w14:textId="77777777" w:rsidR="004E0D3E" w:rsidRPr="004E0D3E" w:rsidRDefault="00555B6A" w:rsidP="000A07A5">
            <w:pPr>
              <w:pStyle w:val="CasesLegislationAppealFrom"/>
              <w:spacing w:after="60"/>
            </w:pPr>
            <w:r>
              <w:t xml:space="preserve">Fair Work </w:t>
            </w:r>
          </w:p>
        </w:tc>
      </w:tr>
      <w:tr w:rsidR="00E207F5" w14:paraId="47F27339" w14:textId="77777777" w:rsidTr="004E5266">
        <w:tc>
          <w:tcPr>
            <w:tcW w:w="3083" w:type="dxa"/>
            <w:shd w:val="clear" w:color="auto" w:fill="auto"/>
          </w:tcPr>
          <w:p w14:paraId="2785A7A3" w14:textId="77777777" w:rsidR="00E207F5" w:rsidRDefault="00E207F5" w:rsidP="00663878">
            <w:pPr>
              <w:pStyle w:val="Normal1linespace"/>
              <w:widowControl w:val="0"/>
              <w:jc w:val="left"/>
            </w:pPr>
          </w:p>
        </w:tc>
        <w:tc>
          <w:tcPr>
            <w:tcW w:w="5989" w:type="dxa"/>
            <w:shd w:val="clear" w:color="auto" w:fill="auto"/>
          </w:tcPr>
          <w:p w14:paraId="4D7CCDDD" w14:textId="77777777" w:rsidR="00E207F5" w:rsidRDefault="00E207F5" w:rsidP="00D82620">
            <w:pPr>
              <w:pStyle w:val="CasesLegislationAppealFrom"/>
              <w:spacing w:after="60"/>
            </w:pPr>
          </w:p>
        </w:tc>
      </w:tr>
      <w:tr w:rsidR="00E207F5" w14:paraId="400336E7" w14:textId="77777777" w:rsidTr="004E5266">
        <w:tc>
          <w:tcPr>
            <w:tcW w:w="3083" w:type="dxa"/>
            <w:shd w:val="clear" w:color="auto" w:fill="auto"/>
          </w:tcPr>
          <w:p w14:paraId="3B3B26AD" w14:textId="77777777" w:rsidR="00E207F5" w:rsidRDefault="00E207F5" w:rsidP="00663878">
            <w:pPr>
              <w:pStyle w:val="Normal1linespace"/>
              <w:widowControl w:val="0"/>
              <w:jc w:val="left"/>
            </w:pPr>
            <w:r>
              <w:t>Registry</w:t>
            </w:r>
          </w:p>
        </w:tc>
        <w:tc>
          <w:tcPr>
            <w:tcW w:w="5989" w:type="dxa"/>
            <w:shd w:val="clear" w:color="auto" w:fill="auto"/>
          </w:tcPr>
          <w:p w14:paraId="674793EF" w14:textId="77777777" w:rsidR="00E207F5" w:rsidRDefault="00E207F5" w:rsidP="00D82620">
            <w:pPr>
              <w:pStyle w:val="CasesLegislationAppealFrom"/>
              <w:spacing w:after="60"/>
            </w:pPr>
            <w:r>
              <w:t>New South Wales</w:t>
            </w:r>
          </w:p>
        </w:tc>
      </w:tr>
      <w:tr w:rsidR="00E63B8A" w14:paraId="6A4F18B1" w14:textId="77777777" w:rsidTr="004E5266">
        <w:tc>
          <w:tcPr>
            <w:tcW w:w="3083" w:type="dxa"/>
            <w:shd w:val="clear" w:color="auto" w:fill="auto"/>
          </w:tcPr>
          <w:p w14:paraId="565E1827" w14:textId="77777777" w:rsidR="00E63B8A" w:rsidRDefault="00E63B8A" w:rsidP="00501A12">
            <w:pPr>
              <w:pStyle w:val="Normal1linespace"/>
              <w:widowControl w:val="0"/>
            </w:pPr>
            <w:bookmarkStart w:id="3" w:name="NPARow" w:colFirst="0" w:colLast="1"/>
          </w:p>
        </w:tc>
        <w:tc>
          <w:tcPr>
            <w:tcW w:w="5989" w:type="dxa"/>
            <w:shd w:val="clear" w:color="auto" w:fill="auto"/>
          </w:tcPr>
          <w:p w14:paraId="72D18102" w14:textId="77777777" w:rsidR="00E63B8A" w:rsidRPr="00F17599" w:rsidRDefault="00E63B8A" w:rsidP="00501A12">
            <w:pPr>
              <w:pStyle w:val="Normal1linespace"/>
              <w:widowControl w:val="0"/>
              <w:jc w:val="left"/>
              <w:rPr>
                <w:b/>
              </w:rPr>
            </w:pPr>
          </w:p>
        </w:tc>
      </w:tr>
      <w:tr w:rsidR="00E63B8A" w14:paraId="715B5880" w14:textId="77777777" w:rsidTr="004E5266">
        <w:tc>
          <w:tcPr>
            <w:tcW w:w="3083" w:type="dxa"/>
            <w:shd w:val="clear" w:color="auto" w:fill="auto"/>
          </w:tcPr>
          <w:p w14:paraId="77733EF3" w14:textId="77777777" w:rsidR="00E63B8A" w:rsidRDefault="00E63B8A" w:rsidP="00501A12">
            <w:pPr>
              <w:pStyle w:val="Normal1linespace"/>
              <w:widowControl w:val="0"/>
            </w:pPr>
            <w:r>
              <w:t>National Practice Area:</w:t>
            </w:r>
          </w:p>
        </w:tc>
        <w:tc>
          <w:tcPr>
            <w:tcW w:w="5989" w:type="dxa"/>
            <w:shd w:val="clear" w:color="auto" w:fill="auto"/>
          </w:tcPr>
          <w:p w14:paraId="1B42EBC3" w14:textId="77777777" w:rsidR="00E63B8A" w:rsidRPr="00F17599" w:rsidRDefault="00621538" w:rsidP="00087E8C">
            <w:pPr>
              <w:pStyle w:val="Normal1linespace"/>
              <w:widowControl w:val="0"/>
              <w:jc w:val="left"/>
              <w:rPr>
                <w:b/>
              </w:rPr>
            </w:pPr>
            <w:fldSimple w:instr=" DOCPROPERTY  &quot;Practice Area&quot;  \* MERGEFORMAT ">
              <w:r w:rsidR="009852F8">
                <w:t>Employment and Industrial Relations</w:t>
              </w:r>
            </w:fldSimple>
          </w:p>
        </w:tc>
      </w:tr>
      <w:bookmarkEnd w:id="3"/>
      <w:tr w:rsidR="00E63B8A" w14:paraId="040CDF9D" w14:textId="77777777" w:rsidTr="004E5266">
        <w:tc>
          <w:tcPr>
            <w:tcW w:w="3083" w:type="dxa"/>
            <w:shd w:val="clear" w:color="auto" w:fill="auto"/>
          </w:tcPr>
          <w:p w14:paraId="585F1D56" w14:textId="77777777" w:rsidR="00E63B8A" w:rsidRDefault="00E63B8A" w:rsidP="00501A12">
            <w:pPr>
              <w:pStyle w:val="Normal1linespace"/>
              <w:widowControl w:val="0"/>
            </w:pPr>
          </w:p>
        </w:tc>
        <w:tc>
          <w:tcPr>
            <w:tcW w:w="5989" w:type="dxa"/>
            <w:shd w:val="clear" w:color="auto" w:fill="auto"/>
          </w:tcPr>
          <w:p w14:paraId="53F54961" w14:textId="77777777" w:rsidR="00E63B8A" w:rsidRDefault="00E63B8A" w:rsidP="00501A12">
            <w:pPr>
              <w:pStyle w:val="Normal1linespace"/>
              <w:widowControl w:val="0"/>
              <w:jc w:val="left"/>
            </w:pPr>
          </w:p>
        </w:tc>
      </w:tr>
      <w:tr w:rsidR="00E63B8A" w14:paraId="4389FD14" w14:textId="77777777" w:rsidTr="004E5266">
        <w:tc>
          <w:tcPr>
            <w:tcW w:w="3083" w:type="dxa"/>
            <w:shd w:val="clear" w:color="auto" w:fill="auto"/>
          </w:tcPr>
          <w:p w14:paraId="7CEB478C" w14:textId="77777777" w:rsidR="00E63B8A" w:rsidRDefault="00E63B8A" w:rsidP="00501A12">
            <w:pPr>
              <w:pStyle w:val="Normal1linespace"/>
              <w:widowControl w:val="0"/>
            </w:pPr>
            <w:r>
              <w:t>Number of paragraphs:</w:t>
            </w:r>
          </w:p>
        </w:tc>
        <w:tc>
          <w:tcPr>
            <w:tcW w:w="5989" w:type="dxa"/>
            <w:shd w:val="clear" w:color="auto" w:fill="auto"/>
          </w:tcPr>
          <w:p w14:paraId="6924CAEE" w14:textId="77777777" w:rsidR="00E63B8A" w:rsidRDefault="00720419" w:rsidP="00501A12">
            <w:pPr>
              <w:pStyle w:val="Normal1linespace"/>
              <w:widowControl w:val="0"/>
              <w:jc w:val="left"/>
            </w:pPr>
            <w:r>
              <w:t>3</w:t>
            </w:r>
            <w:r w:rsidR="009852F8">
              <w:t>5</w:t>
            </w:r>
          </w:p>
        </w:tc>
      </w:tr>
      <w:tr w:rsidR="00E63B8A" w14:paraId="3BE120BF" w14:textId="77777777" w:rsidTr="004E5266">
        <w:tc>
          <w:tcPr>
            <w:tcW w:w="3083" w:type="dxa"/>
            <w:shd w:val="clear" w:color="auto" w:fill="auto"/>
          </w:tcPr>
          <w:p w14:paraId="1FBEC255" w14:textId="77777777" w:rsidR="00E63B8A" w:rsidRDefault="00E63B8A" w:rsidP="00E63B8A">
            <w:pPr>
              <w:pStyle w:val="Normal1linespace"/>
              <w:widowControl w:val="0"/>
              <w:jc w:val="left"/>
            </w:pPr>
          </w:p>
        </w:tc>
        <w:tc>
          <w:tcPr>
            <w:tcW w:w="5989" w:type="dxa"/>
            <w:shd w:val="clear" w:color="auto" w:fill="auto"/>
          </w:tcPr>
          <w:p w14:paraId="7431F717" w14:textId="77777777" w:rsidR="00E63B8A" w:rsidRDefault="00E63B8A" w:rsidP="00E63B8A">
            <w:pPr>
              <w:pStyle w:val="Normal1linespace"/>
              <w:widowControl w:val="0"/>
              <w:jc w:val="left"/>
            </w:pPr>
          </w:p>
        </w:tc>
      </w:tr>
      <w:tr w:rsidR="00E63B8A" w14:paraId="7A0E44B8" w14:textId="77777777" w:rsidTr="004E5266">
        <w:tc>
          <w:tcPr>
            <w:tcW w:w="3083" w:type="dxa"/>
            <w:shd w:val="clear" w:color="auto" w:fill="auto"/>
          </w:tcPr>
          <w:p w14:paraId="46B20EBC" w14:textId="77777777" w:rsidR="00E63B8A" w:rsidRDefault="00E63B8A" w:rsidP="00E63B8A">
            <w:pPr>
              <w:pStyle w:val="Normal1linespace"/>
              <w:widowControl w:val="0"/>
              <w:jc w:val="left"/>
            </w:pPr>
            <w:bookmarkStart w:id="4" w:name="CounselDate" w:colFirst="0" w:colLast="2"/>
            <w:r w:rsidRPr="006A24E3">
              <w:t>Date of hearing:</w:t>
            </w:r>
          </w:p>
        </w:tc>
        <w:tc>
          <w:tcPr>
            <w:tcW w:w="5989" w:type="dxa"/>
            <w:shd w:val="clear" w:color="auto" w:fill="auto"/>
          </w:tcPr>
          <w:p w14:paraId="37EC29D9" w14:textId="77777777" w:rsidR="00E63B8A" w:rsidRDefault="00C41EC8" w:rsidP="00E63B8A">
            <w:pPr>
              <w:pStyle w:val="Normal1linespace"/>
              <w:widowControl w:val="0"/>
              <w:jc w:val="left"/>
            </w:pPr>
            <w:bookmarkStart w:id="5" w:name="HearingDate"/>
            <w:r>
              <w:t>Determined on the papers</w:t>
            </w:r>
            <w:r w:rsidR="00E63B8A">
              <w:t xml:space="preserve"> </w:t>
            </w:r>
            <w:bookmarkEnd w:id="5"/>
          </w:p>
        </w:tc>
      </w:tr>
      <w:tr w:rsidR="00E63B8A" w14:paraId="624350CC" w14:textId="77777777" w:rsidTr="004E5266">
        <w:tc>
          <w:tcPr>
            <w:tcW w:w="3083" w:type="dxa"/>
            <w:shd w:val="clear" w:color="auto" w:fill="auto"/>
          </w:tcPr>
          <w:p w14:paraId="106F2D59" w14:textId="77777777" w:rsidR="00E63B8A" w:rsidRDefault="00E63B8A" w:rsidP="00E63B8A">
            <w:pPr>
              <w:pStyle w:val="Normal1linespace"/>
              <w:widowControl w:val="0"/>
              <w:jc w:val="left"/>
            </w:pPr>
          </w:p>
        </w:tc>
        <w:tc>
          <w:tcPr>
            <w:tcW w:w="5989" w:type="dxa"/>
            <w:shd w:val="clear" w:color="auto" w:fill="auto"/>
          </w:tcPr>
          <w:p w14:paraId="142B7565" w14:textId="77777777" w:rsidR="00E63B8A" w:rsidRDefault="00E63B8A" w:rsidP="00E63B8A">
            <w:pPr>
              <w:pStyle w:val="Normal1linespace"/>
              <w:widowControl w:val="0"/>
              <w:jc w:val="left"/>
            </w:pPr>
          </w:p>
        </w:tc>
      </w:tr>
      <w:tr w:rsidR="002C2F6C" w14:paraId="21B1E635" w14:textId="77777777" w:rsidTr="004E5266">
        <w:tc>
          <w:tcPr>
            <w:tcW w:w="3083" w:type="dxa"/>
            <w:shd w:val="clear" w:color="auto" w:fill="auto"/>
          </w:tcPr>
          <w:p w14:paraId="4B7F8949" w14:textId="77777777" w:rsidR="002C2F6C" w:rsidRDefault="002C2F6C" w:rsidP="002C2F6C">
            <w:pPr>
              <w:pStyle w:val="Normal1linespace"/>
              <w:widowControl w:val="0"/>
              <w:jc w:val="left"/>
            </w:pPr>
            <w:bookmarkStart w:id="6" w:name="Counsel" w:colFirst="0" w:colLast="2"/>
            <w:bookmarkEnd w:id="4"/>
            <w:r>
              <w:t>Counsel for the Applicant:</w:t>
            </w:r>
          </w:p>
        </w:tc>
        <w:tc>
          <w:tcPr>
            <w:tcW w:w="5989" w:type="dxa"/>
            <w:shd w:val="clear" w:color="auto" w:fill="auto"/>
          </w:tcPr>
          <w:p w14:paraId="76C293ED" w14:textId="77777777" w:rsidR="002C2F6C" w:rsidRDefault="002C2F6C" w:rsidP="002C2F6C">
            <w:pPr>
              <w:pStyle w:val="Normal1linespace"/>
              <w:widowControl w:val="0"/>
              <w:jc w:val="left"/>
            </w:pPr>
            <w:bookmarkStart w:id="7" w:name="AppCounsel"/>
            <w:bookmarkEnd w:id="7"/>
            <w:r>
              <w:t xml:space="preserve">The applicant appeared in person </w:t>
            </w:r>
          </w:p>
        </w:tc>
      </w:tr>
      <w:tr w:rsidR="002C2F6C" w14:paraId="18F31836" w14:textId="77777777" w:rsidTr="004E5266">
        <w:tc>
          <w:tcPr>
            <w:tcW w:w="3083" w:type="dxa"/>
            <w:shd w:val="clear" w:color="auto" w:fill="auto"/>
          </w:tcPr>
          <w:p w14:paraId="40D94384" w14:textId="77777777" w:rsidR="002C2F6C" w:rsidRDefault="002C2F6C" w:rsidP="002C2F6C">
            <w:pPr>
              <w:pStyle w:val="Normal1linespace"/>
              <w:widowControl w:val="0"/>
              <w:jc w:val="left"/>
            </w:pPr>
          </w:p>
        </w:tc>
        <w:tc>
          <w:tcPr>
            <w:tcW w:w="5989" w:type="dxa"/>
            <w:shd w:val="clear" w:color="auto" w:fill="auto"/>
          </w:tcPr>
          <w:p w14:paraId="69FFE4A2" w14:textId="77777777" w:rsidR="002C2F6C" w:rsidRDefault="002C2F6C" w:rsidP="002C2F6C">
            <w:pPr>
              <w:pStyle w:val="Normal1linespace"/>
              <w:widowControl w:val="0"/>
              <w:jc w:val="left"/>
            </w:pPr>
          </w:p>
        </w:tc>
      </w:tr>
      <w:tr w:rsidR="002C2F6C" w14:paraId="3745CB2B" w14:textId="77777777" w:rsidTr="004E5266">
        <w:tc>
          <w:tcPr>
            <w:tcW w:w="3083" w:type="dxa"/>
            <w:shd w:val="clear" w:color="auto" w:fill="auto"/>
          </w:tcPr>
          <w:p w14:paraId="40F47EAC" w14:textId="77777777" w:rsidR="002C2F6C" w:rsidRDefault="002C2F6C" w:rsidP="002C2F6C">
            <w:pPr>
              <w:pStyle w:val="Normal1linespace"/>
              <w:widowControl w:val="0"/>
              <w:jc w:val="left"/>
            </w:pPr>
            <w:r>
              <w:t>Counsel for the First Respondent:</w:t>
            </w:r>
          </w:p>
        </w:tc>
        <w:tc>
          <w:tcPr>
            <w:tcW w:w="5989" w:type="dxa"/>
            <w:shd w:val="clear" w:color="auto" w:fill="auto"/>
          </w:tcPr>
          <w:p w14:paraId="7EAC6904" w14:textId="77777777" w:rsidR="002C2F6C" w:rsidRDefault="002C2F6C" w:rsidP="002C2F6C">
            <w:pPr>
              <w:pStyle w:val="Normal1linespace"/>
              <w:widowControl w:val="0"/>
              <w:jc w:val="left"/>
            </w:pPr>
            <w:r>
              <w:t>Ms. F Leoncio</w:t>
            </w:r>
          </w:p>
        </w:tc>
      </w:tr>
      <w:tr w:rsidR="002C2F6C" w14:paraId="6F4A5A86" w14:textId="77777777" w:rsidTr="004E5266">
        <w:tc>
          <w:tcPr>
            <w:tcW w:w="3083" w:type="dxa"/>
            <w:shd w:val="clear" w:color="auto" w:fill="auto"/>
          </w:tcPr>
          <w:p w14:paraId="0B900F42" w14:textId="77777777" w:rsidR="002C2F6C" w:rsidRDefault="002C2F6C" w:rsidP="002C2F6C">
            <w:pPr>
              <w:pStyle w:val="Normal1linespace"/>
              <w:widowControl w:val="0"/>
              <w:jc w:val="left"/>
            </w:pPr>
          </w:p>
        </w:tc>
        <w:tc>
          <w:tcPr>
            <w:tcW w:w="5989" w:type="dxa"/>
            <w:shd w:val="clear" w:color="auto" w:fill="auto"/>
          </w:tcPr>
          <w:p w14:paraId="30A61A43" w14:textId="77777777" w:rsidR="002C2F6C" w:rsidRDefault="002C2F6C" w:rsidP="002C2F6C">
            <w:pPr>
              <w:pStyle w:val="Normal1linespace"/>
              <w:widowControl w:val="0"/>
              <w:jc w:val="left"/>
            </w:pPr>
          </w:p>
        </w:tc>
      </w:tr>
      <w:tr w:rsidR="002C2F6C" w14:paraId="05290643" w14:textId="77777777" w:rsidTr="004E5266">
        <w:tc>
          <w:tcPr>
            <w:tcW w:w="3083" w:type="dxa"/>
            <w:shd w:val="clear" w:color="auto" w:fill="auto"/>
          </w:tcPr>
          <w:p w14:paraId="127FACE3" w14:textId="77777777" w:rsidR="002C2F6C" w:rsidRDefault="002C2F6C" w:rsidP="002C2F6C">
            <w:pPr>
              <w:pStyle w:val="Normal1linespace"/>
              <w:widowControl w:val="0"/>
              <w:jc w:val="left"/>
            </w:pPr>
            <w:r>
              <w:t>Solicitor for the First Respondent:</w:t>
            </w:r>
          </w:p>
        </w:tc>
        <w:tc>
          <w:tcPr>
            <w:tcW w:w="5989" w:type="dxa"/>
            <w:shd w:val="clear" w:color="auto" w:fill="auto"/>
          </w:tcPr>
          <w:p w14:paraId="47182AA6" w14:textId="77777777" w:rsidR="002C2F6C" w:rsidRDefault="002C2F6C" w:rsidP="002C2F6C">
            <w:pPr>
              <w:pStyle w:val="Normal1linespace"/>
              <w:widowControl w:val="0"/>
              <w:jc w:val="left"/>
            </w:pPr>
            <w:r>
              <w:t>Lander &amp; Rogers</w:t>
            </w:r>
          </w:p>
        </w:tc>
      </w:tr>
      <w:tr w:rsidR="002C2F6C" w14:paraId="40B45BB2" w14:textId="77777777" w:rsidTr="004E5266">
        <w:tc>
          <w:tcPr>
            <w:tcW w:w="3083" w:type="dxa"/>
            <w:shd w:val="clear" w:color="auto" w:fill="auto"/>
          </w:tcPr>
          <w:p w14:paraId="11E1F7A8" w14:textId="77777777" w:rsidR="002C2F6C" w:rsidRDefault="002C2F6C" w:rsidP="002C2F6C">
            <w:pPr>
              <w:pStyle w:val="Normal1linespace"/>
              <w:widowControl w:val="0"/>
              <w:jc w:val="left"/>
            </w:pPr>
          </w:p>
        </w:tc>
        <w:tc>
          <w:tcPr>
            <w:tcW w:w="5989" w:type="dxa"/>
            <w:shd w:val="clear" w:color="auto" w:fill="auto"/>
          </w:tcPr>
          <w:p w14:paraId="24E6AE2B" w14:textId="77777777" w:rsidR="002C2F6C" w:rsidRDefault="002C2F6C" w:rsidP="002C2F6C">
            <w:pPr>
              <w:pStyle w:val="Normal1linespace"/>
              <w:widowControl w:val="0"/>
              <w:jc w:val="left"/>
            </w:pPr>
          </w:p>
        </w:tc>
      </w:tr>
      <w:tr w:rsidR="002C2F6C" w14:paraId="5CDC0CB6" w14:textId="77777777" w:rsidTr="004E5266">
        <w:tc>
          <w:tcPr>
            <w:tcW w:w="3083" w:type="dxa"/>
            <w:shd w:val="clear" w:color="auto" w:fill="auto"/>
          </w:tcPr>
          <w:p w14:paraId="622E9EB8" w14:textId="77777777" w:rsidR="002C2F6C" w:rsidRDefault="002C2F6C" w:rsidP="002C2F6C">
            <w:pPr>
              <w:pStyle w:val="Normal1linespace"/>
              <w:widowControl w:val="0"/>
              <w:jc w:val="left"/>
            </w:pPr>
            <w:r>
              <w:t>Counsel for the Second Respondent:</w:t>
            </w:r>
          </w:p>
        </w:tc>
        <w:tc>
          <w:tcPr>
            <w:tcW w:w="5989" w:type="dxa"/>
            <w:shd w:val="clear" w:color="auto" w:fill="auto"/>
          </w:tcPr>
          <w:p w14:paraId="318BD7A1" w14:textId="77777777" w:rsidR="002C2F6C" w:rsidRPr="00C73B29" w:rsidRDefault="002C2F6C" w:rsidP="00C41EC8">
            <w:pPr>
              <w:pStyle w:val="Normal1linespace"/>
              <w:jc w:val="left"/>
              <w:rPr>
                <w:highlight w:val="green"/>
              </w:rPr>
            </w:pPr>
            <w:r>
              <w:t xml:space="preserve">The </w:t>
            </w:r>
            <w:r w:rsidR="00C41EC8">
              <w:t xml:space="preserve">second </w:t>
            </w:r>
            <w:r>
              <w:t>respondent filed a submitting notice</w:t>
            </w:r>
            <w:r w:rsidR="00056AC7">
              <w:t>,</w:t>
            </w:r>
            <w:r w:rsidR="00C41EC8">
              <w:t xml:space="preserve"> save as to costs</w:t>
            </w:r>
          </w:p>
        </w:tc>
      </w:tr>
      <w:tr w:rsidR="002C2F6C" w14:paraId="20173EED" w14:textId="77777777" w:rsidTr="004E5266">
        <w:tc>
          <w:tcPr>
            <w:tcW w:w="3083" w:type="dxa"/>
            <w:shd w:val="clear" w:color="auto" w:fill="auto"/>
          </w:tcPr>
          <w:p w14:paraId="00E07810" w14:textId="77777777" w:rsidR="002C2F6C" w:rsidRDefault="002C2F6C" w:rsidP="002C2F6C">
            <w:pPr>
              <w:pStyle w:val="Normal1linespace"/>
              <w:widowControl w:val="0"/>
              <w:jc w:val="left"/>
            </w:pPr>
          </w:p>
        </w:tc>
        <w:tc>
          <w:tcPr>
            <w:tcW w:w="5989" w:type="dxa"/>
            <w:shd w:val="clear" w:color="auto" w:fill="auto"/>
          </w:tcPr>
          <w:p w14:paraId="3E6ABE67" w14:textId="77777777" w:rsidR="002C2F6C" w:rsidRDefault="002C2F6C" w:rsidP="002C2F6C">
            <w:pPr>
              <w:pStyle w:val="Normal1linespace"/>
              <w:widowControl w:val="0"/>
              <w:jc w:val="left"/>
            </w:pPr>
          </w:p>
        </w:tc>
      </w:tr>
      <w:tr w:rsidR="002C2F6C" w14:paraId="310C54F5" w14:textId="77777777" w:rsidTr="004E5266">
        <w:tc>
          <w:tcPr>
            <w:tcW w:w="3083" w:type="dxa"/>
            <w:shd w:val="clear" w:color="auto" w:fill="auto"/>
          </w:tcPr>
          <w:p w14:paraId="36D5D04E" w14:textId="77777777" w:rsidR="002C2F6C" w:rsidRDefault="002C2F6C" w:rsidP="002C2F6C">
            <w:pPr>
              <w:pStyle w:val="Normal1linespace"/>
              <w:widowControl w:val="0"/>
              <w:jc w:val="left"/>
            </w:pPr>
            <w:r>
              <w:t>Solicitor for the Second Respondent:</w:t>
            </w:r>
          </w:p>
        </w:tc>
        <w:tc>
          <w:tcPr>
            <w:tcW w:w="5989" w:type="dxa"/>
            <w:shd w:val="clear" w:color="auto" w:fill="auto"/>
          </w:tcPr>
          <w:p w14:paraId="43A521BE" w14:textId="77777777" w:rsidR="002C2F6C" w:rsidRDefault="002C2F6C" w:rsidP="002C2F6C">
            <w:pPr>
              <w:pStyle w:val="Normal1linespace"/>
              <w:widowControl w:val="0"/>
              <w:jc w:val="left"/>
            </w:pPr>
            <w:r>
              <w:t>Australian Government Solicitor</w:t>
            </w:r>
          </w:p>
        </w:tc>
      </w:tr>
      <w:bookmarkEnd w:id="6"/>
    </w:tbl>
    <w:p w14:paraId="41241A2A" w14:textId="77777777" w:rsidR="007470BD" w:rsidRDefault="007470BD">
      <w:pPr>
        <w:pStyle w:val="Normal1linespace"/>
      </w:pPr>
    </w:p>
    <w:p w14:paraId="210C8AF6" w14:textId="77777777" w:rsidR="00E94CBF" w:rsidRDefault="00E94CBF">
      <w:pPr>
        <w:pStyle w:val="Normal1linespace"/>
      </w:pPr>
    </w:p>
    <w:p w14:paraId="793BC0B4" w14:textId="77777777" w:rsidR="00395B24" w:rsidRDefault="00395B24">
      <w:pPr>
        <w:pStyle w:val="Normal1linespace"/>
        <w:sectPr w:rsidR="00395B24" w:rsidSect="001F2473">
          <w:footerReference w:type="default" r:id="rId10"/>
          <w:endnotePr>
            <w:numFmt w:val="decimal"/>
          </w:endnotePr>
          <w:type w:val="continuous"/>
          <w:pgSz w:w="11907" w:h="16840" w:code="9"/>
          <w:pgMar w:top="1440" w:right="1440" w:bottom="1440" w:left="1440" w:header="851" w:footer="768" w:gutter="0"/>
          <w:pgNumType w:start="1"/>
          <w:cols w:space="720"/>
          <w:noEndnote/>
          <w:titlePg/>
        </w:sectPr>
      </w:pPr>
    </w:p>
    <w:p w14:paraId="045CA238" w14:textId="77777777"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14:paraId="5E884658" w14:textId="77777777" w:rsidTr="00E81DA6">
        <w:tc>
          <w:tcPr>
            <w:tcW w:w="6912" w:type="dxa"/>
            <w:gridSpan w:val="2"/>
          </w:tcPr>
          <w:p w14:paraId="70C7F650" w14:textId="77777777" w:rsidR="00A46CCC" w:rsidRPr="001765E0" w:rsidRDefault="00A46CCC" w:rsidP="00525A49">
            <w:pPr>
              <w:pStyle w:val="NormalHeadings"/>
            </w:pPr>
          </w:p>
        </w:tc>
        <w:tc>
          <w:tcPr>
            <w:tcW w:w="2330" w:type="dxa"/>
          </w:tcPr>
          <w:p w14:paraId="42414F34" w14:textId="77777777" w:rsidR="00A46CCC" w:rsidRDefault="00E63B8A" w:rsidP="00F92355">
            <w:pPr>
              <w:pStyle w:val="NormalHeadings"/>
              <w:jc w:val="right"/>
            </w:pPr>
            <w:bookmarkStart w:id="8" w:name="FileNo"/>
            <w:r>
              <w:t>NSD 212 of 2020</w:t>
            </w:r>
            <w:bookmarkEnd w:id="8"/>
          </w:p>
        </w:tc>
      </w:tr>
      <w:tr w:rsidR="00A76C13" w14:paraId="635B8710" w14:textId="77777777" w:rsidTr="00087E8C">
        <w:tc>
          <w:tcPr>
            <w:tcW w:w="9242" w:type="dxa"/>
            <w:gridSpan w:val="3"/>
          </w:tcPr>
          <w:p w14:paraId="2CFF909C" w14:textId="77777777" w:rsidR="00A76C13" w:rsidRPr="00A76C13" w:rsidRDefault="00E63B8A" w:rsidP="00E63B8A">
            <w:pPr>
              <w:pStyle w:val="NormalHeadings"/>
              <w:jc w:val="left"/>
            </w:pPr>
            <w:bookmarkStart w:id="9" w:name="InTheMatterOf"/>
            <w:r>
              <w:t xml:space="preserve"> </w:t>
            </w:r>
            <w:bookmarkEnd w:id="9"/>
          </w:p>
        </w:tc>
      </w:tr>
      <w:tr w:rsidR="00A46CCC" w14:paraId="787D5E95" w14:textId="77777777" w:rsidTr="00087E8C">
        <w:trPr>
          <w:trHeight w:val="386"/>
        </w:trPr>
        <w:tc>
          <w:tcPr>
            <w:tcW w:w="2376" w:type="dxa"/>
          </w:tcPr>
          <w:p w14:paraId="49595B36" w14:textId="77777777" w:rsidR="00A46CCC" w:rsidRDefault="00A46CCC" w:rsidP="00087E8C">
            <w:pPr>
              <w:pStyle w:val="NormalHeadings"/>
              <w:jc w:val="left"/>
              <w:rPr>
                <w:caps/>
                <w:szCs w:val="24"/>
              </w:rPr>
            </w:pPr>
            <w:bookmarkStart w:id="10" w:name="Parties"/>
            <w:r>
              <w:rPr>
                <w:caps/>
                <w:szCs w:val="24"/>
              </w:rPr>
              <w:t>BETWEEN:</w:t>
            </w:r>
          </w:p>
        </w:tc>
        <w:tc>
          <w:tcPr>
            <w:tcW w:w="6866" w:type="dxa"/>
            <w:gridSpan w:val="2"/>
          </w:tcPr>
          <w:p w14:paraId="040CFDC3" w14:textId="77777777" w:rsidR="00E63B8A" w:rsidRDefault="00E63B8A" w:rsidP="00E63B8A">
            <w:pPr>
              <w:pStyle w:val="NormalHeadings"/>
              <w:jc w:val="left"/>
            </w:pPr>
            <w:bookmarkStart w:id="11" w:name="Applicant"/>
            <w:r>
              <w:t xml:space="preserve">GEORGE ITTYERAH </w:t>
            </w:r>
          </w:p>
          <w:p w14:paraId="016FDED6" w14:textId="77777777" w:rsidR="00E63B8A" w:rsidRDefault="00E63B8A" w:rsidP="00E63B8A">
            <w:pPr>
              <w:pStyle w:val="PartyType"/>
            </w:pPr>
            <w:r>
              <w:t>Applicant</w:t>
            </w:r>
          </w:p>
          <w:bookmarkEnd w:id="11"/>
          <w:p w14:paraId="3BC465AC" w14:textId="77777777" w:rsidR="00A46CCC" w:rsidRPr="006555B4" w:rsidRDefault="00A46CCC" w:rsidP="00087E8C">
            <w:pPr>
              <w:pStyle w:val="NormalHeadings"/>
              <w:jc w:val="left"/>
            </w:pPr>
          </w:p>
        </w:tc>
      </w:tr>
      <w:tr w:rsidR="00A46CCC" w14:paraId="7B94172B" w14:textId="77777777" w:rsidTr="00087E8C">
        <w:trPr>
          <w:trHeight w:val="386"/>
        </w:trPr>
        <w:tc>
          <w:tcPr>
            <w:tcW w:w="2376" w:type="dxa"/>
          </w:tcPr>
          <w:p w14:paraId="7CA28365" w14:textId="77777777" w:rsidR="00A46CCC" w:rsidRDefault="00A46CCC" w:rsidP="00087E8C">
            <w:pPr>
              <w:pStyle w:val="NormalHeadings"/>
              <w:jc w:val="left"/>
              <w:rPr>
                <w:caps/>
                <w:szCs w:val="24"/>
              </w:rPr>
            </w:pPr>
            <w:r>
              <w:rPr>
                <w:caps/>
                <w:szCs w:val="24"/>
              </w:rPr>
              <w:t>AND:</w:t>
            </w:r>
          </w:p>
        </w:tc>
        <w:tc>
          <w:tcPr>
            <w:tcW w:w="6866" w:type="dxa"/>
            <w:gridSpan w:val="2"/>
          </w:tcPr>
          <w:p w14:paraId="0197B0E8" w14:textId="77777777" w:rsidR="00055205" w:rsidRDefault="00055205" w:rsidP="00055205">
            <w:pPr>
              <w:pStyle w:val="NormalHeadings"/>
              <w:jc w:val="left"/>
            </w:pPr>
            <w:bookmarkStart w:id="12" w:name="Respondent"/>
            <w:r>
              <w:t>COLES SUPERMARKETS (AUSTRALIA) PTY LTD</w:t>
            </w:r>
          </w:p>
          <w:p w14:paraId="336A6775" w14:textId="77777777" w:rsidR="00055205" w:rsidRDefault="00055205" w:rsidP="00055205">
            <w:pPr>
              <w:pStyle w:val="PartyType"/>
            </w:pPr>
            <w:r>
              <w:t>First Respondent</w:t>
            </w:r>
          </w:p>
          <w:p w14:paraId="140FCFAB" w14:textId="77777777" w:rsidR="00055205" w:rsidRDefault="00055205" w:rsidP="00055205">
            <w:pPr>
              <w:pStyle w:val="PartyType"/>
            </w:pPr>
          </w:p>
          <w:p w14:paraId="3D9EA222" w14:textId="77777777" w:rsidR="00055205" w:rsidRDefault="00055205" w:rsidP="00055205">
            <w:pPr>
              <w:pStyle w:val="NormalHeadings"/>
              <w:jc w:val="left"/>
            </w:pPr>
            <w:r>
              <w:t>FAIR WORK COMMISSION</w:t>
            </w:r>
          </w:p>
          <w:p w14:paraId="09BECDBB" w14:textId="77777777" w:rsidR="00055205" w:rsidRDefault="00055205" w:rsidP="00055205">
            <w:pPr>
              <w:pStyle w:val="PartyType"/>
            </w:pPr>
            <w:r>
              <w:t>Second Respondent</w:t>
            </w:r>
            <w:bookmarkEnd w:id="12"/>
          </w:p>
          <w:p w14:paraId="77E732C8" w14:textId="77777777" w:rsidR="00A46CCC" w:rsidRPr="006555B4" w:rsidRDefault="00A46CCC" w:rsidP="00087E8C">
            <w:pPr>
              <w:pStyle w:val="NormalHeadings"/>
              <w:jc w:val="left"/>
            </w:pPr>
          </w:p>
        </w:tc>
      </w:tr>
    </w:tbl>
    <w:p w14:paraId="7B49B7D7" w14:textId="77777777" w:rsidR="00395B24" w:rsidRDefault="00395B24">
      <w:pPr>
        <w:pStyle w:val="NormalHeadings"/>
      </w:pPr>
      <w:bookmarkStart w:id="13" w:name="CrossClaimPosition"/>
      <w:bookmarkEnd w:id="10"/>
      <w:bookmarkEnd w:id="13"/>
    </w:p>
    <w:tbl>
      <w:tblPr>
        <w:tblW w:w="0" w:type="auto"/>
        <w:tblLayout w:type="fixed"/>
        <w:tblLook w:val="0000" w:firstRow="0" w:lastRow="0" w:firstColumn="0" w:lastColumn="0" w:noHBand="0" w:noVBand="0"/>
        <w:tblCaption w:val="Judge"/>
        <w:tblDescription w:val="Judge"/>
      </w:tblPr>
      <w:tblGrid>
        <w:gridCol w:w="2376"/>
        <w:gridCol w:w="6866"/>
      </w:tblGrid>
      <w:tr w:rsidR="00395B24" w14:paraId="6F5DA4B5" w14:textId="77777777">
        <w:tc>
          <w:tcPr>
            <w:tcW w:w="2376" w:type="dxa"/>
          </w:tcPr>
          <w:p w14:paraId="561EB09C" w14:textId="77777777" w:rsidR="00395B24" w:rsidRDefault="00974709">
            <w:pPr>
              <w:pStyle w:val="NormalHeadings"/>
              <w:spacing w:after="120"/>
              <w:jc w:val="left"/>
              <w:rPr>
                <w:caps/>
                <w:szCs w:val="24"/>
              </w:rPr>
            </w:pPr>
            <w:bookmarkStart w:id="14" w:name="JudgeText"/>
            <w:r>
              <w:rPr>
                <w:caps/>
                <w:szCs w:val="24"/>
              </w:rPr>
              <w:t>order made by</w:t>
            </w:r>
            <w:bookmarkEnd w:id="14"/>
            <w:r w:rsidR="002C7385">
              <w:rPr>
                <w:caps/>
                <w:szCs w:val="24"/>
              </w:rPr>
              <w:t>:</w:t>
            </w:r>
          </w:p>
        </w:tc>
        <w:tc>
          <w:tcPr>
            <w:tcW w:w="6866" w:type="dxa"/>
          </w:tcPr>
          <w:p w14:paraId="726A3419" w14:textId="77777777" w:rsidR="00395B24" w:rsidRDefault="00E63B8A">
            <w:pPr>
              <w:pStyle w:val="NormalHeadings"/>
              <w:jc w:val="left"/>
              <w:rPr>
                <w:caps/>
                <w:szCs w:val="24"/>
              </w:rPr>
            </w:pPr>
            <w:bookmarkStart w:id="15" w:name="Judge"/>
            <w:r>
              <w:rPr>
                <w:caps/>
                <w:szCs w:val="24"/>
              </w:rPr>
              <w:t>ABRAHAM J</w:t>
            </w:r>
            <w:bookmarkEnd w:id="15"/>
          </w:p>
        </w:tc>
      </w:tr>
      <w:tr w:rsidR="00395B24" w14:paraId="46F71B9B" w14:textId="77777777">
        <w:tc>
          <w:tcPr>
            <w:tcW w:w="2376" w:type="dxa"/>
          </w:tcPr>
          <w:p w14:paraId="768496E2" w14:textId="77777777" w:rsidR="00395B24" w:rsidRDefault="002C7385">
            <w:pPr>
              <w:pStyle w:val="NormalHeadings"/>
              <w:spacing w:after="120"/>
              <w:jc w:val="left"/>
              <w:rPr>
                <w:caps/>
                <w:szCs w:val="24"/>
              </w:rPr>
            </w:pPr>
            <w:r>
              <w:rPr>
                <w:caps/>
                <w:szCs w:val="24"/>
              </w:rPr>
              <w:t>DATE OF ORDER:</w:t>
            </w:r>
          </w:p>
        </w:tc>
        <w:tc>
          <w:tcPr>
            <w:tcW w:w="6866" w:type="dxa"/>
          </w:tcPr>
          <w:p w14:paraId="579D41EE" w14:textId="4D5ECD7A" w:rsidR="00395B24" w:rsidRDefault="00565100" w:rsidP="00056AC7">
            <w:pPr>
              <w:pStyle w:val="NormalHeadings"/>
              <w:jc w:val="left"/>
              <w:rPr>
                <w:caps/>
                <w:szCs w:val="24"/>
              </w:rPr>
            </w:pPr>
            <w:r>
              <w:rPr>
                <w:caps/>
                <w:szCs w:val="24"/>
              </w:rPr>
              <w:t>16</w:t>
            </w:r>
            <w:r w:rsidR="00151551">
              <w:rPr>
                <w:caps/>
                <w:szCs w:val="24"/>
              </w:rPr>
              <w:t xml:space="preserve"> </w:t>
            </w:r>
            <w:r w:rsidR="00056AC7">
              <w:rPr>
                <w:caps/>
                <w:szCs w:val="24"/>
              </w:rPr>
              <w:t xml:space="preserve">September </w:t>
            </w:r>
            <w:r w:rsidR="00151551">
              <w:rPr>
                <w:caps/>
                <w:szCs w:val="24"/>
              </w:rPr>
              <w:t>2021</w:t>
            </w:r>
          </w:p>
        </w:tc>
      </w:tr>
    </w:tbl>
    <w:p w14:paraId="10EAE27A" w14:textId="77777777" w:rsidR="00395B24" w:rsidRDefault="00395B24">
      <w:pPr>
        <w:pStyle w:val="NormalHeadings"/>
        <w:rPr>
          <w:b w:val="0"/>
        </w:rPr>
      </w:pPr>
    </w:p>
    <w:p w14:paraId="1DFF1BA5" w14:textId="77777777" w:rsidR="008D1617" w:rsidRDefault="008D1617">
      <w:pPr>
        <w:pStyle w:val="NormalHeadings"/>
        <w:rPr>
          <w:b w:val="0"/>
        </w:rPr>
      </w:pPr>
    </w:p>
    <w:p w14:paraId="5ED43AB1" w14:textId="77777777" w:rsidR="00395B24" w:rsidRDefault="002C7385">
      <w:pPr>
        <w:pStyle w:val="NormalHeadings"/>
      </w:pPr>
      <w:r>
        <w:t>THE COURT ORDERS THAT:</w:t>
      </w:r>
    </w:p>
    <w:p w14:paraId="0EDC8985" w14:textId="77777777" w:rsidR="007F60DF" w:rsidRDefault="007F60DF" w:rsidP="00243E5E">
      <w:pPr>
        <w:pStyle w:val="NormalHeadings"/>
      </w:pPr>
    </w:p>
    <w:p w14:paraId="3D947867" w14:textId="77777777" w:rsidR="00973F61" w:rsidRPr="00973F61" w:rsidRDefault="00973F61" w:rsidP="00973F61">
      <w:pPr>
        <w:pStyle w:val="BodyText"/>
        <w:numPr>
          <w:ilvl w:val="0"/>
          <w:numId w:val="26"/>
        </w:numPr>
        <w:ind w:hanging="720"/>
      </w:pPr>
      <w:r w:rsidRPr="00973F61">
        <w:t>T</w:t>
      </w:r>
      <w:r w:rsidR="008E06B0" w:rsidRPr="00973F61">
        <w:t>he first respo</w:t>
      </w:r>
      <w:r w:rsidRPr="00973F61">
        <w:t>ndent’s application for costs is dismissed.</w:t>
      </w:r>
    </w:p>
    <w:p w14:paraId="03DBCD08" w14:textId="77777777" w:rsidR="00E8655E" w:rsidRDefault="00E8655E" w:rsidP="00AD2485">
      <w:pPr>
        <w:pStyle w:val="BodyText"/>
        <w:ind w:left="720"/>
      </w:pPr>
    </w:p>
    <w:p w14:paraId="22555592" w14:textId="77777777" w:rsidR="0050309C" w:rsidRDefault="00E63B8A" w:rsidP="004D53E5">
      <w:pPr>
        <w:pStyle w:val="SingleSpace"/>
      </w:pPr>
      <w:bookmarkStart w:id="16" w:name="OrdersStatement"/>
      <w:r>
        <w:t>Note:</w:t>
      </w:r>
      <w:r>
        <w:tab/>
        <w:t xml:space="preserve">Entry of orders is dealt with in Rule 39.32 of the </w:t>
      </w:r>
      <w:r>
        <w:rPr>
          <w:i/>
        </w:rPr>
        <w:t>Federal Court Rules 2011</w:t>
      </w:r>
      <w:r>
        <w:t>.</w:t>
      </w:r>
      <w:bookmarkEnd w:id="16"/>
    </w:p>
    <w:p w14:paraId="3EC07537" w14:textId="77777777" w:rsidR="0092590B" w:rsidRDefault="0092590B" w:rsidP="002B0E91">
      <w:pPr>
        <w:pStyle w:val="BodyText"/>
      </w:pPr>
    </w:p>
    <w:p w14:paraId="785D9B24" w14:textId="77777777" w:rsidR="00395B24" w:rsidRDefault="00395B24">
      <w:pPr>
        <w:pStyle w:val="NormalHeadings"/>
        <w:spacing w:before="240" w:after="120"/>
        <w:rPr>
          <w:b w:val="0"/>
        </w:rPr>
        <w:sectPr w:rsidR="00395B24" w:rsidSect="0092590B">
          <w:headerReference w:type="default" r:id="rId11"/>
          <w:footerReference w:type="default" r:id="rId12"/>
          <w:headerReference w:type="first" r:id="rId13"/>
          <w:footerReference w:type="first" r:id="rId14"/>
          <w:endnotePr>
            <w:numFmt w:val="decimal"/>
          </w:endnotePr>
          <w:pgSz w:w="11907" w:h="16840" w:code="9"/>
          <w:pgMar w:top="1440" w:right="1440" w:bottom="1440" w:left="1440" w:header="851" w:footer="851" w:gutter="0"/>
          <w:pgNumType w:fmt="lowerRoman" w:start="1"/>
          <w:cols w:space="720"/>
          <w:noEndnote/>
          <w:titlePg/>
        </w:sectPr>
      </w:pPr>
    </w:p>
    <w:p w14:paraId="3A159DF4" w14:textId="77777777" w:rsidR="00484F6D" w:rsidRPr="00045BB7" w:rsidRDefault="00484F6D" w:rsidP="00045BB7">
      <w:pPr>
        <w:pStyle w:val="NormalHeadings"/>
        <w:spacing w:line="480" w:lineRule="auto"/>
        <w:jc w:val="center"/>
        <w:rPr>
          <w:sz w:val="28"/>
          <w:szCs w:val="28"/>
        </w:rPr>
      </w:pPr>
      <w:bookmarkStart w:id="17" w:name="ReasonsPage"/>
      <w:bookmarkEnd w:id="17"/>
      <w:r w:rsidRPr="00045BB7">
        <w:rPr>
          <w:sz w:val="28"/>
          <w:szCs w:val="28"/>
        </w:rPr>
        <w:lastRenderedPageBreak/>
        <w:t>REASONS FOR JUDGMENT</w:t>
      </w:r>
    </w:p>
    <w:p w14:paraId="6A596671" w14:textId="77777777" w:rsidR="00927D93" w:rsidRPr="00C12473" w:rsidRDefault="008C5A22" w:rsidP="00C12473">
      <w:pPr>
        <w:pStyle w:val="NormalHeadings"/>
        <w:spacing w:line="360" w:lineRule="auto"/>
        <w:jc w:val="left"/>
        <w:rPr>
          <w:sz w:val="26"/>
          <w:szCs w:val="26"/>
        </w:rPr>
      </w:pPr>
      <w:r>
        <w:rPr>
          <w:sz w:val="26"/>
          <w:szCs w:val="26"/>
        </w:rPr>
        <w:t xml:space="preserve">ABRAHAM J: </w:t>
      </w:r>
    </w:p>
    <w:p w14:paraId="02BBDDDD" w14:textId="77777777" w:rsidR="00927D93" w:rsidRPr="00927D93" w:rsidRDefault="0016754C" w:rsidP="00927D93">
      <w:pPr>
        <w:pStyle w:val="ParaNumbering"/>
      </w:pPr>
      <w:r>
        <w:t xml:space="preserve">Coles Supermarkets (Australia) Pty Ltd, the </w:t>
      </w:r>
      <w:r w:rsidR="00927D93">
        <w:t xml:space="preserve">first </w:t>
      </w:r>
      <w:r w:rsidR="00927D93" w:rsidRPr="00927D93">
        <w:rPr>
          <w:szCs w:val="24"/>
        </w:rPr>
        <w:t xml:space="preserve">respondent </w:t>
      </w:r>
      <w:r w:rsidR="00C41EC8">
        <w:rPr>
          <w:szCs w:val="24"/>
        </w:rPr>
        <w:t>(</w:t>
      </w:r>
      <w:r>
        <w:rPr>
          <w:szCs w:val="24"/>
        </w:rPr>
        <w:t>respondent</w:t>
      </w:r>
      <w:r w:rsidR="00C41EC8">
        <w:rPr>
          <w:szCs w:val="24"/>
        </w:rPr>
        <w:t>)</w:t>
      </w:r>
      <w:r>
        <w:rPr>
          <w:szCs w:val="24"/>
        </w:rPr>
        <w:t>,</w:t>
      </w:r>
      <w:r w:rsidR="00181108">
        <w:rPr>
          <w:szCs w:val="24"/>
        </w:rPr>
        <w:t xml:space="preserve"> </w:t>
      </w:r>
      <w:r w:rsidR="00927D93" w:rsidRPr="0016754C">
        <w:rPr>
          <w:szCs w:val="24"/>
        </w:rPr>
        <w:t>seeks</w:t>
      </w:r>
      <w:r w:rsidR="00927D93" w:rsidRPr="00927D93">
        <w:rPr>
          <w:szCs w:val="24"/>
        </w:rPr>
        <w:t xml:space="preserve"> an order pursuant to s 570 of the</w:t>
      </w:r>
      <w:r w:rsidR="00927D93" w:rsidRPr="00BA6253">
        <w:rPr>
          <w:szCs w:val="24"/>
        </w:rPr>
        <w:t xml:space="preserve"> </w:t>
      </w:r>
      <w:r w:rsidR="00927D93" w:rsidRPr="00BA6253">
        <w:rPr>
          <w:i/>
          <w:szCs w:val="24"/>
        </w:rPr>
        <w:t xml:space="preserve">Fair Work Act 2009 </w:t>
      </w:r>
      <w:r w:rsidR="00927D93" w:rsidRPr="00BA6253">
        <w:rPr>
          <w:szCs w:val="24"/>
        </w:rPr>
        <w:t>(Cth)</w:t>
      </w:r>
      <w:r w:rsidR="00927D93" w:rsidRPr="00927D93">
        <w:rPr>
          <w:szCs w:val="24"/>
        </w:rPr>
        <w:t xml:space="preserve"> (the FW Act</w:t>
      </w:r>
      <w:r w:rsidR="00927D93">
        <w:rPr>
          <w:szCs w:val="24"/>
        </w:rPr>
        <w:t>)</w:t>
      </w:r>
      <w:r w:rsidR="00927D93" w:rsidRPr="00927D93">
        <w:rPr>
          <w:szCs w:val="24"/>
        </w:rPr>
        <w:t xml:space="preserve"> that </w:t>
      </w:r>
      <w:r w:rsidR="00927D93">
        <w:t>the applicant pay its costs</w:t>
      </w:r>
      <w:r w:rsidR="00927D93">
        <w:rPr>
          <w:spacing w:val="-12"/>
        </w:rPr>
        <w:t xml:space="preserve"> </w:t>
      </w:r>
      <w:r w:rsidR="00927D93">
        <w:t>in</w:t>
      </w:r>
      <w:r w:rsidR="00927D93">
        <w:rPr>
          <w:spacing w:val="-12"/>
        </w:rPr>
        <w:t xml:space="preserve"> </w:t>
      </w:r>
      <w:r w:rsidR="00927D93">
        <w:t>respect</w:t>
      </w:r>
      <w:r w:rsidR="00927D93">
        <w:rPr>
          <w:spacing w:val="-12"/>
        </w:rPr>
        <w:t xml:space="preserve"> </w:t>
      </w:r>
      <w:r w:rsidR="00927D93">
        <w:t>of</w:t>
      </w:r>
      <w:r w:rsidR="00927D93">
        <w:rPr>
          <w:spacing w:val="-11"/>
        </w:rPr>
        <w:t xml:space="preserve"> </w:t>
      </w:r>
      <w:r w:rsidR="00927D93">
        <w:t>the proceedings that resulted in judgments</w:t>
      </w:r>
      <w:r w:rsidR="00C37A68">
        <w:t>:</w:t>
      </w:r>
      <w:r w:rsidR="00927D93">
        <w:t xml:space="preserve"> </w:t>
      </w:r>
      <w:r w:rsidR="00927D93" w:rsidRPr="00BA6253">
        <w:rPr>
          <w:bCs/>
          <w:i/>
          <w:lang w:val="en"/>
        </w:rPr>
        <w:t>Ittyerah v Coles Supermarkets (Australia) Pty Ltd</w:t>
      </w:r>
      <w:r w:rsidR="00927D93" w:rsidRPr="00BA6253">
        <w:rPr>
          <w:bCs/>
          <w:lang w:val="en"/>
        </w:rPr>
        <w:t xml:space="preserve"> </w:t>
      </w:r>
      <w:r w:rsidR="005B41EC" w:rsidRPr="00BA6253">
        <w:rPr>
          <w:bCs/>
          <w:lang w:val="en"/>
        </w:rPr>
        <w:t>[2020] FCA 1497</w:t>
      </w:r>
      <w:r w:rsidR="00927D93">
        <w:rPr>
          <w:bCs/>
          <w:lang w:val="en"/>
        </w:rPr>
        <w:t xml:space="preserve"> (interlocutory judgment) and </w:t>
      </w:r>
      <w:r w:rsidR="00927D93" w:rsidRPr="00BA6253">
        <w:rPr>
          <w:bCs/>
          <w:i/>
          <w:lang w:val="en"/>
        </w:rPr>
        <w:t>Ittyerah v Coles Supermarkets (Australia) Pty Ltd (No 2)</w:t>
      </w:r>
      <w:r w:rsidR="00927D93" w:rsidRPr="00BA6253">
        <w:rPr>
          <w:bCs/>
          <w:lang w:val="en"/>
        </w:rPr>
        <w:t xml:space="preserve"> </w:t>
      </w:r>
      <w:r w:rsidR="005B41EC" w:rsidRPr="00BA6253">
        <w:rPr>
          <w:bCs/>
          <w:lang w:val="en"/>
        </w:rPr>
        <w:t>[2021] FCA 412</w:t>
      </w:r>
      <w:r w:rsidR="00927D93">
        <w:rPr>
          <w:bCs/>
          <w:lang w:val="en"/>
        </w:rPr>
        <w:t xml:space="preserve"> (final judgment). The respondent seeks its costs </w:t>
      </w:r>
      <w:r w:rsidR="00FE6644">
        <w:t xml:space="preserve">in relation to both proceedings </w:t>
      </w:r>
      <w:r w:rsidR="00927D93">
        <w:t>be fixed in a lump sum of</w:t>
      </w:r>
      <w:r w:rsidR="00927D93">
        <w:rPr>
          <w:spacing w:val="-2"/>
        </w:rPr>
        <w:t xml:space="preserve"> </w:t>
      </w:r>
      <w:r w:rsidR="00927D93">
        <w:t>$25,728.38</w:t>
      </w:r>
      <w:r w:rsidR="001F5C0D">
        <w:t>,</w:t>
      </w:r>
      <w:r w:rsidR="00923CFA">
        <w:t xml:space="preserve"> in accordance with r 40.02(b) of the </w:t>
      </w:r>
      <w:r w:rsidR="00923CFA" w:rsidRPr="00523B93">
        <w:rPr>
          <w:i/>
        </w:rPr>
        <w:t xml:space="preserve">Federal Court Rules 2011 </w:t>
      </w:r>
      <w:r w:rsidR="00923CFA" w:rsidRPr="00523B93">
        <w:t>(Cth)</w:t>
      </w:r>
      <w:r w:rsidR="00927D93">
        <w:t xml:space="preserve">. </w:t>
      </w:r>
    </w:p>
    <w:p w14:paraId="7C3B0E78" w14:textId="77777777" w:rsidR="00927D93" w:rsidRDefault="00927D93" w:rsidP="00927D93">
      <w:pPr>
        <w:pStyle w:val="ParaNumbering"/>
      </w:pPr>
      <w:r>
        <w:t>In the interlocutory judgment</w:t>
      </w:r>
      <w:r w:rsidR="00C41EC8">
        <w:t>,</w:t>
      </w:r>
      <w:r>
        <w:t xml:space="preserve"> the applicant’s application for</w:t>
      </w:r>
      <w:r w:rsidR="00BA0029">
        <w:t xml:space="preserve"> </w:t>
      </w:r>
      <w:r>
        <w:t xml:space="preserve">an injunction requiring </w:t>
      </w:r>
      <w:r w:rsidR="0016754C">
        <w:t>the respondent</w:t>
      </w:r>
      <w:r>
        <w:t xml:space="preserve"> to retain identified categories of evidence and an order requiring </w:t>
      </w:r>
      <w:r w:rsidR="0016754C">
        <w:t xml:space="preserve">the respondent </w:t>
      </w:r>
      <w:r>
        <w:t>to submit an</w:t>
      </w:r>
      <w:r>
        <w:rPr>
          <w:spacing w:val="29"/>
        </w:rPr>
        <w:t xml:space="preserve"> </w:t>
      </w:r>
      <w:r>
        <w:t>affidavit identifying categories of evidence that it had retained was dismissed. In the final judgment</w:t>
      </w:r>
      <w:r w:rsidR="00C41EC8">
        <w:t>,</w:t>
      </w:r>
      <w:r>
        <w:t xml:space="preserve"> the Court dismissed the applicant’s application for judicial</w:t>
      </w:r>
      <w:r>
        <w:rPr>
          <w:spacing w:val="27"/>
        </w:rPr>
        <w:t xml:space="preserve"> </w:t>
      </w:r>
      <w:r>
        <w:t xml:space="preserve">review of two decisions of the Fair Work Commission </w:t>
      </w:r>
      <w:r w:rsidR="00C41EC8">
        <w:t xml:space="preserve">(FWC) </w:t>
      </w:r>
      <w:r>
        <w:t>relating to his application for an extension of time to make an unfair dismissal application</w:t>
      </w:r>
      <w:r w:rsidR="00C37A68">
        <w:t xml:space="preserve">: </w:t>
      </w:r>
      <w:r w:rsidR="00C37A68" w:rsidRPr="00BA6253">
        <w:rPr>
          <w:i/>
        </w:rPr>
        <w:t xml:space="preserve">Ittyerah v Coles Supermarkets Australia Pty Ltd </w:t>
      </w:r>
      <w:r w:rsidR="00C37A68" w:rsidRPr="00BA6253">
        <w:t>[2019] FWC 7404</w:t>
      </w:r>
      <w:r w:rsidR="00A00D04">
        <w:t xml:space="preserve"> (Single Member Decision)</w:t>
      </w:r>
      <w:r w:rsidR="00056AC7">
        <w:t xml:space="preserve"> and</w:t>
      </w:r>
      <w:r w:rsidR="00C37A68">
        <w:t xml:space="preserve"> </w:t>
      </w:r>
      <w:r w:rsidR="00C37A68" w:rsidRPr="00BA6253">
        <w:rPr>
          <w:i/>
        </w:rPr>
        <w:t xml:space="preserve">Ittyerah v Coles Supermarkets (Australia) Pty Ltd </w:t>
      </w:r>
      <w:r w:rsidR="00C37A68" w:rsidRPr="00BA6253">
        <w:t>[2020] FWCFB 407</w:t>
      </w:r>
      <w:r w:rsidR="00A00D04">
        <w:t xml:space="preserve"> (Full Bench Decision)</w:t>
      </w:r>
      <w:r w:rsidR="00C37A68">
        <w:t>.</w:t>
      </w:r>
    </w:p>
    <w:p w14:paraId="00A711BA" w14:textId="77777777" w:rsidR="00927D93" w:rsidRPr="00973F61" w:rsidRDefault="00927D93" w:rsidP="00927D93">
      <w:pPr>
        <w:pStyle w:val="ParaNumbering"/>
      </w:pPr>
      <w:r>
        <w:t>The applicant opposes the making of the orders, although did not address the issue of a lump sum</w:t>
      </w:r>
      <w:r w:rsidR="00A206AF">
        <w:t>,</w:t>
      </w:r>
      <w:r>
        <w:t xml:space="preserve"> or the </w:t>
      </w:r>
      <w:r w:rsidRPr="00973F61">
        <w:t>suggested amount thereof</w:t>
      </w:r>
      <w:r w:rsidR="00A206AF">
        <w:t>,</w:t>
      </w:r>
      <w:r w:rsidRPr="00973F61">
        <w:t xml:space="preserve"> if the Court were </w:t>
      </w:r>
      <w:r w:rsidR="002D20AD" w:rsidRPr="00973F61">
        <w:t xml:space="preserve">to find </w:t>
      </w:r>
      <w:r w:rsidRPr="00973F61">
        <w:t xml:space="preserve">against him. </w:t>
      </w:r>
    </w:p>
    <w:p w14:paraId="245FC7FE" w14:textId="77777777" w:rsidR="00973F61" w:rsidRPr="00973F61" w:rsidRDefault="00C12473" w:rsidP="00973F61">
      <w:pPr>
        <w:pStyle w:val="ParaNumbering"/>
      </w:pPr>
      <w:r w:rsidRPr="00973F61">
        <w:t>For the reasons below</w:t>
      </w:r>
      <w:r w:rsidR="00973F61" w:rsidRPr="00973F61">
        <w:t xml:space="preserve">, </w:t>
      </w:r>
      <w:r w:rsidR="008E06B0" w:rsidRPr="00973F61">
        <w:t xml:space="preserve">the respondent’s application for costs </w:t>
      </w:r>
      <w:r w:rsidR="00973F61" w:rsidRPr="00973F61">
        <w:t>is refused.</w:t>
      </w:r>
    </w:p>
    <w:p w14:paraId="09881054" w14:textId="77777777" w:rsidR="00C12473" w:rsidRPr="00AF35DD" w:rsidRDefault="00C12473" w:rsidP="00137A0F">
      <w:pPr>
        <w:pStyle w:val="Heading2"/>
      </w:pPr>
      <w:r w:rsidRPr="00AF35DD">
        <w:t xml:space="preserve">Legal principles </w:t>
      </w:r>
    </w:p>
    <w:p w14:paraId="43E71635" w14:textId="77777777" w:rsidR="00C12473" w:rsidRDefault="00C12473" w:rsidP="00AF35DD">
      <w:pPr>
        <w:pStyle w:val="ParaNumbering"/>
      </w:pPr>
      <w:r>
        <w:t xml:space="preserve">Section 570 of the FW Act is in the following terms: </w:t>
      </w:r>
    </w:p>
    <w:p w14:paraId="134BCD7B" w14:textId="77777777" w:rsidR="00C915B3" w:rsidRPr="00137A0F" w:rsidRDefault="00F077E5" w:rsidP="00C915B3">
      <w:pPr>
        <w:pStyle w:val="Quote1"/>
        <w:rPr>
          <w:b/>
        </w:rPr>
      </w:pPr>
      <w:r>
        <w:rPr>
          <w:b/>
        </w:rPr>
        <w:t xml:space="preserve">570 </w:t>
      </w:r>
      <w:r w:rsidR="00C915B3" w:rsidRPr="00137A0F">
        <w:rPr>
          <w:b/>
        </w:rPr>
        <w:t>Costs only if proceedings instituted vexatiously etc.</w:t>
      </w:r>
    </w:p>
    <w:p w14:paraId="5E1697C9" w14:textId="77777777" w:rsidR="00C915B3" w:rsidRDefault="00C915B3" w:rsidP="00137A0F">
      <w:pPr>
        <w:pStyle w:val="Quote1"/>
        <w:ind w:left="1440" w:hanging="703"/>
      </w:pPr>
      <w:r>
        <w:t>(1)</w:t>
      </w:r>
      <w:r>
        <w:tab/>
        <w:t>A party to proceedings (including an appeal) in a court (including a court of a State or Territory) in relation to a matter arising under this Act may be ordered by the court to pay costs incurred by another party to the proceedings only in accordance with subsection (2) or section 569 or 569A.</w:t>
      </w:r>
    </w:p>
    <w:p w14:paraId="23C9EB63" w14:textId="77777777" w:rsidR="00C915B3" w:rsidRDefault="00C915B3" w:rsidP="00137A0F">
      <w:pPr>
        <w:pStyle w:val="Quote1"/>
        <w:ind w:left="1440"/>
      </w:pPr>
      <w:r>
        <w:t>Note:</w:t>
      </w:r>
      <w:r w:rsidR="00564C5F" w:rsidDel="00564C5F">
        <w:t xml:space="preserve"> </w:t>
      </w:r>
      <w:r>
        <w:t>The Commonwealth might be ordered to pay costs under section 569. A State or Territory might be ordered to pay costs under section 569A.</w:t>
      </w:r>
    </w:p>
    <w:p w14:paraId="145807FD" w14:textId="77777777" w:rsidR="00C915B3" w:rsidRDefault="00C915B3" w:rsidP="00C915B3">
      <w:pPr>
        <w:pStyle w:val="Quote1"/>
      </w:pPr>
      <w:r>
        <w:t>(2)</w:t>
      </w:r>
      <w:r>
        <w:tab/>
        <w:t>The party may be ordered to pay the costs only if:</w:t>
      </w:r>
    </w:p>
    <w:p w14:paraId="10373248" w14:textId="77777777" w:rsidR="00C915B3" w:rsidRDefault="00C915B3" w:rsidP="00621538">
      <w:pPr>
        <w:pStyle w:val="Quote2"/>
        <w:ind w:left="2160" w:hanging="720"/>
      </w:pPr>
      <w:r>
        <w:t>(a)</w:t>
      </w:r>
      <w:r>
        <w:tab/>
        <w:t xml:space="preserve">the court is satisfied that the party instituted the proceedings </w:t>
      </w:r>
      <w:r>
        <w:lastRenderedPageBreak/>
        <w:t>vexatiously or without reasonable cause; or</w:t>
      </w:r>
    </w:p>
    <w:p w14:paraId="30909E91" w14:textId="77777777" w:rsidR="00C915B3" w:rsidRDefault="00C915B3" w:rsidP="00621538">
      <w:pPr>
        <w:pStyle w:val="Quote2"/>
        <w:ind w:left="2160" w:hanging="720"/>
      </w:pPr>
      <w:r>
        <w:t>(b)</w:t>
      </w:r>
      <w:r>
        <w:tab/>
        <w:t>the court is satisfied that the party’s unreasonable act or omission caused the other party to incur the costs; or</w:t>
      </w:r>
    </w:p>
    <w:p w14:paraId="371FF32C" w14:textId="77777777" w:rsidR="00C915B3" w:rsidRDefault="00C915B3" w:rsidP="00621538">
      <w:pPr>
        <w:pStyle w:val="Quote2"/>
        <w:ind w:left="2160" w:hanging="720"/>
      </w:pPr>
      <w:r>
        <w:t>(c)</w:t>
      </w:r>
      <w:r>
        <w:tab/>
        <w:t>the court is satisfied of both of the following:</w:t>
      </w:r>
    </w:p>
    <w:p w14:paraId="5FC0B84C" w14:textId="77777777" w:rsidR="00C915B3" w:rsidRDefault="00C915B3" w:rsidP="00621538">
      <w:pPr>
        <w:pStyle w:val="Quote3"/>
        <w:ind w:left="2880" w:hanging="720"/>
      </w:pPr>
      <w:r>
        <w:t>(i)</w:t>
      </w:r>
      <w:r>
        <w:tab/>
        <w:t>the party unreasonably refused to participate in a matter before the FWC;</w:t>
      </w:r>
    </w:p>
    <w:p w14:paraId="7F6B293A" w14:textId="77777777" w:rsidR="00C915B3" w:rsidRDefault="00C915B3" w:rsidP="00621538">
      <w:pPr>
        <w:pStyle w:val="Quote3"/>
        <w:ind w:left="2880" w:hanging="720"/>
      </w:pPr>
      <w:r>
        <w:t>(ii)</w:t>
      </w:r>
      <w:r>
        <w:tab/>
        <w:t>the matter arose from the same facts as the proceedings.</w:t>
      </w:r>
    </w:p>
    <w:p w14:paraId="4D198C4F" w14:textId="60CB0E28" w:rsidR="00C12473" w:rsidRPr="001D7E7A" w:rsidRDefault="00C12473" w:rsidP="00C12473">
      <w:pPr>
        <w:pStyle w:val="ParaNumbering"/>
        <w:rPr>
          <w:i/>
        </w:rPr>
      </w:pPr>
      <w:bookmarkStart w:id="18" w:name="_Ref82624919"/>
      <w:r>
        <w:t xml:space="preserve">The relevant principles were summarised by the Full Court in </w:t>
      </w:r>
      <w:r w:rsidRPr="00BA6253">
        <w:rPr>
          <w:i/>
        </w:rPr>
        <w:t>Australian Workers</w:t>
      </w:r>
      <w:r w:rsidR="00D26326" w:rsidRPr="00BA6253">
        <w:rPr>
          <w:i/>
        </w:rPr>
        <w:t>’</w:t>
      </w:r>
      <w:r w:rsidRPr="00BA6253">
        <w:rPr>
          <w:i/>
        </w:rPr>
        <w:t xml:space="preserve"> Union v Leighton Contractors Pty </w:t>
      </w:r>
      <w:r w:rsidR="00E673D0">
        <w:rPr>
          <w:i/>
        </w:rPr>
        <w:t>Ltd</w:t>
      </w:r>
      <w:r w:rsidR="00E673D0" w:rsidRPr="00BA6253">
        <w:rPr>
          <w:i/>
        </w:rPr>
        <w:t xml:space="preserve"> </w:t>
      </w:r>
      <w:r w:rsidR="00D26326" w:rsidRPr="00BA6253">
        <w:rPr>
          <w:i/>
        </w:rPr>
        <w:t xml:space="preserve">&amp; Ors </w:t>
      </w:r>
      <w:r w:rsidRPr="00BA6253">
        <w:rPr>
          <w:i/>
        </w:rPr>
        <w:t xml:space="preserve">(No 2) </w:t>
      </w:r>
      <w:r w:rsidR="00280861" w:rsidRPr="00BA6253">
        <w:t xml:space="preserve">[2013] FCAFC 23; </w:t>
      </w:r>
      <w:r w:rsidRPr="00BA6253">
        <w:t>(2013) 232 FCR 428</w:t>
      </w:r>
      <w:r>
        <w:t xml:space="preserve"> </w:t>
      </w:r>
      <w:r w:rsidR="00205DE3">
        <w:t>(</w:t>
      </w:r>
      <w:r w:rsidR="00205DE3">
        <w:rPr>
          <w:i/>
        </w:rPr>
        <w:t>Leighton Contractors</w:t>
      </w:r>
      <w:r w:rsidR="00205DE3">
        <w:t xml:space="preserve">) </w:t>
      </w:r>
      <w:r>
        <w:t>at [7]:</w:t>
      </w:r>
      <w:bookmarkEnd w:id="18"/>
    </w:p>
    <w:p w14:paraId="68287E73" w14:textId="77777777" w:rsidR="00151551" w:rsidRPr="00C12473" w:rsidRDefault="00151551" w:rsidP="001D7E7A">
      <w:pPr>
        <w:pStyle w:val="Quote1"/>
      </w:pPr>
      <w:r>
        <w:t>[…]</w:t>
      </w:r>
    </w:p>
    <w:p w14:paraId="7487F41D" w14:textId="77777777" w:rsidR="00C12473" w:rsidRPr="00C12473" w:rsidRDefault="00C12473" w:rsidP="007308BE">
      <w:pPr>
        <w:pStyle w:val="Quote1"/>
        <w:numPr>
          <w:ilvl w:val="0"/>
          <w:numId w:val="27"/>
        </w:numPr>
        <w:rPr>
          <w:i/>
        </w:rPr>
      </w:pPr>
      <w:r w:rsidRPr="00C12473">
        <w:t>The purpose or policy of the section is to free parties from the risk of having to pay their opponents’ costs in matters arising under the Act, while at the same time protecting those parties who are forced to defend proceedings that have been instituted vexatiously or without reasonable cause.</w:t>
      </w:r>
    </w:p>
    <w:p w14:paraId="1EAD03C8" w14:textId="77777777" w:rsidR="00C12473" w:rsidRPr="00C12473" w:rsidRDefault="00C12473" w:rsidP="007308BE">
      <w:pPr>
        <w:pStyle w:val="Quote1"/>
        <w:numPr>
          <w:ilvl w:val="0"/>
          <w:numId w:val="27"/>
        </w:numPr>
        <w:rPr>
          <w:i/>
        </w:rPr>
      </w:pPr>
      <w:r w:rsidRPr="00C12473">
        <w:t>It follows from the protection offered by s 570(2) that a person will rarely be ordered to pay the costs of a proceeding.  But it is not necessary to prove that there are exceptional circumstances warranting the making of an order.</w:t>
      </w:r>
    </w:p>
    <w:p w14:paraId="6E76E43F" w14:textId="77777777" w:rsidR="00C12473" w:rsidRPr="00C12473" w:rsidRDefault="00C12473" w:rsidP="007308BE">
      <w:pPr>
        <w:pStyle w:val="Quote1"/>
        <w:numPr>
          <w:ilvl w:val="0"/>
          <w:numId w:val="27"/>
        </w:numPr>
        <w:rPr>
          <w:i/>
        </w:rPr>
      </w:pPr>
      <w:r w:rsidRPr="00C12473">
        <w:t xml:space="preserve">The relevant question is whether the proceeding had reasonable prospects of success at the time it was instituted, not whether it ultimately failed:  </w:t>
      </w:r>
      <w:r w:rsidRPr="00C12473">
        <w:rPr>
          <w:i/>
        </w:rPr>
        <w:t>R v Moore; Ex parte Federated Miscellaneous Workers’ Union of Australia</w:t>
      </w:r>
      <w:r w:rsidRPr="00C12473">
        <w:t xml:space="preserve"> (1978) 140 CLR 470 at 473 per Gibbs J; </w:t>
      </w:r>
      <w:r w:rsidRPr="00C12473">
        <w:rPr>
          <w:i/>
        </w:rPr>
        <w:t xml:space="preserve">Kangan </w:t>
      </w:r>
      <w:r w:rsidRPr="00C12473">
        <w:t>[</w:t>
      </w:r>
      <w:r w:rsidRPr="00C12473">
        <w:rPr>
          <w:i/>
        </w:rPr>
        <w:t>Council of Kangan Batman Institute of Technology and Further Education v Australian Industrial Relations Commission</w:t>
      </w:r>
      <w:r w:rsidR="006443A9">
        <w:t xml:space="preserve"> (2006) 156 FCR 275 at [60]. </w:t>
      </w:r>
      <w:r w:rsidRPr="00C12473">
        <w:t xml:space="preserve">In </w:t>
      </w:r>
      <w:r w:rsidRPr="00C12473">
        <w:rPr>
          <w:i/>
        </w:rPr>
        <w:t>Kanan v Australian Postal and Telecommunications Union</w:t>
      </w:r>
      <w:r w:rsidRPr="00C12473">
        <w:t xml:space="preserve"> (1992) 43 IR 257 at 264–5 (approved in </w:t>
      </w:r>
      <w:r w:rsidRPr="00C12473">
        <w:rPr>
          <w:i/>
        </w:rPr>
        <w:t>Kangan</w:t>
      </w:r>
      <w:r w:rsidRPr="00C12473">
        <w:t xml:space="preserve">) Wilcox J said </w:t>
      </w:r>
    </w:p>
    <w:p w14:paraId="621F47DC" w14:textId="77777777" w:rsidR="00C12473" w:rsidRPr="00C12473" w:rsidRDefault="00C12473" w:rsidP="00137A0F">
      <w:pPr>
        <w:pStyle w:val="Quote2"/>
        <w:rPr>
          <w:i/>
        </w:rPr>
      </w:pPr>
      <w:r w:rsidRPr="00C12473">
        <w:t>If success depends on the resolution in the applicant’s favour of one or more arguable points of law, it is inappropriate to stigmatise the proceeding, as being “without reasonable cause”.  But where, on the applicant’s own version of the facts, it is clear that the proceeding must fail, it may properly be said that the proceeding lacks a reasonable cause.</w:t>
      </w:r>
    </w:p>
    <w:p w14:paraId="6514B03E" w14:textId="77777777" w:rsidR="00AF35DD" w:rsidRPr="002E2037" w:rsidRDefault="00B8415C" w:rsidP="00137A0F">
      <w:pPr>
        <w:pStyle w:val="ParaNumbering"/>
        <w:numPr>
          <w:ilvl w:val="0"/>
          <w:numId w:val="0"/>
        </w:numPr>
        <w:spacing w:before="240"/>
        <w:rPr>
          <w:szCs w:val="24"/>
          <w:highlight w:val="yellow"/>
        </w:rPr>
      </w:pPr>
      <w:r w:rsidRPr="00C54021">
        <w:rPr>
          <w:szCs w:val="24"/>
        </w:rPr>
        <w:t>See also:</w:t>
      </w:r>
      <w:r w:rsidR="00C12473" w:rsidRPr="00C54021">
        <w:rPr>
          <w:szCs w:val="24"/>
        </w:rPr>
        <w:t xml:space="preserve"> </w:t>
      </w:r>
      <w:r w:rsidR="00C12473" w:rsidRPr="00C54021">
        <w:rPr>
          <w:i/>
          <w:szCs w:val="24"/>
        </w:rPr>
        <w:t xml:space="preserve">Menzies v Fair Work Commission </w:t>
      </w:r>
      <w:r w:rsidR="00AF35DD" w:rsidRPr="00C54021">
        <w:rPr>
          <w:szCs w:val="24"/>
        </w:rPr>
        <w:t>[2020] FCA 36</w:t>
      </w:r>
      <w:r w:rsidRPr="00C54021">
        <w:rPr>
          <w:szCs w:val="24"/>
        </w:rPr>
        <w:t>; (2020) 293 IR 301</w:t>
      </w:r>
      <w:r w:rsidR="00AF35DD" w:rsidRPr="00C54021">
        <w:rPr>
          <w:szCs w:val="24"/>
        </w:rPr>
        <w:t xml:space="preserve"> </w:t>
      </w:r>
      <w:r w:rsidR="00003B9C" w:rsidRPr="00C54021">
        <w:rPr>
          <w:szCs w:val="24"/>
        </w:rPr>
        <w:t>(</w:t>
      </w:r>
      <w:r w:rsidR="00003B9C" w:rsidRPr="00C54021">
        <w:rPr>
          <w:i/>
          <w:szCs w:val="24"/>
        </w:rPr>
        <w:t>Menzies</w:t>
      </w:r>
      <w:r w:rsidR="00003B9C" w:rsidRPr="00C54021">
        <w:rPr>
          <w:szCs w:val="24"/>
        </w:rPr>
        <w:t xml:space="preserve">) </w:t>
      </w:r>
      <w:r w:rsidR="00AF35DD" w:rsidRPr="00C54021">
        <w:rPr>
          <w:szCs w:val="24"/>
        </w:rPr>
        <w:t xml:space="preserve">at [82]-[87] </w:t>
      </w:r>
      <w:r w:rsidR="00C12473" w:rsidRPr="00C54021">
        <w:rPr>
          <w:szCs w:val="24"/>
        </w:rPr>
        <w:t xml:space="preserve">and </w:t>
      </w:r>
      <w:r w:rsidR="00C12473" w:rsidRPr="00C54021">
        <w:rPr>
          <w:i/>
          <w:szCs w:val="24"/>
        </w:rPr>
        <w:t xml:space="preserve">Pal v Commonwealth of Australia (No 2) </w:t>
      </w:r>
      <w:r w:rsidR="00AF35DD" w:rsidRPr="00C54021">
        <w:rPr>
          <w:szCs w:val="24"/>
        </w:rPr>
        <w:t xml:space="preserve">[2021] FCA 37 </w:t>
      </w:r>
      <w:r w:rsidR="00BE508E" w:rsidRPr="00C54021">
        <w:rPr>
          <w:szCs w:val="24"/>
        </w:rPr>
        <w:t>(</w:t>
      </w:r>
      <w:r w:rsidR="00BE508E" w:rsidRPr="00C54021">
        <w:rPr>
          <w:i/>
          <w:szCs w:val="24"/>
        </w:rPr>
        <w:t>Pal</w:t>
      </w:r>
      <w:r w:rsidR="00B66FF9" w:rsidRPr="00C54021">
        <w:rPr>
          <w:i/>
          <w:szCs w:val="24"/>
        </w:rPr>
        <w:t xml:space="preserve"> (No 2)</w:t>
      </w:r>
      <w:r w:rsidR="00BE508E" w:rsidRPr="00C54021">
        <w:rPr>
          <w:szCs w:val="24"/>
        </w:rPr>
        <w:t xml:space="preserve">) </w:t>
      </w:r>
      <w:r w:rsidR="00AF35DD" w:rsidRPr="00C54021">
        <w:rPr>
          <w:szCs w:val="24"/>
        </w:rPr>
        <w:t>at [</w:t>
      </w:r>
      <w:r w:rsidR="00BF1BA4" w:rsidRPr="00C54021">
        <w:rPr>
          <w:szCs w:val="24"/>
        </w:rPr>
        <w:t>6</w:t>
      </w:r>
      <w:r w:rsidR="00AF35DD" w:rsidRPr="00C54021">
        <w:rPr>
          <w:szCs w:val="24"/>
        </w:rPr>
        <w:t>]-[</w:t>
      </w:r>
      <w:r w:rsidR="00BF1BA4" w:rsidRPr="00C54021">
        <w:rPr>
          <w:szCs w:val="24"/>
        </w:rPr>
        <w:t>14</w:t>
      </w:r>
      <w:r w:rsidR="00AF35DD" w:rsidRPr="00C54021">
        <w:rPr>
          <w:szCs w:val="24"/>
        </w:rPr>
        <w:t>].</w:t>
      </w:r>
    </w:p>
    <w:p w14:paraId="65BA14E3" w14:textId="723DAF46" w:rsidR="00AF35DD" w:rsidRDefault="00AF35DD" w:rsidP="00AF35DD">
      <w:pPr>
        <w:pStyle w:val="ParaNumbering"/>
      </w:pPr>
      <w:bookmarkStart w:id="19" w:name="_Ref81823496"/>
      <w:r>
        <w:t>The</w:t>
      </w:r>
      <w:r>
        <w:rPr>
          <w:spacing w:val="-8"/>
        </w:rPr>
        <w:t xml:space="preserve"> </w:t>
      </w:r>
      <w:r>
        <w:t>relevant</w:t>
      </w:r>
      <w:r>
        <w:rPr>
          <w:spacing w:val="-10"/>
        </w:rPr>
        <w:t xml:space="preserve"> </w:t>
      </w:r>
      <w:r>
        <w:t>question</w:t>
      </w:r>
      <w:r>
        <w:rPr>
          <w:spacing w:val="-8"/>
        </w:rPr>
        <w:t xml:space="preserve"> </w:t>
      </w:r>
      <w:r>
        <w:t>is</w:t>
      </w:r>
      <w:r>
        <w:rPr>
          <w:spacing w:val="-10"/>
        </w:rPr>
        <w:t xml:space="preserve"> </w:t>
      </w:r>
      <w:r>
        <w:t>whether</w:t>
      </w:r>
      <w:r>
        <w:rPr>
          <w:spacing w:val="-8"/>
        </w:rPr>
        <w:t xml:space="preserve"> </w:t>
      </w:r>
      <w:r>
        <w:t>the</w:t>
      </w:r>
      <w:r>
        <w:rPr>
          <w:spacing w:val="-8"/>
        </w:rPr>
        <w:t xml:space="preserve"> </w:t>
      </w:r>
      <w:r>
        <w:t>Court</w:t>
      </w:r>
      <w:r>
        <w:rPr>
          <w:spacing w:val="-8"/>
        </w:rPr>
        <w:t xml:space="preserve"> </w:t>
      </w:r>
      <w:r>
        <w:t>is</w:t>
      </w:r>
      <w:r>
        <w:rPr>
          <w:spacing w:val="-8"/>
        </w:rPr>
        <w:t xml:space="preserve"> </w:t>
      </w:r>
      <w:r>
        <w:t>satisfied,</w:t>
      </w:r>
      <w:r>
        <w:rPr>
          <w:spacing w:val="-8"/>
        </w:rPr>
        <w:t xml:space="preserve"> </w:t>
      </w:r>
      <w:r>
        <w:t>as</w:t>
      </w:r>
      <w:r>
        <w:rPr>
          <w:spacing w:val="-8"/>
        </w:rPr>
        <w:t xml:space="preserve"> </w:t>
      </w:r>
      <w:r>
        <w:t>a</w:t>
      </w:r>
      <w:r>
        <w:rPr>
          <w:spacing w:val="-8"/>
        </w:rPr>
        <w:t xml:space="preserve"> </w:t>
      </w:r>
      <w:r>
        <w:t>matter</w:t>
      </w:r>
      <w:r>
        <w:rPr>
          <w:spacing w:val="-8"/>
        </w:rPr>
        <w:t xml:space="preserve"> </w:t>
      </w:r>
      <w:r>
        <w:t>of</w:t>
      </w:r>
      <w:r>
        <w:rPr>
          <w:spacing w:val="-8"/>
        </w:rPr>
        <w:t xml:space="preserve"> </w:t>
      </w:r>
      <w:r>
        <w:t>objective</w:t>
      </w:r>
      <w:r>
        <w:rPr>
          <w:spacing w:val="-8"/>
        </w:rPr>
        <w:t xml:space="preserve"> </w:t>
      </w:r>
      <w:r>
        <w:t>fact,</w:t>
      </w:r>
      <w:r>
        <w:rPr>
          <w:spacing w:val="-7"/>
        </w:rPr>
        <w:t xml:space="preserve"> </w:t>
      </w:r>
      <w:r>
        <w:t>that</w:t>
      </w:r>
      <w:r>
        <w:rPr>
          <w:spacing w:val="-8"/>
        </w:rPr>
        <w:t xml:space="preserve"> </w:t>
      </w:r>
      <w:r>
        <w:t xml:space="preserve">the applicant instituted the proceeding without reasonable cause: </w:t>
      </w:r>
      <w:r w:rsidRPr="00BA6253">
        <w:rPr>
          <w:i/>
        </w:rPr>
        <w:t>Spotless</w:t>
      </w:r>
      <w:r w:rsidRPr="00BA6253">
        <w:rPr>
          <w:i/>
          <w:spacing w:val="-11"/>
        </w:rPr>
        <w:t xml:space="preserve"> </w:t>
      </w:r>
      <w:r w:rsidRPr="00BA6253">
        <w:rPr>
          <w:i/>
        </w:rPr>
        <w:t>Services</w:t>
      </w:r>
      <w:r w:rsidRPr="00BA6253">
        <w:rPr>
          <w:i/>
          <w:spacing w:val="-11"/>
        </w:rPr>
        <w:t xml:space="preserve"> </w:t>
      </w:r>
      <w:r w:rsidRPr="00BA6253">
        <w:rPr>
          <w:i/>
        </w:rPr>
        <w:t>Australia</w:t>
      </w:r>
      <w:r w:rsidRPr="00BA6253">
        <w:rPr>
          <w:i/>
          <w:spacing w:val="-12"/>
        </w:rPr>
        <w:t xml:space="preserve"> </w:t>
      </w:r>
      <w:r w:rsidRPr="00BA6253">
        <w:rPr>
          <w:i/>
        </w:rPr>
        <w:t>Ltd</w:t>
      </w:r>
      <w:r w:rsidRPr="00BA6253">
        <w:rPr>
          <w:i/>
          <w:spacing w:val="-11"/>
        </w:rPr>
        <w:t xml:space="preserve"> </w:t>
      </w:r>
      <w:r w:rsidRPr="00BA6253">
        <w:rPr>
          <w:i/>
        </w:rPr>
        <w:t>v</w:t>
      </w:r>
      <w:r w:rsidRPr="00BA6253">
        <w:rPr>
          <w:i/>
          <w:spacing w:val="-11"/>
        </w:rPr>
        <w:t xml:space="preserve"> </w:t>
      </w:r>
      <w:r w:rsidRPr="00BA6253">
        <w:rPr>
          <w:i/>
        </w:rPr>
        <w:t>The</w:t>
      </w:r>
      <w:r w:rsidRPr="00BA6253">
        <w:rPr>
          <w:i/>
          <w:spacing w:val="-11"/>
        </w:rPr>
        <w:t xml:space="preserve"> </w:t>
      </w:r>
      <w:r w:rsidRPr="00BA6253">
        <w:rPr>
          <w:i/>
        </w:rPr>
        <w:t>Honourable</w:t>
      </w:r>
      <w:r w:rsidRPr="00BA6253">
        <w:rPr>
          <w:i/>
          <w:spacing w:val="-11"/>
        </w:rPr>
        <w:t xml:space="preserve"> </w:t>
      </w:r>
      <w:r w:rsidRPr="00BA6253">
        <w:rPr>
          <w:i/>
        </w:rPr>
        <w:t>Senior</w:t>
      </w:r>
      <w:r w:rsidRPr="00BA6253">
        <w:rPr>
          <w:i/>
          <w:spacing w:val="-11"/>
        </w:rPr>
        <w:t xml:space="preserve"> </w:t>
      </w:r>
      <w:r w:rsidRPr="00BA6253">
        <w:rPr>
          <w:i/>
        </w:rPr>
        <w:t>Deputy</w:t>
      </w:r>
      <w:r w:rsidRPr="00BA6253">
        <w:rPr>
          <w:i/>
          <w:spacing w:val="-11"/>
        </w:rPr>
        <w:t xml:space="preserve"> </w:t>
      </w:r>
      <w:r w:rsidRPr="00BA6253">
        <w:rPr>
          <w:i/>
        </w:rPr>
        <w:t>President</w:t>
      </w:r>
      <w:r w:rsidRPr="00BA6253">
        <w:rPr>
          <w:i/>
          <w:spacing w:val="-11"/>
        </w:rPr>
        <w:t xml:space="preserve"> </w:t>
      </w:r>
      <w:r w:rsidRPr="00BA6253">
        <w:rPr>
          <w:i/>
        </w:rPr>
        <w:t>Jeanette</w:t>
      </w:r>
      <w:r w:rsidRPr="00BA6253">
        <w:rPr>
          <w:i/>
          <w:spacing w:val="-11"/>
        </w:rPr>
        <w:t xml:space="preserve"> </w:t>
      </w:r>
      <w:r w:rsidRPr="00BA6253">
        <w:rPr>
          <w:i/>
        </w:rPr>
        <w:t>Marsh</w:t>
      </w:r>
      <w:r w:rsidRPr="00BA6253">
        <w:rPr>
          <w:i/>
          <w:spacing w:val="-11"/>
        </w:rPr>
        <w:t xml:space="preserve"> </w:t>
      </w:r>
      <w:r w:rsidRPr="00BA6253">
        <w:t>[2004]</w:t>
      </w:r>
      <w:r w:rsidRPr="00BA6253">
        <w:rPr>
          <w:spacing w:val="-11"/>
        </w:rPr>
        <w:t xml:space="preserve"> </w:t>
      </w:r>
      <w:r w:rsidRPr="00BA6253">
        <w:t>FCAFC 155</w:t>
      </w:r>
      <w:r w:rsidR="00D31A4D">
        <w:t xml:space="preserve"> </w:t>
      </w:r>
      <w:r>
        <w:t>at</w:t>
      </w:r>
      <w:r w:rsidRPr="00AF35DD">
        <w:rPr>
          <w:spacing w:val="-3"/>
        </w:rPr>
        <w:t xml:space="preserve"> </w:t>
      </w:r>
      <w:r>
        <w:t>[13]</w:t>
      </w:r>
      <w:r w:rsidR="00AF5EC5">
        <w:t xml:space="preserve">; </w:t>
      </w:r>
      <w:r w:rsidR="00AF5EC5" w:rsidRPr="00BA6253">
        <w:rPr>
          <w:i/>
        </w:rPr>
        <w:t>Construction, Forestry, Mining and Energy Union v BHP Coal Pty Ltd (No 2)</w:t>
      </w:r>
      <w:r w:rsidR="00E3321C" w:rsidRPr="00BA6253">
        <w:rPr>
          <w:i/>
        </w:rPr>
        <w:t xml:space="preserve"> </w:t>
      </w:r>
      <w:r w:rsidR="00E3321C" w:rsidRPr="00BA6253">
        <w:t>[2015] FCAFC 97;</w:t>
      </w:r>
      <w:r w:rsidR="00AF5EC5" w:rsidRPr="00BA6253">
        <w:rPr>
          <w:i/>
        </w:rPr>
        <w:t xml:space="preserve"> </w:t>
      </w:r>
      <w:r w:rsidR="00AF5EC5" w:rsidRPr="00BA6253">
        <w:t>(2015) 230 FCR 337</w:t>
      </w:r>
      <w:r w:rsidR="003D4B00" w:rsidRPr="00BA6253">
        <w:t xml:space="preserve"> </w:t>
      </w:r>
      <w:r w:rsidR="003D4B00">
        <w:t>(</w:t>
      </w:r>
      <w:r w:rsidR="003D4B00">
        <w:rPr>
          <w:i/>
        </w:rPr>
        <w:t>BHP Coal (No 2)</w:t>
      </w:r>
      <w:r w:rsidR="003D4B00">
        <w:t>)</w:t>
      </w:r>
      <w:r w:rsidR="00AF5EC5">
        <w:t xml:space="preserve"> at [16]-[17]</w:t>
      </w:r>
      <w:r>
        <w:t>.</w:t>
      </w:r>
      <w:bookmarkEnd w:id="19"/>
      <w:r w:rsidR="00712B22">
        <w:t xml:space="preserve"> </w:t>
      </w:r>
    </w:p>
    <w:p w14:paraId="2EC0248E" w14:textId="77777777" w:rsidR="00AF35DD" w:rsidRDefault="00AF35DD" w:rsidP="00AF35DD">
      <w:pPr>
        <w:pStyle w:val="ParaNumbering"/>
      </w:pPr>
      <w:r>
        <w:lastRenderedPageBreak/>
        <w:t xml:space="preserve">In </w:t>
      </w:r>
      <w:r w:rsidRPr="00BA6253">
        <w:rPr>
          <w:i/>
        </w:rPr>
        <w:t xml:space="preserve">Reeve v Ramsay Health Care Australia Pty Ltd (No 2) </w:t>
      </w:r>
      <w:r w:rsidRPr="00BA6253">
        <w:t>[2012] FCA 1322</w:t>
      </w:r>
      <w:r w:rsidR="00F41051">
        <w:t>,</w:t>
      </w:r>
      <w:r>
        <w:t xml:space="preserve"> Barker J observed at</w:t>
      </w:r>
      <w:r>
        <w:rPr>
          <w:spacing w:val="-13"/>
        </w:rPr>
        <w:t xml:space="preserve"> </w:t>
      </w:r>
      <w:r>
        <w:t>[10]:</w:t>
      </w:r>
    </w:p>
    <w:p w14:paraId="1C471821" w14:textId="77777777" w:rsidR="00AF35DD" w:rsidRPr="008E06B0" w:rsidRDefault="00AF35DD" w:rsidP="00BA0029">
      <w:pPr>
        <w:pStyle w:val="Quote1"/>
      </w:pPr>
      <w:r w:rsidRPr="00AF35DD">
        <w:t>It is now well accepted that one way of testing whether a proceeding is instituted “without reasonable cause”, for the purpose of a provision such as s 570, is to ask whether upon the facts apparent to the applicant at the time of instituting the proceeding, there were no substantial prospects of success. If success depends upon resolution in the applicant’s favour</w:t>
      </w:r>
      <w:r w:rsidRPr="00AF35DD">
        <w:rPr>
          <w:spacing w:val="-4"/>
        </w:rPr>
        <w:t xml:space="preserve"> </w:t>
      </w:r>
      <w:r w:rsidRPr="00AF35DD">
        <w:t>of</w:t>
      </w:r>
      <w:r w:rsidRPr="00AF35DD">
        <w:rPr>
          <w:spacing w:val="-5"/>
        </w:rPr>
        <w:t xml:space="preserve"> </w:t>
      </w:r>
      <w:r w:rsidRPr="00AF35DD">
        <w:t>one</w:t>
      </w:r>
      <w:r w:rsidRPr="00AF35DD">
        <w:rPr>
          <w:spacing w:val="-5"/>
        </w:rPr>
        <w:t xml:space="preserve"> </w:t>
      </w:r>
      <w:r w:rsidRPr="00AF35DD">
        <w:t>or</w:t>
      </w:r>
      <w:r w:rsidRPr="00AF35DD">
        <w:rPr>
          <w:spacing w:val="-4"/>
        </w:rPr>
        <w:t xml:space="preserve"> </w:t>
      </w:r>
      <w:r w:rsidRPr="00AF35DD">
        <w:t>more</w:t>
      </w:r>
      <w:r w:rsidRPr="00AF35DD">
        <w:rPr>
          <w:spacing w:val="-4"/>
        </w:rPr>
        <w:t xml:space="preserve"> </w:t>
      </w:r>
      <w:r w:rsidRPr="00AF35DD">
        <w:t>arguable</w:t>
      </w:r>
      <w:r w:rsidRPr="00AF35DD">
        <w:rPr>
          <w:spacing w:val="-5"/>
        </w:rPr>
        <w:t xml:space="preserve"> </w:t>
      </w:r>
      <w:r w:rsidRPr="00AF35DD">
        <w:t>points</w:t>
      </w:r>
      <w:r w:rsidRPr="00AF35DD">
        <w:rPr>
          <w:spacing w:val="-4"/>
        </w:rPr>
        <w:t xml:space="preserve"> </w:t>
      </w:r>
      <w:r w:rsidRPr="00AF35DD">
        <w:t>of</w:t>
      </w:r>
      <w:r w:rsidRPr="00AF35DD">
        <w:rPr>
          <w:spacing w:val="-6"/>
        </w:rPr>
        <w:t xml:space="preserve"> </w:t>
      </w:r>
      <w:r w:rsidRPr="00AF35DD">
        <w:t>law,</w:t>
      </w:r>
      <w:r w:rsidRPr="00AF35DD">
        <w:rPr>
          <w:spacing w:val="-4"/>
        </w:rPr>
        <w:t xml:space="preserve"> </w:t>
      </w:r>
      <w:r w:rsidRPr="00AF35DD">
        <w:t>it</w:t>
      </w:r>
      <w:r w:rsidRPr="00AF35DD">
        <w:rPr>
          <w:spacing w:val="-5"/>
        </w:rPr>
        <w:t xml:space="preserve"> </w:t>
      </w:r>
      <w:r w:rsidRPr="00AF35DD">
        <w:t>is</w:t>
      </w:r>
      <w:r w:rsidRPr="00AF35DD">
        <w:rPr>
          <w:spacing w:val="-5"/>
        </w:rPr>
        <w:t xml:space="preserve"> </w:t>
      </w:r>
      <w:r w:rsidRPr="00AF35DD">
        <w:t>inappropriate</w:t>
      </w:r>
      <w:r w:rsidRPr="00AF35DD">
        <w:rPr>
          <w:spacing w:val="-4"/>
        </w:rPr>
        <w:t xml:space="preserve"> </w:t>
      </w:r>
      <w:r w:rsidRPr="00AF35DD">
        <w:t>to</w:t>
      </w:r>
      <w:r w:rsidRPr="00AF35DD">
        <w:rPr>
          <w:spacing w:val="-4"/>
        </w:rPr>
        <w:t xml:space="preserve"> </w:t>
      </w:r>
      <w:r w:rsidRPr="00AF35DD">
        <w:t>say</w:t>
      </w:r>
      <w:r w:rsidRPr="00AF35DD">
        <w:rPr>
          <w:spacing w:val="-4"/>
        </w:rPr>
        <w:t xml:space="preserve"> </w:t>
      </w:r>
      <w:r w:rsidRPr="00AF35DD">
        <w:t>that</w:t>
      </w:r>
      <w:r w:rsidRPr="00AF35DD">
        <w:rPr>
          <w:spacing w:val="-5"/>
        </w:rPr>
        <w:t xml:space="preserve"> </w:t>
      </w:r>
      <w:r w:rsidRPr="00AF35DD">
        <w:t>the</w:t>
      </w:r>
      <w:r w:rsidRPr="00AF35DD">
        <w:rPr>
          <w:spacing w:val="-4"/>
        </w:rPr>
        <w:t xml:space="preserve"> </w:t>
      </w:r>
      <w:r w:rsidRPr="00AF35DD">
        <w:t>proceeding was</w:t>
      </w:r>
      <w:r w:rsidRPr="00AF35DD">
        <w:rPr>
          <w:spacing w:val="-12"/>
        </w:rPr>
        <w:t xml:space="preserve"> </w:t>
      </w:r>
      <w:r w:rsidRPr="00AF35DD">
        <w:t>instituted</w:t>
      </w:r>
      <w:r w:rsidRPr="00AF35DD">
        <w:rPr>
          <w:spacing w:val="-11"/>
        </w:rPr>
        <w:t xml:space="preserve"> </w:t>
      </w:r>
      <w:r w:rsidRPr="00AF35DD">
        <w:t>“without</w:t>
      </w:r>
      <w:r w:rsidRPr="00AF35DD">
        <w:rPr>
          <w:spacing w:val="-11"/>
        </w:rPr>
        <w:t xml:space="preserve"> </w:t>
      </w:r>
      <w:r w:rsidRPr="00AF35DD">
        <w:t>reasonable</w:t>
      </w:r>
      <w:r w:rsidRPr="00AF35DD">
        <w:rPr>
          <w:spacing w:val="-11"/>
        </w:rPr>
        <w:t xml:space="preserve"> </w:t>
      </w:r>
      <w:r w:rsidRPr="00AF35DD">
        <w:t>cause”.</w:t>
      </w:r>
      <w:r w:rsidRPr="00AF35DD">
        <w:rPr>
          <w:spacing w:val="-11"/>
        </w:rPr>
        <w:t xml:space="preserve"> </w:t>
      </w:r>
      <w:r w:rsidRPr="00AF35DD">
        <w:t>But</w:t>
      </w:r>
      <w:r w:rsidRPr="00AF35DD">
        <w:rPr>
          <w:spacing w:val="-11"/>
        </w:rPr>
        <w:t xml:space="preserve"> </w:t>
      </w:r>
      <w:r w:rsidRPr="00AF35DD">
        <w:t>where</w:t>
      </w:r>
      <w:r w:rsidRPr="00AF35DD">
        <w:rPr>
          <w:spacing w:val="-11"/>
        </w:rPr>
        <w:t xml:space="preserve"> </w:t>
      </w:r>
      <w:r w:rsidRPr="00AF35DD">
        <w:t>on</w:t>
      </w:r>
      <w:r w:rsidRPr="00AF35DD">
        <w:rPr>
          <w:spacing w:val="-11"/>
        </w:rPr>
        <w:t xml:space="preserve"> </w:t>
      </w:r>
      <w:r w:rsidRPr="00AF35DD">
        <w:t>the</w:t>
      </w:r>
      <w:r w:rsidRPr="00AF35DD">
        <w:rPr>
          <w:spacing w:val="-11"/>
        </w:rPr>
        <w:t xml:space="preserve"> </w:t>
      </w:r>
      <w:r w:rsidRPr="00AF35DD">
        <w:t>applicant’s</w:t>
      </w:r>
      <w:r w:rsidRPr="00AF35DD">
        <w:rPr>
          <w:spacing w:val="-11"/>
        </w:rPr>
        <w:t xml:space="preserve"> </w:t>
      </w:r>
      <w:r w:rsidRPr="00AF35DD">
        <w:t>own</w:t>
      </w:r>
      <w:r w:rsidRPr="00AF35DD">
        <w:rPr>
          <w:spacing w:val="-11"/>
        </w:rPr>
        <w:t xml:space="preserve"> </w:t>
      </w:r>
      <w:r w:rsidRPr="00AF35DD">
        <w:t>version</w:t>
      </w:r>
      <w:r w:rsidRPr="00AF35DD">
        <w:rPr>
          <w:spacing w:val="-11"/>
        </w:rPr>
        <w:t xml:space="preserve"> </w:t>
      </w:r>
      <w:r w:rsidRPr="00AF35DD">
        <w:t>of</w:t>
      </w:r>
      <w:r w:rsidRPr="00AF35DD">
        <w:rPr>
          <w:spacing w:val="-11"/>
        </w:rPr>
        <w:t xml:space="preserve"> </w:t>
      </w:r>
      <w:r w:rsidRPr="00AF35DD">
        <w:t>the facts it is clear the proceeding must fail, it may be said that it lacks a reasonable cause: see</w:t>
      </w:r>
      <w:r w:rsidRPr="00AF35DD">
        <w:rPr>
          <w:spacing w:val="-2"/>
        </w:rPr>
        <w:t xml:space="preserve"> </w:t>
      </w:r>
      <w:r w:rsidRPr="00AF35DD">
        <w:rPr>
          <w:i/>
        </w:rPr>
        <w:t>Kanan</w:t>
      </w:r>
      <w:r w:rsidRPr="00AF35DD">
        <w:rPr>
          <w:i/>
          <w:spacing w:val="-11"/>
        </w:rPr>
        <w:t xml:space="preserve"> </w:t>
      </w:r>
      <w:r w:rsidRPr="00AF35DD">
        <w:rPr>
          <w:i/>
        </w:rPr>
        <w:t>v</w:t>
      </w:r>
      <w:r w:rsidRPr="00AF35DD">
        <w:rPr>
          <w:i/>
          <w:spacing w:val="-12"/>
        </w:rPr>
        <w:t xml:space="preserve"> </w:t>
      </w:r>
      <w:r w:rsidRPr="00AF35DD">
        <w:rPr>
          <w:i/>
        </w:rPr>
        <w:t>Australian</w:t>
      </w:r>
      <w:r w:rsidRPr="00AF35DD">
        <w:rPr>
          <w:i/>
          <w:spacing w:val="-12"/>
        </w:rPr>
        <w:t xml:space="preserve"> </w:t>
      </w:r>
      <w:r w:rsidRPr="00AF35DD">
        <w:rPr>
          <w:i/>
        </w:rPr>
        <w:t>Postal</w:t>
      </w:r>
      <w:r w:rsidRPr="00AF35DD">
        <w:rPr>
          <w:i/>
          <w:spacing w:val="-11"/>
        </w:rPr>
        <w:t xml:space="preserve"> </w:t>
      </w:r>
      <w:r w:rsidRPr="00AF35DD">
        <w:rPr>
          <w:i/>
        </w:rPr>
        <w:t>and</w:t>
      </w:r>
      <w:r w:rsidRPr="00AF35DD">
        <w:rPr>
          <w:i/>
          <w:spacing w:val="-11"/>
        </w:rPr>
        <w:t xml:space="preserve"> </w:t>
      </w:r>
      <w:r w:rsidRPr="00AF35DD">
        <w:rPr>
          <w:i/>
        </w:rPr>
        <w:t>Telecommunications</w:t>
      </w:r>
      <w:r w:rsidRPr="00AF35DD">
        <w:rPr>
          <w:i/>
          <w:spacing w:val="-12"/>
        </w:rPr>
        <w:t xml:space="preserve"> </w:t>
      </w:r>
      <w:r w:rsidRPr="00AF35DD">
        <w:rPr>
          <w:i/>
        </w:rPr>
        <w:t>Union</w:t>
      </w:r>
      <w:r w:rsidRPr="00AF35DD">
        <w:rPr>
          <w:i/>
          <w:spacing w:val="1"/>
        </w:rPr>
        <w:t xml:space="preserve"> </w:t>
      </w:r>
      <w:r w:rsidRPr="00AF35DD">
        <w:t>[1992]</w:t>
      </w:r>
      <w:r w:rsidRPr="00AF35DD">
        <w:rPr>
          <w:spacing w:val="-11"/>
        </w:rPr>
        <w:t xml:space="preserve"> </w:t>
      </w:r>
      <w:r w:rsidRPr="00AF35DD">
        <w:t>FCA</w:t>
      </w:r>
      <w:r w:rsidRPr="00AF35DD">
        <w:rPr>
          <w:spacing w:val="-12"/>
        </w:rPr>
        <w:t xml:space="preserve"> </w:t>
      </w:r>
      <w:r w:rsidRPr="00AF35DD">
        <w:t>539;</w:t>
      </w:r>
      <w:r w:rsidRPr="00AF35DD">
        <w:rPr>
          <w:spacing w:val="-11"/>
        </w:rPr>
        <w:t xml:space="preserve"> </w:t>
      </w:r>
      <w:r w:rsidRPr="00AF35DD">
        <w:t>(1992)</w:t>
      </w:r>
      <w:r w:rsidRPr="00AF35DD">
        <w:rPr>
          <w:spacing w:val="-11"/>
        </w:rPr>
        <w:t xml:space="preserve"> </w:t>
      </w:r>
      <w:r w:rsidRPr="00AF35DD">
        <w:t>43 IR 257 (</w:t>
      </w:r>
      <w:r w:rsidRPr="00AF35DD">
        <w:rPr>
          <w:i/>
        </w:rPr>
        <w:t>Kanan</w:t>
      </w:r>
      <w:r w:rsidRPr="00AF35DD">
        <w:t xml:space="preserve">) at 264-265 </w:t>
      </w:r>
      <w:r w:rsidRPr="008E06B0">
        <w:t>(Wilcox</w:t>
      </w:r>
      <w:r w:rsidRPr="008E06B0">
        <w:rPr>
          <w:spacing w:val="-2"/>
        </w:rPr>
        <w:t xml:space="preserve"> </w:t>
      </w:r>
      <w:r w:rsidRPr="008E06B0">
        <w:t>J)</w:t>
      </w:r>
      <w:r w:rsidR="00774FC3">
        <w:t>.</w:t>
      </w:r>
    </w:p>
    <w:p w14:paraId="6E757AD5" w14:textId="77777777" w:rsidR="00137A0F" w:rsidRPr="008E06B0" w:rsidRDefault="00137A0F" w:rsidP="002F5BB0">
      <w:pPr>
        <w:pStyle w:val="ParaNumbering"/>
      </w:pPr>
      <w:bookmarkStart w:id="20" w:name="_Ref79771305"/>
      <w:r w:rsidRPr="008E06B0">
        <w:rPr>
          <w:szCs w:val="24"/>
        </w:rPr>
        <w:t xml:space="preserve">In </w:t>
      </w:r>
      <w:r w:rsidRPr="00BA6253">
        <w:rPr>
          <w:i/>
          <w:szCs w:val="24"/>
        </w:rPr>
        <w:t xml:space="preserve">Baker v Patrick Projects Pty Ltd (No 2) </w:t>
      </w:r>
      <w:r w:rsidRPr="00BA6253">
        <w:rPr>
          <w:szCs w:val="24"/>
        </w:rPr>
        <w:t>[2014] FCAFC 166</w:t>
      </w:r>
      <w:r w:rsidR="00774FC3" w:rsidRPr="00BA6253">
        <w:rPr>
          <w:szCs w:val="24"/>
        </w:rPr>
        <w:t>; (2014) 145 ALD 548</w:t>
      </w:r>
      <w:r w:rsidR="00EF7269" w:rsidRPr="008E06B0">
        <w:rPr>
          <w:szCs w:val="24"/>
        </w:rPr>
        <w:t xml:space="preserve"> (</w:t>
      </w:r>
      <w:r w:rsidR="00EF7269" w:rsidRPr="008E06B0">
        <w:rPr>
          <w:i/>
          <w:szCs w:val="24"/>
        </w:rPr>
        <w:t>Baker</w:t>
      </w:r>
      <w:r w:rsidR="00EF7269" w:rsidRPr="008E06B0">
        <w:rPr>
          <w:szCs w:val="24"/>
        </w:rPr>
        <w:t>)</w:t>
      </w:r>
      <w:r w:rsidRPr="008E06B0">
        <w:rPr>
          <w:i/>
          <w:szCs w:val="24"/>
        </w:rPr>
        <w:t xml:space="preserve">, </w:t>
      </w:r>
      <w:r w:rsidRPr="008E06B0">
        <w:rPr>
          <w:szCs w:val="24"/>
        </w:rPr>
        <w:t xml:space="preserve">the </w:t>
      </w:r>
      <w:r w:rsidR="00BA0029" w:rsidRPr="008E06B0">
        <w:rPr>
          <w:szCs w:val="24"/>
        </w:rPr>
        <w:t xml:space="preserve">Full </w:t>
      </w:r>
      <w:r w:rsidRPr="008E06B0">
        <w:rPr>
          <w:szCs w:val="24"/>
        </w:rPr>
        <w:t>Court (Dowsett, Tracey and Katzmann JJ) observed at [10]:</w:t>
      </w:r>
      <w:bookmarkEnd w:id="20"/>
    </w:p>
    <w:p w14:paraId="2BF63D35" w14:textId="77777777" w:rsidR="00137A0F" w:rsidRPr="008E06B0" w:rsidRDefault="00137A0F" w:rsidP="001D7E7A">
      <w:pPr>
        <w:pStyle w:val="Quote1"/>
      </w:pPr>
      <w:r w:rsidRPr="008E06B0">
        <w:rPr>
          <w:lang w:val="en"/>
        </w:rPr>
        <w:t>This test requires some minor modification when applied to the institution of an appeal or judicial review proceedings. In such proceedings the focus changes to whether, having regard to the facts apparent to the appellant at the time of instituting the appeal or the application for judicial review, there were no reasonable prospects of success. In evaluating these prospects regard may be had to the reasons for judgment or decision under appeal or review, as the case may be, and the grounds relied on to challenge the judgment or decision: see</w:t>
      </w:r>
      <w:r w:rsidRPr="008E06B0">
        <w:rPr>
          <w:i/>
          <w:iCs/>
          <w:lang w:val="en"/>
        </w:rPr>
        <w:t xml:space="preserve"> Imogen Pty Ltd v Sangwin </w:t>
      </w:r>
      <w:r w:rsidR="00C54021" w:rsidRPr="008E06B0">
        <w:rPr>
          <w:lang w:val="en"/>
        </w:rPr>
        <w:t>(1996) 70 IR 254</w:t>
      </w:r>
      <w:r w:rsidRPr="008E06B0">
        <w:rPr>
          <w:lang w:val="en"/>
        </w:rPr>
        <w:t xml:space="preserve"> at 257 (Wilcox CJ). </w:t>
      </w:r>
    </w:p>
    <w:p w14:paraId="2096EF99" w14:textId="77777777" w:rsidR="00137A0F" w:rsidRPr="008E06B0" w:rsidRDefault="00795FF3" w:rsidP="00795FF3">
      <w:pPr>
        <w:pStyle w:val="ParaNumbering"/>
      </w:pPr>
      <w:r w:rsidRPr="008E06B0">
        <w:rPr>
          <w:lang w:val="en"/>
        </w:rPr>
        <w:t>T</w:t>
      </w:r>
      <w:r w:rsidR="00137A0F" w:rsidRPr="008E06B0">
        <w:rPr>
          <w:lang w:val="en"/>
        </w:rPr>
        <w:t xml:space="preserve">he discretion to award costs </w:t>
      </w:r>
      <w:r w:rsidR="00E673D0">
        <w:rPr>
          <w:lang w:val="en"/>
        </w:rPr>
        <w:t>under s 570</w:t>
      </w:r>
      <w:r w:rsidR="00137A0F" w:rsidRPr="008E06B0">
        <w:rPr>
          <w:lang w:val="en"/>
        </w:rPr>
        <w:t xml:space="preserve"> should be exercised with some caution</w:t>
      </w:r>
      <w:r w:rsidRPr="008E06B0">
        <w:rPr>
          <w:lang w:val="en"/>
        </w:rPr>
        <w:t xml:space="preserve">: </w:t>
      </w:r>
      <w:r w:rsidR="00137A0F" w:rsidRPr="00BA6253">
        <w:rPr>
          <w:i/>
          <w:iCs/>
          <w:lang w:val="en"/>
        </w:rPr>
        <w:t>Trustee for The MTGI Trust v Johnston (No 2)</w:t>
      </w:r>
      <w:r w:rsidR="00137A0F" w:rsidRPr="00BA6253">
        <w:rPr>
          <w:lang w:val="en"/>
        </w:rPr>
        <w:t xml:space="preserve"> </w:t>
      </w:r>
      <w:r w:rsidR="00C54021" w:rsidRPr="00BA6253">
        <w:rPr>
          <w:lang w:val="en"/>
        </w:rPr>
        <w:t>[2016] FCAFC 190</w:t>
      </w:r>
      <w:r w:rsidR="00137A0F" w:rsidRPr="008E06B0">
        <w:rPr>
          <w:lang w:val="en"/>
        </w:rPr>
        <w:t xml:space="preserve"> at </w:t>
      </w:r>
      <w:r w:rsidR="00C54021" w:rsidRPr="008E06B0">
        <w:rPr>
          <w:lang w:val="en"/>
        </w:rPr>
        <w:t>[8]</w:t>
      </w:r>
      <w:r w:rsidRPr="008E06B0">
        <w:rPr>
          <w:lang w:val="en"/>
        </w:rPr>
        <w:t>;</w:t>
      </w:r>
      <w:r w:rsidR="00137A0F" w:rsidRPr="008E06B0">
        <w:rPr>
          <w:lang w:val="en"/>
        </w:rPr>
        <w:t xml:space="preserve"> </w:t>
      </w:r>
      <w:r w:rsidRPr="00BA6253">
        <w:rPr>
          <w:bCs/>
          <w:i/>
          <w:lang w:val="en"/>
        </w:rPr>
        <w:t>Sabapathy v Jetstar Airways (No 2)</w:t>
      </w:r>
      <w:r w:rsidRPr="00BA6253">
        <w:rPr>
          <w:bCs/>
          <w:lang w:val="en"/>
        </w:rPr>
        <w:t xml:space="preserve"> </w:t>
      </w:r>
      <w:r w:rsidR="00774FC3" w:rsidRPr="00BA6253">
        <w:rPr>
          <w:bCs/>
          <w:lang w:val="en"/>
        </w:rPr>
        <w:t>[2021] FCAFC 68</w:t>
      </w:r>
      <w:r w:rsidRPr="008E06B0">
        <w:rPr>
          <w:bCs/>
          <w:lang w:val="en"/>
        </w:rPr>
        <w:t xml:space="preserve"> at [14].</w:t>
      </w:r>
    </w:p>
    <w:p w14:paraId="59729626" w14:textId="77777777" w:rsidR="00137A0F" w:rsidRDefault="00137A0F" w:rsidP="001D7E7A">
      <w:pPr>
        <w:pStyle w:val="Heading2"/>
      </w:pPr>
      <w:r w:rsidRPr="00137A0F">
        <w:t>Submissions</w:t>
      </w:r>
    </w:p>
    <w:p w14:paraId="1BF71A48" w14:textId="77777777" w:rsidR="002F5BB0" w:rsidRPr="002F5BB0" w:rsidRDefault="00AF35DD" w:rsidP="002F5BB0">
      <w:pPr>
        <w:pStyle w:val="ParaNumbering"/>
      </w:pPr>
      <w:r>
        <w:t>The respondent</w:t>
      </w:r>
      <w:r w:rsidR="00AF0E4E">
        <w:t>’</w:t>
      </w:r>
      <w:r>
        <w:t xml:space="preserve">s submission is based on the reasons given in each of the judgments which it submitted reflected that </w:t>
      </w:r>
      <w:r w:rsidR="002F5BB0">
        <w:t xml:space="preserve">the applicant did not have an arguable case. The respondent submitted that the proceeding was instituted without reasonable cause and the Court’s discretion pursuant to s 570(2)(a) is properly enlivened in respect of the whole proceeding, including the interlocutory application. In the alternative, the respondent submitted </w:t>
      </w:r>
      <w:r w:rsidR="00CE38BC">
        <w:t>that</w:t>
      </w:r>
      <w:r w:rsidR="002F5BB0">
        <w:t xml:space="preserve"> the </w:t>
      </w:r>
      <w:r w:rsidR="00DE5E83">
        <w:t>i</w:t>
      </w:r>
      <w:r w:rsidR="002F5BB0">
        <w:t xml:space="preserve">nterlocutory </w:t>
      </w:r>
      <w:r w:rsidR="00DE5E83">
        <w:t>a</w:t>
      </w:r>
      <w:r w:rsidR="002F5BB0">
        <w:t>pplication was instituted without reasonable cause because the applicant did not demonstrate the relevance of the material sought,</w:t>
      </w:r>
      <w:r w:rsidR="002F5BB0" w:rsidRPr="002F5BB0">
        <w:rPr>
          <w:sz w:val="14"/>
        </w:rPr>
        <w:t xml:space="preserve"> </w:t>
      </w:r>
      <w:r w:rsidR="002F5BB0">
        <w:t xml:space="preserve">and given </w:t>
      </w:r>
      <w:r w:rsidR="00C96181">
        <w:t xml:space="preserve">that </w:t>
      </w:r>
      <w:r w:rsidR="002F5BB0">
        <w:t>assurance</w:t>
      </w:r>
      <w:r w:rsidR="002F5BB0" w:rsidRPr="002F5BB0">
        <w:rPr>
          <w:spacing w:val="-5"/>
        </w:rPr>
        <w:t xml:space="preserve"> </w:t>
      </w:r>
      <w:r w:rsidR="00C96181">
        <w:rPr>
          <w:spacing w:val="-5"/>
        </w:rPr>
        <w:t xml:space="preserve">was </w:t>
      </w:r>
      <w:r w:rsidR="002F5BB0">
        <w:rPr>
          <w:spacing w:val="-5"/>
        </w:rPr>
        <w:t xml:space="preserve">given by the respondent </w:t>
      </w:r>
      <w:r w:rsidR="002F5BB0">
        <w:t>that</w:t>
      </w:r>
      <w:r w:rsidR="002F5BB0" w:rsidRPr="002F5BB0">
        <w:rPr>
          <w:spacing w:val="-5"/>
        </w:rPr>
        <w:t xml:space="preserve"> </w:t>
      </w:r>
      <w:r w:rsidR="002F5BB0">
        <w:t>the relevant documents would be retained</w:t>
      </w:r>
      <w:r w:rsidR="001C206F">
        <w:t>,</w:t>
      </w:r>
      <w:r w:rsidR="002F5BB0">
        <w:t xml:space="preserve"> there was no utility in the orders. In these circumstances, it was submitted that the applicant’s persistence with the </w:t>
      </w:r>
      <w:r w:rsidR="00DE5E83">
        <w:t>i</w:t>
      </w:r>
      <w:r w:rsidR="002F5BB0">
        <w:t xml:space="preserve">nterlocutory </w:t>
      </w:r>
      <w:r w:rsidR="00DE5E83">
        <w:t>a</w:t>
      </w:r>
      <w:r w:rsidR="002F5BB0">
        <w:t xml:space="preserve">pplication, which resulted in </w:t>
      </w:r>
      <w:r w:rsidR="00791831">
        <w:t xml:space="preserve">the respondent </w:t>
      </w:r>
      <w:r w:rsidR="002F5BB0">
        <w:t>incurring costs in respect of the submissions filed</w:t>
      </w:r>
      <w:r w:rsidR="001C206F">
        <w:t>,</w:t>
      </w:r>
      <w:r w:rsidR="002F5BB0">
        <w:t xml:space="preserve"> was an unreasonable act within the meaning of s 570(2)(b) of the FW</w:t>
      </w:r>
      <w:r w:rsidR="002F5BB0" w:rsidRPr="002F5BB0">
        <w:rPr>
          <w:spacing w:val="-5"/>
        </w:rPr>
        <w:t xml:space="preserve"> </w:t>
      </w:r>
      <w:r w:rsidR="002F5BB0">
        <w:t>Act.</w:t>
      </w:r>
    </w:p>
    <w:p w14:paraId="71B7F3E6" w14:textId="77777777" w:rsidR="002F5BB0" w:rsidRDefault="002F5BB0" w:rsidP="002F5BB0">
      <w:pPr>
        <w:pStyle w:val="ParaNumbering"/>
        <w:rPr>
          <w:sz w:val="13"/>
        </w:rPr>
      </w:pPr>
      <w:bookmarkStart w:id="21" w:name="_Ref79753402"/>
      <w:r>
        <w:lastRenderedPageBreak/>
        <w:t>The applicant “acknowledge[d] that there were some failings on his part on the presentation of his case”</w:t>
      </w:r>
      <w:r w:rsidR="00791831">
        <w:t xml:space="preserve">. He </w:t>
      </w:r>
      <w:r w:rsidR="00B968F3">
        <w:t>accepted</w:t>
      </w:r>
      <w:r w:rsidR="00791831">
        <w:t xml:space="preserve"> that</w:t>
      </w:r>
      <w:r>
        <w:t xml:space="preserve"> the grounds of review could have been better drafted, but they were not manifestly defective, </w:t>
      </w:r>
      <w:r w:rsidR="00791831">
        <w:t xml:space="preserve">that </w:t>
      </w:r>
      <w:r>
        <w:t xml:space="preserve">he did not notify the respondent or the Court at the earliest opportunity that he would not be pressing the constitutional matter, and that his written and oral submissions were not concise or precise. </w:t>
      </w:r>
      <w:r w:rsidR="00A077EB">
        <w:t>However, h</w:t>
      </w:r>
      <w:r>
        <w:t>e submitted that does not justify making an order</w:t>
      </w:r>
      <w:r w:rsidR="00545072">
        <w:t xml:space="preserve"> of costs against him</w:t>
      </w:r>
      <w:r>
        <w:t>. He submitted that in the context of the use of the word “unreasonable” in s</w:t>
      </w:r>
      <w:r w:rsidR="00B968F3">
        <w:t> </w:t>
      </w:r>
      <w:r>
        <w:t>570(2)(b), taking into account the underlying purpose of that provision which includes the promotion of access to justice, a higher standard of unreasonableness is to be</w:t>
      </w:r>
      <w:r>
        <w:rPr>
          <w:spacing w:val="-1"/>
        </w:rPr>
        <w:t xml:space="preserve"> </w:t>
      </w:r>
      <w:r>
        <w:t>adopted.</w:t>
      </w:r>
      <w:bookmarkEnd w:id="21"/>
      <w:r>
        <w:rPr>
          <w:sz w:val="13"/>
        </w:rPr>
        <w:t xml:space="preserve"> </w:t>
      </w:r>
    </w:p>
    <w:p w14:paraId="3914C427" w14:textId="77777777" w:rsidR="003B5EC7" w:rsidRPr="008E06B0" w:rsidRDefault="002F5BB0" w:rsidP="00B361F8">
      <w:pPr>
        <w:pStyle w:val="ParaNumbering"/>
        <w:rPr>
          <w:sz w:val="13"/>
        </w:rPr>
      </w:pPr>
      <w:r w:rsidRPr="002F5BB0">
        <w:rPr>
          <w:szCs w:val="24"/>
        </w:rPr>
        <w:t xml:space="preserve">The applicant submitted </w:t>
      </w:r>
      <w:r w:rsidR="003B5EC7">
        <w:rPr>
          <w:szCs w:val="24"/>
        </w:rPr>
        <w:t xml:space="preserve">that his argument </w:t>
      </w:r>
      <w:r w:rsidRPr="002F5BB0">
        <w:t xml:space="preserve">as to the interpretation of s 394(3) </w:t>
      </w:r>
      <w:r w:rsidR="00C71F4A">
        <w:t xml:space="preserve">of the FW Act </w:t>
      </w:r>
      <w:r w:rsidR="0052245C">
        <w:t>is</w:t>
      </w:r>
      <w:r w:rsidRPr="002F5BB0">
        <w:t xml:space="preserve"> based on a question of statutory interpretation that had not been addressed previously by the judiciary.</w:t>
      </w:r>
      <w:r w:rsidR="003B5EC7">
        <w:t xml:space="preserve"> He submitted that the final judgment was indicative of his</w:t>
      </w:r>
      <w:r>
        <w:t xml:space="preserve"> </w:t>
      </w:r>
      <w:r w:rsidRPr="003B5EC7">
        <w:t>arguments proving unsuccessful in the end</w:t>
      </w:r>
      <w:r w:rsidR="003B5EC7">
        <w:t>.</w:t>
      </w:r>
      <w:r>
        <w:t xml:space="preserve"> </w:t>
      </w:r>
      <w:r w:rsidR="003B5EC7">
        <w:t xml:space="preserve">The applicant’s submission </w:t>
      </w:r>
      <w:r w:rsidR="003B5EC7" w:rsidRPr="003B5EC7">
        <w:t xml:space="preserve">included what he says are criticisms of the final judgment. </w:t>
      </w:r>
      <w:r w:rsidR="00B361F8">
        <w:t>He submitted that nonetheless, the conclusions on the statutory interpretation issue guided other findings in the judgment.</w:t>
      </w:r>
      <w:r w:rsidR="00B361F8">
        <w:rPr>
          <w:sz w:val="13"/>
        </w:rPr>
        <w:t xml:space="preserve"> </w:t>
      </w:r>
      <w:r w:rsidR="003B5EC7">
        <w:t xml:space="preserve">He disputed that his case is analogous to the circumstances in </w:t>
      </w:r>
      <w:r w:rsidR="003B5EC7" w:rsidRPr="00B361F8">
        <w:rPr>
          <w:i/>
        </w:rPr>
        <w:t>Menzies</w:t>
      </w:r>
      <w:r w:rsidR="003B5EC7">
        <w:t xml:space="preserve"> and </w:t>
      </w:r>
      <w:r w:rsidR="003B5EC7" w:rsidRPr="00B361F8">
        <w:rPr>
          <w:i/>
        </w:rPr>
        <w:t>Pal</w:t>
      </w:r>
      <w:r w:rsidR="00B66FF9">
        <w:rPr>
          <w:i/>
        </w:rPr>
        <w:t xml:space="preserve"> (No 2)</w:t>
      </w:r>
      <w:r w:rsidR="003B5EC7" w:rsidRPr="00B361F8">
        <w:rPr>
          <w:i/>
        </w:rPr>
        <w:t>.</w:t>
      </w:r>
      <w:r w:rsidR="003B5EC7">
        <w:t xml:space="preserve"> </w:t>
      </w:r>
      <w:r w:rsidR="00B361F8">
        <w:t xml:space="preserve">The applicant submitted that </w:t>
      </w:r>
      <w:r w:rsidR="003462A3">
        <w:t xml:space="preserve">his </w:t>
      </w:r>
      <w:r w:rsidR="00B361F8">
        <w:t>conduct of the proceedings</w:t>
      </w:r>
      <w:r w:rsidR="0085453F">
        <w:t>,</w:t>
      </w:r>
      <w:r w:rsidR="00B361F8">
        <w:t xml:space="preserve"> relied on by the respondent</w:t>
      </w:r>
      <w:r w:rsidR="0085453F">
        <w:t>,</w:t>
      </w:r>
      <w:r w:rsidR="00B361F8">
        <w:t xml:space="preserve"> is not </w:t>
      </w:r>
      <w:r w:rsidR="00895986">
        <w:t xml:space="preserve">relevant to </w:t>
      </w:r>
      <w:r w:rsidR="00796FD5">
        <w:t xml:space="preserve">whether </w:t>
      </w:r>
      <w:r w:rsidR="00B361F8" w:rsidRPr="008E06B0">
        <w:t xml:space="preserve">the </w:t>
      </w:r>
      <w:r w:rsidR="00796FD5" w:rsidRPr="008E06B0">
        <w:t xml:space="preserve">Court’s </w:t>
      </w:r>
      <w:r w:rsidR="00B361F8" w:rsidRPr="008E06B0">
        <w:t>discretion under s 570 is enlivened, since that question is determined objectively</w:t>
      </w:r>
      <w:r w:rsidR="00796FD5" w:rsidRPr="008E06B0">
        <w:t>.</w:t>
      </w:r>
    </w:p>
    <w:p w14:paraId="6CB5E0E9" w14:textId="77777777" w:rsidR="00D42284" w:rsidRDefault="00D42284" w:rsidP="0057427F">
      <w:pPr>
        <w:pStyle w:val="ParaNumbering"/>
      </w:pPr>
      <w:r>
        <w:t xml:space="preserve">As to the interlocutory </w:t>
      </w:r>
      <w:r w:rsidR="0016754C">
        <w:t xml:space="preserve">application, </w:t>
      </w:r>
      <w:r w:rsidR="00895986">
        <w:t>the applicant submitted that it was reasonable to make the interlocutory</w:t>
      </w:r>
      <w:r w:rsidR="00895986" w:rsidRPr="00D42284">
        <w:rPr>
          <w:spacing w:val="-2"/>
        </w:rPr>
        <w:t xml:space="preserve"> </w:t>
      </w:r>
      <w:r w:rsidR="00895986">
        <w:t xml:space="preserve">application. He </w:t>
      </w:r>
      <w:r w:rsidR="00B361F8">
        <w:t xml:space="preserve">submitted </w:t>
      </w:r>
      <w:r w:rsidR="00603BFF">
        <w:t xml:space="preserve">that this application was made </w:t>
      </w:r>
      <w:r w:rsidR="00895986">
        <w:t>because</w:t>
      </w:r>
      <w:r w:rsidR="00603BFF">
        <w:t xml:space="preserve"> th</w:t>
      </w:r>
      <w:r w:rsidR="00895986">
        <w:t xml:space="preserve">e respondent stated in relation </w:t>
      </w:r>
      <w:r w:rsidR="00603BFF">
        <w:t xml:space="preserve">to the applicant’s request for evidence that: </w:t>
      </w:r>
      <w:r w:rsidRPr="00D42284">
        <w:t>“Coles will await a subpoena or court order before</w:t>
      </w:r>
      <w:r w:rsidRPr="00D42284">
        <w:rPr>
          <w:spacing w:val="1"/>
        </w:rPr>
        <w:t xml:space="preserve"> </w:t>
      </w:r>
      <w:r w:rsidRPr="00D42284">
        <w:t>actioning”.</w:t>
      </w:r>
      <w:r>
        <w:t xml:space="preserve"> T</w:t>
      </w:r>
      <w:r w:rsidR="00895986">
        <w:t>he</w:t>
      </w:r>
      <w:r w:rsidR="00B361F8">
        <w:t xml:space="preserve">refore, </w:t>
      </w:r>
      <w:r w:rsidR="0039611C">
        <w:t xml:space="preserve">the </w:t>
      </w:r>
      <w:r>
        <w:t xml:space="preserve">respondent </w:t>
      </w:r>
      <w:r w:rsidRPr="00D42284">
        <w:t>changed the status quo</w:t>
      </w:r>
      <w:r w:rsidRPr="00D42284">
        <w:rPr>
          <w:i/>
        </w:rPr>
        <w:t xml:space="preserve"> </w:t>
      </w:r>
      <w:r>
        <w:t xml:space="preserve">by willingly bearing the cost of conducting a search for, and retaining, the material </w:t>
      </w:r>
      <w:r w:rsidR="00BB0A97">
        <w:t xml:space="preserve">in relation to which </w:t>
      </w:r>
      <w:r>
        <w:t>the applicant had sought an injunction. The respondent assured the Court that it w</w:t>
      </w:r>
      <w:r w:rsidR="00B361F8">
        <w:t>ould retain the material sought. The applicant submitted that t</w:t>
      </w:r>
      <w:r w:rsidRPr="00D42284">
        <w:t xml:space="preserve">he Court found in the </w:t>
      </w:r>
      <w:r w:rsidR="00904EE2">
        <w:t>i</w:t>
      </w:r>
      <w:r w:rsidRPr="00D42284">
        <w:t xml:space="preserve">nterlocutory </w:t>
      </w:r>
      <w:r w:rsidR="00904EE2">
        <w:t>j</w:t>
      </w:r>
      <w:r w:rsidRPr="00D42284">
        <w:t xml:space="preserve">udgment that the material could be relevant in the FWC proceedings, subject to the </w:t>
      </w:r>
      <w:r w:rsidR="004065F7">
        <w:t>applicant</w:t>
      </w:r>
      <w:r w:rsidRPr="00D42284">
        <w:t xml:space="preserve"> being successful in all relevant proceedings, and that the relevance of the material was a </w:t>
      </w:r>
      <w:r w:rsidR="00013A0D">
        <w:t>“</w:t>
      </w:r>
      <w:r w:rsidRPr="00D42284">
        <w:t>live issue</w:t>
      </w:r>
      <w:r w:rsidR="00013A0D">
        <w:t>”</w:t>
      </w:r>
      <w:r w:rsidR="00895986">
        <w:t xml:space="preserve"> (referring to [19] of the interlocutory judgment)</w:t>
      </w:r>
      <w:r w:rsidRPr="00D42284">
        <w:t xml:space="preserve">. </w:t>
      </w:r>
      <w:r w:rsidR="0057427F">
        <w:t xml:space="preserve">He submitted that there </w:t>
      </w:r>
      <w:r>
        <w:t xml:space="preserve">is </w:t>
      </w:r>
      <w:r w:rsidR="00895986">
        <w:t xml:space="preserve">therefore </w:t>
      </w:r>
      <w:r>
        <w:t xml:space="preserve">no basis </w:t>
      </w:r>
      <w:r w:rsidR="00837FCA">
        <w:t>to assert</w:t>
      </w:r>
      <w:r w:rsidR="0057427F">
        <w:t xml:space="preserve"> that his </w:t>
      </w:r>
      <w:r>
        <w:t xml:space="preserve">persistence with the </w:t>
      </w:r>
      <w:r w:rsidR="00DE5E83">
        <w:t>i</w:t>
      </w:r>
      <w:r>
        <w:t xml:space="preserve">nterlocutory </w:t>
      </w:r>
      <w:r w:rsidR="00DE5E83">
        <w:t>a</w:t>
      </w:r>
      <w:r>
        <w:t>pplic</w:t>
      </w:r>
      <w:r w:rsidR="0057427F">
        <w:t xml:space="preserve">ation was an unreasonable act. He </w:t>
      </w:r>
      <w:r w:rsidR="00B361F8">
        <w:t xml:space="preserve">did so </w:t>
      </w:r>
      <w:r>
        <w:t xml:space="preserve">due to </w:t>
      </w:r>
      <w:r w:rsidR="00961C85">
        <w:t xml:space="preserve">his concern about </w:t>
      </w:r>
      <w:r>
        <w:t xml:space="preserve">deficiencies in the </w:t>
      </w:r>
      <w:r w:rsidR="00A73149">
        <w:t xml:space="preserve">respondent’s </w:t>
      </w:r>
      <w:r>
        <w:t>a</w:t>
      </w:r>
      <w:r w:rsidR="0057427F">
        <w:t>ffidavit evidence</w:t>
      </w:r>
      <w:r>
        <w:t>, admissibility of evidence and discretionary exclusions of evidence</w:t>
      </w:r>
      <w:r w:rsidR="00B361F8">
        <w:t xml:space="preserve">. Even if it </w:t>
      </w:r>
      <w:r w:rsidR="0057427F">
        <w:t>was an unreasonable act</w:t>
      </w:r>
      <w:r w:rsidR="00904EE2">
        <w:t>,</w:t>
      </w:r>
      <w:r w:rsidR="0057427F">
        <w:t xml:space="preserve"> the a</w:t>
      </w:r>
      <w:r>
        <w:t xml:space="preserve">pplicant agreed that the matter could be determined on the papers, </w:t>
      </w:r>
      <w:r w:rsidR="00F95DD1">
        <w:t xml:space="preserve">and </w:t>
      </w:r>
      <w:r>
        <w:t>the increment</w:t>
      </w:r>
      <w:r w:rsidR="0057427F">
        <w:t xml:space="preserve">al effort </w:t>
      </w:r>
      <w:r w:rsidR="0057427F">
        <w:lastRenderedPageBreak/>
        <w:t>incurred by the r</w:t>
      </w:r>
      <w:r>
        <w:t xml:space="preserve">espondent </w:t>
      </w:r>
      <w:r w:rsidRPr="0057427F">
        <w:t>was</w:t>
      </w:r>
      <w:r w:rsidR="00B361F8">
        <w:t xml:space="preserve"> </w:t>
      </w:r>
      <w:r w:rsidRPr="0057427F">
        <w:t>limited to p</w:t>
      </w:r>
      <w:r w:rsidR="0057427F">
        <w:t xml:space="preserve">erusal of </w:t>
      </w:r>
      <w:r w:rsidR="00F95DD1">
        <w:t xml:space="preserve">the applicant’s </w:t>
      </w:r>
      <w:r w:rsidR="0057427F">
        <w:t xml:space="preserve">six </w:t>
      </w:r>
      <w:r w:rsidR="00F95DD1">
        <w:t>page submission</w:t>
      </w:r>
      <w:r w:rsidRPr="0057427F">
        <w:t xml:space="preserve">. The incremental effort was negligible, and ought not </w:t>
      </w:r>
      <w:r w:rsidR="0057427F">
        <w:t xml:space="preserve">to </w:t>
      </w:r>
      <w:r w:rsidRPr="0057427F">
        <w:t>become the basis for arguments about</w:t>
      </w:r>
      <w:r w:rsidRPr="0057427F">
        <w:rPr>
          <w:spacing w:val="3"/>
        </w:rPr>
        <w:t xml:space="preserve"> </w:t>
      </w:r>
      <w:r w:rsidRPr="0057427F">
        <w:t>costs.</w:t>
      </w:r>
      <w:r w:rsidR="0057427F">
        <w:t xml:space="preserve"> </w:t>
      </w:r>
    </w:p>
    <w:p w14:paraId="18823532" w14:textId="77777777" w:rsidR="00D42284" w:rsidRDefault="0057427F" w:rsidP="00D42284">
      <w:pPr>
        <w:pStyle w:val="ParaNumbering"/>
      </w:pPr>
      <w:bookmarkStart w:id="22" w:name="_Ref81836293"/>
      <w:r>
        <w:t xml:space="preserve">The applicant submitted that if </w:t>
      </w:r>
      <w:r w:rsidR="00803A15">
        <w:t xml:space="preserve">the discretion in </w:t>
      </w:r>
      <w:r>
        <w:t>s 570 is enlivened</w:t>
      </w:r>
      <w:r w:rsidR="00803A15">
        <w:t>,</w:t>
      </w:r>
      <w:r>
        <w:t xml:space="preserve"> the</w:t>
      </w:r>
      <w:r w:rsidR="00B361F8">
        <w:t xml:space="preserve"> Court should consider a number of matters </w:t>
      </w:r>
      <w:r>
        <w:t>in light of s</w:t>
      </w:r>
      <w:r w:rsidR="00E25EDB">
        <w:t>s</w:t>
      </w:r>
      <w:r>
        <w:t xml:space="preserve"> 37M-37N</w:t>
      </w:r>
      <w:r w:rsidR="00987FB0">
        <w:t xml:space="preserve"> of the </w:t>
      </w:r>
      <w:r w:rsidR="00C61AC2" w:rsidRPr="00BA6253">
        <w:rPr>
          <w:i/>
        </w:rPr>
        <w:t>Federal Court of Australia Act 1976</w:t>
      </w:r>
      <w:r w:rsidR="00C73B29" w:rsidRPr="00BA6253">
        <w:rPr>
          <w:i/>
        </w:rPr>
        <w:t xml:space="preserve"> </w:t>
      </w:r>
      <w:r w:rsidR="00C73B29" w:rsidRPr="00BA6253">
        <w:t>(Cth)</w:t>
      </w:r>
      <w:r w:rsidR="00C61AC2">
        <w:rPr>
          <w:i/>
        </w:rPr>
        <w:t xml:space="preserve"> </w:t>
      </w:r>
      <w:r w:rsidR="00C61AC2">
        <w:t>(FCA Act)</w:t>
      </w:r>
      <w:r w:rsidR="00B361F8">
        <w:rPr>
          <w:i/>
        </w:rPr>
        <w:t xml:space="preserve">. </w:t>
      </w:r>
      <w:r w:rsidR="00B361F8" w:rsidRPr="00B361F8">
        <w:t>That is</w:t>
      </w:r>
      <w:r w:rsidR="00603BFF">
        <w:t>;</w:t>
      </w:r>
      <w:r w:rsidR="00B361F8" w:rsidRPr="00B361F8">
        <w:t xml:space="preserve"> </w:t>
      </w:r>
      <w:r w:rsidR="00B361F8">
        <w:t xml:space="preserve">(i) whether </w:t>
      </w:r>
      <w:r>
        <w:t xml:space="preserve">the respondent had an obligation to seek summary dismissal of the proceedings in accordance with s 31A </w:t>
      </w:r>
      <w:r w:rsidR="00AA1FF6">
        <w:t xml:space="preserve">of the FCA Act </w:t>
      </w:r>
      <w:r>
        <w:t>if it was of the consistent and genuine view that the application was so devoid of merit so as to be unarguable; (ii</w:t>
      </w:r>
      <w:r w:rsidR="00B361F8">
        <w:t xml:space="preserve">) whether the </w:t>
      </w:r>
      <w:r>
        <w:t>respondent</w:t>
      </w:r>
      <w:r w:rsidR="00B361F8">
        <w:t>’s submission</w:t>
      </w:r>
      <w:r w:rsidR="007A17A7">
        <w:t xml:space="preserve"> </w:t>
      </w:r>
      <w:r w:rsidR="00400AA9">
        <w:t>(</w:t>
      </w:r>
      <w:r w:rsidR="00400AA9" w:rsidRPr="00715956">
        <w:t>which led to certain preliminary issues</w:t>
      </w:r>
      <w:r w:rsidR="0065682A">
        <w:t xml:space="preserve"> being argued</w:t>
      </w:r>
      <w:r w:rsidR="00400AA9">
        <w:t xml:space="preserve">) </w:t>
      </w:r>
      <w:r>
        <w:t>that the general approach of the Court was to only permit challenges to FWC Full Bench decisions</w:t>
      </w:r>
      <w:r w:rsidR="007A17A7">
        <w:t xml:space="preserve"> </w:t>
      </w:r>
      <w:r>
        <w:t>was correct; and (ii</w:t>
      </w:r>
      <w:r w:rsidR="007C6530">
        <w:t>i) whether the response to the a</w:t>
      </w:r>
      <w:r>
        <w:t xml:space="preserve">pplicant’s grounds of review in the affidavit of </w:t>
      </w:r>
      <w:r w:rsidR="00C94E76">
        <w:t>Ms </w:t>
      </w:r>
      <w:r>
        <w:t>Olivia</w:t>
      </w:r>
      <w:r w:rsidR="00DD6101">
        <w:t> </w:t>
      </w:r>
      <w:r>
        <w:t>Bramwell</w:t>
      </w:r>
      <w:r w:rsidR="007A17A7">
        <w:t>,</w:t>
      </w:r>
      <w:r>
        <w:t xml:space="preserve"> dated 20 July 2020</w:t>
      </w:r>
      <w:r w:rsidR="007A17A7">
        <w:t>,</w:t>
      </w:r>
      <w:r>
        <w:rPr>
          <w:spacing w:val="17"/>
        </w:rPr>
        <w:t xml:space="preserve"> </w:t>
      </w:r>
      <w:r w:rsidR="007A17A7">
        <w:rPr>
          <w:spacing w:val="17"/>
        </w:rPr>
        <w:t xml:space="preserve">at </w:t>
      </w:r>
      <w:r>
        <w:t>[4]-</w:t>
      </w:r>
      <w:r w:rsidR="007C6530">
        <w:t>[8]</w:t>
      </w:r>
      <w:r w:rsidR="007A17A7">
        <w:t>,</w:t>
      </w:r>
      <w:r w:rsidR="007C6530">
        <w:t xml:space="preserve"> complied with s</w:t>
      </w:r>
      <w:r w:rsidR="00715956">
        <w:t>s</w:t>
      </w:r>
      <w:r w:rsidR="007C6530">
        <w:t xml:space="preserve"> 37M-37N.</w:t>
      </w:r>
      <w:bookmarkEnd w:id="22"/>
    </w:p>
    <w:p w14:paraId="563F7E07" w14:textId="77777777" w:rsidR="00D42284" w:rsidRDefault="007C6530" w:rsidP="00137A0F">
      <w:pPr>
        <w:pStyle w:val="Heading2"/>
      </w:pPr>
      <w:r w:rsidRPr="00B2314F">
        <w:t xml:space="preserve">Consideration </w:t>
      </w:r>
    </w:p>
    <w:p w14:paraId="5CD2BB97" w14:textId="77777777" w:rsidR="00680864" w:rsidRPr="003450C7" w:rsidRDefault="004874AF" w:rsidP="001D7E7A">
      <w:pPr>
        <w:pStyle w:val="Heading3"/>
      </w:pPr>
      <w:r>
        <w:t>Judicial review application</w:t>
      </w:r>
    </w:p>
    <w:p w14:paraId="1B738306" w14:textId="77777777" w:rsidR="00712B22" w:rsidRPr="005174B8" w:rsidRDefault="00712B22" w:rsidP="00870C9A">
      <w:pPr>
        <w:pStyle w:val="ParaNumbering"/>
        <w:rPr>
          <w:szCs w:val="24"/>
        </w:rPr>
      </w:pPr>
      <w:r w:rsidRPr="008E06B0">
        <w:rPr>
          <w:szCs w:val="24"/>
          <w:lang w:val="en"/>
        </w:rPr>
        <w:t>In proceedings such as this</w:t>
      </w:r>
      <w:r w:rsidR="00EF7269" w:rsidRPr="008E06B0">
        <w:rPr>
          <w:szCs w:val="24"/>
          <w:lang w:val="en"/>
        </w:rPr>
        <w:t>,</w:t>
      </w:r>
      <w:r w:rsidRPr="008E06B0">
        <w:rPr>
          <w:szCs w:val="24"/>
          <w:lang w:val="en"/>
        </w:rPr>
        <w:t xml:space="preserve"> where the application was for </w:t>
      </w:r>
      <w:r w:rsidR="004874AF" w:rsidRPr="008E06B0">
        <w:rPr>
          <w:szCs w:val="24"/>
          <w:lang w:val="en"/>
        </w:rPr>
        <w:t>judicial</w:t>
      </w:r>
      <w:r w:rsidRPr="008E06B0">
        <w:rPr>
          <w:szCs w:val="24"/>
          <w:lang w:val="en"/>
        </w:rPr>
        <w:t xml:space="preserve"> review of </w:t>
      </w:r>
      <w:r w:rsidR="00545072" w:rsidRPr="008E06B0">
        <w:rPr>
          <w:szCs w:val="24"/>
          <w:lang w:val="en"/>
        </w:rPr>
        <w:t xml:space="preserve">two </w:t>
      </w:r>
      <w:r w:rsidRPr="008E06B0">
        <w:rPr>
          <w:szCs w:val="24"/>
          <w:lang w:val="en"/>
        </w:rPr>
        <w:t xml:space="preserve">decisions of the </w:t>
      </w:r>
      <w:r w:rsidR="00EF7269" w:rsidRPr="008E06B0">
        <w:rPr>
          <w:szCs w:val="24"/>
          <w:lang w:val="en"/>
        </w:rPr>
        <w:t>FWC</w:t>
      </w:r>
      <w:r w:rsidRPr="008E06B0">
        <w:rPr>
          <w:szCs w:val="24"/>
          <w:lang w:val="en"/>
        </w:rPr>
        <w:t xml:space="preserve">, the focus is whether, having regard to the facts apparent to the applicant at the time of instituting </w:t>
      </w:r>
      <w:r w:rsidR="008E06B0">
        <w:rPr>
          <w:szCs w:val="24"/>
          <w:lang w:val="en"/>
        </w:rPr>
        <w:t>the application</w:t>
      </w:r>
      <w:r w:rsidRPr="008E06B0">
        <w:rPr>
          <w:szCs w:val="24"/>
          <w:lang w:val="en"/>
        </w:rPr>
        <w:t xml:space="preserve">, there were no reasonable prospects of success. As explained in </w:t>
      </w:r>
      <w:r w:rsidRPr="008E06B0">
        <w:rPr>
          <w:i/>
          <w:szCs w:val="24"/>
        </w:rPr>
        <w:t xml:space="preserve">Baker, </w:t>
      </w:r>
      <w:r w:rsidRPr="008E06B0">
        <w:rPr>
          <w:szCs w:val="24"/>
        </w:rPr>
        <w:t>referred to above</w:t>
      </w:r>
      <w:r w:rsidR="004874AF" w:rsidRPr="008E06B0">
        <w:rPr>
          <w:szCs w:val="24"/>
        </w:rPr>
        <w:t xml:space="preserve"> at [</w:t>
      </w:r>
      <w:r w:rsidR="004874AF" w:rsidRPr="008E06B0">
        <w:rPr>
          <w:szCs w:val="24"/>
        </w:rPr>
        <w:fldChar w:fldCharType="begin"/>
      </w:r>
      <w:r w:rsidR="004874AF" w:rsidRPr="008E06B0">
        <w:rPr>
          <w:szCs w:val="24"/>
        </w:rPr>
        <w:instrText xml:space="preserve"> REF _Ref79771305 \r \h </w:instrText>
      </w:r>
      <w:r w:rsidR="008E06B0">
        <w:rPr>
          <w:szCs w:val="24"/>
        </w:rPr>
        <w:instrText xml:space="preserve"> \* MERGEFORMAT </w:instrText>
      </w:r>
      <w:r w:rsidR="004874AF" w:rsidRPr="008E06B0">
        <w:rPr>
          <w:szCs w:val="24"/>
        </w:rPr>
      </w:r>
      <w:r w:rsidR="004874AF" w:rsidRPr="008E06B0">
        <w:rPr>
          <w:szCs w:val="24"/>
        </w:rPr>
        <w:fldChar w:fldCharType="separate"/>
      </w:r>
      <w:r w:rsidR="009852F8">
        <w:rPr>
          <w:szCs w:val="24"/>
        </w:rPr>
        <w:t>9</w:t>
      </w:r>
      <w:r w:rsidR="004874AF" w:rsidRPr="008E06B0">
        <w:rPr>
          <w:szCs w:val="24"/>
        </w:rPr>
        <w:fldChar w:fldCharType="end"/>
      </w:r>
      <w:r w:rsidR="004874AF" w:rsidRPr="008E06B0">
        <w:rPr>
          <w:szCs w:val="24"/>
        </w:rPr>
        <w:t>]</w:t>
      </w:r>
      <w:r w:rsidRPr="008E06B0">
        <w:rPr>
          <w:szCs w:val="24"/>
        </w:rPr>
        <w:t>,</w:t>
      </w:r>
      <w:r w:rsidR="00EF7269" w:rsidRPr="008E06B0">
        <w:rPr>
          <w:szCs w:val="24"/>
        </w:rPr>
        <w:t xml:space="preserve"> when</w:t>
      </w:r>
      <w:r w:rsidRPr="008E06B0">
        <w:rPr>
          <w:i/>
          <w:szCs w:val="24"/>
        </w:rPr>
        <w:t xml:space="preserve"> </w:t>
      </w:r>
      <w:r w:rsidRPr="008E06B0">
        <w:rPr>
          <w:szCs w:val="24"/>
          <w:lang w:val="en"/>
        </w:rPr>
        <w:t xml:space="preserve">evaluating those prospects regard may be had to the reasons for judgment or decision under review and the grounds of review. The question is </w:t>
      </w:r>
      <w:r w:rsidRPr="005174B8">
        <w:rPr>
          <w:szCs w:val="24"/>
          <w:lang w:val="en"/>
        </w:rPr>
        <w:t xml:space="preserve">determined objectively. </w:t>
      </w:r>
    </w:p>
    <w:p w14:paraId="397637A0" w14:textId="77777777" w:rsidR="0052666D" w:rsidRDefault="0052666D" w:rsidP="0052666D">
      <w:pPr>
        <w:pStyle w:val="ParaNumbering"/>
      </w:pPr>
      <w:r>
        <w:t xml:space="preserve">I make two preliminary observations. </w:t>
      </w:r>
    </w:p>
    <w:p w14:paraId="0740C2AE" w14:textId="77777777" w:rsidR="0052666D" w:rsidRDefault="0052666D" w:rsidP="0052666D">
      <w:pPr>
        <w:pStyle w:val="ParaNumbering"/>
      </w:pPr>
      <w:r w:rsidRPr="00F077E5">
        <w:rPr>
          <w:i/>
        </w:rPr>
        <w:t>First</w:t>
      </w:r>
      <w:r>
        <w:t>, w</w:t>
      </w:r>
      <w:r w:rsidR="005174B8" w:rsidRPr="005174B8">
        <w:t>hen the originating application was filed by the applicant no grounds of review were identified. Rather, in an affidavit filed at that time, the applicant noted</w:t>
      </w:r>
      <w:r w:rsidR="00B051DB">
        <w:t xml:space="preserve">, inter alia, </w:t>
      </w:r>
      <w:r w:rsidR="002A39E5">
        <w:t>that he intended to file a document setting out the grounds of review once he had completed his administrative law exam in late February 2020.</w:t>
      </w:r>
      <w:r w:rsidR="005174B8" w:rsidRPr="005174B8">
        <w:t xml:space="preserve"> </w:t>
      </w:r>
      <w:r w:rsidR="008A6F95">
        <w:t>The applicant</w:t>
      </w:r>
      <w:r w:rsidR="002A39E5">
        <w:t xml:space="preserve"> stated that </w:t>
      </w:r>
      <w:r w:rsidR="005174B8" w:rsidRPr="005174B8">
        <w:t>if he was required to file the substantive grounds before he finished the subject, he would be compelled to include every possible ground, for refinement at a later stage</w:t>
      </w:r>
      <w:r w:rsidR="002A39E5">
        <w:t>, which</w:t>
      </w:r>
      <w:r w:rsidR="008A6F95">
        <w:t xml:space="preserve"> he was concerned</w:t>
      </w:r>
      <w:r w:rsidR="002A39E5">
        <w:t xml:space="preserve"> may be an inefficient use of the Court’s resources and </w:t>
      </w:r>
      <w:r w:rsidR="0085453F">
        <w:t xml:space="preserve">could </w:t>
      </w:r>
      <w:r w:rsidR="002A39E5">
        <w:t>incur additional costs to the respondents</w:t>
      </w:r>
      <w:r w:rsidR="005174B8" w:rsidRPr="005174B8">
        <w:t xml:space="preserve">. The alleged errors in the FWC decisions were first identified in an affidavit filed some months later by the applicant, in June 2020. As explained in the final judgment at [49], the applicant in his grounds of review </w:t>
      </w:r>
      <w:r w:rsidR="005174B8" w:rsidRPr="0052666D">
        <w:rPr>
          <w:lang w:val="en"/>
        </w:rPr>
        <w:t xml:space="preserve">identified a number of errors which he submitted exist in the Single Member Decision and the Full Bench Decision, with his submission being concentrated on the Single </w:t>
      </w:r>
      <w:r w:rsidR="005174B8" w:rsidRPr="0052666D">
        <w:rPr>
          <w:lang w:val="en"/>
        </w:rPr>
        <w:lastRenderedPageBreak/>
        <w:t xml:space="preserve">Member Decision. Although these were not drafted as grounds of review would ordinarily be drafted, the errors were identified by reference to the factors in s 394(3) of the FW Act. </w:t>
      </w:r>
      <w:r w:rsidR="005174B8" w:rsidRPr="005174B8">
        <w:t xml:space="preserve">The respondent has not advanced any submission based on the absence of grounds when the application </w:t>
      </w:r>
      <w:r w:rsidR="005174B8">
        <w:t xml:space="preserve">was filed </w:t>
      </w:r>
      <w:r>
        <w:t xml:space="preserve">as </w:t>
      </w:r>
      <w:r w:rsidR="005174B8" w:rsidRPr="005174B8">
        <w:t>relevant to this assessment.</w:t>
      </w:r>
      <w:r w:rsidR="005174B8">
        <w:t xml:space="preserve"> </w:t>
      </w:r>
    </w:p>
    <w:p w14:paraId="5A79409C" w14:textId="1B503769" w:rsidR="006104F1" w:rsidRPr="00884AAA" w:rsidRDefault="0052666D" w:rsidP="003A073B">
      <w:pPr>
        <w:pStyle w:val="ParaNumbering"/>
      </w:pPr>
      <w:r w:rsidRPr="00F077E5">
        <w:rPr>
          <w:i/>
        </w:rPr>
        <w:t>Second</w:t>
      </w:r>
      <w:r>
        <w:t xml:space="preserve">, as is apparent, </w:t>
      </w:r>
      <w:r w:rsidR="005174B8">
        <w:t>there were interlocutory proceedings in this matter, and at that time</w:t>
      </w:r>
      <w:r w:rsidR="003D4B00">
        <w:t>, although</w:t>
      </w:r>
      <w:r w:rsidR="005174B8">
        <w:t xml:space="preserve"> the respondent submit</w:t>
      </w:r>
      <w:r w:rsidR="003F3C11">
        <w:t>ted</w:t>
      </w:r>
      <w:r w:rsidR="005174B8">
        <w:t xml:space="preserve">, inter alia, that there was no serious issue to </w:t>
      </w:r>
      <w:r w:rsidR="003F3C11">
        <w:t xml:space="preserve">be </w:t>
      </w:r>
      <w:r w:rsidR="005174B8">
        <w:t xml:space="preserve">tried so as to justify an </w:t>
      </w:r>
      <w:r w:rsidR="00557B1D">
        <w:t>injunction being ordered</w:t>
      </w:r>
      <w:r w:rsidR="005174B8">
        <w:t>, the respondent did not seek to have the proceedings dismissed. Rath</w:t>
      </w:r>
      <w:r w:rsidR="005174B8" w:rsidRPr="00665703">
        <w:t xml:space="preserve">er, </w:t>
      </w:r>
      <w:r w:rsidR="00884AAA" w:rsidRPr="00665703">
        <w:t xml:space="preserve">as the applicant submitted, </w:t>
      </w:r>
      <w:r w:rsidR="005174B8" w:rsidRPr="00665703">
        <w:t xml:space="preserve">it took the approach of voluntarily doing what </w:t>
      </w:r>
      <w:r w:rsidR="003D4B00" w:rsidRPr="00665703">
        <w:t xml:space="preserve">the applicant </w:t>
      </w:r>
      <w:r w:rsidR="005174B8" w:rsidRPr="00665703">
        <w:t xml:space="preserve">sought by </w:t>
      </w:r>
      <w:r w:rsidR="003D4B00" w:rsidRPr="00665703">
        <w:t xml:space="preserve">way of </w:t>
      </w:r>
      <w:r w:rsidR="005174B8" w:rsidRPr="00665703">
        <w:t>the interlocutory application and argue</w:t>
      </w:r>
      <w:r w:rsidR="003D4B00" w:rsidRPr="00665703">
        <w:t>d</w:t>
      </w:r>
      <w:r w:rsidR="00C73B29" w:rsidRPr="00665703">
        <w:t xml:space="preserve"> the orders should </w:t>
      </w:r>
      <w:r w:rsidR="005174B8" w:rsidRPr="00665703">
        <w:t xml:space="preserve">not be made. The matter then proceeded in the usual course, and the application </w:t>
      </w:r>
      <w:r w:rsidR="003D4B00" w:rsidRPr="00665703">
        <w:t xml:space="preserve">for costs under </w:t>
      </w:r>
      <w:r w:rsidR="005174B8" w:rsidRPr="00665703">
        <w:t>s 570 was not flagged by the respondent prior to jud</w:t>
      </w:r>
      <w:r w:rsidR="00884AAA" w:rsidRPr="00665703">
        <w:t>gment being reserved.</w:t>
      </w:r>
      <w:r w:rsidR="005174B8" w:rsidRPr="00665703">
        <w:t xml:space="preserve"> These matters do not prevent </w:t>
      </w:r>
      <w:r w:rsidR="00884AAA" w:rsidRPr="00665703">
        <w:t xml:space="preserve">s 570 from being enlivened or </w:t>
      </w:r>
      <w:r w:rsidR="005174B8" w:rsidRPr="00665703">
        <w:t>an order now being made for cost</w:t>
      </w:r>
      <w:r w:rsidR="00884AAA" w:rsidRPr="00665703">
        <w:t>s.</w:t>
      </w:r>
      <w:r w:rsidR="005174B8" w:rsidRPr="00665703">
        <w:t xml:space="preserve"> </w:t>
      </w:r>
      <w:r w:rsidR="00884AAA" w:rsidRPr="00665703">
        <w:t xml:space="preserve">As explained above, whether the provision is enlivened involves an objective assessment. </w:t>
      </w:r>
    </w:p>
    <w:p w14:paraId="78B091BC" w14:textId="77777777" w:rsidR="005174B8" w:rsidRPr="0052666D" w:rsidRDefault="0052666D" w:rsidP="005174B8">
      <w:pPr>
        <w:pStyle w:val="ParaNumbering"/>
        <w:rPr>
          <w:szCs w:val="24"/>
        </w:rPr>
      </w:pPr>
      <w:r w:rsidRPr="0052666D">
        <w:rPr>
          <w:color w:val="000000"/>
          <w:szCs w:val="24"/>
          <w:shd w:val="clear" w:color="auto" w:fill="FFFFFF"/>
        </w:rPr>
        <w:t xml:space="preserve">Against that background I turn to the submissions </w:t>
      </w:r>
    </w:p>
    <w:p w14:paraId="28D3DD2C" w14:textId="73E28A8A" w:rsidR="0052666D" w:rsidRPr="00B32B55" w:rsidRDefault="0052666D" w:rsidP="002A4DFE">
      <w:pPr>
        <w:pStyle w:val="ParaNumbering"/>
        <w:rPr>
          <w:szCs w:val="24"/>
        </w:rPr>
      </w:pPr>
      <w:bookmarkStart w:id="23" w:name="_Ref81839276"/>
      <w:r>
        <w:t>As noted above at [</w:t>
      </w:r>
      <w:r>
        <w:fldChar w:fldCharType="begin"/>
      </w:r>
      <w:r>
        <w:instrText xml:space="preserve"> REF _Ref79753402 \r \h </w:instrText>
      </w:r>
      <w:r>
        <w:fldChar w:fldCharType="separate"/>
      </w:r>
      <w:r w:rsidR="00FD27D8">
        <w:t>12</w:t>
      </w:r>
      <w:r>
        <w:fldChar w:fldCharType="end"/>
      </w:r>
      <w:r>
        <w:t xml:space="preserve">], the applicant acknowledges that there were failings on his part on the presentation of his case, namely that his grounds of review could have been better drafted, he did not notify the respondent or the Court at the earliest opportunity that he would not be pressing the constitutional matter, and his written and oral </w:t>
      </w:r>
      <w:r w:rsidRPr="00B32B55">
        <w:t xml:space="preserve">submissions were not concise or precise. To that I would add, as </w:t>
      </w:r>
      <w:r w:rsidRPr="00B32B55">
        <w:rPr>
          <w:lang w:val="en"/>
        </w:rPr>
        <w:t>noted in the final judgment</w:t>
      </w:r>
      <w:r w:rsidR="00C96D84">
        <w:rPr>
          <w:lang w:val="en"/>
        </w:rPr>
        <w:t xml:space="preserve"> at [49]</w:t>
      </w:r>
      <w:r w:rsidRPr="00B32B55">
        <w:rPr>
          <w:lang w:val="en"/>
        </w:rPr>
        <w:t xml:space="preserve">, </w:t>
      </w:r>
      <w:r w:rsidRPr="00B32B55">
        <w:t xml:space="preserve">in respect to a number of matters argued, however the applicant characterised them, </w:t>
      </w:r>
      <w:r w:rsidR="00604157">
        <w:t>it is difficult to comprehend how they</w:t>
      </w:r>
      <w:r w:rsidR="00604157" w:rsidRPr="00B32B55">
        <w:t xml:space="preserve"> </w:t>
      </w:r>
      <w:r w:rsidRPr="00B32B55">
        <w:t>could found jurisdictional error. At times the submissions were premised on a basis not borne out on a proper reading of the decisions of the FWC.</w:t>
      </w:r>
      <w:bookmarkEnd w:id="23"/>
      <w:r w:rsidRPr="00B32B55">
        <w:t xml:space="preserve"> </w:t>
      </w:r>
    </w:p>
    <w:p w14:paraId="62D8AED5" w14:textId="77777777" w:rsidR="0052666D" w:rsidRPr="003A073B" w:rsidRDefault="0052666D" w:rsidP="0052666D">
      <w:pPr>
        <w:pStyle w:val="ParaNumbering"/>
      </w:pPr>
      <w:bookmarkStart w:id="24" w:name="_Ref82195557"/>
      <w:r w:rsidRPr="00B32B55">
        <w:t>That said, as explained in the final judgment at [25]-[37], underlying the applicant’s grounds (with the exception of the ground alleging procedural fairness) was his argument concerning the statutory interpretation of s 394(3) of the FW Act. There were two separate construction arguments, directed to different aspects of the provision. The</w:t>
      </w:r>
      <w:r>
        <w:t xml:space="preserve"> outcome of that submission </w:t>
      </w:r>
      <w:r w:rsidRPr="003A073B">
        <w:t>underpinned the applicant’s other grounds of review. The basis and the extent of the argument, and the degree to which the grounds relied on it, was not apparent from the grounds of review and was not clearly articulated at least until the applicant filed his written submission on 25</w:t>
      </w:r>
      <w:r w:rsidR="00557B1D">
        <w:t> </w:t>
      </w:r>
      <w:r w:rsidRPr="003A073B">
        <w:t>September</w:t>
      </w:r>
      <w:r w:rsidR="00557B1D">
        <w:t> </w:t>
      </w:r>
      <w:r w:rsidRPr="003A073B">
        <w:t xml:space="preserve">2020. In my view, the applicant’s construction of s 394(3) was not reasonably </w:t>
      </w:r>
      <w:r w:rsidRPr="003A073B">
        <w:lastRenderedPageBreak/>
        <w:t>arguable. The submissions were contrary to the plain words of the text of the provision, considered in its context and given its purpose: see [25]-[37] of the final judgment.</w:t>
      </w:r>
      <w:bookmarkEnd w:id="24"/>
    </w:p>
    <w:p w14:paraId="2DB81705" w14:textId="6407C289" w:rsidR="003A073B" w:rsidRDefault="0052666D" w:rsidP="005D2319">
      <w:pPr>
        <w:pStyle w:val="ParaNumbering"/>
      </w:pPr>
      <w:r w:rsidRPr="003A073B">
        <w:t>As noted above</w:t>
      </w:r>
      <w:r w:rsidR="00557B1D">
        <w:t>,</w:t>
      </w:r>
      <w:r w:rsidRPr="003A073B">
        <w:t xml:space="preserve"> the applicant submitted that his statutory construction argument was a novel point of law, not previously considered. The applicant relied on </w:t>
      </w:r>
      <w:r w:rsidRPr="00BA6253">
        <w:rPr>
          <w:i/>
        </w:rPr>
        <w:t xml:space="preserve">Liu v Stephen Grubits and Associates (No 2) </w:t>
      </w:r>
      <w:r w:rsidRPr="00BA6253">
        <w:t>[2019] FCAFC 42</w:t>
      </w:r>
      <w:r w:rsidRPr="003A073B">
        <w:t xml:space="preserve"> (</w:t>
      </w:r>
      <w:r w:rsidRPr="003A073B">
        <w:rPr>
          <w:i/>
        </w:rPr>
        <w:t>Liu</w:t>
      </w:r>
      <w:r w:rsidRPr="003A073B">
        <w:t xml:space="preserve">) at [21], </w:t>
      </w:r>
      <w:r w:rsidRPr="003A073B">
        <w:rPr>
          <w:color w:val="000000" w:themeColor="text1"/>
        </w:rPr>
        <w:t>where the Court observed that the “</w:t>
      </w:r>
      <w:r w:rsidRPr="003A073B">
        <w:rPr>
          <w:color w:val="000000" w:themeColor="text1"/>
          <w:szCs w:val="24"/>
          <w:shd w:val="clear" w:color="auto" w:fill="FFFFFF"/>
        </w:rPr>
        <w:t xml:space="preserve">appeal required this Court to give attention to a significant point of statutory construction neither entirely convincingly addressed by the primary judge nor previously the subject of appellate determination”. The Court concluded at [22] that “we are unpersuaded that the appeal </w:t>
      </w:r>
      <w:r w:rsidR="00604157">
        <w:rPr>
          <w:color w:val="000000" w:themeColor="text1"/>
          <w:szCs w:val="24"/>
          <w:shd w:val="clear" w:color="auto" w:fill="FFFFFF"/>
        </w:rPr>
        <w:t>[the appellant]</w:t>
      </w:r>
      <w:r w:rsidR="00604157" w:rsidRPr="003A073B">
        <w:rPr>
          <w:color w:val="000000" w:themeColor="text1"/>
          <w:szCs w:val="24"/>
          <w:shd w:val="clear" w:color="auto" w:fill="FFFFFF"/>
        </w:rPr>
        <w:t xml:space="preserve"> </w:t>
      </w:r>
      <w:r w:rsidRPr="003A073B">
        <w:rPr>
          <w:color w:val="000000" w:themeColor="text1"/>
          <w:szCs w:val="24"/>
          <w:shd w:val="clear" w:color="auto" w:fill="FFFFFF"/>
        </w:rPr>
        <w:t>advanced as determined by this Court was other than properly advanced on arguable grounds, notwithstanding our emphatic rejection of it</w:t>
      </w:r>
      <w:r w:rsidR="00921228">
        <w:rPr>
          <w:color w:val="000000" w:themeColor="text1"/>
          <w:szCs w:val="24"/>
          <w:shd w:val="clear" w:color="auto" w:fill="FFFFFF"/>
        </w:rPr>
        <w:t>”</w:t>
      </w:r>
      <w:r w:rsidRPr="003A073B">
        <w:rPr>
          <w:color w:val="000000" w:themeColor="text1"/>
          <w:szCs w:val="24"/>
          <w:shd w:val="clear" w:color="auto" w:fill="FFFFFF"/>
        </w:rPr>
        <w:t xml:space="preserve">. </w:t>
      </w:r>
      <w:r w:rsidRPr="003A073B">
        <w:rPr>
          <w:color w:val="000000" w:themeColor="text1"/>
        </w:rPr>
        <w:t>That the questions of statutory construction the applicant raised had not previously been addressed or been the subject of appellate</w:t>
      </w:r>
      <w:r w:rsidRPr="003A073B">
        <w:rPr>
          <w:color w:val="000000" w:themeColor="text1"/>
          <w:spacing w:val="1"/>
        </w:rPr>
        <w:t xml:space="preserve"> </w:t>
      </w:r>
      <w:r w:rsidRPr="003A073B">
        <w:rPr>
          <w:color w:val="000000" w:themeColor="text1"/>
        </w:rPr>
        <w:t xml:space="preserve">determination does not necessarily render the submission arguable, as was the situation in </w:t>
      </w:r>
      <w:r w:rsidRPr="003A073B">
        <w:rPr>
          <w:i/>
          <w:color w:val="000000" w:themeColor="text1"/>
        </w:rPr>
        <w:t>Liu.</w:t>
      </w:r>
      <w:r w:rsidRPr="003A073B">
        <w:rPr>
          <w:color w:val="000000" w:themeColor="text1"/>
        </w:rPr>
        <w:t xml:space="preserve"> </w:t>
      </w:r>
    </w:p>
    <w:p w14:paraId="0A57D50A" w14:textId="77777777" w:rsidR="0052666D" w:rsidRPr="005174B8" w:rsidRDefault="0052666D" w:rsidP="0052666D">
      <w:pPr>
        <w:pStyle w:val="ParaNumbering"/>
      </w:pPr>
      <w:bookmarkStart w:id="25" w:name="_Ref81831528"/>
      <w:r w:rsidRPr="005174B8">
        <w:t xml:space="preserve">Although the </w:t>
      </w:r>
      <w:r>
        <w:t xml:space="preserve">relevant </w:t>
      </w:r>
      <w:r w:rsidRPr="005174B8">
        <w:t xml:space="preserve">principles can be elicited from other cases, there is a limit to the application of factual analogies. </w:t>
      </w:r>
      <w:r>
        <w:t>Each case is fact specific.</w:t>
      </w:r>
      <w:bookmarkEnd w:id="25"/>
      <w:r>
        <w:t xml:space="preserve"> </w:t>
      </w:r>
    </w:p>
    <w:p w14:paraId="66949947" w14:textId="3B766B91" w:rsidR="0052666D" w:rsidRPr="0052666D" w:rsidRDefault="0052666D" w:rsidP="0052666D">
      <w:pPr>
        <w:pStyle w:val="ParaNumbering"/>
        <w:rPr>
          <w:color w:val="000000" w:themeColor="text1"/>
          <w:szCs w:val="24"/>
        </w:rPr>
      </w:pPr>
      <w:r w:rsidRPr="00564C5F">
        <w:rPr>
          <w:rFonts w:eastAsia="Times New Roman"/>
          <w:color w:val="000000" w:themeColor="text1"/>
          <w:szCs w:val="24"/>
          <w:lang w:eastAsia="en-AU"/>
        </w:rPr>
        <w:t xml:space="preserve">The respondent’s argument </w:t>
      </w:r>
      <w:r>
        <w:rPr>
          <w:rFonts w:eastAsia="Times New Roman"/>
          <w:color w:val="000000" w:themeColor="text1"/>
          <w:szCs w:val="24"/>
          <w:lang w:eastAsia="en-AU"/>
        </w:rPr>
        <w:t xml:space="preserve">that </w:t>
      </w:r>
      <w:r w:rsidRPr="00564C5F">
        <w:rPr>
          <w:rFonts w:eastAsia="Times New Roman"/>
          <w:color w:val="000000" w:themeColor="text1"/>
          <w:szCs w:val="24"/>
          <w:lang w:eastAsia="en-AU"/>
        </w:rPr>
        <w:t>the proceeding was institu</w:t>
      </w:r>
      <w:r>
        <w:rPr>
          <w:rFonts w:eastAsia="Times New Roman"/>
          <w:color w:val="000000" w:themeColor="text1"/>
          <w:szCs w:val="24"/>
          <w:lang w:eastAsia="en-AU"/>
        </w:rPr>
        <w:t xml:space="preserve">ted without reasonable cause </w:t>
      </w:r>
      <w:r w:rsidRPr="00564C5F">
        <w:rPr>
          <w:rFonts w:eastAsia="Times New Roman"/>
          <w:color w:val="000000" w:themeColor="text1"/>
          <w:szCs w:val="24"/>
          <w:lang w:eastAsia="en-AU"/>
        </w:rPr>
        <w:t xml:space="preserve">focussed </w:t>
      </w:r>
      <w:r>
        <w:rPr>
          <w:rFonts w:eastAsia="Times New Roman"/>
          <w:color w:val="000000" w:themeColor="text1"/>
          <w:szCs w:val="24"/>
          <w:lang w:eastAsia="en-AU"/>
        </w:rPr>
        <w:t xml:space="preserve">entirely </w:t>
      </w:r>
      <w:r w:rsidRPr="00564C5F">
        <w:rPr>
          <w:rFonts w:eastAsia="Times New Roman"/>
          <w:color w:val="000000" w:themeColor="text1"/>
          <w:szCs w:val="24"/>
          <w:lang w:eastAsia="en-AU"/>
        </w:rPr>
        <w:t xml:space="preserve">on the result. The submission was that it </w:t>
      </w:r>
      <w:r w:rsidRPr="00564C5F">
        <w:rPr>
          <w:color w:val="000000" w:themeColor="text1"/>
        </w:rPr>
        <w:t>“is</w:t>
      </w:r>
      <w:r w:rsidRPr="00564C5F">
        <w:rPr>
          <w:color w:val="000000" w:themeColor="text1"/>
          <w:spacing w:val="13"/>
        </w:rPr>
        <w:t xml:space="preserve"> </w:t>
      </w:r>
      <w:r w:rsidRPr="00564C5F">
        <w:rPr>
          <w:color w:val="000000" w:themeColor="text1"/>
        </w:rPr>
        <w:t>plain</w:t>
      </w:r>
      <w:r w:rsidRPr="00564C5F">
        <w:rPr>
          <w:color w:val="000000" w:themeColor="text1"/>
          <w:spacing w:val="14"/>
        </w:rPr>
        <w:t xml:space="preserve"> </w:t>
      </w:r>
      <w:r w:rsidRPr="00564C5F">
        <w:rPr>
          <w:color w:val="000000" w:themeColor="text1"/>
        </w:rPr>
        <w:t>from</w:t>
      </w:r>
      <w:r w:rsidRPr="00564C5F">
        <w:rPr>
          <w:color w:val="000000" w:themeColor="text1"/>
          <w:spacing w:val="13"/>
        </w:rPr>
        <w:t xml:space="preserve"> </w:t>
      </w:r>
      <w:r w:rsidRPr="00564C5F">
        <w:rPr>
          <w:color w:val="000000" w:themeColor="text1"/>
        </w:rPr>
        <w:t>paragraphs</w:t>
      </w:r>
      <w:r w:rsidRPr="00564C5F">
        <w:rPr>
          <w:color w:val="000000" w:themeColor="text1"/>
          <w:spacing w:val="13"/>
        </w:rPr>
        <w:t xml:space="preserve"> </w:t>
      </w:r>
      <w:r w:rsidRPr="00564C5F">
        <w:rPr>
          <w:color w:val="000000" w:themeColor="text1"/>
        </w:rPr>
        <w:t>[26]-[49],</w:t>
      </w:r>
      <w:r w:rsidRPr="00564C5F">
        <w:rPr>
          <w:color w:val="000000" w:themeColor="text1"/>
          <w:spacing w:val="13"/>
        </w:rPr>
        <w:t xml:space="preserve"> </w:t>
      </w:r>
      <w:r w:rsidRPr="00564C5F">
        <w:rPr>
          <w:color w:val="000000" w:themeColor="text1"/>
        </w:rPr>
        <w:t>[56]-[63],</w:t>
      </w:r>
      <w:r w:rsidRPr="00564C5F">
        <w:rPr>
          <w:color w:val="000000" w:themeColor="text1"/>
          <w:spacing w:val="14"/>
        </w:rPr>
        <w:t xml:space="preserve"> </w:t>
      </w:r>
      <w:r w:rsidRPr="00564C5F">
        <w:rPr>
          <w:color w:val="000000" w:themeColor="text1"/>
        </w:rPr>
        <w:t>[65]-[66],</w:t>
      </w:r>
      <w:r w:rsidRPr="00564C5F">
        <w:rPr>
          <w:color w:val="000000" w:themeColor="text1"/>
          <w:spacing w:val="13"/>
        </w:rPr>
        <w:t xml:space="preserve"> </w:t>
      </w:r>
      <w:r w:rsidRPr="00564C5F">
        <w:rPr>
          <w:color w:val="000000" w:themeColor="text1"/>
        </w:rPr>
        <w:t>[69]-[70],</w:t>
      </w:r>
      <w:r w:rsidRPr="00564C5F">
        <w:rPr>
          <w:color w:val="000000" w:themeColor="text1"/>
          <w:spacing w:val="13"/>
        </w:rPr>
        <w:t xml:space="preserve"> </w:t>
      </w:r>
      <w:r w:rsidRPr="00564C5F">
        <w:rPr>
          <w:color w:val="000000" w:themeColor="text1"/>
        </w:rPr>
        <w:t>[73]-[76],</w:t>
      </w:r>
      <w:r w:rsidRPr="00564C5F">
        <w:rPr>
          <w:color w:val="000000" w:themeColor="text1"/>
          <w:spacing w:val="14"/>
        </w:rPr>
        <w:t xml:space="preserve"> </w:t>
      </w:r>
      <w:r w:rsidRPr="00564C5F">
        <w:rPr>
          <w:color w:val="000000" w:themeColor="text1"/>
        </w:rPr>
        <w:t>[82]-[85],</w:t>
      </w:r>
      <w:r w:rsidRPr="00564C5F">
        <w:rPr>
          <w:color w:val="000000" w:themeColor="text1"/>
          <w:spacing w:val="13"/>
        </w:rPr>
        <w:t xml:space="preserve"> </w:t>
      </w:r>
      <w:r w:rsidRPr="00564C5F">
        <w:rPr>
          <w:color w:val="000000" w:themeColor="text1"/>
        </w:rPr>
        <w:t xml:space="preserve">[88]-[89], [93]-[102] of the [f]inal [j]udgment, that the application raised no arguable case of jurisdictional error or error of any kind amenable to judicial review”. Those paragraphs reflect the outcome of the application, and refer to the consideration in relation to each ground. </w:t>
      </w:r>
      <w:r>
        <w:rPr>
          <w:color w:val="000000" w:themeColor="text1"/>
          <w:szCs w:val="24"/>
        </w:rPr>
        <w:t xml:space="preserve">It is appropriate to recall in that light that </w:t>
      </w:r>
      <w:r w:rsidRPr="0052666D">
        <w:rPr>
          <w:rFonts w:eastAsia="Times New Roman"/>
          <w:color w:val="000000" w:themeColor="text1"/>
          <w:szCs w:val="24"/>
          <w:lang w:eastAsia="en-AU"/>
        </w:rPr>
        <w:t xml:space="preserve">the issue is whether at the time of filing the originating application it has been established that objectively, the proceeding was instituted without reasonable cause. </w:t>
      </w:r>
      <w:r w:rsidRPr="0052666D">
        <w:rPr>
          <w:color w:val="000000" w:themeColor="text1"/>
        </w:rPr>
        <w:t xml:space="preserve">The respondent however, does not address the issue objectively at the time the proceedings were instituted. The respondent has also assumed that the </w:t>
      </w:r>
      <w:r w:rsidR="00921228">
        <w:rPr>
          <w:color w:val="000000" w:themeColor="text1"/>
        </w:rPr>
        <w:t xml:space="preserve">Court’s </w:t>
      </w:r>
      <w:r w:rsidRPr="0052666D">
        <w:rPr>
          <w:color w:val="000000" w:themeColor="text1"/>
        </w:rPr>
        <w:t>rejection of the applicant’s arguments, even where emphatic, necessarily meant the application was institute</w:t>
      </w:r>
      <w:r w:rsidR="00A9701B">
        <w:rPr>
          <w:color w:val="000000" w:themeColor="text1"/>
        </w:rPr>
        <w:t>d</w:t>
      </w:r>
      <w:r w:rsidRPr="0052666D">
        <w:rPr>
          <w:color w:val="000000" w:themeColor="text1"/>
        </w:rPr>
        <w:t xml:space="preserve"> without reason</w:t>
      </w:r>
      <w:r w:rsidR="00907444">
        <w:rPr>
          <w:color w:val="000000" w:themeColor="text1"/>
        </w:rPr>
        <w:t>able</w:t>
      </w:r>
      <w:r w:rsidRPr="0052666D">
        <w:rPr>
          <w:color w:val="000000" w:themeColor="text1"/>
        </w:rPr>
        <w:t xml:space="preserve"> cause. This is also in a statutory context where, although the respondent is not required to establish that there are any exceptio</w:t>
      </w:r>
      <w:r w:rsidRPr="004D7E26">
        <w:rPr>
          <w:color w:val="000000" w:themeColor="text1"/>
        </w:rPr>
        <w:t>nal circumstances to enliven the discretion in s 570 to award costs, costs are ordered relatively rarely</w:t>
      </w:r>
      <w:r w:rsidR="005C0510" w:rsidRPr="004D7E26">
        <w:rPr>
          <w:color w:val="000000" w:themeColor="text1"/>
        </w:rPr>
        <w:t xml:space="preserve">: see </w:t>
      </w:r>
      <w:r w:rsidR="005C0510" w:rsidRPr="004D7E26">
        <w:rPr>
          <w:i/>
          <w:color w:val="000000" w:themeColor="text1"/>
        </w:rPr>
        <w:t xml:space="preserve">Leighton Contractors </w:t>
      </w:r>
      <w:r w:rsidR="005C0510" w:rsidRPr="004D7E26">
        <w:rPr>
          <w:color w:val="000000" w:themeColor="text1"/>
        </w:rPr>
        <w:t>at [7]</w:t>
      </w:r>
      <w:r w:rsidR="004D7E26" w:rsidRPr="004D7E26">
        <w:rPr>
          <w:color w:val="000000" w:themeColor="text1"/>
        </w:rPr>
        <w:t xml:space="preserve"> (referred to above at [</w:t>
      </w:r>
      <w:r w:rsidR="004D7E26" w:rsidRPr="004D7E26">
        <w:rPr>
          <w:color w:val="000000" w:themeColor="text1"/>
        </w:rPr>
        <w:fldChar w:fldCharType="begin"/>
      </w:r>
      <w:r w:rsidR="004D7E26" w:rsidRPr="004D7E26">
        <w:rPr>
          <w:color w:val="000000" w:themeColor="text1"/>
        </w:rPr>
        <w:instrText xml:space="preserve"> REF _Ref82624919 \r \h </w:instrText>
      </w:r>
      <w:r w:rsidR="004D7E26">
        <w:rPr>
          <w:color w:val="000000" w:themeColor="text1"/>
        </w:rPr>
        <w:instrText xml:space="preserve"> \* MERGEFORMAT </w:instrText>
      </w:r>
      <w:r w:rsidR="004D7E26" w:rsidRPr="004D7E26">
        <w:rPr>
          <w:color w:val="000000" w:themeColor="text1"/>
        </w:rPr>
      </w:r>
      <w:r w:rsidR="004D7E26" w:rsidRPr="004D7E26">
        <w:rPr>
          <w:color w:val="000000" w:themeColor="text1"/>
        </w:rPr>
        <w:fldChar w:fldCharType="separate"/>
      </w:r>
      <w:r w:rsidR="004D7E26" w:rsidRPr="004D7E26">
        <w:rPr>
          <w:color w:val="000000" w:themeColor="text1"/>
        </w:rPr>
        <w:t>6</w:t>
      </w:r>
      <w:r w:rsidR="004D7E26" w:rsidRPr="004D7E26">
        <w:rPr>
          <w:color w:val="000000" w:themeColor="text1"/>
        </w:rPr>
        <w:fldChar w:fldCharType="end"/>
      </w:r>
      <w:r w:rsidR="004D7E26" w:rsidRPr="004D7E26">
        <w:rPr>
          <w:color w:val="000000" w:themeColor="text1"/>
        </w:rPr>
        <w:t>])</w:t>
      </w:r>
      <w:r w:rsidRPr="004D7E26">
        <w:rPr>
          <w:color w:val="000000" w:themeColor="text1"/>
        </w:rPr>
        <w:t>.</w:t>
      </w:r>
      <w:r w:rsidRPr="0052666D">
        <w:rPr>
          <w:color w:val="000000" w:themeColor="text1"/>
        </w:rPr>
        <w:t xml:space="preserve"> It is also in the context where the respondent bears the onus of establishing that costs should be awarded. </w:t>
      </w:r>
      <w:r w:rsidRPr="0052666D">
        <w:rPr>
          <w:rFonts w:eastAsia="Times New Roman"/>
          <w:color w:val="000000" w:themeColor="text1"/>
          <w:szCs w:val="24"/>
          <w:lang w:eastAsia="en-AU"/>
        </w:rPr>
        <w:t xml:space="preserve">It cannot be the case, as the respondent has approached the matter, that because the </w:t>
      </w:r>
      <w:r w:rsidRPr="0052666D">
        <w:rPr>
          <w:rFonts w:eastAsia="Times New Roman"/>
          <w:color w:val="000000" w:themeColor="text1"/>
          <w:szCs w:val="24"/>
          <w:lang w:eastAsia="en-AU"/>
        </w:rPr>
        <w:lastRenderedPageBreak/>
        <w:t xml:space="preserve">applicant’s arguments have been rejected, that is necessarily sufficient to justify an award of costs. </w:t>
      </w:r>
    </w:p>
    <w:p w14:paraId="6DC91EEB" w14:textId="2E583CB6" w:rsidR="006104F1" w:rsidRPr="006104F1" w:rsidRDefault="0052666D" w:rsidP="0052666D">
      <w:pPr>
        <w:pStyle w:val="ParaNumbering"/>
        <w:rPr>
          <w:szCs w:val="24"/>
        </w:rPr>
      </w:pPr>
      <w:r w:rsidRPr="00564C5F">
        <w:rPr>
          <w:color w:val="000000" w:themeColor="text1"/>
        </w:rPr>
        <w:t xml:space="preserve">Having made the submission recited in the preceding paragraph, the respondent submitted that this case was analogous to </w:t>
      </w:r>
      <w:r w:rsidRPr="00564C5F">
        <w:rPr>
          <w:i/>
          <w:color w:val="000000" w:themeColor="text1"/>
        </w:rPr>
        <w:t xml:space="preserve">Menzies </w:t>
      </w:r>
      <w:r w:rsidRPr="00564C5F">
        <w:rPr>
          <w:color w:val="000000" w:themeColor="text1"/>
        </w:rPr>
        <w:t xml:space="preserve">and </w:t>
      </w:r>
      <w:r w:rsidRPr="00564C5F">
        <w:rPr>
          <w:i/>
          <w:color w:val="000000" w:themeColor="text1"/>
        </w:rPr>
        <w:t>Pal (No. 2)</w:t>
      </w:r>
      <w:r w:rsidRPr="00564C5F">
        <w:rPr>
          <w:color w:val="000000" w:themeColor="text1"/>
        </w:rPr>
        <w:t>, without any further explanation. However, as noted above at [</w:t>
      </w:r>
      <w:r w:rsidR="00330D93">
        <w:rPr>
          <w:color w:val="000000" w:themeColor="text1"/>
        </w:rPr>
        <w:fldChar w:fldCharType="begin"/>
      </w:r>
      <w:r w:rsidR="00330D93">
        <w:rPr>
          <w:color w:val="000000" w:themeColor="text1"/>
        </w:rPr>
        <w:instrText xml:space="preserve"> REF _Ref81831528 \r \h </w:instrText>
      </w:r>
      <w:r w:rsidR="00330D93">
        <w:rPr>
          <w:color w:val="000000" w:themeColor="text1"/>
        </w:rPr>
      </w:r>
      <w:r w:rsidR="00330D93">
        <w:rPr>
          <w:color w:val="000000" w:themeColor="text1"/>
        </w:rPr>
        <w:fldChar w:fldCharType="separate"/>
      </w:r>
      <w:r w:rsidR="00FD27D8">
        <w:rPr>
          <w:color w:val="000000" w:themeColor="text1"/>
        </w:rPr>
        <w:t>24</w:t>
      </w:r>
      <w:r w:rsidR="00330D93">
        <w:rPr>
          <w:color w:val="000000" w:themeColor="text1"/>
        </w:rPr>
        <w:fldChar w:fldCharType="end"/>
      </w:r>
      <w:r w:rsidRPr="00564C5F">
        <w:rPr>
          <w:color w:val="000000" w:themeColor="text1"/>
        </w:rPr>
        <w:t xml:space="preserve">], each case necessarily turns on its own facts and there are factual differences between this case and </w:t>
      </w:r>
      <w:r w:rsidRPr="00564C5F">
        <w:rPr>
          <w:i/>
          <w:color w:val="000000" w:themeColor="text1"/>
        </w:rPr>
        <w:t>Menzies</w:t>
      </w:r>
      <w:r w:rsidRPr="00564C5F">
        <w:rPr>
          <w:color w:val="000000" w:themeColor="text1"/>
        </w:rPr>
        <w:t xml:space="preserve"> and </w:t>
      </w:r>
      <w:r w:rsidRPr="00564C5F">
        <w:rPr>
          <w:i/>
          <w:color w:val="000000" w:themeColor="text1"/>
        </w:rPr>
        <w:t xml:space="preserve">Pal (No 2). </w:t>
      </w:r>
      <w:r w:rsidRPr="00564C5F">
        <w:rPr>
          <w:color w:val="000000" w:themeColor="text1"/>
        </w:rPr>
        <w:t xml:space="preserve">For example, in </w:t>
      </w:r>
      <w:r w:rsidRPr="00564C5F">
        <w:rPr>
          <w:i/>
          <w:color w:val="000000" w:themeColor="text1"/>
        </w:rPr>
        <w:t>Menzie</w:t>
      </w:r>
      <w:r w:rsidRPr="00564C5F">
        <w:rPr>
          <w:color w:val="000000" w:themeColor="text1"/>
        </w:rPr>
        <w:t xml:space="preserve">s, the Court concluded that the grounds as drafted, even if established, could not found </w:t>
      </w:r>
      <w:r>
        <w:t xml:space="preserve">jurisdictional error. That is an obvious situation where it is clear at the time the proceedings were commenced that there was no reasonable cause of action. Similarly, in </w:t>
      </w:r>
      <w:r>
        <w:rPr>
          <w:i/>
        </w:rPr>
        <w:t>Pal (No 2)</w:t>
      </w:r>
      <w:r>
        <w:t xml:space="preserve">, where the Court was considering an application for summary judgment, the Court concluded, inter alia, that even if the grounds were established, the relief sought would be beyond the power of the Court. </w:t>
      </w:r>
    </w:p>
    <w:p w14:paraId="57B40D50" w14:textId="77777777" w:rsidR="003A073B" w:rsidRDefault="00F077E5" w:rsidP="003A073B">
      <w:pPr>
        <w:pStyle w:val="ParaNumbering"/>
        <w:rPr>
          <w:szCs w:val="24"/>
        </w:rPr>
      </w:pPr>
      <w:r w:rsidRPr="00E7141B">
        <w:t>As noted above, there are factual differences between those cases and this case.</w:t>
      </w:r>
      <w:r w:rsidRPr="00604157">
        <w:t xml:space="preserve"> </w:t>
      </w:r>
      <w:r w:rsidR="006104F1" w:rsidRPr="00604157">
        <w:t>It m</w:t>
      </w:r>
      <w:r w:rsidR="006104F1">
        <w:t xml:space="preserve">ay be accepted that </w:t>
      </w:r>
      <w:r w:rsidR="00921228">
        <w:t xml:space="preserve">the </w:t>
      </w:r>
      <w:r w:rsidR="006104F1">
        <w:t>factual scenarios in which the discretion is enliven</w:t>
      </w:r>
      <w:r w:rsidR="00A9701B">
        <w:t>ed</w:t>
      </w:r>
      <w:r w:rsidR="006104F1">
        <w:t xml:space="preserve"> </w:t>
      </w:r>
      <w:r w:rsidR="002071A9">
        <w:t xml:space="preserve">are </w:t>
      </w:r>
      <w:r w:rsidR="006104F1">
        <w:t xml:space="preserve">broader than those that existed in </w:t>
      </w:r>
      <w:r w:rsidR="006104F1" w:rsidRPr="006104F1">
        <w:rPr>
          <w:i/>
        </w:rPr>
        <w:t>Menzies</w:t>
      </w:r>
      <w:r w:rsidR="006104F1">
        <w:t xml:space="preserve"> and </w:t>
      </w:r>
      <w:r w:rsidR="006104F1" w:rsidRPr="006104F1">
        <w:rPr>
          <w:i/>
        </w:rPr>
        <w:t>Pal (No 2)</w:t>
      </w:r>
      <w:r w:rsidR="006104F1">
        <w:rPr>
          <w:i/>
        </w:rPr>
        <w:t>.</w:t>
      </w:r>
      <w:r w:rsidR="00D01CA0">
        <w:rPr>
          <w:i/>
        </w:rPr>
        <w:t xml:space="preserve"> </w:t>
      </w:r>
      <w:r w:rsidR="00D01CA0">
        <w:t xml:space="preserve">However, the respondent has not addressed how this case is analogous </w:t>
      </w:r>
      <w:r w:rsidR="00973F61">
        <w:t xml:space="preserve">to those </w:t>
      </w:r>
      <w:r w:rsidR="00A9701B">
        <w:t xml:space="preserve">cases </w:t>
      </w:r>
      <w:r w:rsidR="00D01CA0">
        <w:t>and, if not factually so, why the reasoning in those cases applies.</w:t>
      </w:r>
    </w:p>
    <w:p w14:paraId="316F9E4A" w14:textId="4732521E" w:rsidR="003A073B" w:rsidRPr="005D2319" w:rsidRDefault="00133EF4">
      <w:pPr>
        <w:pStyle w:val="ParaNumbering"/>
        <w:rPr>
          <w:szCs w:val="24"/>
        </w:rPr>
      </w:pPr>
      <w:r>
        <w:t xml:space="preserve">In a context where the respondent </w:t>
      </w:r>
      <w:r w:rsidR="006B2FCC">
        <w:t>is</w:t>
      </w:r>
      <w:r>
        <w:t xml:space="preserve"> seeking an order pursuant to s 570, it is incumbent on them to establish objectively, that the proceedings were </w:t>
      </w:r>
      <w:r w:rsidRPr="0043609C">
        <w:t xml:space="preserve">commenced </w:t>
      </w:r>
      <w:r w:rsidR="00ED145E">
        <w:t>without reasonable cause</w:t>
      </w:r>
      <w:r>
        <w:t xml:space="preserve">. Although the proceedings were dismissed </w:t>
      </w:r>
      <w:r w:rsidR="003A073B">
        <w:t xml:space="preserve">after full argument </w:t>
      </w:r>
      <w:r>
        <w:t>(with the underlying statutory construction being rejected) the respondent has not addressed why</w:t>
      </w:r>
      <w:r w:rsidR="003A073B">
        <w:t xml:space="preserve"> that should result in a conclusion that the proceedings </w:t>
      </w:r>
      <w:r w:rsidR="00973F61">
        <w:t xml:space="preserve">(in their entirety) </w:t>
      </w:r>
      <w:r w:rsidR="003A073B">
        <w:t>were objectively instituted without reasonable cause.</w:t>
      </w:r>
      <w:r>
        <w:t xml:space="preserve"> </w:t>
      </w:r>
      <w:r w:rsidR="006303E1">
        <w:t>Although, as noted above at [</w:t>
      </w:r>
      <w:r w:rsidR="00604157">
        <w:fldChar w:fldCharType="begin"/>
      </w:r>
      <w:r w:rsidR="00604157">
        <w:instrText xml:space="preserve"> REF _Ref81839276 \r \h </w:instrText>
      </w:r>
      <w:r w:rsidR="00604157">
        <w:fldChar w:fldCharType="separate"/>
      </w:r>
      <w:r w:rsidR="00FD27D8">
        <w:t>21</w:t>
      </w:r>
      <w:r w:rsidR="00604157">
        <w:fldChar w:fldCharType="end"/>
      </w:r>
      <w:r w:rsidR="006303E1">
        <w:t>], in dismissing the application I concluded that in relation to some of the matters argued it was difficult to understand how they could have founded jurisdictional error, the respondent has not addressed whether that was patent on the grounds or rather apparent given t</w:t>
      </w:r>
      <w:r w:rsidR="006303E1" w:rsidRPr="00FD27D8">
        <w:t>he submissions made in support</w:t>
      </w:r>
      <w:r w:rsidR="00E7141B" w:rsidRPr="00FD27D8">
        <w:t xml:space="preserve">, and after argument. </w:t>
      </w:r>
      <w:r w:rsidRPr="00FD27D8">
        <w:t>In that context</w:t>
      </w:r>
      <w:r w:rsidR="005D2319" w:rsidRPr="00FD27D8">
        <w:t xml:space="preserve">, notwithstanding my </w:t>
      </w:r>
      <w:r w:rsidR="00A9701B" w:rsidRPr="00FD27D8">
        <w:t xml:space="preserve">(at times emphatic) </w:t>
      </w:r>
      <w:r w:rsidR="005D2319" w:rsidRPr="00FD27D8">
        <w:t xml:space="preserve">rejection of the applicant’s grounds, </w:t>
      </w:r>
      <w:r w:rsidRPr="00FD27D8">
        <w:t>th</w:t>
      </w:r>
      <w:r w:rsidR="003A073B">
        <w:t xml:space="preserve">e respondent </w:t>
      </w:r>
      <w:r w:rsidR="00A9701B">
        <w:t xml:space="preserve">has </w:t>
      </w:r>
      <w:r w:rsidR="003A073B">
        <w:t xml:space="preserve">not persuaded me that </w:t>
      </w:r>
      <w:r>
        <w:t>the discretion</w:t>
      </w:r>
      <w:r w:rsidR="003A073B">
        <w:t xml:space="preserve"> is enlivened</w:t>
      </w:r>
      <w:r w:rsidR="00F077E5">
        <w:t>.</w:t>
      </w:r>
    </w:p>
    <w:p w14:paraId="221849C3" w14:textId="77777777" w:rsidR="00133C01" w:rsidRPr="0043609C" w:rsidRDefault="00133C01" w:rsidP="00AD2485">
      <w:pPr>
        <w:pStyle w:val="Heading3"/>
      </w:pPr>
      <w:r w:rsidRPr="0043609C">
        <w:t>Interlocutory application</w:t>
      </w:r>
    </w:p>
    <w:p w14:paraId="18D27F41" w14:textId="77777777" w:rsidR="00584102" w:rsidRPr="00564C5F" w:rsidRDefault="00133C01" w:rsidP="00133C01">
      <w:pPr>
        <w:pStyle w:val="ParaNumbering"/>
        <w:rPr>
          <w:color w:val="000000" w:themeColor="text1"/>
          <w:szCs w:val="24"/>
        </w:rPr>
      </w:pPr>
      <w:r w:rsidRPr="00564C5F">
        <w:rPr>
          <w:color w:val="000000" w:themeColor="text1"/>
          <w:szCs w:val="24"/>
          <w:shd w:val="clear" w:color="auto" w:fill="FFFFFF"/>
        </w:rPr>
        <w:t xml:space="preserve">The Court can award costs in relation to an interlocutory application in the circumstances described in s 570(2): </w:t>
      </w:r>
      <w:r w:rsidRPr="00BA6253">
        <w:rPr>
          <w:i/>
          <w:color w:val="000000" w:themeColor="text1"/>
        </w:rPr>
        <w:t xml:space="preserve">Hartnett Legal Services Pty Ltd v Ballantyne (No 2) </w:t>
      </w:r>
      <w:r w:rsidRPr="00BA6253">
        <w:rPr>
          <w:color w:val="000000" w:themeColor="text1"/>
        </w:rPr>
        <w:t>[2015] FCA 1027</w:t>
      </w:r>
      <w:r w:rsidRPr="00564C5F">
        <w:rPr>
          <w:color w:val="000000" w:themeColor="text1"/>
        </w:rPr>
        <w:t xml:space="preserve"> </w:t>
      </w:r>
      <w:r w:rsidRPr="00564C5F">
        <w:rPr>
          <w:color w:val="000000" w:themeColor="text1"/>
        </w:rPr>
        <w:lastRenderedPageBreak/>
        <w:t xml:space="preserve">at [7]-[11]; </w:t>
      </w:r>
      <w:r w:rsidRPr="00BA6253">
        <w:rPr>
          <w:bCs/>
          <w:i/>
          <w:color w:val="000000" w:themeColor="text1"/>
          <w:szCs w:val="24"/>
          <w:shd w:val="clear" w:color="auto" w:fill="FFFFFF"/>
        </w:rPr>
        <w:t>Harpham v Communications, Electrical, Electronic, Energy, Information, Postal, Plumbing and Allied Services Union of Australia (No 2)</w:t>
      </w:r>
      <w:r w:rsidRPr="00BA6253">
        <w:rPr>
          <w:bCs/>
          <w:color w:val="000000" w:themeColor="text1"/>
          <w:szCs w:val="24"/>
          <w:shd w:val="clear" w:color="auto" w:fill="FFFFFF"/>
        </w:rPr>
        <w:t> </w:t>
      </w:r>
      <w:r w:rsidR="00A9701B" w:rsidRPr="00BA6253">
        <w:rPr>
          <w:bCs/>
          <w:color w:val="000000" w:themeColor="text1"/>
          <w:szCs w:val="24"/>
        </w:rPr>
        <w:t>[2017] FCA 140</w:t>
      </w:r>
      <w:r w:rsidRPr="00564C5F">
        <w:rPr>
          <w:rFonts w:eastAsia="Times New Roman"/>
          <w:color w:val="000000" w:themeColor="text1"/>
          <w:szCs w:val="24"/>
          <w:lang w:eastAsia="en-AU"/>
        </w:rPr>
        <w:t xml:space="preserve"> at [43]. </w:t>
      </w:r>
    </w:p>
    <w:p w14:paraId="5E68AA0B" w14:textId="400F441E" w:rsidR="00133EF4" w:rsidRPr="00564C5F" w:rsidRDefault="00083F09" w:rsidP="00FE0040">
      <w:pPr>
        <w:pStyle w:val="ParaNumbering"/>
        <w:rPr>
          <w:color w:val="000000" w:themeColor="text1"/>
          <w:szCs w:val="24"/>
        </w:rPr>
      </w:pPr>
      <w:r w:rsidRPr="00564C5F">
        <w:rPr>
          <w:rFonts w:eastAsia="Times New Roman"/>
          <w:color w:val="000000" w:themeColor="text1"/>
          <w:szCs w:val="24"/>
          <w:lang w:eastAsia="en-AU"/>
        </w:rPr>
        <w:t xml:space="preserve">The </w:t>
      </w:r>
      <w:r w:rsidR="00FE0040" w:rsidRPr="00564C5F">
        <w:rPr>
          <w:rFonts w:eastAsia="Times New Roman"/>
          <w:color w:val="000000" w:themeColor="text1"/>
          <w:szCs w:val="24"/>
          <w:lang w:eastAsia="en-AU"/>
        </w:rPr>
        <w:t>interlocutory proceedings were commenced in this Court</w:t>
      </w:r>
      <w:r w:rsidR="003450C7" w:rsidRPr="00564C5F">
        <w:rPr>
          <w:rFonts w:eastAsia="Times New Roman"/>
          <w:color w:val="000000" w:themeColor="text1"/>
          <w:szCs w:val="24"/>
          <w:lang w:eastAsia="en-AU"/>
        </w:rPr>
        <w:t>,</w:t>
      </w:r>
      <w:r w:rsidR="00FE0040" w:rsidRPr="00564C5F">
        <w:rPr>
          <w:rFonts w:eastAsia="Times New Roman"/>
          <w:color w:val="000000" w:themeColor="text1"/>
          <w:szCs w:val="24"/>
          <w:lang w:eastAsia="en-AU"/>
        </w:rPr>
        <w:t xml:space="preserve"> although no application had ever been made to the FWC for retention of the material sought. The application was filed before any grounds </w:t>
      </w:r>
      <w:r w:rsidR="00ED1C78">
        <w:rPr>
          <w:rFonts w:eastAsia="Times New Roman"/>
          <w:color w:val="000000" w:themeColor="text1"/>
          <w:szCs w:val="24"/>
          <w:lang w:eastAsia="en-AU"/>
        </w:rPr>
        <w:t>of</w:t>
      </w:r>
      <w:r w:rsidR="00FE0040" w:rsidRPr="00564C5F">
        <w:rPr>
          <w:rFonts w:eastAsia="Times New Roman"/>
          <w:color w:val="000000" w:themeColor="text1"/>
          <w:szCs w:val="24"/>
          <w:lang w:eastAsia="en-AU"/>
        </w:rPr>
        <w:t xml:space="preserve"> review challenging the decisions of the FWC had been filed. </w:t>
      </w:r>
      <w:r w:rsidR="00133EF4" w:rsidRPr="00564C5F">
        <w:rPr>
          <w:rFonts w:eastAsia="Times New Roman"/>
          <w:color w:val="000000" w:themeColor="text1"/>
          <w:szCs w:val="24"/>
          <w:lang w:eastAsia="en-AU"/>
        </w:rPr>
        <w:t xml:space="preserve">However, the only basis on which the respondent contends that the proceedings were instituted without reasonable cause is </w:t>
      </w:r>
      <w:r w:rsidR="003450C7" w:rsidRPr="00564C5F">
        <w:rPr>
          <w:rFonts w:eastAsia="Times New Roman"/>
          <w:color w:val="000000" w:themeColor="text1"/>
          <w:szCs w:val="24"/>
          <w:lang w:eastAsia="en-AU"/>
        </w:rPr>
        <w:t xml:space="preserve">that </w:t>
      </w:r>
      <w:r w:rsidR="00133EF4" w:rsidRPr="00564C5F">
        <w:rPr>
          <w:rFonts w:eastAsia="Times New Roman"/>
          <w:color w:val="000000" w:themeColor="text1"/>
          <w:szCs w:val="24"/>
          <w:lang w:eastAsia="en-AU"/>
        </w:rPr>
        <w:t>the applicant “did not demonstrate the relevance of the material sought</w:t>
      </w:r>
      <w:r w:rsidR="00CB64F4">
        <w:rPr>
          <w:rFonts w:eastAsia="Times New Roman"/>
          <w:color w:val="000000" w:themeColor="text1"/>
          <w:szCs w:val="24"/>
          <w:lang w:eastAsia="en-AU"/>
        </w:rPr>
        <w:t>”</w:t>
      </w:r>
      <w:r w:rsidR="00133EF4" w:rsidRPr="00564C5F">
        <w:rPr>
          <w:rFonts w:eastAsia="Times New Roman"/>
          <w:color w:val="000000" w:themeColor="text1"/>
          <w:szCs w:val="24"/>
          <w:lang w:eastAsia="en-AU"/>
        </w:rPr>
        <w:t>. The respondent also addressed the issue that the Court concluded there was no utility to the order given the respondent had retained the relevant documents.</w:t>
      </w:r>
      <w:r w:rsidR="00063FB2">
        <w:rPr>
          <w:rFonts w:eastAsia="Times New Roman"/>
          <w:color w:val="000000" w:themeColor="text1"/>
          <w:szCs w:val="24"/>
          <w:lang w:eastAsia="en-AU"/>
        </w:rPr>
        <w:t xml:space="preserve"> The </w:t>
      </w:r>
      <w:r w:rsidR="001E0E1F">
        <w:rPr>
          <w:rFonts w:eastAsia="Times New Roman"/>
          <w:color w:val="000000" w:themeColor="text1"/>
          <w:szCs w:val="24"/>
          <w:lang w:eastAsia="en-AU"/>
        </w:rPr>
        <w:t>respondent contended that</w:t>
      </w:r>
      <w:r w:rsidR="00063FB2">
        <w:rPr>
          <w:rFonts w:eastAsia="Times New Roman"/>
          <w:color w:val="000000" w:themeColor="text1"/>
          <w:szCs w:val="24"/>
          <w:lang w:eastAsia="en-AU"/>
        </w:rPr>
        <w:t xml:space="preserve"> in </w:t>
      </w:r>
      <w:r w:rsidR="001E0E1F">
        <w:rPr>
          <w:rFonts w:eastAsia="Times New Roman"/>
          <w:color w:val="000000" w:themeColor="text1"/>
          <w:szCs w:val="24"/>
          <w:lang w:eastAsia="en-AU"/>
        </w:rPr>
        <w:t>the circumstances where there was no utility to the orders being sought,</w:t>
      </w:r>
      <w:r w:rsidR="00063FB2">
        <w:rPr>
          <w:rFonts w:eastAsia="Times New Roman"/>
          <w:color w:val="000000" w:themeColor="text1"/>
          <w:szCs w:val="24"/>
          <w:lang w:eastAsia="en-AU"/>
        </w:rPr>
        <w:t xml:space="preserve"> persisting with the interlocutory application was an </w:t>
      </w:r>
      <w:r w:rsidR="001E0E1F">
        <w:rPr>
          <w:rFonts w:eastAsia="Times New Roman"/>
          <w:color w:val="000000" w:themeColor="text1"/>
          <w:szCs w:val="24"/>
          <w:lang w:eastAsia="en-AU"/>
        </w:rPr>
        <w:t>“</w:t>
      </w:r>
      <w:r w:rsidR="00063FB2">
        <w:rPr>
          <w:rFonts w:eastAsia="Times New Roman"/>
          <w:color w:val="000000" w:themeColor="text1"/>
          <w:szCs w:val="24"/>
          <w:lang w:eastAsia="en-AU"/>
        </w:rPr>
        <w:t>unreasonable act</w:t>
      </w:r>
      <w:r w:rsidR="001E0E1F">
        <w:rPr>
          <w:rFonts w:eastAsia="Times New Roman"/>
          <w:color w:val="000000" w:themeColor="text1"/>
          <w:szCs w:val="24"/>
          <w:lang w:eastAsia="en-AU"/>
        </w:rPr>
        <w:t>”</w:t>
      </w:r>
      <w:r w:rsidR="00063FB2">
        <w:rPr>
          <w:rFonts w:eastAsia="Times New Roman"/>
          <w:color w:val="000000" w:themeColor="text1"/>
          <w:szCs w:val="24"/>
          <w:lang w:eastAsia="en-AU"/>
        </w:rPr>
        <w:t xml:space="preserve"> within the meaning of s</w:t>
      </w:r>
      <w:r w:rsidR="001E0E1F">
        <w:rPr>
          <w:rFonts w:eastAsia="Times New Roman"/>
          <w:color w:val="000000" w:themeColor="text1"/>
          <w:szCs w:val="24"/>
          <w:lang w:eastAsia="en-AU"/>
        </w:rPr>
        <w:t> </w:t>
      </w:r>
      <w:r w:rsidR="00063FB2">
        <w:rPr>
          <w:rFonts w:eastAsia="Times New Roman"/>
          <w:color w:val="000000" w:themeColor="text1"/>
          <w:szCs w:val="24"/>
          <w:lang w:eastAsia="en-AU"/>
        </w:rPr>
        <w:t>570(2)(b) of the FW Act.</w:t>
      </w:r>
    </w:p>
    <w:p w14:paraId="70504222" w14:textId="77777777" w:rsidR="0043609C" w:rsidRPr="00564C5F" w:rsidRDefault="00133EF4" w:rsidP="0043609C">
      <w:pPr>
        <w:pStyle w:val="ParaNumbering"/>
        <w:rPr>
          <w:color w:val="000000" w:themeColor="text1"/>
          <w:szCs w:val="24"/>
        </w:rPr>
      </w:pPr>
      <w:r w:rsidRPr="00564C5F">
        <w:rPr>
          <w:rFonts w:eastAsia="Times New Roman"/>
          <w:color w:val="000000" w:themeColor="text1"/>
          <w:szCs w:val="24"/>
          <w:lang w:eastAsia="en-AU"/>
        </w:rPr>
        <w:t>In refusing the application</w:t>
      </w:r>
      <w:r w:rsidR="000E75A0">
        <w:rPr>
          <w:rFonts w:eastAsia="Times New Roman"/>
          <w:color w:val="000000" w:themeColor="text1"/>
          <w:szCs w:val="24"/>
          <w:lang w:eastAsia="en-AU"/>
        </w:rPr>
        <w:t>,</w:t>
      </w:r>
      <w:r w:rsidRPr="00564C5F">
        <w:rPr>
          <w:rFonts w:eastAsia="Times New Roman"/>
          <w:color w:val="000000" w:themeColor="text1"/>
          <w:szCs w:val="24"/>
          <w:lang w:eastAsia="en-AU"/>
        </w:rPr>
        <w:t xml:space="preserve"> I made no finding as to the materiality of the documents. </w:t>
      </w:r>
      <w:r w:rsidR="00FE0040" w:rsidRPr="00564C5F">
        <w:rPr>
          <w:rFonts w:eastAsia="Times New Roman"/>
          <w:color w:val="000000" w:themeColor="text1"/>
          <w:szCs w:val="24"/>
          <w:lang w:eastAsia="en-AU"/>
        </w:rPr>
        <w:t xml:space="preserve">Contrary to the applicant’s submission, </w:t>
      </w:r>
      <w:r w:rsidR="000E75A0">
        <w:rPr>
          <w:rFonts w:eastAsia="Times New Roman"/>
          <w:color w:val="000000" w:themeColor="text1"/>
          <w:szCs w:val="24"/>
          <w:lang w:eastAsia="en-AU"/>
        </w:rPr>
        <w:t>I did</w:t>
      </w:r>
      <w:r w:rsidR="00FE0040" w:rsidRPr="00564C5F">
        <w:rPr>
          <w:rFonts w:eastAsia="Times New Roman"/>
          <w:color w:val="000000" w:themeColor="text1"/>
          <w:szCs w:val="24"/>
          <w:lang w:eastAsia="en-AU"/>
        </w:rPr>
        <w:t xml:space="preserve"> not accept that the material sought was relevant, but rather I said at [15]</w:t>
      </w:r>
      <w:r w:rsidR="003450C7" w:rsidRPr="00564C5F">
        <w:rPr>
          <w:rFonts w:eastAsia="Times New Roman"/>
          <w:color w:val="000000" w:themeColor="text1"/>
          <w:szCs w:val="24"/>
          <w:lang w:eastAsia="en-AU"/>
        </w:rPr>
        <w:t>;</w:t>
      </w:r>
      <w:r w:rsidR="00FE0040" w:rsidRPr="00564C5F">
        <w:rPr>
          <w:rFonts w:eastAsia="Times New Roman"/>
          <w:color w:val="000000" w:themeColor="text1"/>
          <w:szCs w:val="24"/>
          <w:lang w:eastAsia="en-AU"/>
        </w:rPr>
        <w:t xml:space="preserve"> “</w:t>
      </w:r>
      <w:r w:rsidR="003450C7" w:rsidRPr="00564C5F">
        <w:rPr>
          <w:rFonts w:eastAsia="Times New Roman"/>
          <w:color w:val="000000" w:themeColor="text1"/>
          <w:szCs w:val="24"/>
          <w:lang w:eastAsia="en-AU"/>
        </w:rPr>
        <w:t xml:space="preserve">the material sought, </w:t>
      </w:r>
      <w:r w:rsidR="00FE0040" w:rsidRPr="00564C5F">
        <w:rPr>
          <w:rFonts w:eastAsia="Times New Roman"/>
          <w:color w:val="000000" w:themeColor="text1"/>
          <w:szCs w:val="24"/>
          <w:lang w:eastAsia="en-AU"/>
        </w:rPr>
        <w:t xml:space="preserve">even accepting for the purposes of argument that it might </w:t>
      </w:r>
      <w:r w:rsidR="00FE0040" w:rsidRPr="00564C5F">
        <w:rPr>
          <w:color w:val="000000" w:themeColor="text1"/>
          <w:szCs w:val="24"/>
          <w:shd w:val="clear" w:color="auto" w:fill="FFFFFF"/>
        </w:rPr>
        <w:t xml:space="preserve">be relevant for the applicant’s underlying FWC proceedings, in practical terms could not be relevant unless the applicant satisfies this Court on the judicial review proceedings that jurisdictional error is established and the matter is remitted to the FWC to hear the application for an extension of time, and the FWC on reconsideration of the matter grants the applicant permission to appeal the first instance decision, and the applicant succeeded on that appeal”. </w:t>
      </w:r>
      <w:r w:rsidR="00133C01" w:rsidRPr="00564C5F">
        <w:rPr>
          <w:color w:val="000000" w:themeColor="text1"/>
          <w:szCs w:val="24"/>
          <w:shd w:val="clear" w:color="auto" w:fill="FFFFFF"/>
        </w:rPr>
        <w:t xml:space="preserve">The reference to </w:t>
      </w:r>
      <w:r w:rsidR="003450C7" w:rsidRPr="00564C5F">
        <w:rPr>
          <w:color w:val="000000" w:themeColor="text1"/>
          <w:szCs w:val="24"/>
          <w:shd w:val="clear" w:color="auto" w:fill="FFFFFF"/>
        </w:rPr>
        <w:t xml:space="preserve">there being a </w:t>
      </w:r>
      <w:r w:rsidR="00133C01" w:rsidRPr="00564C5F">
        <w:rPr>
          <w:color w:val="000000" w:themeColor="text1"/>
          <w:szCs w:val="24"/>
          <w:shd w:val="clear" w:color="auto" w:fill="FFFFFF"/>
        </w:rPr>
        <w:t xml:space="preserve">“live issue” </w:t>
      </w:r>
      <w:r w:rsidR="003450C7" w:rsidRPr="00564C5F">
        <w:rPr>
          <w:color w:val="000000" w:themeColor="text1"/>
          <w:szCs w:val="24"/>
          <w:shd w:val="clear" w:color="auto" w:fill="FFFFFF"/>
        </w:rPr>
        <w:t xml:space="preserve">at [19] in the interlocutory judgment </w:t>
      </w:r>
      <w:r w:rsidR="00133C01" w:rsidRPr="00564C5F">
        <w:rPr>
          <w:color w:val="000000" w:themeColor="text1"/>
          <w:szCs w:val="24"/>
          <w:shd w:val="clear" w:color="auto" w:fill="FFFFFF"/>
        </w:rPr>
        <w:t>means that there was a dispute between the parties</w:t>
      </w:r>
      <w:r w:rsidR="003450C7" w:rsidRPr="00564C5F">
        <w:rPr>
          <w:color w:val="000000" w:themeColor="text1"/>
          <w:szCs w:val="24"/>
          <w:shd w:val="clear" w:color="auto" w:fill="FFFFFF"/>
        </w:rPr>
        <w:t xml:space="preserve"> as to the relevance of the documents</w:t>
      </w:r>
      <w:r w:rsidR="00133C01" w:rsidRPr="00564C5F">
        <w:rPr>
          <w:color w:val="000000" w:themeColor="text1"/>
          <w:szCs w:val="24"/>
          <w:shd w:val="clear" w:color="auto" w:fill="FFFFFF"/>
        </w:rPr>
        <w:t xml:space="preserve">, clearly not one necessary to decide on that application. </w:t>
      </w:r>
      <w:r w:rsidR="00562049" w:rsidRPr="00564C5F">
        <w:rPr>
          <w:color w:val="000000" w:themeColor="text1"/>
          <w:szCs w:val="24"/>
          <w:shd w:val="clear" w:color="auto" w:fill="FFFFFF"/>
        </w:rPr>
        <w:t>Th</w:t>
      </w:r>
      <w:r w:rsidR="00F611EA" w:rsidRPr="00564C5F">
        <w:rPr>
          <w:color w:val="000000" w:themeColor="text1"/>
          <w:szCs w:val="24"/>
          <w:shd w:val="clear" w:color="auto" w:fill="FFFFFF"/>
        </w:rPr>
        <w:t>e</w:t>
      </w:r>
      <w:r w:rsidR="00562049" w:rsidRPr="00564C5F">
        <w:rPr>
          <w:color w:val="000000" w:themeColor="text1"/>
          <w:szCs w:val="24"/>
          <w:shd w:val="clear" w:color="auto" w:fill="FFFFFF"/>
        </w:rPr>
        <w:t xml:space="preserve"> applicant, in his submissions, takes that reference out of context.</w:t>
      </w:r>
      <w:r w:rsidR="00973F61">
        <w:rPr>
          <w:color w:val="000000" w:themeColor="text1"/>
          <w:szCs w:val="24"/>
          <w:shd w:val="clear" w:color="auto" w:fill="FFFFFF"/>
        </w:rPr>
        <w:t xml:space="preserve"> </w:t>
      </w:r>
    </w:p>
    <w:p w14:paraId="5205FFE5" w14:textId="77777777" w:rsidR="0043609C" w:rsidRPr="00973F61" w:rsidRDefault="0043609C" w:rsidP="00973F61">
      <w:pPr>
        <w:pStyle w:val="ParaNumbering"/>
        <w:rPr>
          <w:szCs w:val="24"/>
        </w:rPr>
      </w:pPr>
      <w:r w:rsidRPr="00564C5F">
        <w:rPr>
          <w:rFonts w:eastAsia="Times New Roman"/>
          <w:color w:val="000000" w:themeColor="text1"/>
          <w:szCs w:val="24"/>
          <w:lang w:eastAsia="en-AU"/>
        </w:rPr>
        <w:t>That said, the test is objective. The respondent could have, but did not</w:t>
      </w:r>
      <w:r w:rsidR="00562049" w:rsidRPr="00564C5F">
        <w:rPr>
          <w:rFonts w:eastAsia="Times New Roman"/>
          <w:color w:val="000000" w:themeColor="text1"/>
          <w:szCs w:val="24"/>
          <w:lang w:eastAsia="en-AU"/>
        </w:rPr>
        <w:t>,</w:t>
      </w:r>
      <w:r w:rsidRPr="00564C5F">
        <w:rPr>
          <w:rFonts w:eastAsia="Times New Roman"/>
          <w:color w:val="000000" w:themeColor="text1"/>
          <w:szCs w:val="24"/>
          <w:lang w:eastAsia="en-AU"/>
        </w:rPr>
        <w:t xml:space="preserve"> argue that there was no </w:t>
      </w:r>
      <w:r w:rsidRPr="00E7141B">
        <w:rPr>
          <w:rFonts w:eastAsia="Times New Roman"/>
          <w:color w:val="000000" w:themeColor="text1"/>
          <w:szCs w:val="24"/>
          <w:lang w:eastAsia="en-AU"/>
        </w:rPr>
        <w:t xml:space="preserve">reasonable cause of action </w:t>
      </w:r>
      <w:r w:rsidRPr="00E7141B">
        <w:rPr>
          <w:rFonts w:eastAsia="Times New Roman"/>
          <w:color w:val="333333"/>
          <w:szCs w:val="24"/>
          <w:lang w:eastAsia="en-AU"/>
        </w:rPr>
        <w:t xml:space="preserve">because objectively there was </w:t>
      </w:r>
      <w:r w:rsidR="00973F61" w:rsidRPr="00E7141B">
        <w:rPr>
          <w:rFonts w:eastAsia="Times New Roman"/>
          <w:color w:val="333333"/>
          <w:szCs w:val="24"/>
          <w:lang w:eastAsia="en-AU"/>
        </w:rPr>
        <w:t>no serious question to be tried. Rather, the respondent did not direct any submission to the test</w:t>
      </w:r>
      <w:r w:rsidR="00D54D7E" w:rsidRPr="00E7141B">
        <w:rPr>
          <w:rFonts w:eastAsia="Times New Roman"/>
          <w:color w:val="333333"/>
          <w:szCs w:val="24"/>
          <w:lang w:eastAsia="en-AU"/>
        </w:rPr>
        <w:t xml:space="preserve"> </w:t>
      </w:r>
      <w:r w:rsidR="0056122A" w:rsidRPr="00E7141B">
        <w:rPr>
          <w:rFonts w:eastAsia="Times New Roman"/>
          <w:color w:val="333333"/>
          <w:szCs w:val="24"/>
          <w:lang w:eastAsia="en-AU"/>
        </w:rPr>
        <w:t xml:space="preserve">to be satisfied </w:t>
      </w:r>
      <w:r w:rsidR="00D54D7E" w:rsidRPr="00E7141B">
        <w:rPr>
          <w:rFonts w:eastAsia="Times New Roman"/>
          <w:color w:val="333333"/>
          <w:szCs w:val="24"/>
          <w:lang w:eastAsia="en-AU"/>
        </w:rPr>
        <w:t>relevant for the imposition of a costs order</w:t>
      </w:r>
      <w:r w:rsidR="00973F61" w:rsidRPr="00E7141B">
        <w:rPr>
          <w:rFonts w:eastAsia="Times New Roman"/>
          <w:color w:val="333333"/>
          <w:szCs w:val="24"/>
          <w:lang w:eastAsia="en-AU"/>
        </w:rPr>
        <w:t xml:space="preserve">. The context is that the respondent had said to the applicant the material would not be retained without a court order. </w:t>
      </w:r>
      <w:r w:rsidR="006541DF" w:rsidRPr="00E7141B">
        <w:rPr>
          <w:rFonts w:eastAsia="Times New Roman"/>
          <w:color w:val="333333"/>
          <w:szCs w:val="24"/>
          <w:lang w:eastAsia="en-AU"/>
        </w:rPr>
        <w:t>Once t</w:t>
      </w:r>
      <w:r w:rsidR="00973F61" w:rsidRPr="00E7141B">
        <w:rPr>
          <w:rFonts w:eastAsia="Times New Roman"/>
          <w:color w:val="333333"/>
          <w:szCs w:val="24"/>
          <w:lang w:eastAsia="en-AU"/>
        </w:rPr>
        <w:t xml:space="preserve">he interlocutory application </w:t>
      </w:r>
      <w:r w:rsidR="006541DF" w:rsidRPr="00E7141B">
        <w:rPr>
          <w:rFonts w:eastAsia="Times New Roman"/>
          <w:color w:val="333333"/>
          <w:szCs w:val="24"/>
          <w:lang w:eastAsia="en-AU"/>
        </w:rPr>
        <w:t xml:space="preserve">was </w:t>
      </w:r>
      <w:r w:rsidR="00973F61" w:rsidRPr="00E7141B">
        <w:rPr>
          <w:rFonts w:eastAsia="Times New Roman"/>
          <w:color w:val="333333"/>
          <w:szCs w:val="24"/>
          <w:lang w:eastAsia="en-AU"/>
        </w:rPr>
        <w:t>served, the respondent voluntarily searched for and retained the material.</w:t>
      </w:r>
      <w:r w:rsidRPr="00E7141B">
        <w:rPr>
          <w:rFonts w:eastAsia="Times New Roman"/>
          <w:color w:val="333333"/>
          <w:szCs w:val="24"/>
          <w:lang w:eastAsia="en-AU"/>
        </w:rPr>
        <w:t xml:space="preserve"> </w:t>
      </w:r>
      <w:r w:rsidR="00973F61" w:rsidRPr="00E7141B">
        <w:rPr>
          <w:rFonts w:eastAsia="Times New Roman"/>
          <w:color w:val="333333"/>
          <w:szCs w:val="24"/>
          <w:lang w:eastAsia="en-AU"/>
        </w:rPr>
        <w:t>In</w:t>
      </w:r>
      <w:r w:rsidR="00973F61">
        <w:rPr>
          <w:rFonts w:eastAsia="Times New Roman"/>
          <w:color w:val="333333"/>
          <w:szCs w:val="24"/>
          <w:lang w:eastAsia="en-AU"/>
        </w:rPr>
        <w:t xml:space="preserve"> the circumstances, t</w:t>
      </w:r>
      <w:r w:rsidR="005857B3" w:rsidRPr="00973F61">
        <w:rPr>
          <w:rFonts w:eastAsia="Times New Roman"/>
          <w:color w:val="333333"/>
          <w:szCs w:val="24"/>
          <w:lang w:eastAsia="en-AU"/>
        </w:rPr>
        <w:t>he respondent</w:t>
      </w:r>
      <w:r w:rsidRPr="00973F61">
        <w:rPr>
          <w:rFonts w:eastAsia="Times New Roman"/>
          <w:color w:val="333333"/>
          <w:szCs w:val="24"/>
          <w:lang w:eastAsia="en-AU"/>
        </w:rPr>
        <w:t xml:space="preserve"> has not established that s 570 has been enlivened.</w:t>
      </w:r>
    </w:p>
    <w:p w14:paraId="4B36E39C" w14:textId="5C09A7F1" w:rsidR="0043609C" w:rsidRDefault="0043609C" w:rsidP="0043609C">
      <w:pPr>
        <w:pStyle w:val="ParaNumbering"/>
        <w:rPr>
          <w:szCs w:val="24"/>
        </w:rPr>
      </w:pPr>
      <w:r>
        <w:rPr>
          <w:szCs w:val="24"/>
        </w:rPr>
        <w:lastRenderedPageBreak/>
        <w:t xml:space="preserve">However, the respondent submitted in the alternative that it was unreasonable </w:t>
      </w:r>
      <w:r w:rsidR="00CC2960">
        <w:rPr>
          <w:szCs w:val="24"/>
        </w:rPr>
        <w:t xml:space="preserve">for the applicant </w:t>
      </w:r>
      <w:r>
        <w:rPr>
          <w:szCs w:val="24"/>
        </w:rPr>
        <w:t xml:space="preserve">to persist with the action </w:t>
      </w:r>
      <w:r w:rsidR="005857B3">
        <w:rPr>
          <w:szCs w:val="24"/>
        </w:rPr>
        <w:t xml:space="preserve">because </w:t>
      </w:r>
      <w:r>
        <w:rPr>
          <w:szCs w:val="24"/>
        </w:rPr>
        <w:t>the material had been retained. In my view</w:t>
      </w:r>
      <w:r w:rsidR="00F611EA">
        <w:rPr>
          <w:szCs w:val="24"/>
        </w:rPr>
        <w:t>,</w:t>
      </w:r>
      <w:r>
        <w:rPr>
          <w:szCs w:val="24"/>
        </w:rPr>
        <w:t xml:space="preserve"> that </w:t>
      </w:r>
      <w:r w:rsidR="005857B3">
        <w:rPr>
          <w:szCs w:val="24"/>
        </w:rPr>
        <w:t xml:space="preserve">is </w:t>
      </w:r>
      <w:r>
        <w:rPr>
          <w:szCs w:val="24"/>
        </w:rPr>
        <w:t xml:space="preserve">plainly the case. </w:t>
      </w:r>
      <w:r w:rsidR="005857B3">
        <w:rPr>
          <w:szCs w:val="24"/>
        </w:rPr>
        <w:t xml:space="preserve">As noted at [19] of the interlocutory judgment, there was no utility to the orders sought by the applicant. </w:t>
      </w:r>
      <w:r w:rsidR="00973F61">
        <w:rPr>
          <w:szCs w:val="24"/>
        </w:rPr>
        <w:t>That said, even though the discretion would be enlivened</w:t>
      </w:r>
      <w:r w:rsidR="006541DF">
        <w:rPr>
          <w:szCs w:val="24"/>
        </w:rPr>
        <w:t>,</w:t>
      </w:r>
      <w:r w:rsidR="00973F61">
        <w:rPr>
          <w:szCs w:val="24"/>
        </w:rPr>
        <w:t xml:space="preserve"> it is rather meaningless, as by that time the respondent had </w:t>
      </w:r>
      <w:r w:rsidR="006541DF">
        <w:rPr>
          <w:szCs w:val="24"/>
        </w:rPr>
        <w:t xml:space="preserve">already </w:t>
      </w:r>
      <w:r w:rsidR="00973F61">
        <w:rPr>
          <w:szCs w:val="24"/>
        </w:rPr>
        <w:t xml:space="preserve">filed its submissions, and apart from reading the applicant’s written submissions in reply, there was no other work to do on the application, </w:t>
      </w:r>
      <w:r w:rsidR="00757E1C">
        <w:rPr>
          <w:szCs w:val="24"/>
        </w:rPr>
        <w:t>given that the parties had agreed for it to be</w:t>
      </w:r>
      <w:r w:rsidR="00973F61">
        <w:rPr>
          <w:szCs w:val="24"/>
        </w:rPr>
        <w:t xml:space="preserve"> determined on the papers. </w:t>
      </w:r>
    </w:p>
    <w:p w14:paraId="13C6B556" w14:textId="33B885FC" w:rsidR="003462A3" w:rsidRDefault="003462A3" w:rsidP="0043609C">
      <w:pPr>
        <w:pStyle w:val="ParaNumbering"/>
        <w:rPr>
          <w:szCs w:val="24"/>
        </w:rPr>
      </w:pPr>
      <w:r>
        <w:rPr>
          <w:szCs w:val="24"/>
        </w:rPr>
        <w:t xml:space="preserve">Given </w:t>
      </w:r>
      <w:r w:rsidR="001332D9">
        <w:rPr>
          <w:szCs w:val="24"/>
        </w:rPr>
        <w:t>that the discretion in s 570</w:t>
      </w:r>
      <w:r>
        <w:rPr>
          <w:szCs w:val="24"/>
        </w:rPr>
        <w:t xml:space="preserve"> </w:t>
      </w:r>
      <w:r w:rsidR="001332D9">
        <w:rPr>
          <w:szCs w:val="24"/>
        </w:rPr>
        <w:t xml:space="preserve">is </w:t>
      </w:r>
      <w:r>
        <w:rPr>
          <w:szCs w:val="24"/>
        </w:rPr>
        <w:t>not enlivened</w:t>
      </w:r>
      <w:r w:rsidR="001332D9">
        <w:rPr>
          <w:szCs w:val="24"/>
        </w:rPr>
        <w:t xml:space="preserve"> (and any limited extent to which it may be enlivened in respect of the interlocutory application is meaningless, for the reasons explained above)</w:t>
      </w:r>
      <w:r>
        <w:rPr>
          <w:szCs w:val="24"/>
        </w:rPr>
        <w:t>, it is not necessary for me to consider the applicant’s submissions summarised above at [</w:t>
      </w:r>
      <w:r>
        <w:rPr>
          <w:szCs w:val="24"/>
        </w:rPr>
        <w:fldChar w:fldCharType="begin"/>
      </w:r>
      <w:r>
        <w:rPr>
          <w:szCs w:val="24"/>
        </w:rPr>
        <w:instrText xml:space="preserve"> REF _Ref81836293 \r \h </w:instrText>
      </w:r>
      <w:r>
        <w:rPr>
          <w:szCs w:val="24"/>
        </w:rPr>
      </w:r>
      <w:r>
        <w:rPr>
          <w:szCs w:val="24"/>
        </w:rPr>
        <w:fldChar w:fldCharType="separate"/>
      </w:r>
      <w:r w:rsidR="00CC2960">
        <w:rPr>
          <w:szCs w:val="24"/>
        </w:rPr>
        <w:t>15</w:t>
      </w:r>
      <w:r>
        <w:rPr>
          <w:szCs w:val="24"/>
        </w:rPr>
        <w:fldChar w:fldCharType="end"/>
      </w:r>
      <w:r>
        <w:rPr>
          <w:szCs w:val="24"/>
        </w:rPr>
        <w:t>].</w:t>
      </w:r>
      <w:r w:rsidR="00634015">
        <w:rPr>
          <w:szCs w:val="24"/>
        </w:rPr>
        <w:t xml:space="preserve"> </w:t>
      </w:r>
    </w:p>
    <w:p w14:paraId="492759AA" w14:textId="77777777" w:rsidR="00973F61" w:rsidRPr="002E2037" w:rsidRDefault="00973F61" w:rsidP="00F077E5">
      <w:pPr>
        <w:pStyle w:val="Heading2"/>
        <w:rPr>
          <w:highlight w:val="yellow"/>
        </w:rPr>
      </w:pPr>
      <w:r w:rsidRPr="00330D93">
        <w:t>Conclusion</w:t>
      </w:r>
    </w:p>
    <w:p w14:paraId="05A7BC28" w14:textId="77777777" w:rsidR="00973F61" w:rsidRDefault="002E2037" w:rsidP="0043609C">
      <w:pPr>
        <w:pStyle w:val="ParaNumbering"/>
        <w:rPr>
          <w:szCs w:val="24"/>
        </w:rPr>
      </w:pPr>
      <w:r>
        <w:rPr>
          <w:szCs w:val="24"/>
        </w:rPr>
        <w:t>For the reasons above, the application is dismissed.</w:t>
      </w:r>
    </w:p>
    <w:p w14:paraId="0EEA0581" w14:textId="77777777" w:rsidR="002E2037" w:rsidRDefault="002E2037" w:rsidP="00815065">
      <w:pPr>
        <w:pStyle w:val="BodyText"/>
      </w:pPr>
      <w:bookmarkStart w:id="26" w:name="Certification"/>
    </w:p>
    <w:tbl>
      <w:tblPr>
        <w:tblW w:w="0" w:type="auto"/>
        <w:tblLook w:val="04A0" w:firstRow="1" w:lastRow="0" w:firstColumn="1" w:lastColumn="0" w:noHBand="0" w:noVBand="1"/>
      </w:tblPr>
      <w:tblGrid>
        <w:gridCol w:w="3794"/>
      </w:tblGrid>
      <w:tr w:rsidR="002E2037" w:rsidRPr="002E2037" w14:paraId="6D13D382" w14:textId="77777777">
        <w:tc>
          <w:tcPr>
            <w:tcW w:w="3794" w:type="dxa"/>
            <w:shd w:val="clear" w:color="auto" w:fill="auto"/>
          </w:tcPr>
          <w:p w14:paraId="42E1D777" w14:textId="77777777" w:rsidR="002E2037" w:rsidRPr="002E2037" w:rsidRDefault="002E2037" w:rsidP="009852F8">
            <w:pPr>
              <w:pStyle w:val="Normal1linespace"/>
            </w:pPr>
            <w:r w:rsidRPr="002E2037">
              <w:t xml:space="preserve">I certify that the preceding </w:t>
            </w:r>
            <w:bookmarkStart w:id="27" w:name="NumberWord"/>
            <w:r>
              <w:t>thirty-</w:t>
            </w:r>
            <w:bookmarkEnd w:id="27"/>
            <w:r w:rsidR="009852F8">
              <w:t>five</w:t>
            </w:r>
            <w:r w:rsidRPr="002E2037">
              <w:t xml:space="preserve"> (</w:t>
            </w:r>
            <w:bookmarkStart w:id="28" w:name="NumberNumeral"/>
            <w:r>
              <w:t>3</w:t>
            </w:r>
            <w:bookmarkEnd w:id="28"/>
            <w:r w:rsidR="009852F8">
              <w:t>5</w:t>
            </w:r>
            <w:r w:rsidRPr="002E2037">
              <w:t xml:space="preserve">) numbered </w:t>
            </w:r>
            <w:bookmarkStart w:id="29" w:name="CertPara"/>
            <w:r>
              <w:t>paragraphs are</w:t>
            </w:r>
            <w:bookmarkEnd w:id="29"/>
            <w:r w:rsidRPr="002E2037">
              <w:t xml:space="preserve"> a true copy of the Reasons for Judgment of </w:t>
            </w:r>
            <w:bookmarkStart w:id="30" w:name="bkHonourable"/>
            <w:r w:rsidRPr="002E2037">
              <w:t xml:space="preserve">the Honourable </w:t>
            </w:r>
            <w:bookmarkStart w:id="31" w:name="Justice"/>
            <w:bookmarkEnd w:id="30"/>
            <w:r>
              <w:t>Justice Abraham</w:t>
            </w:r>
            <w:bookmarkEnd w:id="31"/>
            <w:r w:rsidRPr="002E2037">
              <w:t>.</w:t>
            </w:r>
          </w:p>
        </w:tc>
      </w:tr>
    </w:tbl>
    <w:p w14:paraId="71D3B77F" w14:textId="77777777" w:rsidR="002E2037" w:rsidRDefault="002E2037" w:rsidP="00815065">
      <w:pPr>
        <w:pStyle w:val="BodyText"/>
      </w:pPr>
      <w:bookmarkStart w:id="32" w:name="_GoBack"/>
      <w:bookmarkEnd w:id="32"/>
    </w:p>
    <w:p w14:paraId="62338609" w14:textId="7E4DD13E" w:rsidR="002E2037" w:rsidRDefault="002E2037" w:rsidP="00815065">
      <w:pPr>
        <w:pStyle w:val="BodyText"/>
      </w:pPr>
      <w:r>
        <w:t>Associate:</w:t>
      </w:r>
    </w:p>
    <w:p w14:paraId="6DA9EDB2" w14:textId="77777777" w:rsidR="002E2037" w:rsidRDefault="002E2037" w:rsidP="00815065">
      <w:pPr>
        <w:pStyle w:val="BodyText"/>
      </w:pPr>
    </w:p>
    <w:p w14:paraId="2B10AB1E" w14:textId="6B437477" w:rsidR="002E2037" w:rsidRDefault="002E2037" w:rsidP="00815065">
      <w:pPr>
        <w:pStyle w:val="BodyText"/>
        <w:tabs>
          <w:tab w:val="left" w:pos="1134"/>
        </w:tabs>
      </w:pPr>
      <w:r>
        <w:t>Dated:</w:t>
      </w:r>
      <w:r>
        <w:tab/>
      </w:r>
      <w:bookmarkStart w:id="33" w:name="CertifyDated"/>
      <w:r w:rsidR="00ED1C78">
        <w:t>16</w:t>
      </w:r>
      <w:r>
        <w:t xml:space="preserve"> September 2021</w:t>
      </w:r>
      <w:bookmarkEnd w:id="33"/>
    </w:p>
    <w:p w14:paraId="398175A4" w14:textId="77777777" w:rsidR="002E2037" w:rsidRDefault="002E2037" w:rsidP="00815065">
      <w:pPr>
        <w:pStyle w:val="BodyText"/>
      </w:pPr>
    </w:p>
    <w:bookmarkEnd w:id="26"/>
    <w:p w14:paraId="368AE2F4" w14:textId="77777777" w:rsidR="002E2037" w:rsidRDefault="002E2037" w:rsidP="002E2037">
      <w:pPr>
        <w:pStyle w:val="BodyText"/>
      </w:pPr>
    </w:p>
    <w:sectPr w:rsidR="002E2037" w:rsidSect="00A84FD0">
      <w:headerReference w:type="even" r:id="rId15"/>
      <w:headerReference w:type="default" r:id="rId16"/>
      <w:footerReference w:type="default" r:id="rId17"/>
      <w:headerReference w:type="first" r:id="rId18"/>
      <w:footerReference w:type="first" r:id="rId19"/>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BB78B5" w14:textId="77777777" w:rsidR="00EE6AAC" w:rsidRDefault="00EE6AAC">
      <w:pPr>
        <w:spacing w:line="20" w:lineRule="exact"/>
      </w:pPr>
    </w:p>
    <w:p w14:paraId="3512A1DA" w14:textId="77777777" w:rsidR="00EE6AAC" w:rsidRDefault="00EE6AAC"/>
    <w:p w14:paraId="26D809D4" w14:textId="77777777" w:rsidR="00EE6AAC" w:rsidRDefault="00EE6AAC"/>
  </w:endnote>
  <w:endnote w:type="continuationSeparator" w:id="0">
    <w:p w14:paraId="4D40CF92" w14:textId="77777777" w:rsidR="00EE6AAC" w:rsidRDefault="00EE6AAC">
      <w:r>
        <w:t xml:space="preserve"> </w:t>
      </w:r>
    </w:p>
    <w:p w14:paraId="4A67E2DD" w14:textId="77777777" w:rsidR="00EE6AAC" w:rsidRDefault="00EE6AAC"/>
    <w:p w14:paraId="0E77156D" w14:textId="77777777" w:rsidR="00EE6AAC" w:rsidRDefault="00EE6AAC"/>
  </w:endnote>
  <w:endnote w:type="continuationNotice" w:id="1">
    <w:p w14:paraId="33AD9B30" w14:textId="77777777" w:rsidR="00EE6AAC" w:rsidRDefault="00EE6AAC">
      <w:r>
        <w:t xml:space="preserve"> </w:t>
      </w:r>
    </w:p>
    <w:p w14:paraId="26275F26" w14:textId="77777777" w:rsidR="00EE6AAC" w:rsidRDefault="00EE6AAC"/>
    <w:p w14:paraId="4F79FF0F" w14:textId="77777777" w:rsidR="00EE6AAC" w:rsidRDefault="00EE6A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Arial Unicode MS"/>
    <w:panose1 w:val="02030600000101010101"/>
    <w:charset w:val="81"/>
    <w:family w:val="roman"/>
    <w:pitch w:val="variable"/>
    <w:sig w:usb0="00000000"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ED42A" w14:textId="044AD5CB" w:rsidR="00DD4CBA" w:rsidRPr="00C47B9D" w:rsidRDefault="00DD4CBA"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59264" behindDoc="0" locked="0" layoutInCell="1" allowOverlap="1" wp14:anchorId="27BBDA09" wp14:editId="6CA852E6">
              <wp:simplePos x="0" y="0"/>
              <wp:positionH relativeFrom="column">
                <wp:posOffset>-28575</wp:posOffset>
              </wp:positionH>
              <wp:positionV relativeFrom="paragraph">
                <wp:posOffset>-635</wp:posOffset>
              </wp:positionV>
              <wp:extent cx="294322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7A7AF9"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05pt" to="22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" strokecolor="black [3213]"/>
          </w:pict>
        </mc:Fallback>
      </mc:AlternateContent>
    </w:r>
    <w:sdt>
      <w:sdtPr>
        <w:rPr>
          <w:bCs/>
          <w:sz w:val="18"/>
          <w:szCs w:val="18"/>
        </w:rPr>
        <w:tag w:val="MNC"/>
        <w:id w:val="1707292070"/>
        <w:dataBinding w:prefixMappings="xmlns:ns0='http://schemas.globalmacros.com/FCA'" w:xpath="/ns0:root[1]/ns0:Name[1]" w:storeItemID="{687E7CCB-4AA5-44E7-B148-17BA2B6F57C0}"/>
        <w:text w:multiLine="1"/>
      </w:sdtPr>
      <w:sdtEndPr/>
      <w:sdtContent>
        <w:r w:rsidR="00902D1E">
          <w:rPr>
            <w:bCs/>
            <w:sz w:val="18"/>
            <w:szCs w:val="18"/>
          </w:rPr>
          <w:t xml:space="preserve">Ittyerah v Coles Supermarkets (Australia) Pty Ltd (No 3) [2021] FCA 1117 </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1663C" w14:textId="6916DF7B" w:rsidR="00DD4CBA" w:rsidRPr="00C47B9D" w:rsidRDefault="00DD4CBA" w:rsidP="00E94CBF">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3360" behindDoc="0" locked="0" layoutInCell="1" allowOverlap="1" wp14:anchorId="10813446" wp14:editId="47BF1880">
              <wp:simplePos x="0" y="0"/>
              <wp:positionH relativeFrom="column">
                <wp:posOffset>-28575</wp:posOffset>
              </wp:positionH>
              <wp:positionV relativeFrom="paragraph">
                <wp:posOffset>21590</wp:posOffset>
              </wp:positionV>
              <wp:extent cx="29432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E51A82"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Av3wnR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831216538"/>
        <w:placeholder>
          <w:docPart w:val="B990D8D13B9943F4BE8BCFD335FBA41B"/>
        </w:placeholder>
        <w:dataBinding w:prefixMappings="xmlns:ns0='http://schemas.globalmacros.com/FCA'" w:xpath="/ns0:root[1]/ns0:Name[1]" w:storeItemID="{687E7CCB-4AA5-44E7-B148-17BA2B6F57C0}"/>
        <w:text w:multiLine="1"/>
      </w:sdtPr>
      <w:sdtEndPr/>
      <w:sdtContent>
        <w:r w:rsidR="00902D1E">
          <w:rPr>
            <w:bCs/>
            <w:sz w:val="18"/>
            <w:szCs w:val="18"/>
          </w:rPr>
          <w:t xml:space="preserve">Ittyerah v Coles Supermarkets (Australia) Pty Ltd (No 3) [2021] FCA 1117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Pr>
        <w:bCs/>
        <w:noProof/>
        <w:sz w:val="20"/>
      </w:rPr>
      <w:t>15</w:t>
    </w:r>
    <w:r w:rsidRPr="00EA7F6D">
      <w:rPr>
        <w:bCs/>
        <w:noProof/>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99A3D" w14:textId="17D44D8E" w:rsidR="00DD4CBA" w:rsidRPr="00C47B9D" w:rsidRDefault="00DD4CBA"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1312" behindDoc="0" locked="0" layoutInCell="1" allowOverlap="1" wp14:anchorId="091BD3C0" wp14:editId="0B9719C9">
              <wp:simplePos x="0" y="0"/>
              <wp:positionH relativeFrom="column">
                <wp:posOffset>-28575</wp:posOffset>
              </wp:positionH>
              <wp:positionV relativeFrom="paragraph">
                <wp:posOffset>21590</wp:posOffset>
              </wp:positionV>
              <wp:extent cx="29432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52391C"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" strokecolor="black [3213]"/>
          </w:pict>
        </mc:Fallback>
      </mc:AlternateContent>
    </w:r>
    <w:sdt>
      <w:sdtPr>
        <w:rPr>
          <w:bCs/>
          <w:sz w:val="18"/>
          <w:szCs w:val="18"/>
        </w:rPr>
        <w:tag w:val="MNC"/>
        <w:id w:val="510263260"/>
        <w:placeholder>
          <w:docPart w:val="1EFFEA1839784338AD57B87BDEBBECBA"/>
        </w:placeholder>
        <w:dataBinding w:prefixMappings="xmlns:ns0='http://schemas.globalmacros.com/FCA'" w:xpath="/ns0:root[1]/ns0:Name[1]" w:storeItemID="{687E7CCB-4AA5-44E7-B148-17BA2B6F57C0}"/>
        <w:text w:multiLine="1"/>
      </w:sdtPr>
      <w:sdtEndPr/>
      <w:sdtContent>
        <w:r w:rsidR="00902D1E">
          <w:rPr>
            <w:bCs/>
            <w:sz w:val="18"/>
            <w:szCs w:val="18"/>
          </w:rPr>
          <w:t xml:space="preserve">Ittyerah v Coles Supermarkets (Australia) Pty Ltd (No 3) [2021] FCA 1117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CB1EA0">
      <w:rPr>
        <w:bCs/>
        <w:noProof/>
        <w:sz w:val="20"/>
      </w:rPr>
      <w:t>i</w:t>
    </w:r>
    <w:r w:rsidRPr="00EA7F6D">
      <w:rPr>
        <w:bCs/>
        <w:noProof/>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C3916" w14:textId="54B01074" w:rsidR="00DD4CBA" w:rsidRPr="00C47B9D" w:rsidRDefault="00DD4CBA"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7456" behindDoc="0" locked="0" layoutInCell="1" allowOverlap="1" wp14:anchorId="3EC4EDDD" wp14:editId="23E619D1">
              <wp:simplePos x="0" y="0"/>
              <wp:positionH relativeFrom="column">
                <wp:posOffset>-28575</wp:posOffset>
              </wp:positionH>
              <wp:positionV relativeFrom="paragraph">
                <wp:posOffset>21590</wp:posOffset>
              </wp:positionV>
              <wp:extent cx="294322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6F54DB" id="Straight Connector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" strokecolor="black [3213]"/>
          </w:pict>
        </mc:Fallback>
      </mc:AlternateContent>
    </w:r>
    <w:sdt>
      <w:sdtPr>
        <w:rPr>
          <w:bCs/>
          <w:sz w:val="18"/>
          <w:szCs w:val="18"/>
        </w:rPr>
        <w:tag w:val="MNC"/>
        <w:id w:val="1095746746"/>
        <w:placeholder>
          <w:docPart w:val="AD60FC53F52945D886238A29B916A768"/>
        </w:placeholder>
        <w:dataBinding w:prefixMappings="xmlns:ns0='http://schemas.globalmacros.com/FCA'" w:xpath="/ns0:root[1]/ns0:Name[1]" w:storeItemID="{687E7CCB-4AA5-44E7-B148-17BA2B6F57C0}"/>
        <w:text w:multiLine="1"/>
      </w:sdtPr>
      <w:sdtEndPr/>
      <w:sdtContent>
        <w:r w:rsidR="00902D1E">
          <w:rPr>
            <w:bCs/>
            <w:sz w:val="18"/>
            <w:szCs w:val="18"/>
          </w:rPr>
          <w:t xml:space="preserve">Ittyerah v Coles Supermarkets (Australia) Pty Ltd (No 3) [2021] FCA 1117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CB1EA0">
      <w:rPr>
        <w:bCs/>
        <w:noProof/>
        <w:sz w:val="20"/>
      </w:rPr>
      <w:t>10</w:t>
    </w:r>
    <w:r w:rsidRPr="00EA7F6D">
      <w:rPr>
        <w:bCs/>
        <w:noProof/>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7CA40" w14:textId="1FF2C80B" w:rsidR="00DD4CBA" w:rsidRPr="00C47B9D" w:rsidRDefault="00DD4CBA"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5408" behindDoc="0" locked="0" layoutInCell="1" allowOverlap="1" wp14:anchorId="4D793B4B" wp14:editId="3EE49A51">
              <wp:simplePos x="0" y="0"/>
              <wp:positionH relativeFrom="column">
                <wp:posOffset>-28575</wp:posOffset>
              </wp:positionH>
              <wp:positionV relativeFrom="paragraph">
                <wp:posOffset>21590</wp:posOffset>
              </wp:positionV>
              <wp:extent cx="29432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A32543" id="Straight Connector 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CXUeOM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1532949365"/>
        <w:placeholder>
          <w:docPart w:val="2BCEAE958EAB4A65B7529869E275C1B2"/>
        </w:placeholder>
        <w:dataBinding w:prefixMappings="xmlns:ns0='http://schemas.globalmacros.com/FCA'" w:xpath="/ns0:root[1]/ns0:Name[1]" w:storeItemID="{687E7CCB-4AA5-44E7-B148-17BA2B6F57C0}"/>
        <w:text w:multiLine="1"/>
      </w:sdtPr>
      <w:sdtEndPr/>
      <w:sdtContent>
        <w:r w:rsidR="00902D1E">
          <w:rPr>
            <w:bCs/>
            <w:sz w:val="18"/>
            <w:szCs w:val="18"/>
          </w:rPr>
          <w:t xml:space="preserve">Ittyerah v Coles Supermarkets (Australia) Pty Ltd (No 3) [2021] FCA 1117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CB1EA0">
      <w:rPr>
        <w:bCs/>
        <w:noProof/>
        <w:sz w:val="20"/>
      </w:rPr>
      <w:t>1</w:t>
    </w:r>
    <w:r w:rsidRPr="00EA7F6D">
      <w:rPr>
        <w:bCs/>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6D4999" w14:textId="77777777" w:rsidR="00EE6AAC" w:rsidRDefault="00EE6AAC"/>
    <w:p w14:paraId="55AD4587" w14:textId="77777777" w:rsidR="00EE6AAC" w:rsidRDefault="00EE6AAC"/>
    <w:p w14:paraId="735128CD" w14:textId="77777777" w:rsidR="00EE6AAC" w:rsidRDefault="00EE6AAC"/>
  </w:footnote>
  <w:footnote w:type="continuationSeparator" w:id="0">
    <w:p w14:paraId="43DB4721" w14:textId="77777777" w:rsidR="00EE6AAC" w:rsidRDefault="00EE6AAC">
      <w:r>
        <w:continuationSeparator/>
      </w:r>
    </w:p>
    <w:p w14:paraId="4E44A0CB" w14:textId="77777777" w:rsidR="00EE6AAC" w:rsidRDefault="00EE6AAC"/>
    <w:p w14:paraId="39D9637D" w14:textId="77777777" w:rsidR="00EE6AAC" w:rsidRDefault="00EE6AA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4FA9A7" w14:textId="77777777" w:rsidR="00DD4CBA" w:rsidRDefault="00DD4CBA">
    <w:pPr>
      <w:tabs>
        <w:tab w:val="center" w:pos="4512"/>
      </w:tabs>
      <w:suppressAutoHyphen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0B7C3F" w14:textId="77777777" w:rsidR="00DD4CBA" w:rsidRDefault="00DD4CBA">
    <w:pPr>
      <w:pStyle w:val="Header"/>
      <w:tabs>
        <w:tab w:val="clear" w:pos="4320"/>
        <w:tab w:val="clear" w:pos="8640"/>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99BFF" w14:textId="77777777" w:rsidR="00DD4CBA" w:rsidRDefault="00DD4CBA"/>
  <w:p w14:paraId="11227030" w14:textId="77777777" w:rsidR="00DD4CBA" w:rsidRDefault="00DD4CBA"/>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AD348" w14:textId="77777777" w:rsidR="00DD4CBA" w:rsidRDefault="00DD4CBA">
    <w:pPr>
      <w:tabs>
        <w:tab w:val="center" w:pos="4512"/>
      </w:tabs>
      <w:suppressAutoHyphens/>
    </w:pPr>
  </w:p>
  <w:p w14:paraId="4F784633" w14:textId="77777777" w:rsidR="00DD4CBA" w:rsidRDefault="00DD4CBA"/>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E04A45" w14:textId="77777777" w:rsidR="00DD4CBA" w:rsidRDefault="00DD4CBA" w:rsidP="00A436E8">
    <w:pPr>
      <w:pStyle w:val="Header"/>
      <w:tabs>
        <w:tab w:val="clear" w:pos="4320"/>
        <w:tab w:val="clear" w:pos="8640"/>
      </w:tabs>
    </w:pPr>
  </w:p>
  <w:p w14:paraId="658DED11" w14:textId="77777777" w:rsidR="00DD4CBA" w:rsidRDefault="00DD4CB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9E2A2F"/>
    <w:multiLevelType w:val="multilevel"/>
    <w:tmpl w:val="F61AF490"/>
    <w:styleLink w:val="FCListNoalt"/>
    <w:lvl w:ilvl="0">
      <w:start w:val="1"/>
      <w:numFmt w:val="lowerLetter"/>
      <w:lvlRestart w:val="0"/>
      <w:pStyle w:val="ListNo1alt"/>
      <w:lvlText w:val="(%1)"/>
      <w:lvlJc w:val="left"/>
      <w:pPr>
        <w:tabs>
          <w:tab w:val="num" w:pos="720"/>
        </w:tabs>
        <w:ind w:left="720" w:hanging="720"/>
      </w:pPr>
      <w:rPr>
        <w:rFonts w:ascii="Times New Roman" w:hAnsi="Times New Roman" w:hint="default"/>
      </w:rPr>
    </w:lvl>
    <w:lvl w:ilvl="1">
      <w:start w:val="1"/>
      <w:numFmt w:val="lowerRoman"/>
      <w:pStyle w:val="ListNo2alt"/>
      <w:lvlText w:val="(%2)"/>
      <w:lvlJc w:val="left"/>
      <w:pPr>
        <w:tabs>
          <w:tab w:val="num" w:pos="1440"/>
        </w:tabs>
        <w:ind w:left="1440" w:hanging="720"/>
      </w:pPr>
      <w:rPr>
        <w:rFonts w:hint="default"/>
      </w:rPr>
    </w:lvl>
    <w:lvl w:ilvl="2">
      <w:start w:val="1"/>
      <w:numFmt w:val="upperLetter"/>
      <w:pStyle w:val="ListNo3alt"/>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1" w15:restartNumberingAfterBreak="0">
    <w:nsid w:val="0AA6310C"/>
    <w:multiLevelType w:val="hybridMultilevel"/>
    <w:tmpl w:val="9A16CE32"/>
    <w:lvl w:ilvl="0" w:tplc="41FCF2C2">
      <w:start w:val="1"/>
      <w:numFmt w:val="decimal"/>
      <w:lvlText w:val="(%1)"/>
      <w:lvlJc w:val="left"/>
      <w:pPr>
        <w:ind w:left="1097" w:hanging="360"/>
      </w:pPr>
      <w:rPr>
        <w:rFonts w:hint="default"/>
        <w:i w:val="0"/>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12"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3" w15:restartNumberingAfterBreak="0">
    <w:nsid w:val="121F5A8F"/>
    <w:multiLevelType w:val="multilevel"/>
    <w:tmpl w:val="DE9207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61977DA"/>
    <w:multiLevelType w:val="multilevel"/>
    <w:tmpl w:val="695675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6"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7" w15:restartNumberingAfterBreak="0">
    <w:nsid w:val="29AE3DD1"/>
    <w:multiLevelType w:val="singleLevel"/>
    <w:tmpl w:val="65EC67FC"/>
    <w:lvl w:ilvl="0">
      <w:start w:val="1"/>
      <w:numFmt w:val="decimal"/>
      <w:lvlRestart w:val="0"/>
      <w:pStyle w:val="ParaNumbering"/>
      <w:lvlText w:val="%1"/>
      <w:lvlJc w:val="left"/>
      <w:pPr>
        <w:tabs>
          <w:tab w:val="num" w:pos="1440"/>
        </w:tabs>
        <w:ind w:left="720" w:hanging="720"/>
      </w:pPr>
      <w:rPr>
        <w:rFonts w:hint="default"/>
        <w:i w:val="0"/>
        <w:sz w:val="20"/>
      </w:rPr>
    </w:lvl>
  </w:abstractNum>
  <w:abstractNum w:abstractNumId="18" w15:restartNumberingAfterBreak="0">
    <w:nsid w:val="2AD4345C"/>
    <w:multiLevelType w:val="multilevel"/>
    <w:tmpl w:val="A1C8FFD0"/>
    <w:styleLink w:val="FCOrders"/>
    <w:lvl w:ilvl="0">
      <w:start w:val="1"/>
      <w:numFmt w:val="decimal"/>
      <w:pStyle w:val="Order1"/>
      <w:lvlText w:val="%1."/>
      <w:lvlJc w:val="left"/>
      <w:pPr>
        <w:tabs>
          <w:tab w:val="num" w:pos="720"/>
        </w:tabs>
        <w:ind w:left="720" w:hanging="720"/>
      </w:pPr>
      <w:rPr>
        <w:rFonts w:ascii="Times New Roman" w:hAnsi="Times New Roman" w:hint="default"/>
        <w:sz w:val="24"/>
      </w:rPr>
    </w:lvl>
    <w:lvl w:ilvl="1">
      <w:start w:val="1"/>
      <w:numFmt w:val="lowerLetter"/>
      <w:pStyle w:val="Order2"/>
      <w:lvlText w:val="(%2)"/>
      <w:lvlJc w:val="left"/>
      <w:pPr>
        <w:tabs>
          <w:tab w:val="num" w:pos="1440"/>
        </w:tabs>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start w:val="1"/>
      <w:numFmt w:val="upperLetter"/>
      <w:pStyle w:val="Order4"/>
      <w:lvlText w:val="%4."/>
      <w:lvlJc w:val="left"/>
      <w:pPr>
        <w:tabs>
          <w:tab w:val="num" w:pos="2160"/>
        </w:tabs>
        <w:ind w:left="2880" w:hanging="72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9" w15:restartNumberingAfterBreak="0">
    <w:nsid w:val="2AF11FCB"/>
    <w:multiLevelType w:val="hybridMultilevel"/>
    <w:tmpl w:val="94A6534E"/>
    <w:lvl w:ilvl="0" w:tplc="31029F3C">
      <w:start w:val="1"/>
      <w:numFmt w:val="bullet"/>
      <w:pStyle w:val="Quote4Bullet"/>
      <w:lvlText w:val=""/>
      <w:lvlJc w:val="left"/>
      <w:pPr>
        <w:ind w:left="3600" w:hanging="360"/>
      </w:pPr>
      <w:rPr>
        <w:rFonts w:ascii="Symbol" w:hAnsi="Symbol" w:hint="default"/>
        <w:sz w:val="16"/>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20" w15:restartNumberingAfterBreak="0">
    <w:nsid w:val="33561E2E"/>
    <w:multiLevelType w:val="hybridMultilevel"/>
    <w:tmpl w:val="433821BE"/>
    <w:lvl w:ilvl="0" w:tplc="DE3AD0E2">
      <w:start w:val="1"/>
      <w:numFmt w:val="bullet"/>
      <w:pStyle w:val="Quote3Bullet"/>
      <w:lvlText w:val=""/>
      <w:lvlJc w:val="left"/>
      <w:pPr>
        <w:ind w:left="2880" w:hanging="360"/>
      </w:pPr>
      <w:rPr>
        <w:rFonts w:ascii="Wingdings" w:hAnsi="Wingdings" w:hint="default"/>
      </w:rPr>
    </w:lvl>
    <w:lvl w:ilvl="1" w:tplc="0C090003">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1" w15:restartNumberingAfterBreak="0">
    <w:nsid w:val="3DCB64DF"/>
    <w:multiLevelType w:val="hybridMultilevel"/>
    <w:tmpl w:val="383A85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21B51E1"/>
    <w:multiLevelType w:val="hybridMultilevel"/>
    <w:tmpl w:val="D668F4D8"/>
    <w:lvl w:ilvl="0" w:tplc="A1A6C512">
      <w:start w:val="9"/>
      <w:numFmt w:val="decimal"/>
      <w:lvlText w:val="%1."/>
      <w:lvlJc w:val="left"/>
      <w:pPr>
        <w:ind w:left="964" w:hanging="568"/>
        <w:jc w:val="left"/>
      </w:pPr>
      <w:rPr>
        <w:rFonts w:ascii="Arial" w:eastAsia="Arial" w:hAnsi="Arial" w:cs="Arial" w:hint="default"/>
        <w:w w:val="99"/>
        <w:sz w:val="22"/>
        <w:szCs w:val="22"/>
      </w:rPr>
    </w:lvl>
    <w:lvl w:ilvl="1" w:tplc="E1E226CA">
      <w:numFmt w:val="bullet"/>
      <w:lvlText w:val="•"/>
      <w:lvlJc w:val="left"/>
      <w:pPr>
        <w:ind w:left="1850" w:hanging="568"/>
      </w:pPr>
      <w:rPr>
        <w:rFonts w:hint="default"/>
      </w:rPr>
    </w:lvl>
    <w:lvl w:ilvl="2" w:tplc="64E03F66">
      <w:numFmt w:val="bullet"/>
      <w:lvlText w:val="•"/>
      <w:lvlJc w:val="left"/>
      <w:pPr>
        <w:ind w:left="2740" w:hanging="568"/>
      </w:pPr>
      <w:rPr>
        <w:rFonts w:hint="default"/>
      </w:rPr>
    </w:lvl>
    <w:lvl w:ilvl="3" w:tplc="9904BB06">
      <w:numFmt w:val="bullet"/>
      <w:lvlText w:val="•"/>
      <w:lvlJc w:val="left"/>
      <w:pPr>
        <w:ind w:left="3631" w:hanging="568"/>
      </w:pPr>
      <w:rPr>
        <w:rFonts w:hint="default"/>
      </w:rPr>
    </w:lvl>
    <w:lvl w:ilvl="4" w:tplc="8FE24F38">
      <w:numFmt w:val="bullet"/>
      <w:lvlText w:val="•"/>
      <w:lvlJc w:val="left"/>
      <w:pPr>
        <w:ind w:left="4521" w:hanging="568"/>
      </w:pPr>
      <w:rPr>
        <w:rFonts w:hint="default"/>
      </w:rPr>
    </w:lvl>
    <w:lvl w:ilvl="5" w:tplc="6DFE2E74">
      <w:numFmt w:val="bullet"/>
      <w:lvlText w:val="•"/>
      <w:lvlJc w:val="left"/>
      <w:pPr>
        <w:ind w:left="5412" w:hanging="568"/>
      </w:pPr>
      <w:rPr>
        <w:rFonts w:hint="default"/>
      </w:rPr>
    </w:lvl>
    <w:lvl w:ilvl="6" w:tplc="8E7C9C12">
      <w:numFmt w:val="bullet"/>
      <w:lvlText w:val="•"/>
      <w:lvlJc w:val="left"/>
      <w:pPr>
        <w:ind w:left="6302" w:hanging="568"/>
      </w:pPr>
      <w:rPr>
        <w:rFonts w:hint="default"/>
      </w:rPr>
    </w:lvl>
    <w:lvl w:ilvl="7" w:tplc="C8A4B3C2">
      <w:numFmt w:val="bullet"/>
      <w:lvlText w:val="•"/>
      <w:lvlJc w:val="left"/>
      <w:pPr>
        <w:ind w:left="7193" w:hanging="568"/>
      </w:pPr>
      <w:rPr>
        <w:rFonts w:hint="default"/>
      </w:rPr>
    </w:lvl>
    <w:lvl w:ilvl="8" w:tplc="94BC8382">
      <w:numFmt w:val="bullet"/>
      <w:lvlText w:val="•"/>
      <w:lvlJc w:val="left"/>
      <w:pPr>
        <w:ind w:left="8083" w:hanging="568"/>
      </w:pPr>
      <w:rPr>
        <w:rFonts w:hint="default"/>
      </w:rPr>
    </w:lvl>
  </w:abstractNum>
  <w:abstractNum w:abstractNumId="23" w15:restartNumberingAfterBreak="0">
    <w:nsid w:val="494817A7"/>
    <w:multiLevelType w:val="multilevel"/>
    <w:tmpl w:val="0F0EC90E"/>
    <w:numStyleLink w:val="FCListNo"/>
  </w:abstractNum>
  <w:abstractNum w:abstractNumId="24"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15:restartNumberingAfterBreak="0">
    <w:nsid w:val="63755370"/>
    <w:multiLevelType w:val="multilevel"/>
    <w:tmpl w:val="6D6C33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8"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9"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7"/>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7"/>
  </w:num>
  <w:num w:numId="14">
    <w:abstractNumId w:val="24"/>
  </w:num>
  <w:num w:numId="15">
    <w:abstractNumId w:val="25"/>
  </w:num>
  <w:num w:numId="16">
    <w:abstractNumId w:val="29"/>
  </w:num>
  <w:num w:numId="17">
    <w:abstractNumId w:val="16"/>
  </w:num>
  <w:num w:numId="18">
    <w:abstractNumId w:val="28"/>
  </w:num>
  <w:num w:numId="19">
    <w:abstractNumId w:val="12"/>
  </w:num>
  <w:num w:numId="20">
    <w:abstractNumId w:val="20"/>
  </w:num>
  <w:num w:numId="21">
    <w:abstractNumId w:val="18"/>
  </w:num>
  <w:num w:numId="22">
    <w:abstractNumId w:val="19"/>
  </w:num>
  <w:num w:numId="23">
    <w:abstractNumId w:val="23"/>
  </w:num>
  <w:num w:numId="24">
    <w:abstractNumId w:val="10"/>
  </w:num>
  <w:num w:numId="25">
    <w:abstractNumId w:val="10"/>
  </w:num>
  <w:num w:numId="26">
    <w:abstractNumId w:val="21"/>
  </w:num>
  <w:num w:numId="27">
    <w:abstractNumId w:val="11"/>
  </w:num>
  <w:num w:numId="28">
    <w:abstractNumId w:val="26"/>
    <w:lvlOverride w:ilvl="0">
      <w:startOverride w:val="11"/>
    </w:lvlOverride>
  </w:num>
  <w:num w:numId="29">
    <w:abstractNumId w:val="26"/>
    <w:lvlOverride w:ilvl="0">
      <w:startOverride w:val="12"/>
    </w:lvlOverride>
  </w:num>
  <w:num w:numId="30">
    <w:abstractNumId w:val="26"/>
    <w:lvlOverride w:ilvl="0"/>
    <w:lvlOverride w:ilvl="1">
      <w:startOverride w:val="13"/>
    </w:lvlOverride>
  </w:num>
  <w:num w:numId="31">
    <w:abstractNumId w:val="14"/>
    <w:lvlOverride w:ilvl="0">
      <w:startOverride w:val="83"/>
    </w:lvlOverride>
  </w:num>
  <w:num w:numId="32">
    <w:abstractNumId w:val="22"/>
  </w:num>
  <w:num w:numId="33">
    <w:abstractNumId w:val="13"/>
    <w:lvlOverride w:ilvl="0">
      <w:startOverride w:val="17"/>
    </w:lvlOverride>
  </w:num>
  <w:num w:numId="34">
    <w:abstractNumId w:val="13"/>
    <w:lvlOverride w:ilvl="0">
      <w:startOverride w:val="18"/>
    </w:lvlOverride>
  </w:num>
  <w:num w:numId="35">
    <w:abstractNumId w:val="13"/>
    <w:lvlOverride w:ilvl="0">
      <w:startOverride w:val="19"/>
    </w:lvlOverride>
  </w:num>
  <w:num w:numId="36">
    <w:abstractNumId w:val="18"/>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110593"/>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licant" w:val="GEORGE ITTYERAH "/>
    <w:docVar w:name="CounsellorName" w:val="The first respondent "/>
    <w:docVar w:name="CounselParties" w:val="Applicant"/>
    <w:docVar w:name="CounselType" w:val="Counsel for the "/>
    <w:docVar w:name="Court" w:val="Federal Court of Australia"/>
    <w:docVar w:name="Cross1AndAnother" w:val="True"/>
    <w:docVar w:name="Cross1AndOthers" w:val="False"/>
    <w:docVar w:name="Cross2AndAnother" w:val="True"/>
    <w:docVar w:name="Cross2AndOthers" w:val="False"/>
    <w:docVar w:name="Defenders" w:val="(and another named in the Schedule)"/>
    <w:docVar w:name="Division" w:val="N/A"/>
    <w:docVar w:name="DocCreated" w:val="True"/>
    <w:docVar w:name="FileNumbers" w:val="NSD 212 of 2020"/>
    <w:docVar w:name="grpRadioJudges" w:val="Justice"/>
    <w:docVar w:name="Initiators" w:val="(and another named in the Schedule)"/>
    <w:docVar w:name="Judgdate" w:val="23 April 2021"/>
    <w:docVar w:name="Judge" w:val="Abraham"/>
    <w:docVar w:name="lstEntryList" w:val="-1"/>
    <w:docVar w:name="myEntryList" w:val="Counsel for the Applicant=The applicant appeared in person |Solicitor for the First Respondent=Australian Government Solicitor|Counsel for the Second Respondent=Ms. F Leoncio|Solicitor for the Second Respondent=Lander &amp; Rogers"/>
    <w:docVar w:name="NSD" w:val="NSD "/>
    <w:docVar w:name="NumApps" w:val="1"/>
    <w:docVar w:name="NumApps_" w:val="1"/>
    <w:docVar w:name="NumCounsel" w:val="1"/>
    <w:docVar w:name="NumCrossResps" w:val="0"/>
    <w:docVar w:name="NumDefs" w:val="1"/>
    <w:docVar w:name="NumOthers" w:val="0"/>
    <w:docVar w:name="OtherNum" w:val="0"/>
    <w:docVar w:name="Parties1" w:val="Applicant"/>
    <w:docVar w:name="Parties2" w:val="Respondent"/>
    <w:docVar w:name="Parties3" w:val="Cross-Appellant"/>
    <w:docVar w:name="Parties4" w:val="Cross-Defendant"/>
    <w:docVar w:name="Parties5" w:val="Intervener"/>
    <w:docVar w:name="Place" w:val="N/A FCA"/>
    <w:docVar w:name="PracticeArea" w:val="Employment and Industrial Relations"/>
    <w:docVar w:name="RadioJudge" w:val="False"/>
    <w:docVar w:name="RadioJustice" w:val="True"/>
    <w:docVar w:name="RadioJustices" w:val="False"/>
    <w:docVar w:name="RESAndAnother" w:val="True"/>
    <w:docVar w:name="RESAndOthers" w:val="False"/>
    <w:docVar w:name="Respondent" w:val="COLES SUPERMARKETS (AUSTRALIA) PTY LTD"/>
    <w:docVar w:name="ResState" w:val="New South Wales"/>
    <w:docVar w:name="SubArea" w:val="[none]"/>
  </w:docVars>
  <w:rsids>
    <w:rsidRoot w:val="00E63B8A"/>
    <w:rsid w:val="00000747"/>
    <w:rsid w:val="00002BF8"/>
    <w:rsid w:val="00003B9C"/>
    <w:rsid w:val="00006EB6"/>
    <w:rsid w:val="00007844"/>
    <w:rsid w:val="00010A58"/>
    <w:rsid w:val="000115C5"/>
    <w:rsid w:val="00013922"/>
    <w:rsid w:val="00013A0D"/>
    <w:rsid w:val="0001469E"/>
    <w:rsid w:val="00015993"/>
    <w:rsid w:val="00017FCE"/>
    <w:rsid w:val="00020620"/>
    <w:rsid w:val="00021CCB"/>
    <w:rsid w:val="00021E21"/>
    <w:rsid w:val="00022289"/>
    <w:rsid w:val="00023449"/>
    <w:rsid w:val="00027398"/>
    <w:rsid w:val="0003201A"/>
    <w:rsid w:val="0003207A"/>
    <w:rsid w:val="00032F9F"/>
    <w:rsid w:val="000413B8"/>
    <w:rsid w:val="00041C07"/>
    <w:rsid w:val="00041E72"/>
    <w:rsid w:val="00045BB7"/>
    <w:rsid w:val="000516C9"/>
    <w:rsid w:val="00055205"/>
    <w:rsid w:val="00055458"/>
    <w:rsid w:val="000555B9"/>
    <w:rsid w:val="00055719"/>
    <w:rsid w:val="0005641B"/>
    <w:rsid w:val="00056AC7"/>
    <w:rsid w:val="0006196A"/>
    <w:rsid w:val="00061CBF"/>
    <w:rsid w:val="00063FB2"/>
    <w:rsid w:val="00067C7C"/>
    <w:rsid w:val="0007053D"/>
    <w:rsid w:val="00071036"/>
    <w:rsid w:val="0007224F"/>
    <w:rsid w:val="00081497"/>
    <w:rsid w:val="00083F09"/>
    <w:rsid w:val="00085255"/>
    <w:rsid w:val="00087E8C"/>
    <w:rsid w:val="00090D7C"/>
    <w:rsid w:val="00092E02"/>
    <w:rsid w:val="000970F0"/>
    <w:rsid w:val="000A07A5"/>
    <w:rsid w:val="000A082F"/>
    <w:rsid w:val="000A2E76"/>
    <w:rsid w:val="000A3DBB"/>
    <w:rsid w:val="000A4807"/>
    <w:rsid w:val="000A4BE4"/>
    <w:rsid w:val="000A6EC3"/>
    <w:rsid w:val="000B5CB3"/>
    <w:rsid w:val="000B6578"/>
    <w:rsid w:val="000B6601"/>
    <w:rsid w:val="000B72BF"/>
    <w:rsid w:val="000B7971"/>
    <w:rsid w:val="000C023E"/>
    <w:rsid w:val="000C4160"/>
    <w:rsid w:val="000C4669"/>
    <w:rsid w:val="000C5195"/>
    <w:rsid w:val="000C5449"/>
    <w:rsid w:val="000C5CB0"/>
    <w:rsid w:val="000C62EF"/>
    <w:rsid w:val="000C7083"/>
    <w:rsid w:val="000D1200"/>
    <w:rsid w:val="000D2137"/>
    <w:rsid w:val="000D3FD2"/>
    <w:rsid w:val="000D4B2E"/>
    <w:rsid w:val="000D5C14"/>
    <w:rsid w:val="000E164C"/>
    <w:rsid w:val="000E2FF4"/>
    <w:rsid w:val="000E3FC8"/>
    <w:rsid w:val="000E67B5"/>
    <w:rsid w:val="000E75A0"/>
    <w:rsid w:val="000E7A70"/>
    <w:rsid w:val="000E7BAE"/>
    <w:rsid w:val="000F11A2"/>
    <w:rsid w:val="000F133D"/>
    <w:rsid w:val="0010005E"/>
    <w:rsid w:val="0010341D"/>
    <w:rsid w:val="0010536B"/>
    <w:rsid w:val="00106CB5"/>
    <w:rsid w:val="00107264"/>
    <w:rsid w:val="0011145C"/>
    <w:rsid w:val="001114C1"/>
    <w:rsid w:val="001128BD"/>
    <w:rsid w:val="0011296F"/>
    <w:rsid w:val="001135E5"/>
    <w:rsid w:val="00113A3B"/>
    <w:rsid w:val="0011419D"/>
    <w:rsid w:val="00114B02"/>
    <w:rsid w:val="001158FF"/>
    <w:rsid w:val="001170F8"/>
    <w:rsid w:val="00121D81"/>
    <w:rsid w:val="001226C0"/>
    <w:rsid w:val="00124D0D"/>
    <w:rsid w:val="00126EC8"/>
    <w:rsid w:val="0012731C"/>
    <w:rsid w:val="0013100B"/>
    <w:rsid w:val="001312FB"/>
    <w:rsid w:val="00132054"/>
    <w:rsid w:val="001332D9"/>
    <w:rsid w:val="00133C01"/>
    <w:rsid w:val="00133EF4"/>
    <w:rsid w:val="00134964"/>
    <w:rsid w:val="001351B9"/>
    <w:rsid w:val="00137A0F"/>
    <w:rsid w:val="001405EC"/>
    <w:rsid w:val="00151551"/>
    <w:rsid w:val="00151700"/>
    <w:rsid w:val="00151BE8"/>
    <w:rsid w:val="00151D4E"/>
    <w:rsid w:val="001532AC"/>
    <w:rsid w:val="00155CD2"/>
    <w:rsid w:val="00156C02"/>
    <w:rsid w:val="00162525"/>
    <w:rsid w:val="00163680"/>
    <w:rsid w:val="0016391A"/>
    <w:rsid w:val="00164F4E"/>
    <w:rsid w:val="0016747B"/>
    <w:rsid w:val="0016754C"/>
    <w:rsid w:val="001675DD"/>
    <w:rsid w:val="00167CD2"/>
    <w:rsid w:val="00170186"/>
    <w:rsid w:val="00170F14"/>
    <w:rsid w:val="0017123A"/>
    <w:rsid w:val="001727A4"/>
    <w:rsid w:val="0017376C"/>
    <w:rsid w:val="001738AB"/>
    <w:rsid w:val="001760ED"/>
    <w:rsid w:val="001765E0"/>
    <w:rsid w:val="00177759"/>
    <w:rsid w:val="00180BB3"/>
    <w:rsid w:val="00181108"/>
    <w:rsid w:val="00185E6B"/>
    <w:rsid w:val="0018702E"/>
    <w:rsid w:val="00187BBC"/>
    <w:rsid w:val="0019194E"/>
    <w:rsid w:val="001932F3"/>
    <w:rsid w:val="00194727"/>
    <w:rsid w:val="001954D8"/>
    <w:rsid w:val="001958AE"/>
    <w:rsid w:val="001A0052"/>
    <w:rsid w:val="001A23F2"/>
    <w:rsid w:val="001A2B40"/>
    <w:rsid w:val="001A2F7F"/>
    <w:rsid w:val="001A3675"/>
    <w:rsid w:val="001A4309"/>
    <w:rsid w:val="001A43A2"/>
    <w:rsid w:val="001A46AE"/>
    <w:rsid w:val="001A47CC"/>
    <w:rsid w:val="001A55FF"/>
    <w:rsid w:val="001A6C52"/>
    <w:rsid w:val="001A6EC2"/>
    <w:rsid w:val="001A742D"/>
    <w:rsid w:val="001A7F4E"/>
    <w:rsid w:val="001B1053"/>
    <w:rsid w:val="001B14AC"/>
    <w:rsid w:val="001B256E"/>
    <w:rsid w:val="001B3A9C"/>
    <w:rsid w:val="001B49A8"/>
    <w:rsid w:val="001B595A"/>
    <w:rsid w:val="001B7940"/>
    <w:rsid w:val="001C171A"/>
    <w:rsid w:val="001C206F"/>
    <w:rsid w:val="001C29CE"/>
    <w:rsid w:val="001C2D88"/>
    <w:rsid w:val="001C37CA"/>
    <w:rsid w:val="001C4085"/>
    <w:rsid w:val="001D372E"/>
    <w:rsid w:val="001D4303"/>
    <w:rsid w:val="001D6746"/>
    <w:rsid w:val="001D7E7A"/>
    <w:rsid w:val="001D7F70"/>
    <w:rsid w:val="001E02E0"/>
    <w:rsid w:val="001E0E1F"/>
    <w:rsid w:val="001E2014"/>
    <w:rsid w:val="001E2F88"/>
    <w:rsid w:val="001E3B49"/>
    <w:rsid w:val="001E4A05"/>
    <w:rsid w:val="001E4B75"/>
    <w:rsid w:val="001E66CD"/>
    <w:rsid w:val="001E7388"/>
    <w:rsid w:val="001F0341"/>
    <w:rsid w:val="001F13DD"/>
    <w:rsid w:val="001F238E"/>
    <w:rsid w:val="001F2473"/>
    <w:rsid w:val="001F2DBC"/>
    <w:rsid w:val="001F51CA"/>
    <w:rsid w:val="001F5C0D"/>
    <w:rsid w:val="001F6B67"/>
    <w:rsid w:val="001F73E8"/>
    <w:rsid w:val="00201F48"/>
    <w:rsid w:val="002023D7"/>
    <w:rsid w:val="0020262C"/>
    <w:rsid w:val="00202FD8"/>
    <w:rsid w:val="002058EF"/>
    <w:rsid w:val="00205DE3"/>
    <w:rsid w:val="00206E1C"/>
    <w:rsid w:val="002071A9"/>
    <w:rsid w:val="0021108A"/>
    <w:rsid w:val="00211A3E"/>
    <w:rsid w:val="00212076"/>
    <w:rsid w:val="0021453A"/>
    <w:rsid w:val="00214598"/>
    <w:rsid w:val="00214679"/>
    <w:rsid w:val="00215BCA"/>
    <w:rsid w:val="0021668C"/>
    <w:rsid w:val="00217AC4"/>
    <w:rsid w:val="00221461"/>
    <w:rsid w:val="002240DE"/>
    <w:rsid w:val="00224537"/>
    <w:rsid w:val="00226C1E"/>
    <w:rsid w:val="00227CE0"/>
    <w:rsid w:val="0023272B"/>
    <w:rsid w:val="00235956"/>
    <w:rsid w:val="00237763"/>
    <w:rsid w:val="00242181"/>
    <w:rsid w:val="002427B4"/>
    <w:rsid w:val="00243E5E"/>
    <w:rsid w:val="002465FB"/>
    <w:rsid w:val="00247871"/>
    <w:rsid w:val="00247C9A"/>
    <w:rsid w:val="002501D0"/>
    <w:rsid w:val="0025160C"/>
    <w:rsid w:val="00251756"/>
    <w:rsid w:val="002535D0"/>
    <w:rsid w:val="002539B3"/>
    <w:rsid w:val="00256336"/>
    <w:rsid w:val="00257C3E"/>
    <w:rsid w:val="002602C2"/>
    <w:rsid w:val="00265209"/>
    <w:rsid w:val="0026563C"/>
    <w:rsid w:val="00266246"/>
    <w:rsid w:val="002662C7"/>
    <w:rsid w:val="002666C9"/>
    <w:rsid w:val="00266ABA"/>
    <w:rsid w:val="00267CC0"/>
    <w:rsid w:val="00270136"/>
    <w:rsid w:val="00270769"/>
    <w:rsid w:val="00270FD7"/>
    <w:rsid w:val="00274F5B"/>
    <w:rsid w:val="00277DA8"/>
    <w:rsid w:val="002807C1"/>
    <w:rsid w:val="00280836"/>
    <w:rsid w:val="00280861"/>
    <w:rsid w:val="00282E1A"/>
    <w:rsid w:val="002840F1"/>
    <w:rsid w:val="00284214"/>
    <w:rsid w:val="002900EE"/>
    <w:rsid w:val="00290F99"/>
    <w:rsid w:val="0029113B"/>
    <w:rsid w:val="002932E0"/>
    <w:rsid w:val="002934C0"/>
    <w:rsid w:val="002934FF"/>
    <w:rsid w:val="00293A14"/>
    <w:rsid w:val="00295993"/>
    <w:rsid w:val="0029764C"/>
    <w:rsid w:val="002A0B46"/>
    <w:rsid w:val="002A0FEA"/>
    <w:rsid w:val="002A1B50"/>
    <w:rsid w:val="002A39E5"/>
    <w:rsid w:val="002A708E"/>
    <w:rsid w:val="002A7BAD"/>
    <w:rsid w:val="002B0E91"/>
    <w:rsid w:val="002B132C"/>
    <w:rsid w:val="002B1937"/>
    <w:rsid w:val="002B3F23"/>
    <w:rsid w:val="002B4EB5"/>
    <w:rsid w:val="002B6779"/>
    <w:rsid w:val="002B71C0"/>
    <w:rsid w:val="002B7A34"/>
    <w:rsid w:val="002C1149"/>
    <w:rsid w:val="002C2F6C"/>
    <w:rsid w:val="002C31AD"/>
    <w:rsid w:val="002C3DC9"/>
    <w:rsid w:val="002C68E8"/>
    <w:rsid w:val="002C6926"/>
    <w:rsid w:val="002C72A8"/>
    <w:rsid w:val="002C7385"/>
    <w:rsid w:val="002D1368"/>
    <w:rsid w:val="002D20AD"/>
    <w:rsid w:val="002D2C47"/>
    <w:rsid w:val="002D2DBB"/>
    <w:rsid w:val="002D3510"/>
    <w:rsid w:val="002D37D8"/>
    <w:rsid w:val="002D54A6"/>
    <w:rsid w:val="002D57F1"/>
    <w:rsid w:val="002D64C2"/>
    <w:rsid w:val="002D6636"/>
    <w:rsid w:val="002D7737"/>
    <w:rsid w:val="002E048F"/>
    <w:rsid w:val="002E2037"/>
    <w:rsid w:val="002E5BF9"/>
    <w:rsid w:val="002E6A7A"/>
    <w:rsid w:val="002F0FE7"/>
    <w:rsid w:val="002F131E"/>
    <w:rsid w:val="002F1E49"/>
    <w:rsid w:val="002F3885"/>
    <w:rsid w:val="002F3BD3"/>
    <w:rsid w:val="002F4721"/>
    <w:rsid w:val="002F4E9C"/>
    <w:rsid w:val="002F5BB0"/>
    <w:rsid w:val="00300C1C"/>
    <w:rsid w:val="00301C14"/>
    <w:rsid w:val="00301E1C"/>
    <w:rsid w:val="00302F4E"/>
    <w:rsid w:val="0030773B"/>
    <w:rsid w:val="00307C4C"/>
    <w:rsid w:val="0031256C"/>
    <w:rsid w:val="00314D6C"/>
    <w:rsid w:val="00315C91"/>
    <w:rsid w:val="00316D2A"/>
    <w:rsid w:val="00322A7C"/>
    <w:rsid w:val="00322EEC"/>
    <w:rsid w:val="00323061"/>
    <w:rsid w:val="00325F82"/>
    <w:rsid w:val="00330D93"/>
    <w:rsid w:val="00331C1E"/>
    <w:rsid w:val="00331F45"/>
    <w:rsid w:val="003402D3"/>
    <w:rsid w:val="00342353"/>
    <w:rsid w:val="00343ABC"/>
    <w:rsid w:val="003441B0"/>
    <w:rsid w:val="003441BA"/>
    <w:rsid w:val="003450C7"/>
    <w:rsid w:val="003462A3"/>
    <w:rsid w:val="003463FE"/>
    <w:rsid w:val="00347D41"/>
    <w:rsid w:val="00354D90"/>
    <w:rsid w:val="003554B3"/>
    <w:rsid w:val="00356632"/>
    <w:rsid w:val="003569A9"/>
    <w:rsid w:val="0035778B"/>
    <w:rsid w:val="00357C7E"/>
    <w:rsid w:val="00361B0B"/>
    <w:rsid w:val="003638CC"/>
    <w:rsid w:val="00363BBD"/>
    <w:rsid w:val="003653B6"/>
    <w:rsid w:val="00371201"/>
    <w:rsid w:val="00373D0F"/>
    <w:rsid w:val="00373E80"/>
    <w:rsid w:val="00374CC4"/>
    <w:rsid w:val="00375FE1"/>
    <w:rsid w:val="003774B2"/>
    <w:rsid w:val="00380F2D"/>
    <w:rsid w:val="00381691"/>
    <w:rsid w:val="00381781"/>
    <w:rsid w:val="00383752"/>
    <w:rsid w:val="003845A9"/>
    <w:rsid w:val="003850C9"/>
    <w:rsid w:val="0038632C"/>
    <w:rsid w:val="00387A61"/>
    <w:rsid w:val="00390883"/>
    <w:rsid w:val="00391194"/>
    <w:rsid w:val="003922F8"/>
    <w:rsid w:val="00395B24"/>
    <w:rsid w:val="0039611C"/>
    <w:rsid w:val="003A073B"/>
    <w:rsid w:val="003A0EFA"/>
    <w:rsid w:val="003A2D38"/>
    <w:rsid w:val="003A3E10"/>
    <w:rsid w:val="003A4603"/>
    <w:rsid w:val="003A4625"/>
    <w:rsid w:val="003A6BD5"/>
    <w:rsid w:val="003A73C4"/>
    <w:rsid w:val="003A7713"/>
    <w:rsid w:val="003A7ECC"/>
    <w:rsid w:val="003B2026"/>
    <w:rsid w:val="003B2C72"/>
    <w:rsid w:val="003B4176"/>
    <w:rsid w:val="003B57C7"/>
    <w:rsid w:val="003B58B4"/>
    <w:rsid w:val="003B5EC7"/>
    <w:rsid w:val="003B6B49"/>
    <w:rsid w:val="003C1333"/>
    <w:rsid w:val="003C1D4A"/>
    <w:rsid w:val="003C20FF"/>
    <w:rsid w:val="003C4FE8"/>
    <w:rsid w:val="003C550A"/>
    <w:rsid w:val="003C58C6"/>
    <w:rsid w:val="003C6055"/>
    <w:rsid w:val="003D17E4"/>
    <w:rsid w:val="003D2433"/>
    <w:rsid w:val="003D2650"/>
    <w:rsid w:val="003D4582"/>
    <w:rsid w:val="003D487C"/>
    <w:rsid w:val="003D4B00"/>
    <w:rsid w:val="003D560C"/>
    <w:rsid w:val="003D5C00"/>
    <w:rsid w:val="003D70A7"/>
    <w:rsid w:val="003E0038"/>
    <w:rsid w:val="003E0E9B"/>
    <w:rsid w:val="003E3154"/>
    <w:rsid w:val="003E42CA"/>
    <w:rsid w:val="003E5874"/>
    <w:rsid w:val="003E6668"/>
    <w:rsid w:val="003E72D3"/>
    <w:rsid w:val="003E7BBC"/>
    <w:rsid w:val="003F193E"/>
    <w:rsid w:val="003F2381"/>
    <w:rsid w:val="003F242C"/>
    <w:rsid w:val="003F34F1"/>
    <w:rsid w:val="003F3C11"/>
    <w:rsid w:val="003F6FBF"/>
    <w:rsid w:val="00400AA9"/>
    <w:rsid w:val="00401936"/>
    <w:rsid w:val="00402564"/>
    <w:rsid w:val="00404840"/>
    <w:rsid w:val="004052C0"/>
    <w:rsid w:val="004065F7"/>
    <w:rsid w:val="004104B6"/>
    <w:rsid w:val="00410BA5"/>
    <w:rsid w:val="00411AE8"/>
    <w:rsid w:val="00413B74"/>
    <w:rsid w:val="004142C1"/>
    <w:rsid w:val="0042500E"/>
    <w:rsid w:val="0042576F"/>
    <w:rsid w:val="00433035"/>
    <w:rsid w:val="004342F3"/>
    <w:rsid w:val="00435C5F"/>
    <w:rsid w:val="00435D37"/>
    <w:rsid w:val="0043609C"/>
    <w:rsid w:val="00436155"/>
    <w:rsid w:val="00437463"/>
    <w:rsid w:val="00440F1D"/>
    <w:rsid w:val="00441E98"/>
    <w:rsid w:val="0044388C"/>
    <w:rsid w:val="00446712"/>
    <w:rsid w:val="004477C7"/>
    <w:rsid w:val="00450F3A"/>
    <w:rsid w:val="004524F9"/>
    <w:rsid w:val="004532F7"/>
    <w:rsid w:val="004561A3"/>
    <w:rsid w:val="00456BD3"/>
    <w:rsid w:val="004574F5"/>
    <w:rsid w:val="004575D6"/>
    <w:rsid w:val="00463CD6"/>
    <w:rsid w:val="00464D51"/>
    <w:rsid w:val="00466FCD"/>
    <w:rsid w:val="004706F9"/>
    <w:rsid w:val="00472027"/>
    <w:rsid w:val="00474897"/>
    <w:rsid w:val="004804CF"/>
    <w:rsid w:val="00481CF7"/>
    <w:rsid w:val="00482F68"/>
    <w:rsid w:val="004836DF"/>
    <w:rsid w:val="00484962"/>
    <w:rsid w:val="00484D29"/>
    <w:rsid w:val="00484F6D"/>
    <w:rsid w:val="00484FB7"/>
    <w:rsid w:val="0048554D"/>
    <w:rsid w:val="004874AF"/>
    <w:rsid w:val="00487BDB"/>
    <w:rsid w:val="00492DC0"/>
    <w:rsid w:val="004930AA"/>
    <w:rsid w:val="0049338A"/>
    <w:rsid w:val="0049417F"/>
    <w:rsid w:val="00494ECF"/>
    <w:rsid w:val="004957F3"/>
    <w:rsid w:val="004969BE"/>
    <w:rsid w:val="00496D41"/>
    <w:rsid w:val="004A17E1"/>
    <w:rsid w:val="004A1CCE"/>
    <w:rsid w:val="004A2B54"/>
    <w:rsid w:val="004A2D0B"/>
    <w:rsid w:val="004A4537"/>
    <w:rsid w:val="004A6602"/>
    <w:rsid w:val="004B1BB9"/>
    <w:rsid w:val="004B3EFA"/>
    <w:rsid w:val="004B51A0"/>
    <w:rsid w:val="004B5DD6"/>
    <w:rsid w:val="004C06CC"/>
    <w:rsid w:val="004C0799"/>
    <w:rsid w:val="004C178B"/>
    <w:rsid w:val="004C2987"/>
    <w:rsid w:val="004C2A87"/>
    <w:rsid w:val="004C3446"/>
    <w:rsid w:val="004C4D7B"/>
    <w:rsid w:val="004C4ED3"/>
    <w:rsid w:val="004C576D"/>
    <w:rsid w:val="004C667B"/>
    <w:rsid w:val="004C7ECD"/>
    <w:rsid w:val="004D14EC"/>
    <w:rsid w:val="004D2EA5"/>
    <w:rsid w:val="004D32A6"/>
    <w:rsid w:val="004D3485"/>
    <w:rsid w:val="004D4010"/>
    <w:rsid w:val="004D4615"/>
    <w:rsid w:val="004D53E5"/>
    <w:rsid w:val="004D6039"/>
    <w:rsid w:val="004D7794"/>
    <w:rsid w:val="004D7D34"/>
    <w:rsid w:val="004D7E26"/>
    <w:rsid w:val="004E0D3E"/>
    <w:rsid w:val="004E1AC1"/>
    <w:rsid w:val="004E2862"/>
    <w:rsid w:val="004E2B96"/>
    <w:rsid w:val="004E2CB7"/>
    <w:rsid w:val="004E34FB"/>
    <w:rsid w:val="004E3798"/>
    <w:rsid w:val="004E5266"/>
    <w:rsid w:val="004E6DC4"/>
    <w:rsid w:val="004F21C1"/>
    <w:rsid w:val="004F223C"/>
    <w:rsid w:val="004F3EC5"/>
    <w:rsid w:val="004F478C"/>
    <w:rsid w:val="004F6BED"/>
    <w:rsid w:val="00500E71"/>
    <w:rsid w:val="00501A12"/>
    <w:rsid w:val="0050309C"/>
    <w:rsid w:val="00504C7C"/>
    <w:rsid w:val="005103C2"/>
    <w:rsid w:val="00510528"/>
    <w:rsid w:val="0051327C"/>
    <w:rsid w:val="0051346D"/>
    <w:rsid w:val="00513EAE"/>
    <w:rsid w:val="0051434F"/>
    <w:rsid w:val="00516590"/>
    <w:rsid w:val="00516806"/>
    <w:rsid w:val="005174B8"/>
    <w:rsid w:val="0052098C"/>
    <w:rsid w:val="00521472"/>
    <w:rsid w:val="0052245C"/>
    <w:rsid w:val="00523B93"/>
    <w:rsid w:val="00525A49"/>
    <w:rsid w:val="005262D1"/>
    <w:rsid w:val="0052666D"/>
    <w:rsid w:val="00530876"/>
    <w:rsid w:val="005318F9"/>
    <w:rsid w:val="00534147"/>
    <w:rsid w:val="00535613"/>
    <w:rsid w:val="0053577D"/>
    <w:rsid w:val="005359EB"/>
    <w:rsid w:val="00541138"/>
    <w:rsid w:val="0054245C"/>
    <w:rsid w:val="0054254A"/>
    <w:rsid w:val="0054472D"/>
    <w:rsid w:val="0054500B"/>
    <w:rsid w:val="00545072"/>
    <w:rsid w:val="00545125"/>
    <w:rsid w:val="00545C97"/>
    <w:rsid w:val="005466B5"/>
    <w:rsid w:val="00554314"/>
    <w:rsid w:val="0055444A"/>
    <w:rsid w:val="00555323"/>
    <w:rsid w:val="00555B6A"/>
    <w:rsid w:val="00557320"/>
    <w:rsid w:val="00557B1D"/>
    <w:rsid w:val="0056122A"/>
    <w:rsid w:val="005613D5"/>
    <w:rsid w:val="00562049"/>
    <w:rsid w:val="00562829"/>
    <w:rsid w:val="005629B3"/>
    <w:rsid w:val="00562E52"/>
    <w:rsid w:val="00564C5F"/>
    <w:rsid w:val="00565100"/>
    <w:rsid w:val="005665D5"/>
    <w:rsid w:val="00571881"/>
    <w:rsid w:val="005724F6"/>
    <w:rsid w:val="00573AC4"/>
    <w:rsid w:val="0057427F"/>
    <w:rsid w:val="00575870"/>
    <w:rsid w:val="0057704A"/>
    <w:rsid w:val="005801FC"/>
    <w:rsid w:val="00580265"/>
    <w:rsid w:val="0058122B"/>
    <w:rsid w:val="0058371E"/>
    <w:rsid w:val="00583EB4"/>
    <w:rsid w:val="00584102"/>
    <w:rsid w:val="005857B3"/>
    <w:rsid w:val="00585BA9"/>
    <w:rsid w:val="00587359"/>
    <w:rsid w:val="00590DFF"/>
    <w:rsid w:val="00593345"/>
    <w:rsid w:val="0059392A"/>
    <w:rsid w:val="00593BAC"/>
    <w:rsid w:val="00595016"/>
    <w:rsid w:val="00597AAE"/>
    <w:rsid w:val="005A222C"/>
    <w:rsid w:val="005A4DF8"/>
    <w:rsid w:val="005A5A45"/>
    <w:rsid w:val="005A78C8"/>
    <w:rsid w:val="005A7B7F"/>
    <w:rsid w:val="005B083F"/>
    <w:rsid w:val="005B1426"/>
    <w:rsid w:val="005B184E"/>
    <w:rsid w:val="005B28D0"/>
    <w:rsid w:val="005B41EC"/>
    <w:rsid w:val="005B6D84"/>
    <w:rsid w:val="005B7792"/>
    <w:rsid w:val="005C0510"/>
    <w:rsid w:val="005C0A8E"/>
    <w:rsid w:val="005C0FF4"/>
    <w:rsid w:val="005C1767"/>
    <w:rsid w:val="005C185C"/>
    <w:rsid w:val="005C42EF"/>
    <w:rsid w:val="005C605E"/>
    <w:rsid w:val="005C6B23"/>
    <w:rsid w:val="005D090C"/>
    <w:rsid w:val="005D2319"/>
    <w:rsid w:val="005D24DE"/>
    <w:rsid w:val="005D3C63"/>
    <w:rsid w:val="005D5220"/>
    <w:rsid w:val="005D6D27"/>
    <w:rsid w:val="005E02F5"/>
    <w:rsid w:val="005E044B"/>
    <w:rsid w:val="005E0510"/>
    <w:rsid w:val="005E176E"/>
    <w:rsid w:val="005E218E"/>
    <w:rsid w:val="005E2AD0"/>
    <w:rsid w:val="005E35A0"/>
    <w:rsid w:val="005F0D1B"/>
    <w:rsid w:val="005F1865"/>
    <w:rsid w:val="005F4CF5"/>
    <w:rsid w:val="005F5F58"/>
    <w:rsid w:val="005F7C8C"/>
    <w:rsid w:val="006007BD"/>
    <w:rsid w:val="006013C8"/>
    <w:rsid w:val="0060270D"/>
    <w:rsid w:val="00603BFF"/>
    <w:rsid w:val="00604157"/>
    <w:rsid w:val="00604611"/>
    <w:rsid w:val="00607859"/>
    <w:rsid w:val="006104F1"/>
    <w:rsid w:val="00611586"/>
    <w:rsid w:val="006129BF"/>
    <w:rsid w:val="00612D26"/>
    <w:rsid w:val="00614514"/>
    <w:rsid w:val="00615855"/>
    <w:rsid w:val="006178DE"/>
    <w:rsid w:val="00620DA8"/>
    <w:rsid w:val="00621538"/>
    <w:rsid w:val="00621708"/>
    <w:rsid w:val="00621887"/>
    <w:rsid w:val="0062195D"/>
    <w:rsid w:val="00622BFC"/>
    <w:rsid w:val="006231F7"/>
    <w:rsid w:val="00624520"/>
    <w:rsid w:val="006251F7"/>
    <w:rsid w:val="006252DF"/>
    <w:rsid w:val="006260CA"/>
    <w:rsid w:val="006271F5"/>
    <w:rsid w:val="006303E1"/>
    <w:rsid w:val="00631241"/>
    <w:rsid w:val="00632300"/>
    <w:rsid w:val="00632466"/>
    <w:rsid w:val="00632BB7"/>
    <w:rsid w:val="00634015"/>
    <w:rsid w:val="00635B36"/>
    <w:rsid w:val="00636871"/>
    <w:rsid w:val="00640EE1"/>
    <w:rsid w:val="00640F4E"/>
    <w:rsid w:val="00643152"/>
    <w:rsid w:val="00643DE0"/>
    <w:rsid w:val="0064437D"/>
    <w:rsid w:val="006443A9"/>
    <w:rsid w:val="00644E85"/>
    <w:rsid w:val="00652C52"/>
    <w:rsid w:val="006541DF"/>
    <w:rsid w:val="0065682A"/>
    <w:rsid w:val="0066063F"/>
    <w:rsid w:val="00660715"/>
    <w:rsid w:val="006619FC"/>
    <w:rsid w:val="00662BB0"/>
    <w:rsid w:val="00663878"/>
    <w:rsid w:val="0066457E"/>
    <w:rsid w:val="00664DA6"/>
    <w:rsid w:val="00665703"/>
    <w:rsid w:val="00667773"/>
    <w:rsid w:val="00670743"/>
    <w:rsid w:val="00675C62"/>
    <w:rsid w:val="006768A3"/>
    <w:rsid w:val="00680864"/>
    <w:rsid w:val="00680A85"/>
    <w:rsid w:val="00681ADF"/>
    <w:rsid w:val="00687091"/>
    <w:rsid w:val="006908FD"/>
    <w:rsid w:val="00690EE2"/>
    <w:rsid w:val="0069216A"/>
    <w:rsid w:val="006931F3"/>
    <w:rsid w:val="00693854"/>
    <w:rsid w:val="00693B57"/>
    <w:rsid w:val="00694BEB"/>
    <w:rsid w:val="00697984"/>
    <w:rsid w:val="006A0E20"/>
    <w:rsid w:val="006A0F04"/>
    <w:rsid w:val="006A24E3"/>
    <w:rsid w:val="006A4356"/>
    <w:rsid w:val="006A55B4"/>
    <w:rsid w:val="006A5695"/>
    <w:rsid w:val="006B0439"/>
    <w:rsid w:val="006B0743"/>
    <w:rsid w:val="006B2FCC"/>
    <w:rsid w:val="006B3904"/>
    <w:rsid w:val="006B55E7"/>
    <w:rsid w:val="006B5B7D"/>
    <w:rsid w:val="006B62B2"/>
    <w:rsid w:val="006C0087"/>
    <w:rsid w:val="006C18D0"/>
    <w:rsid w:val="006C5B46"/>
    <w:rsid w:val="006C6E39"/>
    <w:rsid w:val="006D0ECF"/>
    <w:rsid w:val="006D1477"/>
    <w:rsid w:val="006D14B9"/>
    <w:rsid w:val="006D2A6D"/>
    <w:rsid w:val="006D370B"/>
    <w:rsid w:val="006D3D5B"/>
    <w:rsid w:val="006D47CF"/>
    <w:rsid w:val="006D4C92"/>
    <w:rsid w:val="006D4EB6"/>
    <w:rsid w:val="006E22AC"/>
    <w:rsid w:val="006E35BF"/>
    <w:rsid w:val="006E596D"/>
    <w:rsid w:val="006E7850"/>
    <w:rsid w:val="006F017B"/>
    <w:rsid w:val="006F0967"/>
    <w:rsid w:val="006F11C3"/>
    <w:rsid w:val="006F13D3"/>
    <w:rsid w:val="006F29C9"/>
    <w:rsid w:val="006F2BBF"/>
    <w:rsid w:val="006F3C1D"/>
    <w:rsid w:val="006F46D6"/>
    <w:rsid w:val="006F5A6D"/>
    <w:rsid w:val="00700F24"/>
    <w:rsid w:val="007028D9"/>
    <w:rsid w:val="00704137"/>
    <w:rsid w:val="00707218"/>
    <w:rsid w:val="00707811"/>
    <w:rsid w:val="0071026B"/>
    <w:rsid w:val="00710887"/>
    <w:rsid w:val="00710D04"/>
    <w:rsid w:val="00712B1D"/>
    <w:rsid w:val="00712B22"/>
    <w:rsid w:val="00715751"/>
    <w:rsid w:val="00715956"/>
    <w:rsid w:val="007171BA"/>
    <w:rsid w:val="00717616"/>
    <w:rsid w:val="00720419"/>
    <w:rsid w:val="007204BD"/>
    <w:rsid w:val="0072209F"/>
    <w:rsid w:val="00722D6C"/>
    <w:rsid w:val="0072652A"/>
    <w:rsid w:val="00726F8B"/>
    <w:rsid w:val="00727127"/>
    <w:rsid w:val="007308BE"/>
    <w:rsid w:val="007325D9"/>
    <w:rsid w:val="0073583B"/>
    <w:rsid w:val="007360CA"/>
    <w:rsid w:val="007417A1"/>
    <w:rsid w:val="00746457"/>
    <w:rsid w:val="0074667B"/>
    <w:rsid w:val="007470BD"/>
    <w:rsid w:val="00747C54"/>
    <w:rsid w:val="00753A44"/>
    <w:rsid w:val="00756ECC"/>
    <w:rsid w:val="00757E1C"/>
    <w:rsid w:val="00760EC0"/>
    <w:rsid w:val="0076231F"/>
    <w:rsid w:val="00767878"/>
    <w:rsid w:val="007711BD"/>
    <w:rsid w:val="00774248"/>
    <w:rsid w:val="00774F19"/>
    <w:rsid w:val="00774FC3"/>
    <w:rsid w:val="00775D98"/>
    <w:rsid w:val="007764BE"/>
    <w:rsid w:val="0078003A"/>
    <w:rsid w:val="00780771"/>
    <w:rsid w:val="00786807"/>
    <w:rsid w:val="00787663"/>
    <w:rsid w:val="007904DC"/>
    <w:rsid w:val="00790993"/>
    <w:rsid w:val="00791831"/>
    <w:rsid w:val="007929CF"/>
    <w:rsid w:val="007936C0"/>
    <w:rsid w:val="007941DE"/>
    <w:rsid w:val="007951F9"/>
    <w:rsid w:val="00795FF3"/>
    <w:rsid w:val="00796FD5"/>
    <w:rsid w:val="007A0793"/>
    <w:rsid w:val="007A17A7"/>
    <w:rsid w:val="007A49E7"/>
    <w:rsid w:val="007A54B2"/>
    <w:rsid w:val="007A6F28"/>
    <w:rsid w:val="007B0367"/>
    <w:rsid w:val="007B03C6"/>
    <w:rsid w:val="007B0DB1"/>
    <w:rsid w:val="007B52A6"/>
    <w:rsid w:val="007B5673"/>
    <w:rsid w:val="007B7238"/>
    <w:rsid w:val="007B76FF"/>
    <w:rsid w:val="007C22E8"/>
    <w:rsid w:val="007C2B4A"/>
    <w:rsid w:val="007C3BF6"/>
    <w:rsid w:val="007C473E"/>
    <w:rsid w:val="007C5D6B"/>
    <w:rsid w:val="007C6530"/>
    <w:rsid w:val="007C67B3"/>
    <w:rsid w:val="007D0FD2"/>
    <w:rsid w:val="007D2EF8"/>
    <w:rsid w:val="007D4018"/>
    <w:rsid w:val="007D479A"/>
    <w:rsid w:val="007D52EA"/>
    <w:rsid w:val="007D561F"/>
    <w:rsid w:val="007D7FD2"/>
    <w:rsid w:val="007E0129"/>
    <w:rsid w:val="007E13D9"/>
    <w:rsid w:val="007E2AEC"/>
    <w:rsid w:val="007E41BE"/>
    <w:rsid w:val="007E4DB6"/>
    <w:rsid w:val="007E5E86"/>
    <w:rsid w:val="007E6733"/>
    <w:rsid w:val="007E7CD4"/>
    <w:rsid w:val="007F12AC"/>
    <w:rsid w:val="007F2171"/>
    <w:rsid w:val="007F4501"/>
    <w:rsid w:val="007F60DF"/>
    <w:rsid w:val="00801800"/>
    <w:rsid w:val="00801861"/>
    <w:rsid w:val="00801B5B"/>
    <w:rsid w:val="00803A15"/>
    <w:rsid w:val="008060EE"/>
    <w:rsid w:val="00806827"/>
    <w:rsid w:val="00810BEC"/>
    <w:rsid w:val="00813CC9"/>
    <w:rsid w:val="00814867"/>
    <w:rsid w:val="008216E7"/>
    <w:rsid w:val="008236CD"/>
    <w:rsid w:val="00825BE6"/>
    <w:rsid w:val="008276B4"/>
    <w:rsid w:val="00827915"/>
    <w:rsid w:val="00831927"/>
    <w:rsid w:val="00832DC1"/>
    <w:rsid w:val="00837288"/>
    <w:rsid w:val="00837FCA"/>
    <w:rsid w:val="00841672"/>
    <w:rsid w:val="00841BD3"/>
    <w:rsid w:val="0084273D"/>
    <w:rsid w:val="008437D2"/>
    <w:rsid w:val="00844E3F"/>
    <w:rsid w:val="00845A83"/>
    <w:rsid w:val="008468DC"/>
    <w:rsid w:val="00846BB9"/>
    <w:rsid w:val="00847044"/>
    <w:rsid w:val="00850A62"/>
    <w:rsid w:val="0085453F"/>
    <w:rsid w:val="00857A4D"/>
    <w:rsid w:val="008649D5"/>
    <w:rsid w:val="008668FC"/>
    <w:rsid w:val="008673B6"/>
    <w:rsid w:val="00870B93"/>
    <w:rsid w:val="00870C9A"/>
    <w:rsid w:val="008712BB"/>
    <w:rsid w:val="00872D55"/>
    <w:rsid w:val="00875510"/>
    <w:rsid w:val="008771DC"/>
    <w:rsid w:val="008820AC"/>
    <w:rsid w:val="008830E7"/>
    <w:rsid w:val="00884AAA"/>
    <w:rsid w:val="00885BEE"/>
    <w:rsid w:val="00885DEF"/>
    <w:rsid w:val="008870CC"/>
    <w:rsid w:val="00890EDE"/>
    <w:rsid w:val="00892B38"/>
    <w:rsid w:val="008958BF"/>
    <w:rsid w:val="00895986"/>
    <w:rsid w:val="00896910"/>
    <w:rsid w:val="008A1741"/>
    <w:rsid w:val="008A2484"/>
    <w:rsid w:val="008A37B6"/>
    <w:rsid w:val="008A52F3"/>
    <w:rsid w:val="008A6F95"/>
    <w:rsid w:val="008B11E9"/>
    <w:rsid w:val="008B1B60"/>
    <w:rsid w:val="008B42AF"/>
    <w:rsid w:val="008B45A0"/>
    <w:rsid w:val="008B614C"/>
    <w:rsid w:val="008C0B26"/>
    <w:rsid w:val="008C26D9"/>
    <w:rsid w:val="008C5367"/>
    <w:rsid w:val="008C5A22"/>
    <w:rsid w:val="008C6D50"/>
    <w:rsid w:val="008C7167"/>
    <w:rsid w:val="008C7503"/>
    <w:rsid w:val="008D1617"/>
    <w:rsid w:val="008D330F"/>
    <w:rsid w:val="008D48C1"/>
    <w:rsid w:val="008D683E"/>
    <w:rsid w:val="008D6869"/>
    <w:rsid w:val="008E06B0"/>
    <w:rsid w:val="008E3C60"/>
    <w:rsid w:val="008E44BA"/>
    <w:rsid w:val="008E6315"/>
    <w:rsid w:val="008F07FC"/>
    <w:rsid w:val="008F11E0"/>
    <w:rsid w:val="008F1706"/>
    <w:rsid w:val="008F3EA7"/>
    <w:rsid w:val="008F4B98"/>
    <w:rsid w:val="008F4DD5"/>
    <w:rsid w:val="008F78BC"/>
    <w:rsid w:val="008F7B63"/>
    <w:rsid w:val="008F7D6A"/>
    <w:rsid w:val="008F7EB4"/>
    <w:rsid w:val="00901C86"/>
    <w:rsid w:val="00902730"/>
    <w:rsid w:val="00902D1E"/>
    <w:rsid w:val="00903603"/>
    <w:rsid w:val="00904EE2"/>
    <w:rsid w:val="00905450"/>
    <w:rsid w:val="009054A7"/>
    <w:rsid w:val="009054CB"/>
    <w:rsid w:val="00907444"/>
    <w:rsid w:val="00910741"/>
    <w:rsid w:val="00911F8D"/>
    <w:rsid w:val="00912F94"/>
    <w:rsid w:val="00916585"/>
    <w:rsid w:val="00916BA9"/>
    <w:rsid w:val="009171BC"/>
    <w:rsid w:val="00921228"/>
    <w:rsid w:val="00921ED7"/>
    <w:rsid w:val="009234F3"/>
    <w:rsid w:val="00923CFA"/>
    <w:rsid w:val="0092424F"/>
    <w:rsid w:val="0092497E"/>
    <w:rsid w:val="0092590B"/>
    <w:rsid w:val="00925BF3"/>
    <w:rsid w:val="00925E60"/>
    <w:rsid w:val="009264B3"/>
    <w:rsid w:val="00926D6B"/>
    <w:rsid w:val="00927D93"/>
    <w:rsid w:val="009365E0"/>
    <w:rsid w:val="00942BA2"/>
    <w:rsid w:val="009432B7"/>
    <w:rsid w:val="00944C86"/>
    <w:rsid w:val="0094578C"/>
    <w:rsid w:val="00947C02"/>
    <w:rsid w:val="00950B8C"/>
    <w:rsid w:val="00950BE6"/>
    <w:rsid w:val="009529CB"/>
    <w:rsid w:val="00953DB9"/>
    <w:rsid w:val="00953F2A"/>
    <w:rsid w:val="00957DE8"/>
    <w:rsid w:val="00960ECB"/>
    <w:rsid w:val="009615D6"/>
    <w:rsid w:val="00961883"/>
    <w:rsid w:val="00961C85"/>
    <w:rsid w:val="00967855"/>
    <w:rsid w:val="00972186"/>
    <w:rsid w:val="00973F61"/>
    <w:rsid w:val="00974709"/>
    <w:rsid w:val="009762F3"/>
    <w:rsid w:val="00980736"/>
    <w:rsid w:val="00981207"/>
    <w:rsid w:val="00981A39"/>
    <w:rsid w:val="00982D56"/>
    <w:rsid w:val="00983DBF"/>
    <w:rsid w:val="00984C0C"/>
    <w:rsid w:val="009852F8"/>
    <w:rsid w:val="00985721"/>
    <w:rsid w:val="00987097"/>
    <w:rsid w:val="00987FB0"/>
    <w:rsid w:val="00991123"/>
    <w:rsid w:val="009915E0"/>
    <w:rsid w:val="00991CAB"/>
    <w:rsid w:val="009A12D8"/>
    <w:rsid w:val="009A2B5B"/>
    <w:rsid w:val="009A3A9C"/>
    <w:rsid w:val="009A6F32"/>
    <w:rsid w:val="009B046C"/>
    <w:rsid w:val="009B09D6"/>
    <w:rsid w:val="009B13FA"/>
    <w:rsid w:val="009B1E2D"/>
    <w:rsid w:val="009B291C"/>
    <w:rsid w:val="009B3B77"/>
    <w:rsid w:val="009B5B0B"/>
    <w:rsid w:val="009C33F1"/>
    <w:rsid w:val="009C4908"/>
    <w:rsid w:val="009C59FB"/>
    <w:rsid w:val="009C6F3B"/>
    <w:rsid w:val="009D1467"/>
    <w:rsid w:val="009D1503"/>
    <w:rsid w:val="009D1B98"/>
    <w:rsid w:val="009D1C32"/>
    <w:rsid w:val="009D381D"/>
    <w:rsid w:val="009D3B9F"/>
    <w:rsid w:val="009D417E"/>
    <w:rsid w:val="009E4BDA"/>
    <w:rsid w:val="009E4FA6"/>
    <w:rsid w:val="009E7D93"/>
    <w:rsid w:val="009F235E"/>
    <w:rsid w:val="009F3C34"/>
    <w:rsid w:val="009F462C"/>
    <w:rsid w:val="009F5C33"/>
    <w:rsid w:val="00A00D04"/>
    <w:rsid w:val="00A015AE"/>
    <w:rsid w:val="00A01D24"/>
    <w:rsid w:val="00A026F0"/>
    <w:rsid w:val="00A03EAC"/>
    <w:rsid w:val="00A0475F"/>
    <w:rsid w:val="00A04DBB"/>
    <w:rsid w:val="00A077EB"/>
    <w:rsid w:val="00A07EA0"/>
    <w:rsid w:val="00A11CA6"/>
    <w:rsid w:val="00A12AA7"/>
    <w:rsid w:val="00A13DF1"/>
    <w:rsid w:val="00A14070"/>
    <w:rsid w:val="00A169A7"/>
    <w:rsid w:val="00A206AF"/>
    <w:rsid w:val="00A208DA"/>
    <w:rsid w:val="00A20C49"/>
    <w:rsid w:val="00A217B1"/>
    <w:rsid w:val="00A21F53"/>
    <w:rsid w:val="00A22932"/>
    <w:rsid w:val="00A269CA"/>
    <w:rsid w:val="00A26E9E"/>
    <w:rsid w:val="00A2733C"/>
    <w:rsid w:val="00A300C4"/>
    <w:rsid w:val="00A329C8"/>
    <w:rsid w:val="00A336EE"/>
    <w:rsid w:val="00A33F46"/>
    <w:rsid w:val="00A3427E"/>
    <w:rsid w:val="00A3531F"/>
    <w:rsid w:val="00A35517"/>
    <w:rsid w:val="00A359AC"/>
    <w:rsid w:val="00A3737F"/>
    <w:rsid w:val="00A40663"/>
    <w:rsid w:val="00A40F83"/>
    <w:rsid w:val="00A410FB"/>
    <w:rsid w:val="00A41413"/>
    <w:rsid w:val="00A420E8"/>
    <w:rsid w:val="00A431E6"/>
    <w:rsid w:val="00A436E8"/>
    <w:rsid w:val="00A44301"/>
    <w:rsid w:val="00A45FB1"/>
    <w:rsid w:val="00A469D9"/>
    <w:rsid w:val="00A46CCC"/>
    <w:rsid w:val="00A47996"/>
    <w:rsid w:val="00A500B6"/>
    <w:rsid w:val="00A50FCA"/>
    <w:rsid w:val="00A51CFE"/>
    <w:rsid w:val="00A5204D"/>
    <w:rsid w:val="00A545FE"/>
    <w:rsid w:val="00A61605"/>
    <w:rsid w:val="00A6506A"/>
    <w:rsid w:val="00A65F97"/>
    <w:rsid w:val="00A70363"/>
    <w:rsid w:val="00A71BE2"/>
    <w:rsid w:val="00A73149"/>
    <w:rsid w:val="00A74ACC"/>
    <w:rsid w:val="00A75FAF"/>
    <w:rsid w:val="00A76429"/>
    <w:rsid w:val="00A76C13"/>
    <w:rsid w:val="00A76DC1"/>
    <w:rsid w:val="00A773FC"/>
    <w:rsid w:val="00A82BBA"/>
    <w:rsid w:val="00A84FD0"/>
    <w:rsid w:val="00A92E79"/>
    <w:rsid w:val="00A950B6"/>
    <w:rsid w:val="00A95D45"/>
    <w:rsid w:val="00A9701B"/>
    <w:rsid w:val="00AA03ED"/>
    <w:rsid w:val="00AA1FF6"/>
    <w:rsid w:val="00AA491B"/>
    <w:rsid w:val="00AA4D6C"/>
    <w:rsid w:val="00AA7C59"/>
    <w:rsid w:val="00AB41C1"/>
    <w:rsid w:val="00AB4CF2"/>
    <w:rsid w:val="00AB6CCA"/>
    <w:rsid w:val="00AC223F"/>
    <w:rsid w:val="00AC33B1"/>
    <w:rsid w:val="00AC4491"/>
    <w:rsid w:val="00AC75D1"/>
    <w:rsid w:val="00AD0D42"/>
    <w:rsid w:val="00AD110C"/>
    <w:rsid w:val="00AD12A8"/>
    <w:rsid w:val="00AD2485"/>
    <w:rsid w:val="00AD31D3"/>
    <w:rsid w:val="00AD3343"/>
    <w:rsid w:val="00AD602E"/>
    <w:rsid w:val="00AE023F"/>
    <w:rsid w:val="00AE0465"/>
    <w:rsid w:val="00AE256D"/>
    <w:rsid w:val="00AE36EC"/>
    <w:rsid w:val="00AF0E4E"/>
    <w:rsid w:val="00AF20DF"/>
    <w:rsid w:val="00AF2FE8"/>
    <w:rsid w:val="00AF3577"/>
    <w:rsid w:val="00AF35DD"/>
    <w:rsid w:val="00AF35F9"/>
    <w:rsid w:val="00AF5EC5"/>
    <w:rsid w:val="00AF687A"/>
    <w:rsid w:val="00AF6BBC"/>
    <w:rsid w:val="00B0424C"/>
    <w:rsid w:val="00B04AAF"/>
    <w:rsid w:val="00B051DB"/>
    <w:rsid w:val="00B05C7D"/>
    <w:rsid w:val="00B079BC"/>
    <w:rsid w:val="00B15D57"/>
    <w:rsid w:val="00B16347"/>
    <w:rsid w:val="00B17BDC"/>
    <w:rsid w:val="00B17D6E"/>
    <w:rsid w:val="00B2314F"/>
    <w:rsid w:val="00B2435E"/>
    <w:rsid w:val="00B317A1"/>
    <w:rsid w:val="00B31893"/>
    <w:rsid w:val="00B32B55"/>
    <w:rsid w:val="00B32B7C"/>
    <w:rsid w:val="00B34243"/>
    <w:rsid w:val="00B346C3"/>
    <w:rsid w:val="00B361F8"/>
    <w:rsid w:val="00B4005C"/>
    <w:rsid w:val="00B41E93"/>
    <w:rsid w:val="00B4227E"/>
    <w:rsid w:val="00B42405"/>
    <w:rsid w:val="00B42550"/>
    <w:rsid w:val="00B4258E"/>
    <w:rsid w:val="00B43112"/>
    <w:rsid w:val="00B43A4B"/>
    <w:rsid w:val="00B43D6C"/>
    <w:rsid w:val="00B4471C"/>
    <w:rsid w:val="00B451A6"/>
    <w:rsid w:val="00B45CD1"/>
    <w:rsid w:val="00B5203B"/>
    <w:rsid w:val="00B52FAD"/>
    <w:rsid w:val="00B56D6E"/>
    <w:rsid w:val="00B64347"/>
    <w:rsid w:val="00B65750"/>
    <w:rsid w:val="00B65DC6"/>
    <w:rsid w:val="00B666C7"/>
    <w:rsid w:val="00B66FF9"/>
    <w:rsid w:val="00B67AC2"/>
    <w:rsid w:val="00B71474"/>
    <w:rsid w:val="00B722DE"/>
    <w:rsid w:val="00B72C9E"/>
    <w:rsid w:val="00B73DF0"/>
    <w:rsid w:val="00B751E3"/>
    <w:rsid w:val="00B75BA6"/>
    <w:rsid w:val="00B76C44"/>
    <w:rsid w:val="00B77D7F"/>
    <w:rsid w:val="00B805F8"/>
    <w:rsid w:val="00B809EC"/>
    <w:rsid w:val="00B8184A"/>
    <w:rsid w:val="00B82283"/>
    <w:rsid w:val="00B828D8"/>
    <w:rsid w:val="00B83F87"/>
    <w:rsid w:val="00B8415C"/>
    <w:rsid w:val="00B85E14"/>
    <w:rsid w:val="00B872AA"/>
    <w:rsid w:val="00B877A2"/>
    <w:rsid w:val="00B87CDC"/>
    <w:rsid w:val="00B90392"/>
    <w:rsid w:val="00B9039E"/>
    <w:rsid w:val="00B90FCB"/>
    <w:rsid w:val="00B910C1"/>
    <w:rsid w:val="00B968F3"/>
    <w:rsid w:val="00B96FC2"/>
    <w:rsid w:val="00BA0029"/>
    <w:rsid w:val="00BA0A1E"/>
    <w:rsid w:val="00BA22AA"/>
    <w:rsid w:val="00BA2CA4"/>
    <w:rsid w:val="00BA2EFA"/>
    <w:rsid w:val="00BA3BB1"/>
    <w:rsid w:val="00BA3DBC"/>
    <w:rsid w:val="00BA6253"/>
    <w:rsid w:val="00BA6C0E"/>
    <w:rsid w:val="00BA707A"/>
    <w:rsid w:val="00BA7A1E"/>
    <w:rsid w:val="00BB0A97"/>
    <w:rsid w:val="00BB1AFB"/>
    <w:rsid w:val="00BB27AE"/>
    <w:rsid w:val="00BB2A22"/>
    <w:rsid w:val="00BB2DA2"/>
    <w:rsid w:val="00BB4718"/>
    <w:rsid w:val="00BB56DC"/>
    <w:rsid w:val="00BC1619"/>
    <w:rsid w:val="00BC261F"/>
    <w:rsid w:val="00BC2C58"/>
    <w:rsid w:val="00BC326B"/>
    <w:rsid w:val="00BC5716"/>
    <w:rsid w:val="00BD09E9"/>
    <w:rsid w:val="00BD2848"/>
    <w:rsid w:val="00BD2BAC"/>
    <w:rsid w:val="00BD4F62"/>
    <w:rsid w:val="00BD5C74"/>
    <w:rsid w:val="00BE0BBA"/>
    <w:rsid w:val="00BE183D"/>
    <w:rsid w:val="00BE508E"/>
    <w:rsid w:val="00BE5E0C"/>
    <w:rsid w:val="00BE7878"/>
    <w:rsid w:val="00BE7CC2"/>
    <w:rsid w:val="00BF1BA4"/>
    <w:rsid w:val="00BF1DD2"/>
    <w:rsid w:val="00BF2947"/>
    <w:rsid w:val="00BF3EEB"/>
    <w:rsid w:val="00BF5D7A"/>
    <w:rsid w:val="00C01C2E"/>
    <w:rsid w:val="00C02D33"/>
    <w:rsid w:val="00C04B53"/>
    <w:rsid w:val="00C1113E"/>
    <w:rsid w:val="00C1232C"/>
    <w:rsid w:val="00C12473"/>
    <w:rsid w:val="00C141E0"/>
    <w:rsid w:val="00C14764"/>
    <w:rsid w:val="00C261E4"/>
    <w:rsid w:val="00C26D65"/>
    <w:rsid w:val="00C27C6B"/>
    <w:rsid w:val="00C303E2"/>
    <w:rsid w:val="00C33257"/>
    <w:rsid w:val="00C3594D"/>
    <w:rsid w:val="00C36442"/>
    <w:rsid w:val="00C36EA3"/>
    <w:rsid w:val="00C37A68"/>
    <w:rsid w:val="00C400CE"/>
    <w:rsid w:val="00C410FD"/>
    <w:rsid w:val="00C41EC8"/>
    <w:rsid w:val="00C4448C"/>
    <w:rsid w:val="00C457DE"/>
    <w:rsid w:val="00C47DD3"/>
    <w:rsid w:val="00C514E7"/>
    <w:rsid w:val="00C52553"/>
    <w:rsid w:val="00C53562"/>
    <w:rsid w:val="00C539FB"/>
    <w:rsid w:val="00C54021"/>
    <w:rsid w:val="00C57644"/>
    <w:rsid w:val="00C61AC2"/>
    <w:rsid w:val="00C6299E"/>
    <w:rsid w:val="00C6680F"/>
    <w:rsid w:val="00C66E57"/>
    <w:rsid w:val="00C71F4A"/>
    <w:rsid w:val="00C72E62"/>
    <w:rsid w:val="00C73B29"/>
    <w:rsid w:val="00C74150"/>
    <w:rsid w:val="00C746A7"/>
    <w:rsid w:val="00C75594"/>
    <w:rsid w:val="00C83A99"/>
    <w:rsid w:val="00C85391"/>
    <w:rsid w:val="00C857A6"/>
    <w:rsid w:val="00C85982"/>
    <w:rsid w:val="00C86095"/>
    <w:rsid w:val="00C87C4E"/>
    <w:rsid w:val="00C915B3"/>
    <w:rsid w:val="00C93D83"/>
    <w:rsid w:val="00C94E76"/>
    <w:rsid w:val="00C95F2A"/>
    <w:rsid w:val="00C96181"/>
    <w:rsid w:val="00C96D84"/>
    <w:rsid w:val="00CA0466"/>
    <w:rsid w:val="00CA210B"/>
    <w:rsid w:val="00CA246D"/>
    <w:rsid w:val="00CA248C"/>
    <w:rsid w:val="00CA38D6"/>
    <w:rsid w:val="00CA4B59"/>
    <w:rsid w:val="00CA50D9"/>
    <w:rsid w:val="00CB0C11"/>
    <w:rsid w:val="00CB1EA0"/>
    <w:rsid w:val="00CB2CBE"/>
    <w:rsid w:val="00CB3054"/>
    <w:rsid w:val="00CB5636"/>
    <w:rsid w:val="00CB64F4"/>
    <w:rsid w:val="00CC0FE8"/>
    <w:rsid w:val="00CC2960"/>
    <w:rsid w:val="00CC3EE5"/>
    <w:rsid w:val="00CC49A0"/>
    <w:rsid w:val="00CC7EC3"/>
    <w:rsid w:val="00CD045E"/>
    <w:rsid w:val="00CD24D9"/>
    <w:rsid w:val="00CD30DB"/>
    <w:rsid w:val="00CE38BC"/>
    <w:rsid w:val="00CE425C"/>
    <w:rsid w:val="00CE4E01"/>
    <w:rsid w:val="00CE52FE"/>
    <w:rsid w:val="00CE58AC"/>
    <w:rsid w:val="00CE7D0D"/>
    <w:rsid w:val="00CF06E4"/>
    <w:rsid w:val="00CF10DF"/>
    <w:rsid w:val="00CF2FC3"/>
    <w:rsid w:val="00CF4553"/>
    <w:rsid w:val="00CF5A80"/>
    <w:rsid w:val="00CF5BE4"/>
    <w:rsid w:val="00CF6913"/>
    <w:rsid w:val="00CF785F"/>
    <w:rsid w:val="00D00121"/>
    <w:rsid w:val="00D0195B"/>
    <w:rsid w:val="00D01C6B"/>
    <w:rsid w:val="00D01CA0"/>
    <w:rsid w:val="00D045EE"/>
    <w:rsid w:val="00D05091"/>
    <w:rsid w:val="00D05CCE"/>
    <w:rsid w:val="00D076E6"/>
    <w:rsid w:val="00D10CA6"/>
    <w:rsid w:val="00D10F21"/>
    <w:rsid w:val="00D121F4"/>
    <w:rsid w:val="00D12FDE"/>
    <w:rsid w:val="00D134CF"/>
    <w:rsid w:val="00D15047"/>
    <w:rsid w:val="00D1573B"/>
    <w:rsid w:val="00D15BF9"/>
    <w:rsid w:val="00D164BA"/>
    <w:rsid w:val="00D171ED"/>
    <w:rsid w:val="00D17CBF"/>
    <w:rsid w:val="00D24806"/>
    <w:rsid w:val="00D26326"/>
    <w:rsid w:val="00D265B3"/>
    <w:rsid w:val="00D26F3C"/>
    <w:rsid w:val="00D27758"/>
    <w:rsid w:val="00D3120D"/>
    <w:rsid w:val="00D31A4D"/>
    <w:rsid w:val="00D34040"/>
    <w:rsid w:val="00D34E69"/>
    <w:rsid w:val="00D36C78"/>
    <w:rsid w:val="00D375EE"/>
    <w:rsid w:val="00D42284"/>
    <w:rsid w:val="00D42F95"/>
    <w:rsid w:val="00D4565A"/>
    <w:rsid w:val="00D46E42"/>
    <w:rsid w:val="00D47204"/>
    <w:rsid w:val="00D476CB"/>
    <w:rsid w:val="00D47E92"/>
    <w:rsid w:val="00D54D7E"/>
    <w:rsid w:val="00D55757"/>
    <w:rsid w:val="00D55AE8"/>
    <w:rsid w:val="00D56056"/>
    <w:rsid w:val="00D6085F"/>
    <w:rsid w:val="00D61ED9"/>
    <w:rsid w:val="00D61F64"/>
    <w:rsid w:val="00D62699"/>
    <w:rsid w:val="00D62EE9"/>
    <w:rsid w:val="00D63C05"/>
    <w:rsid w:val="00D678EE"/>
    <w:rsid w:val="00D70C85"/>
    <w:rsid w:val="00D73958"/>
    <w:rsid w:val="00D773C5"/>
    <w:rsid w:val="00D778E9"/>
    <w:rsid w:val="00D812BF"/>
    <w:rsid w:val="00D81627"/>
    <w:rsid w:val="00D82620"/>
    <w:rsid w:val="00D8262B"/>
    <w:rsid w:val="00D85707"/>
    <w:rsid w:val="00D85FCE"/>
    <w:rsid w:val="00D9129E"/>
    <w:rsid w:val="00D9176E"/>
    <w:rsid w:val="00D93F98"/>
    <w:rsid w:val="00D94EA1"/>
    <w:rsid w:val="00D9725F"/>
    <w:rsid w:val="00DA01B1"/>
    <w:rsid w:val="00DA11A2"/>
    <w:rsid w:val="00DA14ED"/>
    <w:rsid w:val="00DA2448"/>
    <w:rsid w:val="00DA26D6"/>
    <w:rsid w:val="00DA27BF"/>
    <w:rsid w:val="00DA5308"/>
    <w:rsid w:val="00DA7799"/>
    <w:rsid w:val="00DB0F23"/>
    <w:rsid w:val="00DB1864"/>
    <w:rsid w:val="00DB2EF1"/>
    <w:rsid w:val="00DB3DE1"/>
    <w:rsid w:val="00DB5623"/>
    <w:rsid w:val="00DB58E7"/>
    <w:rsid w:val="00DB5DA0"/>
    <w:rsid w:val="00DB716C"/>
    <w:rsid w:val="00DB7827"/>
    <w:rsid w:val="00DC3373"/>
    <w:rsid w:val="00DC4488"/>
    <w:rsid w:val="00DC5C85"/>
    <w:rsid w:val="00DC7C5D"/>
    <w:rsid w:val="00DD4236"/>
    <w:rsid w:val="00DD44F1"/>
    <w:rsid w:val="00DD4CBA"/>
    <w:rsid w:val="00DD6101"/>
    <w:rsid w:val="00DD6957"/>
    <w:rsid w:val="00DD6E7A"/>
    <w:rsid w:val="00DD737C"/>
    <w:rsid w:val="00DE1939"/>
    <w:rsid w:val="00DE3067"/>
    <w:rsid w:val="00DE5E83"/>
    <w:rsid w:val="00DE76D6"/>
    <w:rsid w:val="00DF23A1"/>
    <w:rsid w:val="00DF2754"/>
    <w:rsid w:val="00DF3EEE"/>
    <w:rsid w:val="00DF75E1"/>
    <w:rsid w:val="00E01069"/>
    <w:rsid w:val="00E013E8"/>
    <w:rsid w:val="00E027BC"/>
    <w:rsid w:val="00E04D42"/>
    <w:rsid w:val="00E10F0D"/>
    <w:rsid w:val="00E13C7C"/>
    <w:rsid w:val="00E14EA5"/>
    <w:rsid w:val="00E1519C"/>
    <w:rsid w:val="00E16A17"/>
    <w:rsid w:val="00E2070E"/>
    <w:rsid w:val="00E207F5"/>
    <w:rsid w:val="00E21133"/>
    <w:rsid w:val="00E2327E"/>
    <w:rsid w:val="00E23915"/>
    <w:rsid w:val="00E25EDB"/>
    <w:rsid w:val="00E2616A"/>
    <w:rsid w:val="00E2667D"/>
    <w:rsid w:val="00E266EF"/>
    <w:rsid w:val="00E275DE"/>
    <w:rsid w:val="00E31BE1"/>
    <w:rsid w:val="00E31E41"/>
    <w:rsid w:val="00E32E09"/>
    <w:rsid w:val="00E3321C"/>
    <w:rsid w:val="00E335E6"/>
    <w:rsid w:val="00E36178"/>
    <w:rsid w:val="00E37AE0"/>
    <w:rsid w:val="00E40F49"/>
    <w:rsid w:val="00E41B4A"/>
    <w:rsid w:val="00E43347"/>
    <w:rsid w:val="00E45456"/>
    <w:rsid w:val="00E47428"/>
    <w:rsid w:val="00E501E2"/>
    <w:rsid w:val="00E51FBC"/>
    <w:rsid w:val="00E52314"/>
    <w:rsid w:val="00E53002"/>
    <w:rsid w:val="00E5361B"/>
    <w:rsid w:val="00E56C8E"/>
    <w:rsid w:val="00E5716B"/>
    <w:rsid w:val="00E5763C"/>
    <w:rsid w:val="00E57F1F"/>
    <w:rsid w:val="00E60AD4"/>
    <w:rsid w:val="00E62C27"/>
    <w:rsid w:val="00E63B8A"/>
    <w:rsid w:val="00E66B9F"/>
    <w:rsid w:val="00E673D0"/>
    <w:rsid w:val="00E703BC"/>
    <w:rsid w:val="00E70A6A"/>
    <w:rsid w:val="00E70DC0"/>
    <w:rsid w:val="00E710D6"/>
    <w:rsid w:val="00E7141B"/>
    <w:rsid w:val="00E73DA4"/>
    <w:rsid w:val="00E76E45"/>
    <w:rsid w:val="00E77431"/>
    <w:rsid w:val="00E777C9"/>
    <w:rsid w:val="00E81DA6"/>
    <w:rsid w:val="00E82ABC"/>
    <w:rsid w:val="00E82F3D"/>
    <w:rsid w:val="00E84212"/>
    <w:rsid w:val="00E85488"/>
    <w:rsid w:val="00E8655E"/>
    <w:rsid w:val="00E87225"/>
    <w:rsid w:val="00E90733"/>
    <w:rsid w:val="00E9086C"/>
    <w:rsid w:val="00E90A87"/>
    <w:rsid w:val="00E90AAA"/>
    <w:rsid w:val="00E91075"/>
    <w:rsid w:val="00E91A0F"/>
    <w:rsid w:val="00E92AB1"/>
    <w:rsid w:val="00E936B6"/>
    <w:rsid w:val="00E94A71"/>
    <w:rsid w:val="00E94CBF"/>
    <w:rsid w:val="00E95D18"/>
    <w:rsid w:val="00EA03CE"/>
    <w:rsid w:val="00EA0D04"/>
    <w:rsid w:val="00EA23E5"/>
    <w:rsid w:val="00EA4767"/>
    <w:rsid w:val="00EA4E2E"/>
    <w:rsid w:val="00EA62CA"/>
    <w:rsid w:val="00EA6803"/>
    <w:rsid w:val="00EA6EE4"/>
    <w:rsid w:val="00EB0551"/>
    <w:rsid w:val="00EB2417"/>
    <w:rsid w:val="00EB29DD"/>
    <w:rsid w:val="00EB2CCB"/>
    <w:rsid w:val="00EB32A5"/>
    <w:rsid w:val="00EB36C9"/>
    <w:rsid w:val="00EB4502"/>
    <w:rsid w:val="00EB4F7D"/>
    <w:rsid w:val="00EB4FB9"/>
    <w:rsid w:val="00EB704A"/>
    <w:rsid w:val="00EB7A25"/>
    <w:rsid w:val="00EC0F3E"/>
    <w:rsid w:val="00EC29E9"/>
    <w:rsid w:val="00EC3470"/>
    <w:rsid w:val="00EC4F9F"/>
    <w:rsid w:val="00EC57A7"/>
    <w:rsid w:val="00EC748F"/>
    <w:rsid w:val="00ED0817"/>
    <w:rsid w:val="00ED145E"/>
    <w:rsid w:val="00ED1C78"/>
    <w:rsid w:val="00ED3532"/>
    <w:rsid w:val="00ED6BDA"/>
    <w:rsid w:val="00ED79AA"/>
    <w:rsid w:val="00ED7C6F"/>
    <w:rsid w:val="00ED7DD9"/>
    <w:rsid w:val="00ED7EAF"/>
    <w:rsid w:val="00EE445B"/>
    <w:rsid w:val="00EE460C"/>
    <w:rsid w:val="00EE4CB4"/>
    <w:rsid w:val="00EE4E5D"/>
    <w:rsid w:val="00EE54BA"/>
    <w:rsid w:val="00EE5E4F"/>
    <w:rsid w:val="00EE6AAC"/>
    <w:rsid w:val="00EF0F25"/>
    <w:rsid w:val="00EF1781"/>
    <w:rsid w:val="00EF3113"/>
    <w:rsid w:val="00EF3F84"/>
    <w:rsid w:val="00EF7269"/>
    <w:rsid w:val="00EF7C7A"/>
    <w:rsid w:val="00F00FE9"/>
    <w:rsid w:val="00F02915"/>
    <w:rsid w:val="00F0342E"/>
    <w:rsid w:val="00F035D6"/>
    <w:rsid w:val="00F077E5"/>
    <w:rsid w:val="00F1212D"/>
    <w:rsid w:val="00F13077"/>
    <w:rsid w:val="00F13DBA"/>
    <w:rsid w:val="00F14BCB"/>
    <w:rsid w:val="00F176AC"/>
    <w:rsid w:val="00F20D1E"/>
    <w:rsid w:val="00F2267A"/>
    <w:rsid w:val="00F23388"/>
    <w:rsid w:val="00F25C88"/>
    <w:rsid w:val="00F26F28"/>
    <w:rsid w:val="00F27714"/>
    <w:rsid w:val="00F27805"/>
    <w:rsid w:val="00F3276E"/>
    <w:rsid w:val="00F33D3C"/>
    <w:rsid w:val="00F36609"/>
    <w:rsid w:val="00F36E49"/>
    <w:rsid w:val="00F37A91"/>
    <w:rsid w:val="00F408A0"/>
    <w:rsid w:val="00F41051"/>
    <w:rsid w:val="00F4275B"/>
    <w:rsid w:val="00F45CF5"/>
    <w:rsid w:val="00F4733B"/>
    <w:rsid w:val="00F47DB0"/>
    <w:rsid w:val="00F50C3F"/>
    <w:rsid w:val="00F50E34"/>
    <w:rsid w:val="00F53EF7"/>
    <w:rsid w:val="00F54BF2"/>
    <w:rsid w:val="00F55268"/>
    <w:rsid w:val="00F55368"/>
    <w:rsid w:val="00F5652D"/>
    <w:rsid w:val="00F56736"/>
    <w:rsid w:val="00F611EA"/>
    <w:rsid w:val="00F65F70"/>
    <w:rsid w:val="00F66077"/>
    <w:rsid w:val="00F711C6"/>
    <w:rsid w:val="00F71A83"/>
    <w:rsid w:val="00F71FFF"/>
    <w:rsid w:val="00F775AC"/>
    <w:rsid w:val="00F779A4"/>
    <w:rsid w:val="00F82644"/>
    <w:rsid w:val="00F84488"/>
    <w:rsid w:val="00F848B1"/>
    <w:rsid w:val="00F86340"/>
    <w:rsid w:val="00F90DD5"/>
    <w:rsid w:val="00F9118F"/>
    <w:rsid w:val="00F92355"/>
    <w:rsid w:val="00F93963"/>
    <w:rsid w:val="00F94059"/>
    <w:rsid w:val="00F94291"/>
    <w:rsid w:val="00F95DD1"/>
    <w:rsid w:val="00F9699E"/>
    <w:rsid w:val="00FA298A"/>
    <w:rsid w:val="00FA5B66"/>
    <w:rsid w:val="00FA77F7"/>
    <w:rsid w:val="00FB14A8"/>
    <w:rsid w:val="00FB17CA"/>
    <w:rsid w:val="00FB2E51"/>
    <w:rsid w:val="00FB30EB"/>
    <w:rsid w:val="00FB3A8A"/>
    <w:rsid w:val="00FB49B7"/>
    <w:rsid w:val="00FB592D"/>
    <w:rsid w:val="00FB7982"/>
    <w:rsid w:val="00FC0734"/>
    <w:rsid w:val="00FC08CA"/>
    <w:rsid w:val="00FC0FC5"/>
    <w:rsid w:val="00FC2BC1"/>
    <w:rsid w:val="00FC588F"/>
    <w:rsid w:val="00FC5D1E"/>
    <w:rsid w:val="00FC6879"/>
    <w:rsid w:val="00FD27D8"/>
    <w:rsid w:val="00FD371E"/>
    <w:rsid w:val="00FD400F"/>
    <w:rsid w:val="00FD670B"/>
    <w:rsid w:val="00FE0040"/>
    <w:rsid w:val="00FE15DD"/>
    <w:rsid w:val="00FE1B30"/>
    <w:rsid w:val="00FE358A"/>
    <w:rsid w:val="00FE6644"/>
    <w:rsid w:val="00FE6828"/>
    <w:rsid w:val="00FE6AA8"/>
    <w:rsid w:val="00FE7B44"/>
    <w:rsid w:val="00FF05DA"/>
    <w:rsid w:val="00FF389A"/>
    <w:rsid w:val="00FF56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3"/>
    <o:shapelayout v:ext="edit">
      <o:idmap v:ext="edit" data="1"/>
    </o:shapelayout>
  </w:shapeDefaults>
  <w:decimalSymbol w:val="."/>
  <w:listSeparator w:val=","/>
  <w14:docId w14:val="34EDC0A1"/>
  <w15:docId w15:val="{6620762E-BFCE-4CE6-9ABA-5D5ED0AF3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uiPriority="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uiPriority w:val="1"/>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1440"/>
      </w:tabs>
      <w:spacing w:before="180" w:after="180"/>
      <w:ind w:left="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81ADF"/>
    <w:pPr>
      <w:tabs>
        <w:tab w:val="right" w:leader="dot" w:pos="9072"/>
      </w:tabs>
      <w:spacing w:before="120" w:after="60" w:line="240" w:lineRule="auto"/>
      <w:jc w:val="left"/>
    </w:pPr>
    <w:rPr>
      <w:b/>
      <w:caps/>
      <w:kern w:val="28"/>
    </w:rPr>
  </w:style>
  <w:style w:type="paragraph" w:customStyle="1" w:styleId="ListNo1">
    <w:name w:val="List No 1"/>
    <w:basedOn w:val="Normal"/>
    <w:rsid w:val="0052098C"/>
    <w:pPr>
      <w:numPr>
        <w:numId w:val="23"/>
      </w:numPr>
      <w:spacing w:before="60" w:after="60"/>
    </w:pPr>
  </w:style>
  <w:style w:type="paragraph" w:customStyle="1" w:styleId="FTOC2">
    <w:name w:val="FTOC 2"/>
    <w:basedOn w:val="Normal"/>
    <w:semiHidden/>
    <w:rsid w:val="00681ADF"/>
    <w:pPr>
      <w:tabs>
        <w:tab w:val="right" w:leader="dot" w:pos="9072"/>
      </w:tabs>
      <w:spacing w:before="120" w:after="60" w:line="240" w:lineRule="auto"/>
      <w:ind w:left="238"/>
      <w:jc w:val="left"/>
    </w:pPr>
    <w:rPr>
      <w:b/>
    </w:rPr>
  </w:style>
  <w:style w:type="paragraph" w:customStyle="1" w:styleId="FTOC3">
    <w:name w:val="FTOC 3"/>
    <w:basedOn w:val="Normal"/>
    <w:semiHidden/>
    <w:rsid w:val="00681ADF"/>
    <w:pPr>
      <w:tabs>
        <w:tab w:val="right" w:leader="dot" w:pos="9072"/>
      </w:tabs>
      <w:spacing w:before="120" w:after="60" w:line="240" w:lineRule="auto"/>
      <w:ind w:left="482"/>
      <w:jc w:val="left"/>
    </w:pPr>
    <w:rPr>
      <w:b/>
      <w:i/>
    </w:rPr>
  </w:style>
  <w:style w:type="paragraph" w:customStyle="1" w:styleId="FTOC4">
    <w:name w:val="FTOC 4"/>
    <w:basedOn w:val="Normal"/>
    <w:semiHidden/>
    <w:rsid w:val="00681ADF"/>
    <w:pPr>
      <w:tabs>
        <w:tab w:val="right" w:leader="dot" w:pos="9072"/>
      </w:tabs>
      <w:spacing w:before="120" w:after="60" w:line="240" w:lineRule="auto"/>
      <w:ind w:left="720"/>
      <w:jc w:val="left"/>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uiPriority w:val="99"/>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uiPriority w:val="22"/>
    <w:qFormat/>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rsid w:val="00323061"/>
    <w:pPr>
      <w:spacing w:before="120" w:after="60" w:line="240" w:lineRule="auto"/>
      <w:jc w:val="left"/>
    </w:pPr>
  </w:style>
  <w:style w:type="paragraph" w:customStyle="1" w:styleId="bTOC2">
    <w:name w:val="bTOC 2"/>
    <w:basedOn w:val="TOC2"/>
    <w:semiHidden/>
    <w:rsid w:val="00323061"/>
    <w:pPr>
      <w:spacing w:before="120" w:after="60" w:line="240" w:lineRule="auto"/>
      <w:ind w:left="238"/>
      <w:jc w:val="left"/>
    </w:pPr>
  </w:style>
  <w:style w:type="paragraph" w:customStyle="1" w:styleId="bTOC3">
    <w:name w:val="bTOC 3"/>
    <w:basedOn w:val="TOC3"/>
    <w:semiHidden/>
    <w:rsid w:val="00323061"/>
    <w:pPr>
      <w:spacing w:before="120" w:after="60" w:line="240" w:lineRule="auto"/>
      <w:ind w:left="482"/>
      <w:jc w:val="left"/>
    </w:pPr>
  </w:style>
  <w:style w:type="paragraph" w:customStyle="1" w:styleId="bTOC4">
    <w:name w:val="bTOC 4"/>
    <w:basedOn w:val="TOC4"/>
    <w:semiHidden/>
    <w:rsid w:val="00323061"/>
    <w:pPr>
      <w:spacing w:before="120" w:after="60" w:line="240" w:lineRule="auto"/>
      <w:jc w:val="left"/>
    </w:pPr>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3774B2"/>
    <w:pPr>
      <w:tabs>
        <w:tab w:val="right" w:leader="dot" w:pos="9072"/>
      </w:tabs>
      <w:spacing w:before="120" w:after="60" w:line="240" w:lineRule="auto"/>
      <w:ind w:left="709" w:hanging="709"/>
      <w:jc w:val="left"/>
    </w:pPr>
    <w:rPr>
      <w:b/>
      <w:kern w:val="28"/>
    </w:rPr>
  </w:style>
  <w:style w:type="paragraph" w:customStyle="1" w:styleId="FTOC6">
    <w:name w:val="FTOC 6"/>
    <w:basedOn w:val="Normal"/>
    <w:semiHidden/>
    <w:rsid w:val="003774B2"/>
    <w:pPr>
      <w:tabs>
        <w:tab w:val="right" w:leader="dot" w:pos="9072"/>
      </w:tabs>
      <w:spacing w:before="120" w:after="60" w:line="240" w:lineRule="auto"/>
      <w:ind w:left="1418" w:hanging="709"/>
      <w:jc w:val="left"/>
    </w:pPr>
    <w:rPr>
      <w:b/>
    </w:rPr>
  </w:style>
  <w:style w:type="paragraph" w:customStyle="1" w:styleId="FTOC7">
    <w:name w:val="FTOC 7"/>
    <w:basedOn w:val="Normal"/>
    <w:semiHidden/>
    <w:rsid w:val="003774B2"/>
    <w:pPr>
      <w:tabs>
        <w:tab w:val="right" w:leader="dot" w:pos="9072"/>
      </w:tabs>
      <w:spacing w:before="120" w:after="60" w:line="240" w:lineRule="auto"/>
      <w:ind w:left="2127" w:hanging="709"/>
      <w:jc w:val="left"/>
    </w:pPr>
    <w:rPr>
      <w:b/>
    </w:rPr>
  </w:style>
  <w:style w:type="paragraph" w:customStyle="1" w:styleId="FTOC8">
    <w:name w:val="FTOC 8"/>
    <w:basedOn w:val="Normal"/>
    <w:semiHidden/>
    <w:rsid w:val="003774B2"/>
    <w:pPr>
      <w:tabs>
        <w:tab w:val="right" w:leader="dot" w:pos="9072"/>
      </w:tabs>
      <w:spacing w:before="120" w:after="60" w:line="240" w:lineRule="auto"/>
      <w:ind w:left="3260" w:hanging="1134"/>
      <w:jc w:val="left"/>
    </w:pPr>
    <w:rPr>
      <w:b/>
    </w:rPr>
  </w:style>
  <w:style w:type="paragraph" w:customStyle="1" w:styleId="FTOC9">
    <w:name w:val="FTOC 9"/>
    <w:basedOn w:val="Normal"/>
    <w:semiHidden/>
    <w:rsid w:val="003774B2"/>
    <w:pPr>
      <w:tabs>
        <w:tab w:val="right" w:leader="dot" w:pos="9072"/>
      </w:tabs>
      <w:spacing w:before="120" w:after="60" w:line="240" w:lineRule="auto"/>
      <w:ind w:left="3969" w:hanging="1134"/>
      <w:jc w:val="left"/>
    </w:pPr>
    <w:rPr>
      <w:b/>
    </w:rPr>
  </w:style>
  <w:style w:type="paragraph" w:customStyle="1" w:styleId="bTOC5">
    <w:name w:val="bTOC 5"/>
    <w:basedOn w:val="Normal"/>
    <w:semiHidden/>
    <w:rsid w:val="00323061"/>
    <w:pPr>
      <w:tabs>
        <w:tab w:val="right" w:leader="dot" w:pos="9072"/>
      </w:tabs>
      <w:spacing w:before="120" w:after="60" w:line="240" w:lineRule="auto"/>
      <w:ind w:left="709" w:hanging="709"/>
      <w:jc w:val="left"/>
    </w:pPr>
  </w:style>
  <w:style w:type="paragraph" w:customStyle="1" w:styleId="bTOC6">
    <w:name w:val="bTOC 6"/>
    <w:basedOn w:val="Normal"/>
    <w:semiHidden/>
    <w:rsid w:val="00323061"/>
    <w:pPr>
      <w:tabs>
        <w:tab w:val="right" w:leader="dot" w:pos="9072"/>
      </w:tabs>
      <w:spacing w:before="120" w:after="60" w:line="240" w:lineRule="auto"/>
      <w:ind w:left="1418" w:hanging="709"/>
      <w:jc w:val="left"/>
    </w:pPr>
  </w:style>
  <w:style w:type="paragraph" w:customStyle="1" w:styleId="bTOC7">
    <w:name w:val="bTOC 7"/>
    <w:basedOn w:val="Normal"/>
    <w:semiHidden/>
    <w:rsid w:val="00323061"/>
    <w:pPr>
      <w:tabs>
        <w:tab w:val="right" w:leader="dot" w:pos="9072"/>
      </w:tabs>
      <w:spacing w:before="120" w:after="60" w:line="240" w:lineRule="auto"/>
      <w:ind w:left="2127" w:hanging="709"/>
      <w:jc w:val="left"/>
    </w:pPr>
  </w:style>
  <w:style w:type="paragraph" w:customStyle="1" w:styleId="bTOC8">
    <w:name w:val="bTOC 8"/>
    <w:basedOn w:val="Normal"/>
    <w:semiHidden/>
    <w:rsid w:val="00323061"/>
    <w:pPr>
      <w:keepNext/>
      <w:tabs>
        <w:tab w:val="right" w:leader="dot" w:pos="9072"/>
      </w:tabs>
      <w:spacing w:before="120" w:after="60" w:line="240" w:lineRule="auto"/>
      <w:ind w:left="3260" w:hanging="1134"/>
      <w:jc w:val="left"/>
    </w:pPr>
  </w:style>
  <w:style w:type="paragraph" w:customStyle="1" w:styleId="bTOC9">
    <w:name w:val="bTOC 9"/>
    <w:basedOn w:val="Normal"/>
    <w:semiHidden/>
    <w:rsid w:val="00323061"/>
    <w:pPr>
      <w:keepNext/>
      <w:tabs>
        <w:tab w:val="right" w:leader="dot" w:pos="9072"/>
      </w:tabs>
      <w:spacing w:before="120" w:after="60" w:line="240" w:lineRule="auto"/>
      <w:ind w:left="3969" w:hanging="1134"/>
      <w:jc w:val="left"/>
    </w:pPr>
  </w:style>
  <w:style w:type="paragraph" w:customStyle="1" w:styleId="ListNo2">
    <w:name w:val="List No 2"/>
    <w:basedOn w:val="ListNo1"/>
    <w:rsid w:val="0052098C"/>
    <w:pPr>
      <w:numPr>
        <w:ilvl w:val="1"/>
      </w:numPr>
    </w:pPr>
  </w:style>
  <w:style w:type="paragraph" w:customStyle="1" w:styleId="ListNo3">
    <w:name w:val="List No 3"/>
    <w:basedOn w:val="ListNo2"/>
    <w:rsid w:val="0052098C"/>
    <w:pPr>
      <w:numPr>
        <w:ilvl w:val="2"/>
      </w:numPr>
    </w:pPr>
  </w:style>
  <w:style w:type="numbering" w:customStyle="1" w:styleId="FCListNo">
    <w:name w:val="FCListNo"/>
    <w:uiPriority w:val="99"/>
    <w:rsid w:val="0052098C"/>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E445B"/>
    <w:pPr>
      <w:numPr>
        <w:numId w:val="20"/>
      </w:numPr>
      <w:ind w:hanging="720"/>
    </w:pPr>
  </w:style>
  <w:style w:type="paragraph" w:customStyle="1" w:styleId="Order1">
    <w:name w:val="Order 1"/>
    <w:basedOn w:val="Normal"/>
    <w:rsid w:val="004104B6"/>
    <w:pPr>
      <w:numPr>
        <w:numId w:val="21"/>
      </w:numPr>
      <w:spacing w:before="60" w:after="60"/>
    </w:pPr>
  </w:style>
  <w:style w:type="numbering" w:customStyle="1" w:styleId="FCOrders">
    <w:name w:val="FCOrders"/>
    <w:uiPriority w:val="99"/>
    <w:rsid w:val="004104B6"/>
    <w:pPr>
      <w:numPr>
        <w:numId w:val="21"/>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customStyle="1" w:styleId="CourtTitle">
    <w:name w:val="CourtTitle"/>
    <w:basedOn w:val="NormalHeadings"/>
    <w:rsid w:val="00A22932"/>
    <w:pPr>
      <w:jc w:val="center"/>
    </w:pPr>
    <w:rPr>
      <w:caps/>
      <w:sz w:val="32"/>
    </w:rPr>
  </w:style>
  <w:style w:type="paragraph" w:customStyle="1" w:styleId="MNC">
    <w:name w:val="MNC"/>
    <w:basedOn w:val="MediaNeutralStyle"/>
    <w:rsid w:val="00085255"/>
    <w:pPr>
      <w:spacing w:after="240"/>
    </w:pPr>
    <w:rPr>
      <w:sz w:val="28"/>
    </w:rPr>
  </w:style>
  <w:style w:type="paragraph" w:customStyle="1" w:styleId="Quote4">
    <w:name w:val="Quote4"/>
    <w:basedOn w:val="Quote1"/>
    <w:rsid w:val="00DF75E1"/>
    <w:pPr>
      <w:ind w:left="2880"/>
    </w:pPr>
  </w:style>
  <w:style w:type="paragraph" w:customStyle="1" w:styleId="Quote4Bullet">
    <w:name w:val="Quote4 Bullet"/>
    <w:basedOn w:val="Quote4"/>
    <w:rsid w:val="00EE445B"/>
    <w:pPr>
      <w:numPr>
        <w:numId w:val="22"/>
      </w:numPr>
      <w:ind w:hanging="720"/>
    </w:pPr>
  </w:style>
  <w:style w:type="character" w:styleId="PlaceholderText">
    <w:name w:val="Placeholder Text"/>
    <w:basedOn w:val="DefaultParagraphFont"/>
    <w:uiPriority w:val="99"/>
    <w:semiHidden/>
    <w:rsid w:val="00CF5A80"/>
    <w:rPr>
      <w:color w:val="808080"/>
    </w:rPr>
  </w:style>
  <w:style w:type="paragraph" w:customStyle="1" w:styleId="Order2">
    <w:name w:val="Order 2"/>
    <w:basedOn w:val="Order1"/>
    <w:rsid w:val="001351B9"/>
    <w:pPr>
      <w:numPr>
        <w:ilvl w:val="1"/>
      </w:numPr>
      <w:tabs>
        <w:tab w:val="clear" w:pos="1440"/>
      </w:tabs>
    </w:pPr>
  </w:style>
  <w:style w:type="paragraph" w:customStyle="1" w:styleId="Order3">
    <w:name w:val="Order 3"/>
    <w:basedOn w:val="Order2"/>
    <w:rsid w:val="00DD6957"/>
    <w:pPr>
      <w:numPr>
        <w:ilvl w:val="2"/>
      </w:numPr>
    </w:pPr>
  </w:style>
  <w:style w:type="paragraph" w:customStyle="1" w:styleId="ListNo1alt">
    <w:name w:val="List No 1 (alt)"/>
    <w:basedOn w:val="Normal"/>
    <w:rsid w:val="008A1741"/>
    <w:pPr>
      <w:numPr>
        <w:numId w:val="25"/>
      </w:numPr>
      <w:spacing w:before="60" w:after="60"/>
    </w:pPr>
  </w:style>
  <w:style w:type="paragraph" w:customStyle="1" w:styleId="ListNo2alt">
    <w:name w:val="List No 2 (alt)"/>
    <w:basedOn w:val="ListNo1alt"/>
    <w:rsid w:val="008A1741"/>
    <w:pPr>
      <w:numPr>
        <w:ilvl w:val="1"/>
      </w:numPr>
    </w:pPr>
  </w:style>
  <w:style w:type="paragraph" w:customStyle="1" w:styleId="ListNo3alt">
    <w:name w:val="List No 3 (alt)"/>
    <w:basedOn w:val="ListNo2alt"/>
    <w:rsid w:val="008A1741"/>
    <w:pPr>
      <w:numPr>
        <w:ilvl w:val="2"/>
      </w:numPr>
    </w:pPr>
  </w:style>
  <w:style w:type="numbering" w:customStyle="1" w:styleId="FCListNoalt">
    <w:name w:val="FC List No (alt)"/>
    <w:uiPriority w:val="99"/>
    <w:rsid w:val="008A1741"/>
    <w:pPr>
      <w:numPr>
        <w:numId w:val="24"/>
      </w:numPr>
    </w:pPr>
  </w:style>
  <w:style w:type="paragraph" w:customStyle="1" w:styleId="Order4">
    <w:name w:val="Order 4"/>
    <w:basedOn w:val="Order3"/>
    <w:rsid w:val="004104B6"/>
    <w:pPr>
      <w:numPr>
        <w:ilvl w:val="3"/>
      </w:numPr>
    </w:pPr>
  </w:style>
  <w:style w:type="paragraph" w:styleId="ListParagraph">
    <w:name w:val="List Paragraph"/>
    <w:basedOn w:val="Normal"/>
    <w:uiPriority w:val="1"/>
    <w:qFormat/>
    <w:rsid w:val="0054245C"/>
    <w:pPr>
      <w:widowControl w:val="0"/>
      <w:autoSpaceDE w:val="0"/>
      <w:autoSpaceDN w:val="0"/>
      <w:spacing w:line="240" w:lineRule="auto"/>
      <w:ind w:left="883" w:hanging="567"/>
    </w:pPr>
    <w:rPr>
      <w:rFonts w:ascii="Arial" w:eastAsia="Arial" w:hAnsi="Arial" w:cs="Arial"/>
      <w:sz w:val="22"/>
      <w:szCs w:val="22"/>
      <w:lang w:eastAsia="en-AU" w:bidi="en-AU"/>
    </w:rPr>
  </w:style>
  <w:style w:type="paragraph" w:customStyle="1" w:styleId="TableParagraph">
    <w:name w:val="Table Paragraph"/>
    <w:basedOn w:val="Normal"/>
    <w:uiPriority w:val="1"/>
    <w:qFormat/>
    <w:rsid w:val="00E60AD4"/>
    <w:pPr>
      <w:widowControl w:val="0"/>
      <w:autoSpaceDE w:val="0"/>
      <w:autoSpaceDN w:val="0"/>
      <w:spacing w:line="240" w:lineRule="auto"/>
      <w:ind w:left="200"/>
      <w:jc w:val="left"/>
    </w:pPr>
    <w:rPr>
      <w:rFonts w:ascii="Arial" w:eastAsia="Arial" w:hAnsi="Arial" w:cs="Arial"/>
      <w:sz w:val="22"/>
      <w:szCs w:val="22"/>
      <w:lang w:eastAsia="en-AU" w:bidi="en-AU"/>
    </w:rPr>
  </w:style>
  <w:style w:type="paragraph" w:styleId="Revision">
    <w:name w:val="Revision"/>
    <w:hidden/>
    <w:uiPriority w:val="99"/>
    <w:semiHidden/>
    <w:rsid w:val="008870CC"/>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6232">
      <w:bodyDiv w:val="1"/>
      <w:marLeft w:val="0"/>
      <w:marRight w:val="0"/>
      <w:marTop w:val="0"/>
      <w:marBottom w:val="0"/>
      <w:divBdr>
        <w:top w:val="none" w:sz="0" w:space="0" w:color="auto"/>
        <w:left w:val="none" w:sz="0" w:space="0" w:color="auto"/>
        <w:bottom w:val="none" w:sz="0" w:space="0" w:color="auto"/>
        <w:right w:val="none" w:sz="0" w:space="0" w:color="auto"/>
      </w:divBdr>
    </w:div>
    <w:div w:id="166016379">
      <w:bodyDiv w:val="1"/>
      <w:marLeft w:val="0"/>
      <w:marRight w:val="0"/>
      <w:marTop w:val="0"/>
      <w:marBottom w:val="0"/>
      <w:divBdr>
        <w:top w:val="none" w:sz="0" w:space="0" w:color="auto"/>
        <w:left w:val="none" w:sz="0" w:space="0" w:color="auto"/>
        <w:bottom w:val="none" w:sz="0" w:space="0" w:color="auto"/>
        <w:right w:val="none" w:sz="0" w:space="0" w:color="auto"/>
      </w:divBdr>
    </w:div>
    <w:div w:id="201599937">
      <w:bodyDiv w:val="1"/>
      <w:marLeft w:val="0"/>
      <w:marRight w:val="0"/>
      <w:marTop w:val="0"/>
      <w:marBottom w:val="0"/>
      <w:divBdr>
        <w:top w:val="none" w:sz="0" w:space="0" w:color="auto"/>
        <w:left w:val="none" w:sz="0" w:space="0" w:color="auto"/>
        <w:bottom w:val="none" w:sz="0" w:space="0" w:color="auto"/>
        <w:right w:val="none" w:sz="0" w:space="0" w:color="auto"/>
      </w:divBdr>
    </w:div>
    <w:div w:id="271281381">
      <w:bodyDiv w:val="1"/>
      <w:marLeft w:val="0"/>
      <w:marRight w:val="0"/>
      <w:marTop w:val="0"/>
      <w:marBottom w:val="0"/>
      <w:divBdr>
        <w:top w:val="none" w:sz="0" w:space="0" w:color="auto"/>
        <w:left w:val="none" w:sz="0" w:space="0" w:color="auto"/>
        <w:bottom w:val="none" w:sz="0" w:space="0" w:color="auto"/>
        <w:right w:val="none" w:sz="0" w:space="0" w:color="auto"/>
      </w:divBdr>
    </w:div>
    <w:div w:id="404379507">
      <w:bodyDiv w:val="1"/>
      <w:marLeft w:val="0"/>
      <w:marRight w:val="0"/>
      <w:marTop w:val="0"/>
      <w:marBottom w:val="0"/>
      <w:divBdr>
        <w:top w:val="none" w:sz="0" w:space="0" w:color="auto"/>
        <w:left w:val="none" w:sz="0" w:space="0" w:color="auto"/>
        <w:bottom w:val="none" w:sz="0" w:space="0" w:color="auto"/>
        <w:right w:val="none" w:sz="0" w:space="0" w:color="auto"/>
      </w:divBdr>
    </w:div>
    <w:div w:id="432241128">
      <w:bodyDiv w:val="1"/>
      <w:marLeft w:val="0"/>
      <w:marRight w:val="0"/>
      <w:marTop w:val="0"/>
      <w:marBottom w:val="0"/>
      <w:divBdr>
        <w:top w:val="none" w:sz="0" w:space="0" w:color="auto"/>
        <w:left w:val="none" w:sz="0" w:space="0" w:color="auto"/>
        <w:bottom w:val="none" w:sz="0" w:space="0" w:color="auto"/>
        <w:right w:val="none" w:sz="0" w:space="0" w:color="auto"/>
      </w:divBdr>
    </w:div>
    <w:div w:id="470288397">
      <w:bodyDiv w:val="1"/>
      <w:marLeft w:val="0"/>
      <w:marRight w:val="0"/>
      <w:marTop w:val="0"/>
      <w:marBottom w:val="0"/>
      <w:divBdr>
        <w:top w:val="none" w:sz="0" w:space="0" w:color="auto"/>
        <w:left w:val="none" w:sz="0" w:space="0" w:color="auto"/>
        <w:bottom w:val="none" w:sz="0" w:space="0" w:color="auto"/>
        <w:right w:val="none" w:sz="0" w:space="0" w:color="auto"/>
      </w:divBdr>
    </w:div>
    <w:div w:id="538473492">
      <w:bodyDiv w:val="1"/>
      <w:marLeft w:val="0"/>
      <w:marRight w:val="0"/>
      <w:marTop w:val="0"/>
      <w:marBottom w:val="0"/>
      <w:divBdr>
        <w:top w:val="none" w:sz="0" w:space="0" w:color="auto"/>
        <w:left w:val="none" w:sz="0" w:space="0" w:color="auto"/>
        <w:bottom w:val="none" w:sz="0" w:space="0" w:color="auto"/>
        <w:right w:val="none" w:sz="0" w:space="0" w:color="auto"/>
      </w:divBdr>
      <w:divsChild>
        <w:div w:id="15627850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41907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58560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67510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38466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95845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553198468">
      <w:bodyDiv w:val="1"/>
      <w:marLeft w:val="0"/>
      <w:marRight w:val="0"/>
      <w:marTop w:val="0"/>
      <w:marBottom w:val="0"/>
      <w:divBdr>
        <w:top w:val="none" w:sz="0" w:space="0" w:color="auto"/>
        <w:left w:val="none" w:sz="0" w:space="0" w:color="auto"/>
        <w:bottom w:val="none" w:sz="0" w:space="0" w:color="auto"/>
        <w:right w:val="none" w:sz="0" w:space="0" w:color="auto"/>
      </w:divBdr>
    </w:div>
    <w:div w:id="717436223">
      <w:bodyDiv w:val="1"/>
      <w:marLeft w:val="0"/>
      <w:marRight w:val="0"/>
      <w:marTop w:val="0"/>
      <w:marBottom w:val="0"/>
      <w:divBdr>
        <w:top w:val="none" w:sz="0" w:space="0" w:color="auto"/>
        <w:left w:val="none" w:sz="0" w:space="0" w:color="auto"/>
        <w:bottom w:val="none" w:sz="0" w:space="0" w:color="auto"/>
        <w:right w:val="none" w:sz="0" w:space="0" w:color="auto"/>
      </w:divBdr>
    </w:div>
    <w:div w:id="740523484">
      <w:bodyDiv w:val="1"/>
      <w:marLeft w:val="0"/>
      <w:marRight w:val="0"/>
      <w:marTop w:val="0"/>
      <w:marBottom w:val="0"/>
      <w:divBdr>
        <w:top w:val="none" w:sz="0" w:space="0" w:color="auto"/>
        <w:left w:val="none" w:sz="0" w:space="0" w:color="auto"/>
        <w:bottom w:val="none" w:sz="0" w:space="0" w:color="auto"/>
        <w:right w:val="none" w:sz="0" w:space="0" w:color="auto"/>
      </w:divBdr>
    </w:div>
    <w:div w:id="1138837921">
      <w:bodyDiv w:val="1"/>
      <w:marLeft w:val="0"/>
      <w:marRight w:val="0"/>
      <w:marTop w:val="0"/>
      <w:marBottom w:val="0"/>
      <w:divBdr>
        <w:top w:val="none" w:sz="0" w:space="0" w:color="auto"/>
        <w:left w:val="none" w:sz="0" w:space="0" w:color="auto"/>
        <w:bottom w:val="none" w:sz="0" w:space="0" w:color="auto"/>
        <w:right w:val="none" w:sz="0" w:space="0" w:color="auto"/>
      </w:divBdr>
      <w:divsChild>
        <w:div w:id="1419055964">
          <w:marLeft w:val="0"/>
          <w:marRight w:val="0"/>
          <w:marTop w:val="0"/>
          <w:marBottom w:val="0"/>
          <w:divBdr>
            <w:top w:val="none" w:sz="0" w:space="0" w:color="auto"/>
            <w:left w:val="none" w:sz="0" w:space="0" w:color="auto"/>
            <w:bottom w:val="none" w:sz="0" w:space="0" w:color="auto"/>
            <w:right w:val="none" w:sz="0" w:space="0" w:color="auto"/>
          </w:divBdr>
          <w:divsChild>
            <w:div w:id="1991980211">
              <w:marLeft w:val="0"/>
              <w:marRight w:val="0"/>
              <w:marTop w:val="0"/>
              <w:marBottom w:val="0"/>
              <w:divBdr>
                <w:top w:val="none" w:sz="0" w:space="0" w:color="auto"/>
                <w:left w:val="none" w:sz="0" w:space="0" w:color="auto"/>
                <w:bottom w:val="none" w:sz="0" w:space="0" w:color="auto"/>
                <w:right w:val="none" w:sz="0" w:space="0" w:color="auto"/>
              </w:divBdr>
              <w:divsChild>
                <w:div w:id="1464799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71181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187328924">
      <w:bodyDiv w:val="1"/>
      <w:marLeft w:val="0"/>
      <w:marRight w:val="0"/>
      <w:marTop w:val="0"/>
      <w:marBottom w:val="0"/>
      <w:divBdr>
        <w:top w:val="none" w:sz="0" w:space="0" w:color="auto"/>
        <w:left w:val="none" w:sz="0" w:space="0" w:color="auto"/>
        <w:bottom w:val="none" w:sz="0" w:space="0" w:color="auto"/>
        <w:right w:val="none" w:sz="0" w:space="0" w:color="auto"/>
      </w:divBdr>
    </w:div>
    <w:div w:id="1306659924">
      <w:bodyDiv w:val="1"/>
      <w:marLeft w:val="0"/>
      <w:marRight w:val="0"/>
      <w:marTop w:val="0"/>
      <w:marBottom w:val="0"/>
      <w:divBdr>
        <w:top w:val="none" w:sz="0" w:space="0" w:color="auto"/>
        <w:left w:val="none" w:sz="0" w:space="0" w:color="auto"/>
        <w:bottom w:val="none" w:sz="0" w:space="0" w:color="auto"/>
        <w:right w:val="none" w:sz="0" w:space="0" w:color="auto"/>
      </w:divBdr>
    </w:div>
    <w:div w:id="1414467933">
      <w:bodyDiv w:val="1"/>
      <w:marLeft w:val="0"/>
      <w:marRight w:val="0"/>
      <w:marTop w:val="0"/>
      <w:marBottom w:val="0"/>
      <w:divBdr>
        <w:top w:val="none" w:sz="0" w:space="0" w:color="auto"/>
        <w:left w:val="none" w:sz="0" w:space="0" w:color="auto"/>
        <w:bottom w:val="none" w:sz="0" w:space="0" w:color="auto"/>
        <w:right w:val="none" w:sz="0" w:space="0" w:color="auto"/>
      </w:divBdr>
    </w:div>
    <w:div w:id="1472092909">
      <w:bodyDiv w:val="1"/>
      <w:marLeft w:val="0"/>
      <w:marRight w:val="0"/>
      <w:marTop w:val="0"/>
      <w:marBottom w:val="0"/>
      <w:divBdr>
        <w:top w:val="none" w:sz="0" w:space="0" w:color="auto"/>
        <w:left w:val="none" w:sz="0" w:space="0" w:color="auto"/>
        <w:bottom w:val="none" w:sz="0" w:space="0" w:color="auto"/>
        <w:right w:val="none" w:sz="0" w:space="0" w:color="auto"/>
      </w:divBdr>
      <w:divsChild>
        <w:div w:id="1106929019">
          <w:marLeft w:val="0"/>
          <w:marRight w:val="0"/>
          <w:marTop w:val="0"/>
          <w:marBottom w:val="0"/>
          <w:divBdr>
            <w:top w:val="none" w:sz="0" w:space="0" w:color="auto"/>
            <w:left w:val="none" w:sz="0" w:space="0" w:color="auto"/>
            <w:bottom w:val="none" w:sz="0" w:space="0" w:color="auto"/>
            <w:right w:val="none" w:sz="0" w:space="0" w:color="auto"/>
          </w:divBdr>
          <w:divsChild>
            <w:div w:id="39027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695375">
      <w:bodyDiv w:val="1"/>
      <w:marLeft w:val="0"/>
      <w:marRight w:val="0"/>
      <w:marTop w:val="0"/>
      <w:marBottom w:val="0"/>
      <w:divBdr>
        <w:top w:val="none" w:sz="0" w:space="0" w:color="auto"/>
        <w:left w:val="none" w:sz="0" w:space="0" w:color="auto"/>
        <w:bottom w:val="none" w:sz="0" w:space="0" w:color="auto"/>
        <w:right w:val="none" w:sz="0" w:space="0" w:color="auto"/>
      </w:divBdr>
      <w:divsChild>
        <w:div w:id="1170098274">
          <w:marLeft w:val="0"/>
          <w:marRight w:val="0"/>
          <w:marTop w:val="0"/>
          <w:marBottom w:val="0"/>
          <w:divBdr>
            <w:top w:val="none" w:sz="0" w:space="0" w:color="auto"/>
            <w:left w:val="none" w:sz="0" w:space="0" w:color="auto"/>
            <w:bottom w:val="none" w:sz="0" w:space="0" w:color="auto"/>
            <w:right w:val="none" w:sz="0" w:space="0" w:color="auto"/>
          </w:divBdr>
          <w:divsChild>
            <w:div w:id="1906378394">
              <w:marLeft w:val="0"/>
              <w:marRight w:val="0"/>
              <w:marTop w:val="0"/>
              <w:marBottom w:val="0"/>
              <w:divBdr>
                <w:top w:val="none" w:sz="0" w:space="0" w:color="auto"/>
                <w:left w:val="none" w:sz="0" w:space="0" w:color="auto"/>
                <w:bottom w:val="none" w:sz="0" w:space="0" w:color="auto"/>
                <w:right w:val="none" w:sz="0" w:space="0" w:color="auto"/>
              </w:divBdr>
              <w:divsChild>
                <w:div w:id="13881423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97719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878081341">
      <w:bodyDiv w:val="1"/>
      <w:marLeft w:val="0"/>
      <w:marRight w:val="0"/>
      <w:marTop w:val="0"/>
      <w:marBottom w:val="0"/>
      <w:divBdr>
        <w:top w:val="none" w:sz="0" w:space="0" w:color="auto"/>
        <w:left w:val="none" w:sz="0" w:space="0" w:color="auto"/>
        <w:bottom w:val="none" w:sz="0" w:space="0" w:color="auto"/>
        <w:right w:val="none" w:sz="0" w:space="0" w:color="auto"/>
      </w:divBdr>
    </w:div>
    <w:div w:id="1910454976">
      <w:bodyDiv w:val="1"/>
      <w:marLeft w:val="0"/>
      <w:marRight w:val="0"/>
      <w:marTop w:val="0"/>
      <w:marBottom w:val="0"/>
      <w:divBdr>
        <w:top w:val="none" w:sz="0" w:space="0" w:color="auto"/>
        <w:left w:val="none" w:sz="0" w:space="0" w:color="auto"/>
        <w:bottom w:val="none" w:sz="0" w:space="0" w:color="auto"/>
        <w:right w:val="none" w:sz="0" w:space="0" w:color="auto"/>
      </w:divBdr>
    </w:div>
    <w:div w:id="1976642286">
      <w:bodyDiv w:val="1"/>
      <w:marLeft w:val="0"/>
      <w:marRight w:val="0"/>
      <w:marTop w:val="0"/>
      <w:marBottom w:val="0"/>
      <w:divBdr>
        <w:top w:val="none" w:sz="0" w:space="0" w:color="auto"/>
        <w:left w:val="none" w:sz="0" w:space="0" w:color="auto"/>
        <w:bottom w:val="none" w:sz="0" w:space="0" w:color="auto"/>
        <w:right w:val="none" w:sz="0" w:space="0" w:color="auto"/>
      </w:divBdr>
    </w:div>
    <w:div w:id="2046712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hyperlink" Target="http://www6.austlii.edu.au/cgi-bin/viewdoc/au/cases/cth/FCAFC/2021/68.html" TargetMode="External"/><Relationship Id="rId14" Type="http://schemas.openxmlformats.org/officeDocument/2006/relationships/footer" Target="footer3.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3506C5EC22E45E69E25336E41FAF256"/>
        <w:category>
          <w:name w:val="General"/>
          <w:gallery w:val="placeholder"/>
        </w:category>
        <w:types>
          <w:type w:val="bbPlcHdr"/>
        </w:types>
        <w:behaviors>
          <w:behavior w:val="content"/>
        </w:behaviors>
        <w:guid w:val="{5FEF8675-0EF5-49C4-98E5-0D48E3C9FCD0}"/>
      </w:docPartPr>
      <w:docPartBody>
        <w:p w:rsidR="00EC6FAF" w:rsidRDefault="00EC6FAF">
          <w:pPr>
            <w:pStyle w:val="D3506C5EC22E45E69E25336E41FAF256"/>
          </w:pPr>
          <w:r>
            <w:rPr>
              <w:rStyle w:val="PlaceholderText"/>
            </w:rPr>
            <w:t>MNC Text</w:t>
          </w:r>
        </w:p>
      </w:docPartBody>
    </w:docPart>
    <w:docPart>
      <w:docPartPr>
        <w:name w:val="B990D8D13B9943F4BE8BCFD335FBA41B"/>
        <w:category>
          <w:name w:val="General"/>
          <w:gallery w:val="placeholder"/>
        </w:category>
        <w:types>
          <w:type w:val="bbPlcHdr"/>
        </w:types>
        <w:behaviors>
          <w:behavior w:val="content"/>
        </w:behaviors>
        <w:guid w:val="{1C108701-5075-45C1-ABC1-BA254D5A0CD2}"/>
      </w:docPartPr>
      <w:docPartBody>
        <w:p w:rsidR="00EC6FAF" w:rsidRDefault="00EC6FAF">
          <w:pPr>
            <w:pStyle w:val="B990D8D13B9943F4BE8BCFD335FBA41B"/>
          </w:pPr>
          <w:r w:rsidRPr="005C44BE">
            <w:rPr>
              <w:rStyle w:val="PlaceholderText"/>
            </w:rPr>
            <w:t>Click or tap here to enter text.</w:t>
          </w:r>
        </w:p>
      </w:docPartBody>
    </w:docPart>
    <w:docPart>
      <w:docPartPr>
        <w:name w:val="1EFFEA1839784338AD57B87BDEBBECBA"/>
        <w:category>
          <w:name w:val="General"/>
          <w:gallery w:val="placeholder"/>
        </w:category>
        <w:types>
          <w:type w:val="bbPlcHdr"/>
        </w:types>
        <w:behaviors>
          <w:behavior w:val="content"/>
        </w:behaviors>
        <w:guid w:val="{1D3E2A87-FDFE-4CE7-A997-888BE29643C8}"/>
      </w:docPartPr>
      <w:docPartBody>
        <w:p w:rsidR="00EC6FAF" w:rsidRDefault="00EC6FAF">
          <w:pPr>
            <w:pStyle w:val="1EFFEA1839784338AD57B87BDEBBECBA"/>
          </w:pPr>
          <w:r w:rsidRPr="005C44BE">
            <w:rPr>
              <w:rStyle w:val="PlaceholderText"/>
            </w:rPr>
            <w:t>Click or tap here to enter text.</w:t>
          </w:r>
        </w:p>
      </w:docPartBody>
    </w:docPart>
    <w:docPart>
      <w:docPartPr>
        <w:name w:val="AD60FC53F52945D886238A29B916A768"/>
        <w:category>
          <w:name w:val="General"/>
          <w:gallery w:val="placeholder"/>
        </w:category>
        <w:types>
          <w:type w:val="bbPlcHdr"/>
        </w:types>
        <w:behaviors>
          <w:behavior w:val="content"/>
        </w:behaviors>
        <w:guid w:val="{22C4771E-F067-4771-A10D-086B48DF5032}"/>
      </w:docPartPr>
      <w:docPartBody>
        <w:p w:rsidR="00EC6FAF" w:rsidRDefault="00EC6FAF">
          <w:pPr>
            <w:pStyle w:val="AD60FC53F52945D886238A29B916A768"/>
          </w:pPr>
          <w:r w:rsidRPr="005C44BE">
            <w:rPr>
              <w:rStyle w:val="PlaceholderText"/>
            </w:rPr>
            <w:t>Click or tap here to enter text.</w:t>
          </w:r>
        </w:p>
      </w:docPartBody>
    </w:docPart>
    <w:docPart>
      <w:docPartPr>
        <w:name w:val="2BCEAE958EAB4A65B7529869E275C1B2"/>
        <w:category>
          <w:name w:val="General"/>
          <w:gallery w:val="placeholder"/>
        </w:category>
        <w:types>
          <w:type w:val="bbPlcHdr"/>
        </w:types>
        <w:behaviors>
          <w:behavior w:val="content"/>
        </w:behaviors>
        <w:guid w:val="{A61BA8F0-E639-458B-A1AC-3048B2C8772B}"/>
      </w:docPartPr>
      <w:docPartBody>
        <w:p w:rsidR="00EC6FAF" w:rsidRDefault="00EC6FAF">
          <w:pPr>
            <w:pStyle w:val="2BCEAE958EAB4A65B7529869E275C1B2"/>
          </w:pPr>
          <w:r w:rsidRPr="005C44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Arial Unicode MS"/>
    <w:panose1 w:val="02030600000101010101"/>
    <w:charset w:val="81"/>
    <w:family w:val="roman"/>
    <w:pitch w:val="variable"/>
    <w:sig w:usb0="00000000"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FAF"/>
    <w:rsid w:val="00045EE6"/>
    <w:rsid w:val="000F531B"/>
    <w:rsid w:val="002510AC"/>
    <w:rsid w:val="00266B33"/>
    <w:rsid w:val="002A4FB1"/>
    <w:rsid w:val="005B3950"/>
    <w:rsid w:val="00985123"/>
    <w:rsid w:val="00C16E75"/>
    <w:rsid w:val="00D53659"/>
    <w:rsid w:val="00DB26E9"/>
    <w:rsid w:val="00EC6F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3506C5EC22E45E69E25336E41FAF256">
    <w:name w:val="D3506C5EC22E45E69E25336E41FAF256"/>
  </w:style>
  <w:style w:type="paragraph" w:customStyle="1" w:styleId="B990D8D13B9943F4BE8BCFD335FBA41B">
    <w:name w:val="B990D8D13B9943F4BE8BCFD335FBA41B"/>
  </w:style>
  <w:style w:type="paragraph" w:customStyle="1" w:styleId="1EFFEA1839784338AD57B87BDEBBECBA">
    <w:name w:val="1EFFEA1839784338AD57B87BDEBBECBA"/>
  </w:style>
  <w:style w:type="paragraph" w:customStyle="1" w:styleId="AD60FC53F52945D886238A29B916A768">
    <w:name w:val="AD60FC53F52945D886238A29B916A768"/>
  </w:style>
  <w:style w:type="paragraph" w:customStyle="1" w:styleId="2BCEAE958EAB4A65B7529869E275C1B2">
    <w:name w:val="2BCEAE958EAB4A65B7529869E275C1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xmlns="http://schemas.globalmacros.com/FCA">
  <Name>Ittyerah v Coles Supermarkets (Australia) Pty Ltd (No 3) [2021] FCA 1117 </Name>
</roo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E7CCB-4AA5-44E7-B148-17BA2B6F57C0}">
  <ds:schemaRefs>
    <ds:schemaRef ds:uri="http://schemas.globalmacros.com/FCA"/>
  </ds:schemaRefs>
</ds:datastoreItem>
</file>

<file path=customXml/itemProps2.xml><?xml version="1.0" encoding="utf-8"?>
<ds:datastoreItem xmlns:ds="http://schemas.openxmlformats.org/officeDocument/2006/customXml" ds:itemID="{1D3D7992-9BC7-4A9B-9F78-ABB89A741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1</TotalTime>
  <Pages>13</Pages>
  <Words>4571</Words>
  <Characters>24042</Characters>
  <Application>Microsoft Office Word</Application>
  <DocSecurity>0</DocSecurity>
  <Lines>471</Lines>
  <Paragraphs>158</Paragraphs>
  <ScaleCrop>false</ScaleCrop>
  <HeadingPairs>
    <vt:vector size="2" baseType="variant">
      <vt:variant>
        <vt:lpstr>Title</vt:lpstr>
      </vt:variant>
      <vt:variant>
        <vt:i4>1</vt:i4>
      </vt:variant>
    </vt:vector>
  </HeadingPairs>
  <TitlesOfParts>
    <vt:vector size="1" baseType="lpstr">
      <vt:lpstr>Ittyerah v Coles Supermarkets (Australia) Pty Ltd (No 3) [2021] FCA 1117 </vt:lpstr>
    </vt:vector>
  </TitlesOfParts>
  <Company>Federal Court of Australia</Company>
  <LinksUpToDate>false</LinksUpToDate>
  <CharactersWithSpaces>28455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Ittyerah v Coles Supermarkets (Australia) Pty Ltd (No 3) [2021] FCA 1117</dc:title>
  <dc:subject/>
  <dc:creator>Federal Court of Australia</dc:creator>
  <cp:keywords/>
  <dc:description/>
  <cp:lastModifiedBy>Federal Court of Australia</cp:lastModifiedBy>
  <cp:revision>3</cp:revision>
  <cp:lastPrinted>2021-09-03T01:44:00Z</cp:lastPrinted>
  <dcterms:created xsi:type="dcterms:W3CDTF">2021-09-15T23:42:00Z</dcterms:created>
  <dcterms:modified xsi:type="dcterms:W3CDTF">2021-09-15T23:42:00Z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Distribution">
    <vt:lpwstr>GENERAL DISTRIBUTION</vt:lpwstr>
  </property>
  <property fmtid="{D5CDD505-2E9C-101B-9397-08002B2CF9AE}" pid="4" name="MNC">
    <vt:lpwstr> </vt:lpwstr>
  </property>
  <property fmtid="{D5CDD505-2E9C-101B-9397-08002B2CF9AE}" pid="5" name="Pages">
    <vt:lpwstr>3</vt:lpwstr>
  </property>
  <property fmtid="{D5CDD505-2E9C-101B-9397-08002B2CF9AE}" pid="6" name="Parties">
    <vt:lpwstr> </vt:lpwstr>
  </property>
  <property fmtid="{D5CDD505-2E9C-101B-9397-08002B2CF9AE}" pid="7" name="Place">
    <vt:lpwstr>N/A FCA</vt:lpwstr>
  </property>
  <property fmtid="{D5CDD505-2E9C-101B-9397-08002B2CF9AE}" pid="8" name="Respondent">
    <vt:lpwstr> </vt:lpwstr>
  </property>
  <property fmtid="{D5CDD505-2E9C-101B-9397-08002B2CF9AE}" pid="9" name="Year">
    <vt:lpwstr>2020</vt:lpwstr>
  </property>
  <property fmtid="{D5CDD505-2E9C-101B-9397-08002B2CF9AE}" pid="10" name="Judgment Template">
    <vt:lpwstr>True</vt:lpwstr>
  </property>
  <property fmtid="{D5CDD505-2E9C-101B-9397-08002B2CF9AE}" pid="11" name="VERSION">
    <vt:lpwstr>1.0</vt:lpwstr>
  </property>
  <property fmtid="{D5CDD505-2E9C-101B-9397-08002B2CF9AE}" pid="12" name="Registry">
    <vt:lpwstr>New South Wales</vt:lpwstr>
  </property>
  <property fmtid="{D5CDD505-2E9C-101B-9397-08002B2CF9AE}" pid="13" name="Division">
    <vt:lpwstr/>
  </property>
  <property fmtid="{D5CDD505-2E9C-101B-9397-08002B2CF9AE}" pid="14" name="FileNo">
    <vt:lpwstr>&lt;FILE NO&gt;</vt:lpwstr>
  </property>
  <property fmtid="{D5CDD505-2E9C-101B-9397-08002B2CF9AE}" pid="15" name="Practice Area">
    <vt:lpwstr>Employment and Industrial Relations</vt:lpwstr>
  </property>
  <property fmtid="{D5CDD505-2E9C-101B-9397-08002B2CF9AE}" pid="16" name="Court">
    <vt:lpwstr>Federal Court of Australia</vt:lpwstr>
  </property>
  <property fmtid="{D5CDD505-2E9C-101B-9397-08002B2CF9AE}" pid="17" name="Sub Area">
    <vt:lpwstr>Delete these rows - not required</vt:lpwstr>
  </property>
  <property fmtid="{D5CDD505-2E9C-101B-9397-08002B2CF9AE}" pid="18" name="AppealFrom">
    <vt:lpwstr>&lt;AppealFrom&gt;</vt:lpwstr>
  </property>
  <property fmtid="{D5CDD505-2E9C-101B-9397-08002B2CF9AE}" pid="19" name="Judge">
    <vt:lpwstr>Judge</vt:lpwstr>
  </property>
  <property fmtid="{D5CDD505-2E9C-101B-9397-08002B2CF9AE}" pid="20" name="Judgment_dated">
    <vt:lpwstr>Judgment_dated</vt:lpwstr>
  </property>
  <property fmtid="{D5CDD505-2E9C-101B-9397-08002B2CF9AE}" pid="21" name="Legislation">
    <vt:lpwstr>Legislation</vt:lpwstr>
  </property>
  <property fmtid="{D5CDD505-2E9C-101B-9397-08002B2CF9AE}" pid="22" name="Catchwords">
    <vt:lpwstr>Catchwords</vt:lpwstr>
  </property>
  <property fmtid="{D5CDD505-2E9C-101B-9397-08002B2CF9AE}" pid="23" name="Words_Phrases">
    <vt:lpwstr>WordsPhrases</vt:lpwstr>
  </property>
  <property fmtid="{D5CDD505-2E9C-101B-9397-08002B2CF9AE}" pid="24" name="Cases_Cited">
    <vt:lpwstr>CasesCited</vt:lpwstr>
  </property>
  <property fmtid="{D5CDD505-2E9C-101B-9397-08002B2CF9AE}" pid="25" name="File_Number">
    <vt:lpwstr>Num</vt:lpwstr>
  </property>
  <property fmtid="{D5CDD505-2E9C-101B-9397-08002B2CF9AE}" pid="26" name="State">
    <vt:lpwstr>State</vt:lpwstr>
  </property>
</Properties>
</file>