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6523" w14:textId="77777777" w:rsidR="00395B24" w:rsidRDefault="000D77CA" w:rsidP="00A22932">
      <w:pPr>
        <w:pStyle w:val="CourtTitle"/>
      </w:pPr>
      <w:r>
        <w:fldChar w:fldCharType="begin"/>
      </w:r>
      <w:r>
        <w:instrText xml:space="preserve"> DOCPROPERTY  Court  \* MERGEFORMAT </w:instrText>
      </w:r>
      <w:r>
        <w:fldChar w:fldCharType="separate"/>
      </w:r>
      <w:r w:rsidR="007E04A7">
        <w:t>Federal Court of Australia</w:t>
      </w:r>
      <w:r>
        <w:fldChar w:fldCharType="end"/>
      </w:r>
    </w:p>
    <w:p w14:paraId="334DD060" w14:textId="77777777" w:rsidR="00395B24" w:rsidRDefault="00395B24">
      <w:pPr>
        <w:pStyle w:val="NormalHeadings"/>
        <w:jc w:val="center"/>
        <w:rPr>
          <w:sz w:val="32"/>
        </w:rPr>
      </w:pPr>
    </w:p>
    <w:bookmarkStart w:id="0" w:name="MNC"/>
    <w:p w14:paraId="4B3FB27D" w14:textId="36E40B56" w:rsidR="00374CC4" w:rsidRDefault="00841313" w:rsidP="001A2B40">
      <w:pPr>
        <w:pStyle w:val="MNC"/>
      </w:pPr>
      <w:sdt>
        <w:sdtPr>
          <w:alias w:val="MNC"/>
          <w:tag w:val="MNC"/>
          <w:id w:val="343289786"/>
          <w:lock w:val="sdtLocked"/>
          <w:placeholder>
            <w:docPart w:val="2E4F2ECA7818467997E3237851797D11"/>
          </w:placeholder>
          <w:dataBinding w:prefixMappings="xmlns:ns0='http://schemas.globalmacros.com/FCA'" w:xpath="/ns0:root[1]/ns0:Name[1]" w:storeItemID="{687E7CCB-4AA5-44E7-B148-17BA2B6F57C0}"/>
          <w:text w:multiLine="1"/>
        </w:sdtPr>
        <w:sdtEndPr/>
        <w:sdtContent>
          <w:r w:rsidR="00010E0F" w:rsidRPr="00C63747">
            <w:t>Aravanis (Trustee) v Twin Investors Pty Ltd, in the matter of the Bankrupt Estate of Kapp (</w:t>
          </w:r>
          <w:r w:rsidR="00010E0F">
            <w:t>Admissibility Ruling</w:t>
          </w:r>
          <w:r w:rsidR="00010E0F" w:rsidRPr="00C63747">
            <w:t xml:space="preserve">) </w:t>
          </w:r>
          <w:r w:rsidR="007E0B93">
            <w:t xml:space="preserve">[2021] FCA </w:t>
          </w:r>
          <w:r w:rsidR="00304169">
            <w:t>899</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72DA8C34" w14:textId="77777777" w:rsidTr="001E3D21">
        <w:tc>
          <w:tcPr>
            <w:tcW w:w="3083" w:type="dxa"/>
            <w:shd w:val="clear" w:color="auto" w:fill="auto"/>
          </w:tcPr>
          <w:p w14:paraId="65AF476A" w14:textId="7680181E" w:rsidR="00395B24" w:rsidRDefault="007E0B93" w:rsidP="007E0B93">
            <w:pPr>
              <w:pStyle w:val="Normal1linespace"/>
              <w:widowControl w:val="0"/>
              <w:jc w:val="left"/>
            </w:pPr>
            <w:r>
              <w:t>File number</w:t>
            </w:r>
            <w:r w:rsidR="002C7385">
              <w:t>:</w:t>
            </w:r>
          </w:p>
        </w:tc>
        <w:tc>
          <w:tcPr>
            <w:tcW w:w="5990" w:type="dxa"/>
            <w:shd w:val="clear" w:color="auto" w:fill="auto"/>
          </w:tcPr>
          <w:p w14:paraId="10539DD4" w14:textId="77777777" w:rsidR="00395B24" w:rsidRPr="007E04A7" w:rsidRDefault="00841313" w:rsidP="007E04A7">
            <w:pPr>
              <w:pStyle w:val="Normal1linespace"/>
              <w:jc w:val="left"/>
            </w:pPr>
            <w:r>
              <w:fldChar w:fldCharType="begin" w:fldLock="1"/>
            </w:r>
            <w:r>
              <w:instrText xml:space="preserve"> REF  FileNo  \* MERGEFORMAT </w:instrText>
            </w:r>
            <w:r>
              <w:fldChar w:fldCharType="separate"/>
            </w:r>
            <w:r w:rsidR="007E04A7" w:rsidRPr="007E04A7">
              <w:t>NSD 853 of 2019</w:t>
            </w:r>
            <w:r>
              <w:fldChar w:fldCharType="end"/>
            </w:r>
          </w:p>
        </w:tc>
      </w:tr>
      <w:tr w:rsidR="00395B24" w14:paraId="4419DFED" w14:textId="77777777" w:rsidTr="001E3D21">
        <w:tc>
          <w:tcPr>
            <w:tcW w:w="3083" w:type="dxa"/>
            <w:shd w:val="clear" w:color="auto" w:fill="auto"/>
          </w:tcPr>
          <w:p w14:paraId="45419DF4" w14:textId="77777777" w:rsidR="00395B24" w:rsidRDefault="00395B24" w:rsidP="00663878">
            <w:pPr>
              <w:pStyle w:val="Normal1linespace"/>
              <w:widowControl w:val="0"/>
              <w:jc w:val="left"/>
            </w:pPr>
          </w:p>
        </w:tc>
        <w:tc>
          <w:tcPr>
            <w:tcW w:w="5990" w:type="dxa"/>
            <w:shd w:val="clear" w:color="auto" w:fill="auto"/>
          </w:tcPr>
          <w:p w14:paraId="0155653F" w14:textId="77777777" w:rsidR="00395B24" w:rsidRDefault="00395B24" w:rsidP="00663878">
            <w:pPr>
              <w:pStyle w:val="Normal1linespace"/>
              <w:widowControl w:val="0"/>
              <w:jc w:val="left"/>
            </w:pPr>
          </w:p>
        </w:tc>
      </w:tr>
      <w:tr w:rsidR="00395B24" w14:paraId="63C60738" w14:textId="77777777" w:rsidTr="001E3D21">
        <w:tc>
          <w:tcPr>
            <w:tcW w:w="3083" w:type="dxa"/>
            <w:shd w:val="clear" w:color="auto" w:fill="auto"/>
          </w:tcPr>
          <w:p w14:paraId="2FB07039"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1ECE19F1" w14:textId="77777777" w:rsidR="00395B24" w:rsidRDefault="002C7385" w:rsidP="00663878">
            <w:pPr>
              <w:pStyle w:val="Normal1linespace"/>
              <w:widowControl w:val="0"/>
              <w:jc w:val="left"/>
              <w:rPr>
                <w:b/>
              </w:rPr>
            </w:pPr>
            <w:r w:rsidRPr="007E04A7">
              <w:rPr>
                <w:b/>
              </w:rPr>
              <w:fldChar w:fldCharType="begin" w:fldLock="1"/>
            </w:r>
            <w:r w:rsidRPr="007E04A7">
              <w:rPr>
                <w:b/>
              </w:rPr>
              <w:instrText xml:space="preserve"> REF  Judge  \* MERGEFORMAT </w:instrText>
            </w:r>
            <w:r w:rsidRPr="007E04A7">
              <w:rPr>
                <w:b/>
              </w:rPr>
              <w:fldChar w:fldCharType="separate"/>
            </w:r>
            <w:r w:rsidR="007E04A7" w:rsidRPr="007E04A7">
              <w:rPr>
                <w:b/>
                <w:caps/>
                <w:szCs w:val="24"/>
              </w:rPr>
              <w:t>PERRAM J</w:t>
            </w:r>
            <w:r w:rsidRPr="007E04A7">
              <w:rPr>
                <w:b/>
              </w:rPr>
              <w:fldChar w:fldCharType="end"/>
            </w:r>
          </w:p>
        </w:tc>
      </w:tr>
      <w:tr w:rsidR="00395B24" w14:paraId="0593FB91" w14:textId="77777777" w:rsidTr="001E3D21">
        <w:tc>
          <w:tcPr>
            <w:tcW w:w="3083" w:type="dxa"/>
            <w:shd w:val="clear" w:color="auto" w:fill="auto"/>
          </w:tcPr>
          <w:p w14:paraId="3F0FD2ED" w14:textId="77777777" w:rsidR="00395B24" w:rsidRDefault="00395B24" w:rsidP="00663878">
            <w:pPr>
              <w:pStyle w:val="Normal1linespace"/>
              <w:widowControl w:val="0"/>
              <w:jc w:val="left"/>
            </w:pPr>
          </w:p>
        </w:tc>
        <w:tc>
          <w:tcPr>
            <w:tcW w:w="5990" w:type="dxa"/>
            <w:shd w:val="clear" w:color="auto" w:fill="auto"/>
          </w:tcPr>
          <w:p w14:paraId="5D1B90EF" w14:textId="77777777" w:rsidR="00395B24" w:rsidRDefault="00395B24" w:rsidP="00663878">
            <w:pPr>
              <w:pStyle w:val="Normal1linespace"/>
              <w:widowControl w:val="0"/>
              <w:jc w:val="left"/>
            </w:pPr>
          </w:p>
        </w:tc>
      </w:tr>
      <w:tr w:rsidR="00395B24" w14:paraId="4797B35A" w14:textId="77777777" w:rsidTr="001E3D21">
        <w:tc>
          <w:tcPr>
            <w:tcW w:w="3083" w:type="dxa"/>
            <w:shd w:val="clear" w:color="auto" w:fill="auto"/>
          </w:tcPr>
          <w:p w14:paraId="19269BE1" w14:textId="77777777" w:rsidR="00395B24" w:rsidRDefault="002C7385" w:rsidP="00663878">
            <w:pPr>
              <w:pStyle w:val="Normal1linespace"/>
              <w:widowControl w:val="0"/>
              <w:jc w:val="left"/>
            </w:pPr>
            <w:r>
              <w:t>Date of judgment:</w:t>
            </w:r>
          </w:p>
        </w:tc>
        <w:tc>
          <w:tcPr>
            <w:tcW w:w="5990" w:type="dxa"/>
            <w:shd w:val="clear" w:color="auto" w:fill="auto"/>
          </w:tcPr>
          <w:p w14:paraId="7936D509" w14:textId="4B5A575A" w:rsidR="00395B24" w:rsidRDefault="00B40253" w:rsidP="00B40253">
            <w:pPr>
              <w:pStyle w:val="Normal1linespace"/>
              <w:widowControl w:val="0"/>
              <w:jc w:val="left"/>
            </w:pPr>
            <w:bookmarkStart w:id="1" w:name="JudgmentDate"/>
            <w:r>
              <w:t>3 August 2021</w:t>
            </w:r>
            <w:bookmarkEnd w:id="1"/>
          </w:p>
        </w:tc>
      </w:tr>
      <w:tr w:rsidR="00395B24" w14:paraId="6A3BA4B3" w14:textId="77777777" w:rsidTr="001E3D21">
        <w:tc>
          <w:tcPr>
            <w:tcW w:w="3083" w:type="dxa"/>
            <w:shd w:val="clear" w:color="auto" w:fill="auto"/>
          </w:tcPr>
          <w:p w14:paraId="21C871EB" w14:textId="77777777" w:rsidR="00395B24" w:rsidRDefault="00395B24" w:rsidP="00663878">
            <w:pPr>
              <w:pStyle w:val="Normal1linespace"/>
              <w:widowControl w:val="0"/>
              <w:jc w:val="left"/>
            </w:pPr>
          </w:p>
        </w:tc>
        <w:tc>
          <w:tcPr>
            <w:tcW w:w="5990" w:type="dxa"/>
            <w:shd w:val="clear" w:color="auto" w:fill="auto"/>
          </w:tcPr>
          <w:p w14:paraId="21C6FF44" w14:textId="77777777" w:rsidR="00395B24" w:rsidRDefault="00395B24" w:rsidP="00663878">
            <w:pPr>
              <w:pStyle w:val="Normal1linespace"/>
              <w:widowControl w:val="0"/>
              <w:jc w:val="left"/>
            </w:pPr>
          </w:p>
        </w:tc>
      </w:tr>
      <w:tr w:rsidR="00395B24" w14:paraId="11503F64" w14:textId="77777777" w:rsidTr="001E3D21">
        <w:tc>
          <w:tcPr>
            <w:tcW w:w="3083" w:type="dxa"/>
            <w:shd w:val="clear" w:color="auto" w:fill="auto"/>
          </w:tcPr>
          <w:p w14:paraId="0D2A4E6F" w14:textId="77777777" w:rsidR="00395B24" w:rsidRDefault="002C7385" w:rsidP="00663878">
            <w:pPr>
              <w:pStyle w:val="Normal1linespace"/>
              <w:widowControl w:val="0"/>
              <w:jc w:val="left"/>
            </w:pPr>
            <w:r>
              <w:t>Catchwords:</w:t>
            </w:r>
          </w:p>
        </w:tc>
        <w:tc>
          <w:tcPr>
            <w:tcW w:w="5990" w:type="dxa"/>
            <w:shd w:val="clear" w:color="auto" w:fill="auto"/>
          </w:tcPr>
          <w:p w14:paraId="2B0F9EEA" w14:textId="6AC40F41" w:rsidR="00395B24" w:rsidRDefault="00CD7D9E" w:rsidP="003A68FD">
            <w:pPr>
              <w:pStyle w:val="Normal1linespace"/>
              <w:widowControl w:val="0"/>
              <w:jc w:val="left"/>
            </w:pPr>
            <w:bookmarkStart w:id="2" w:name="Catchwords"/>
            <w:r>
              <w:rPr>
                <w:b/>
              </w:rPr>
              <w:t>EVIDENCE</w:t>
            </w:r>
            <w:r>
              <w:t xml:space="preserve"> – </w:t>
            </w:r>
            <w:r w:rsidR="00BC40F6">
              <w:t xml:space="preserve">where </w:t>
            </w:r>
            <w:r w:rsidR="00BE1936">
              <w:t xml:space="preserve">evidence obtained by </w:t>
            </w:r>
            <w:r w:rsidR="00BE1936" w:rsidRPr="00BE1936">
              <w:t>Official Receiver</w:t>
            </w:r>
            <w:r w:rsidR="00BE1936">
              <w:t xml:space="preserve"> under </w:t>
            </w:r>
            <w:r w:rsidR="00BC40F6">
              <w:rPr>
                <w:i/>
              </w:rPr>
              <w:t xml:space="preserve">Bankruptcy Act 1966 </w:t>
            </w:r>
            <w:r w:rsidR="00BC40F6">
              <w:t>(</w:t>
            </w:r>
            <w:proofErr w:type="spellStart"/>
            <w:r w:rsidR="00BC40F6">
              <w:t>Cth</w:t>
            </w:r>
            <w:proofErr w:type="spellEnd"/>
            <w:r w:rsidR="00BC40F6">
              <w:t>) s </w:t>
            </w:r>
            <w:r w:rsidR="00BE1936" w:rsidRPr="00CD7D9E">
              <w:t>77C</w:t>
            </w:r>
            <w:r w:rsidR="00BE1936">
              <w:t xml:space="preserve"> – </w:t>
            </w:r>
            <w:r w:rsidR="00BC40F6">
              <w:t xml:space="preserve">where </w:t>
            </w:r>
            <w:r w:rsidR="00BE1936">
              <w:t>Applicant</w:t>
            </w:r>
            <w:r w:rsidR="00EE5592">
              <w:t>s</w:t>
            </w:r>
            <w:r w:rsidR="00BE1936">
              <w:t xml:space="preserve"> tendered transcript of </w:t>
            </w:r>
            <w:r w:rsidR="00BE1936" w:rsidRPr="00BE1936">
              <w:t>Official Receiver</w:t>
            </w:r>
            <w:r w:rsidR="00BE1936">
              <w:t xml:space="preserve">’s examination – </w:t>
            </w:r>
            <w:r w:rsidR="00BC40F6">
              <w:t>w</w:t>
            </w:r>
            <w:r w:rsidR="00BC40F6" w:rsidRPr="00CD7D9E">
              <w:t xml:space="preserve">hether </w:t>
            </w:r>
            <w:r w:rsidR="00B40253">
              <w:t xml:space="preserve">transcript </w:t>
            </w:r>
            <w:r>
              <w:t>a</w:t>
            </w:r>
            <w:r w:rsidRPr="00CD7D9E">
              <w:t xml:space="preserve">dmissible </w:t>
            </w:r>
            <w:r w:rsidR="00BE1936">
              <w:t>under</w:t>
            </w:r>
            <w:r w:rsidRPr="00CD7D9E">
              <w:t xml:space="preserve"> </w:t>
            </w:r>
            <w:r w:rsidR="00BC40F6">
              <w:rPr>
                <w:i/>
              </w:rPr>
              <w:t xml:space="preserve">Bankruptcy Act 1966 </w:t>
            </w:r>
            <w:r w:rsidR="00BC40F6">
              <w:t>(</w:t>
            </w:r>
            <w:proofErr w:type="spellStart"/>
            <w:r w:rsidR="00BC40F6">
              <w:t>Cth</w:t>
            </w:r>
            <w:proofErr w:type="spellEnd"/>
            <w:r w:rsidR="00BC40F6">
              <w:t xml:space="preserve">) </w:t>
            </w:r>
            <w:r w:rsidRPr="00CD7D9E">
              <w:t>s</w:t>
            </w:r>
            <w:r w:rsidR="00BF599D">
              <w:t> </w:t>
            </w:r>
            <w:r w:rsidRPr="00CD7D9E">
              <w:t xml:space="preserve">77C(3) and </w:t>
            </w:r>
            <w:r w:rsidR="00BC40F6">
              <w:t>s </w:t>
            </w:r>
            <w:r w:rsidRPr="00CD7D9E">
              <w:t xml:space="preserve">255(2) </w:t>
            </w:r>
            <w:r w:rsidR="003A68FD">
              <w:t xml:space="preserve">despite </w:t>
            </w:r>
            <w:r w:rsidR="00561974" w:rsidRPr="00995149">
              <w:rPr>
                <w:i/>
              </w:rPr>
              <w:t xml:space="preserve">Evidence Act 1995 </w:t>
            </w:r>
            <w:r w:rsidR="00561974" w:rsidRPr="00995149">
              <w:t>(</w:t>
            </w:r>
            <w:proofErr w:type="spellStart"/>
            <w:r w:rsidR="00561974" w:rsidRPr="00995149">
              <w:t>Cth</w:t>
            </w:r>
            <w:proofErr w:type="spellEnd"/>
            <w:r w:rsidR="00561974" w:rsidRPr="00995149">
              <w:t>)</w:t>
            </w:r>
            <w:r w:rsidR="00561974">
              <w:t xml:space="preserve"> </w:t>
            </w:r>
            <w:bookmarkEnd w:id="2"/>
          </w:p>
        </w:tc>
      </w:tr>
      <w:tr w:rsidR="00395B24" w14:paraId="3A4E5898" w14:textId="77777777" w:rsidTr="001E3D21">
        <w:tc>
          <w:tcPr>
            <w:tcW w:w="3083" w:type="dxa"/>
            <w:shd w:val="clear" w:color="auto" w:fill="auto"/>
          </w:tcPr>
          <w:p w14:paraId="4E9CA4A3" w14:textId="77777777" w:rsidR="00395B24" w:rsidRDefault="00395B24" w:rsidP="00663878">
            <w:pPr>
              <w:pStyle w:val="Normal1linespace"/>
              <w:widowControl w:val="0"/>
              <w:jc w:val="left"/>
            </w:pPr>
          </w:p>
        </w:tc>
        <w:tc>
          <w:tcPr>
            <w:tcW w:w="5990" w:type="dxa"/>
            <w:shd w:val="clear" w:color="auto" w:fill="auto"/>
          </w:tcPr>
          <w:p w14:paraId="6A64DBBA" w14:textId="77777777" w:rsidR="00395B24" w:rsidRDefault="00395B24" w:rsidP="00663878">
            <w:pPr>
              <w:pStyle w:val="Normal1linespace"/>
              <w:widowControl w:val="0"/>
              <w:jc w:val="left"/>
            </w:pPr>
          </w:p>
        </w:tc>
      </w:tr>
      <w:tr w:rsidR="00395B24" w14:paraId="05355974" w14:textId="77777777" w:rsidTr="001E3D21">
        <w:tc>
          <w:tcPr>
            <w:tcW w:w="3083" w:type="dxa"/>
            <w:shd w:val="clear" w:color="auto" w:fill="auto"/>
          </w:tcPr>
          <w:p w14:paraId="6AA999E1" w14:textId="77777777" w:rsidR="00395B24" w:rsidRDefault="002C7385" w:rsidP="00663878">
            <w:pPr>
              <w:pStyle w:val="Normal1linespace"/>
              <w:widowControl w:val="0"/>
              <w:jc w:val="left"/>
            </w:pPr>
            <w:r>
              <w:t>Legislation:</w:t>
            </w:r>
          </w:p>
        </w:tc>
        <w:tc>
          <w:tcPr>
            <w:tcW w:w="5990" w:type="dxa"/>
            <w:shd w:val="clear" w:color="auto" w:fill="auto"/>
          </w:tcPr>
          <w:p w14:paraId="592A265E" w14:textId="29A724B2" w:rsidR="005D3DA6" w:rsidRPr="005D3DA6" w:rsidRDefault="005D3DA6" w:rsidP="005D3DA6">
            <w:pPr>
              <w:pStyle w:val="CasesLegislationAppealFrom"/>
              <w:spacing w:after="60"/>
            </w:pPr>
            <w:bookmarkStart w:id="3" w:name="Legislation"/>
            <w:r w:rsidRPr="008845CB">
              <w:rPr>
                <w:i/>
              </w:rPr>
              <w:t xml:space="preserve">Bankruptcy Act 1966 </w:t>
            </w:r>
            <w:r w:rsidRPr="008845CB">
              <w:t>(</w:t>
            </w:r>
            <w:proofErr w:type="spellStart"/>
            <w:r w:rsidRPr="008845CB">
              <w:t>Cth</w:t>
            </w:r>
            <w:proofErr w:type="spellEnd"/>
            <w:r w:rsidRPr="008845CB">
              <w:t>)</w:t>
            </w:r>
            <w:r>
              <w:t xml:space="preserve"> </w:t>
            </w:r>
            <w:proofErr w:type="spellStart"/>
            <w:r>
              <w:t>ss</w:t>
            </w:r>
            <w:proofErr w:type="spellEnd"/>
            <w:r>
              <w:t xml:space="preserve"> 77C, </w:t>
            </w:r>
            <w:r w:rsidR="00CD7D9E">
              <w:t xml:space="preserve">81, </w:t>
            </w:r>
            <w:r>
              <w:t>255</w:t>
            </w:r>
          </w:p>
          <w:p w14:paraId="3D025B06" w14:textId="77777777" w:rsidR="00851E06" w:rsidRDefault="005D3DA6" w:rsidP="00851E06">
            <w:pPr>
              <w:pStyle w:val="CasesLegislationAppealFrom"/>
              <w:spacing w:after="60"/>
            </w:pPr>
            <w:r w:rsidRPr="008845CB">
              <w:rPr>
                <w:i/>
              </w:rPr>
              <w:t>Bankruptcy Legislation Amendment (Anti-avoidance) Act 2006</w:t>
            </w:r>
            <w:r w:rsidRPr="008845CB">
              <w:t xml:space="preserve"> (</w:t>
            </w:r>
            <w:proofErr w:type="spellStart"/>
            <w:r w:rsidRPr="008845CB">
              <w:t>Cth</w:t>
            </w:r>
            <w:proofErr w:type="spellEnd"/>
            <w:r w:rsidR="00851E06" w:rsidRPr="008845CB">
              <w:t>)</w:t>
            </w:r>
            <w:r w:rsidR="00851E06">
              <w:t xml:space="preserve"> </w:t>
            </w:r>
            <w:proofErr w:type="spellStart"/>
            <w:r w:rsidR="00851E06">
              <w:t>sch</w:t>
            </w:r>
            <w:proofErr w:type="spellEnd"/>
            <w:r w:rsidR="00851E06">
              <w:t xml:space="preserve"> 1</w:t>
            </w:r>
          </w:p>
          <w:p w14:paraId="078144B4" w14:textId="44434C49" w:rsidR="007E0B93" w:rsidRPr="005D3DA6" w:rsidRDefault="00851E06">
            <w:pPr>
              <w:pStyle w:val="CasesLegislationAppealFrom"/>
              <w:spacing w:after="60"/>
            </w:pPr>
            <w:r w:rsidRPr="008845CB">
              <w:rPr>
                <w:i/>
              </w:rPr>
              <w:t xml:space="preserve">Evidence Act 1995 </w:t>
            </w:r>
            <w:r w:rsidRPr="008845CB">
              <w:t>(</w:t>
            </w:r>
            <w:proofErr w:type="spellStart"/>
            <w:r w:rsidRPr="008845CB">
              <w:t>Cth</w:t>
            </w:r>
            <w:proofErr w:type="spellEnd"/>
            <w:r w:rsidRPr="008845CB">
              <w:t>)</w:t>
            </w:r>
            <w:r>
              <w:t xml:space="preserve"> </w:t>
            </w:r>
            <w:proofErr w:type="spellStart"/>
            <w:r>
              <w:t>ss</w:t>
            </w:r>
            <w:proofErr w:type="spellEnd"/>
            <w:r>
              <w:t xml:space="preserve"> 81, 83, 87, 135, 136</w:t>
            </w:r>
            <w:bookmarkEnd w:id="3"/>
          </w:p>
        </w:tc>
      </w:tr>
      <w:tr w:rsidR="00395B24" w14:paraId="1C5C8BDD" w14:textId="77777777" w:rsidTr="001E3D21">
        <w:tc>
          <w:tcPr>
            <w:tcW w:w="3083" w:type="dxa"/>
            <w:shd w:val="clear" w:color="auto" w:fill="auto"/>
          </w:tcPr>
          <w:p w14:paraId="6AB5631F" w14:textId="77777777" w:rsidR="00395B24" w:rsidRDefault="00395B24" w:rsidP="00663878">
            <w:pPr>
              <w:pStyle w:val="Normal1linespace"/>
              <w:widowControl w:val="0"/>
              <w:jc w:val="left"/>
            </w:pPr>
          </w:p>
        </w:tc>
        <w:tc>
          <w:tcPr>
            <w:tcW w:w="5990" w:type="dxa"/>
            <w:shd w:val="clear" w:color="auto" w:fill="auto"/>
          </w:tcPr>
          <w:p w14:paraId="4BA88E01" w14:textId="77777777" w:rsidR="00395B24" w:rsidRDefault="00395B24" w:rsidP="00663878">
            <w:pPr>
              <w:pStyle w:val="Normal1linespace"/>
              <w:widowControl w:val="0"/>
              <w:jc w:val="left"/>
            </w:pPr>
          </w:p>
        </w:tc>
      </w:tr>
      <w:tr w:rsidR="00395B24" w14:paraId="2F0D8EA3" w14:textId="77777777" w:rsidTr="001E3D21">
        <w:tc>
          <w:tcPr>
            <w:tcW w:w="3083" w:type="dxa"/>
            <w:shd w:val="clear" w:color="auto" w:fill="auto"/>
          </w:tcPr>
          <w:p w14:paraId="256E6C69" w14:textId="77777777" w:rsidR="00395B24" w:rsidRDefault="002C7385" w:rsidP="00663878">
            <w:pPr>
              <w:pStyle w:val="Normal1linespace"/>
              <w:widowControl w:val="0"/>
              <w:jc w:val="left"/>
            </w:pPr>
            <w:r>
              <w:t>Cases cited:</w:t>
            </w:r>
          </w:p>
        </w:tc>
        <w:tc>
          <w:tcPr>
            <w:tcW w:w="5990" w:type="dxa"/>
            <w:shd w:val="clear" w:color="auto" w:fill="auto"/>
          </w:tcPr>
          <w:p w14:paraId="7F8E855B" w14:textId="77777777" w:rsidR="005D3DA6" w:rsidRPr="005D3DA6" w:rsidRDefault="005D3DA6">
            <w:pPr>
              <w:pStyle w:val="CasesLegislationAppealFrom"/>
              <w:spacing w:after="60"/>
            </w:pPr>
            <w:bookmarkStart w:id="4" w:name="Cases_Cited"/>
            <w:r w:rsidRPr="008845CB">
              <w:rPr>
                <w:i/>
              </w:rPr>
              <w:t xml:space="preserve">Colonial Mutual Life Assurance Society Ltd v Donnelly </w:t>
            </w:r>
            <w:r w:rsidRPr="008845CB">
              <w:t>(1998) 82 FCR 418</w:t>
            </w:r>
          </w:p>
          <w:p w14:paraId="199EF47D" w14:textId="77777777" w:rsidR="005D3DA6" w:rsidRPr="005D3DA6" w:rsidRDefault="005D3DA6">
            <w:pPr>
              <w:pStyle w:val="CasesLegislationAppealFrom"/>
              <w:spacing w:after="60"/>
            </w:pPr>
            <w:proofErr w:type="spellStart"/>
            <w:r w:rsidRPr="008845CB">
              <w:rPr>
                <w:i/>
              </w:rPr>
              <w:t>Rambaldi</w:t>
            </w:r>
            <w:proofErr w:type="spellEnd"/>
            <w:r w:rsidRPr="008845CB">
              <w:rPr>
                <w:i/>
              </w:rPr>
              <w:t xml:space="preserve"> v Mullins (No 2) </w:t>
            </w:r>
            <w:r w:rsidRPr="008845CB">
              <w:t>[2016] FCA 977</w:t>
            </w:r>
          </w:p>
          <w:p w14:paraId="02161FC7" w14:textId="5DAB43FB" w:rsidR="005D3DA6" w:rsidRPr="005D3DA6" w:rsidRDefault="005D3DA6">
            <w:pPr>
              <w:pStyle w:val="CasesLegislationAppealFrom"/>
              <w:spacing w:after="60"/>
            </w:pPr>
            <w:r w:rsidRPr="008845CB">
              <w:rPr>
                <w:i/>
              </w:rPr>
              <w:t xml:space="preserve">Re Morris; Ex </w:t>
            </w:r>
            <w:r w:rsidR="00AF4B01">
              <w:rPr>
                <w:i/>
              </w:rPr>
              <w:t>p</w:t>
            </w:r>
            <w:r w:rsidR="00AF4B01" w:rsidRPr="008845CB">
              <w:rPr>
                <w:i/>
              </w:rPr>
              <w:t xml:space="preserve">arte </w:t>
            </w:r>
            <w:r w:rsidRPr="008845CB">
              <w:rPr>
                <w:i/>
              </w:rPr>
              <w:t>Donnelly</w:t>
            </w:r>
            <w:r w:rsidRPr="008845CB">
              <w:t xml:space="preserve"> (1997) 77 FCR 303</w:t>
            </w:r>
          </w:p>
          <w:p w14:paraId="1841CACB" w14:textId="7B78497C" w:rsidR="00395B24" w:rsidRPr="005D3DA6" w:rsidRDefault="005D3DA6" w:rsidP="00715D10">
            <w:pPr>
              <w:pStyle w:val="CasesLegislationAppealFrom"/>
              <w:spacing w:after="60"/>
            </w:pPr>
            <w:proofErr w:type="spellStart"/>
            <w:r w:rsidRPr="008845CB">
              <w:rPr>
                <w:i/>
              </w:rPr>
              <w:t>Rothmore</w:t>
            </w:r>
            <w:proofErr w:type="spellEnd"/>
            <w:r w:rsidRPr="008845CB">
              <w:rPr>
                <w:i/>
              </w:rPr>
              <w:t xml:space="preserve"> Farms Pty Ltd (in </w:t>
            </w:r>
            <w:proofErr w:type="spellStart"/>
            <w:r w:rsidRPr="008845CB">
              <w:rPr>
                <w:i/>
              </w:rPr>
              <w:t>liq</w:t>
            </w:r>
            <w:proofErr w:type="spellEnd"/>
            <w:r w:rsidRPr="008845CB">
              <w:rPr>
                <w:i/>
              </w:rPr>
              <w:t>) v Belgravia Pty Ltd</w:t>
            </w:r>
            <w:r w:rsidRPr="008845CB">
              <w:t xml:space="preserve"> [1999] FCA 598</w:t>
            </w:r>
            <w:bookmarkEnd w:id="4"/>
            <w:r w:rsidRPr="005D3DA6" w:rsidDel="005D3DA6">
              <w:t xml:space="preserve">   </w:t>
            </w:r>
          </w:p>
        </w:tc>
      </w:tr>
      <w:tr w:rsidR="007E04A7" w14:paraId="4ABC5E02" w14:textId="77777777" w:rsidTr="001E3D21">
        <w:tc>
          <w:tcPr>
            <w:tcW w:w="3083" w:type="dxa"/>
            <w:shd w:val="clear" w:color="auto" w:fill="auto"/>
          </w:tcPr>
          <w:p w14:paraId="3625C23B" w14:textId="77777777" w:rsidR="007E04A7" w:rsidRDefault="007E04A7" w:rsidP="002F7154">
            <w:pPr>
              <w:pStyle w:val="Normal1linespace"/>
              <w:widowControl w:val="0"/>
            </w:pPr>
          </w:p>
        </w:tc>
        <w:tc>
          <w:tcPr>
            <w:tcW w:w="5990" w:type="dxa"/>
            <w:shd w:val="clear" w:color="auto" w:fill="auto"/>
          </w:tcPr>
          <w:p w14:paraId="6199220E" w14:textId="77777777" w:rsidR="007E04A7" w:rsidRDefault="007E04A7" w:rsidP="002F7154">
            <w:pPr>
              <w:pStyle w:val="Normal1linespace"/>
              <w:widowControl w:val="0"/>
              <w:jc w:val="left"/>
            </w:pPr>
          </w:p>
        </w:tc>
      </w:tr>
      <w:tr w:rsidR="007E04A7" w14:paraId="5B425275" w14:textId="77777777" w:rsidTr="001E3D21">
        <w:tc>
          <w:tcPr>
            <w:tcW w:w="3083" w:type="dxa"/>
            <w:shd w:val="clear" w:color="auto" w:fill="auto"/>
          </w:tcPr>
          <w:p w14:paraId="376F5449" w14:textId="77777777" w:rsidR="007E04A7" w:rsidRDefault="007E04A7" w:rsidP="00501A12">
            <w:pPr>
              <w:pStyle w:val="Normal1linespace"/>
              <w:widowControl w:val="0"/>
            </w:pPr>
            <w:r>
              <w:t>Division:</w:t>
            </w:r>
          </w:p>
        </w:tc>
        <w:tc>
          <w:tcPr>
            <w:tcW w:w="5990" w:type="dxa"/>
            <w:shd w:val="clear" w:color="auto" w:fill="auto"/>
          </w:tcPr>
          <w:p w14:paraId="45013B07" w14:textId="77777777" w:rsidR="007E04A7" w:rsidRPr="00F17599" w:rsidRDefault="00841313" w:rsidP="00501A12">
            <w:pPr>
              <w:pStyle w:val="Normal1linespace"/>
              <w:widowControl w:val="0"/>
              <w:jc w:val="left"/>
            </w:pPr>
            <w:r>
              <w:fldChar w:fldCharType="begin"/>
            </w:r>
            <w:r>
              <w:instrText xml:space="preserve"> DOCPROPERTY  Division </w:instrText>
            </w:r>
            <w:r>
              <w:fldChar w:fldCharType="separate"/>
            </w:r>
            <w:r w:rsidR="007E04A7">
              <w:t>General Division</w:t>
            </w:r>
            <w:r>
              <w:fldChar w:fldCharType="end"/>
            </w:r>
          </w:p>
        </w:tc>
      </w:tr>
      <w:tr w:rsidR="007E04A7" w14:paraId="68533E9B" w14:textId="77777777" w:rsidTr="001E3D21">
        <w:tc>
          <w:tcPr>
            <w:tcW w:w="3083" w:type="dxa"/>
            <w:shd w:val="clear" w:color="auto" w:fill="auto"/>
          </w:tcPr>
          <w:p w14:paraId="1A624752" w14:textId="77777777" w:rsidR="007E04A7" w:rsidRDefault="007E04A7" w:rsidP="00501A12">
            <w:pPr>
              <w:pStyle w:val="Normal1linespace"/>
              <w:widowControl w:val="0"/>
            </w:pPr>
            <w:bookmarkStart w:id="5" w:name="Registry_rows" w:colFirst="0" w:colLast="1"/>
          </w:p>
        </w:tc>
        <w:tc>
          <w:tcPr>
            <w:tcW w:w="5990" w:type="dxa"/>
            <w:shd w:val="clear" w:color="auto" w:fill="auto"/>
          </w:tcPr>
          <w:p w14:paraId="4756CF15" w14:textId="77777777" w:rsidR="007E04A7" w:rsidRDefault="007E04A7" w:rsidP="00501A12">
            <w:pPr>
              <w:pStyle w:val="Normal1linespace"/>
              <w:widowControl w:val="0"/>
              <w:jc w:val="left"/>
            </w:pPr>
          </w:p>
        </w:tc>
      </w:tr>
      <w:tr w:rsidR="007E04A7" w14:paraId="2E6DB8CB" w14:textId="77777777" w:rsidTr="001E3D21">
        <w:tc>
          <w:tcPr>
            <w:tcW w:w="3083" w:type="dxa"/>
            <w:shd w:val="clear" w:color="auto" w:fill="auto"/>
          </w:tcPr>
          <w:p w14:paraId="5C95A250" w14:textId="77777777" w:rsidR="007E04A7" w:rsidRDefault="007E04A7" w:rsidP="00501A12">
            <w:pPr>
              <w:pStyle w:val="Normal1linespace"/>
              <w:widowControl w:val="0"/>
            </w:pPr>
            <w:r>
              <w:t>Registry:</w:t>
            </w:r>
          </w:p>
        </w:tc>
        <w:tc>
          <w:tcPr>
            <w:tcW w:w="5990" w:type="dxa"/>
            <w:shd w:val="clear" w:color="auto" w:fill="auto"/>
          </w:tcPr>
          <w:p w14:paraId="7380C761" w14:textId="77777777" w:rsidR="007E04A7" w:rsidRPr="00F17599" w:rsidRDefault="00841313" w:rsidP="00501A12">
            <w:pPr>
              <w:pStyle w:val="Normal1linespace"/>
              <w:widowControl w:val="0"/>
              <w:jc w:val="left"/>
            </w:pPr>
            <w:r>
              <w:fldChar w:fldCharType="begin"/>
            </w:r>
            <w:r>
              <w:instrText xml:space="preserve"> DOCPROPERTY  Registry </w:instrText>
            </w:r>
            <w:r>
              <w:fldChar w:fldCharType="separate"/>
            </w:r>
            <w:r w:rsidR="007E04A7">
              <w:t>New South Wales</w:t>
            </w:r>
            <w:r>
              <w:fldChar w:fldCharType="end"/>
            </w:r>
          </w:p>
        </w:tc>
      </w:tr>
      <w:tr w:rsidR="007E04A7" w14:paraId="0CFAE2C5" w14:textId="77777777" w:rsidTr="001E3D21">
        <w:tc>
          <w:tcPr>
            <w:tcW w:w="3083" w:type="dxa"/>
            <w:shd w:val="clear" w:color="auto" w:fill="auto"/>
          </w:tcPr>
          <w:p w14:paraId="42571498" w14:textId="77777777" w:rsidR="007E04A7" w:rsidRDefault="007E04A7" w:rsidP="00501A12">
            <w:pPr>
              <w:pStyle w:val="Normal1linespace"/>
              <w:widowControl w:val="0"/>
            </w:pPr>
            <w:bookmarkStart w:id="6" w:name="NPARow" w:colFirst="0" w:colLast="1"/>
            <w:bookmarkEnd w:id="5"/>
          </w:p>
        </w:tc>
        <w:tc>
          <w:tcPr>
            <w:tcW w:w="5990" w:type="dxa"/>
            <w:shd w:val="clear" w:color="auto" w:fill="auto"/>
          </w:tcPr>
          <w:p w14:paraId="21BDE4AF" w14:textId="77777777" w:rsidR="007E04A7" w:rsidRPr="00F17599" w:rsidRDefault="007E04A7" w:rsidP="00501A12">
            <w:pPr>
              <w:pStyle w:val="Normal1linespace"/>
              <w:widowControl w:val="0"/>
              <w:jc w:val="left"/>
              <w:rPr>
                <w:b/>
              </w:rPr>
            </w:pPr>
          </w:p>
        </w:tc>
      </w:tr>
      <w:tr w:rsidR="007E04A7" w14:paraId="03C1241A" w14:textId="77777777" w:rsidTr="001E3D21">
        <w:tc>
          <w:tcPr>
            <w:tcW w:w="3083" w:type="dxa"/>
            <w:shd w:val="clear" w:color="auto" w:fill="auto"/>
          </w:tcPr>
          <w:p w14:paraId="0FDA6733" w14:textId="77777777" w:rsidR="007E04A7" w:rsidRDefault="007E04A7" w:rsidP="00501A12">
            <w:pPr>
              <w:pStyle w:val="Normal1linespace"/>
              <w:widowControl w:val="0"/>
            </w:pPr>
            <w:r>
              <w:t>National Practice Area:</w:t>
            </w:r>
          </w:p>
        </w:tc>
        <w:tc>
          <w:tcPr>
            <w:tcW w:w="5990" w:type="dxa"/>
            <w:shd w:val="clear" w:color="auto" w:fill="auto"/>
          </w:tcPr>
          <w:p w14:paraId="48B5DBE1" w14:textId="77777777" w:rsidR="007E04A7" w:rsidRPr="00F17599" w:rsidRDefault="00841313" w:rsidP="00171DBB">
            <w:pPr>
              <w:pStyle w:val="Normal1linespace"/>
              <w:widowControl w:val="0"/>
              <w:jc w:val="left"/>
              <w:rPr>
                <w:b/>
              </w:rPr>
            </w:pPr>
            <w:r>
              <w:fldChar w:fldCharType="begin"/>
            </w:r>
            <w:r>
              <w:instrText xml:space="preserve"> DOCPROPERTY  "Practice Area"  \* MERGEFORMAT </w:instrText>
            </w:r>
            <w:r>
              <w:fldChar w:fldCharType="separate"/>
            </w:r>
            <w:r w:rsidR="007E04A7">
              <w:t>Commercial and Corporations</w:t>
            </w:r>
            <w:r>
              <w:fldChar w:fldCharType="end"/>
            </w:r>
          </w:p>
        </w:tc>
      </w:tr>
      <w:tr w:rsidR="007E04A7" w14:paraId="2F653806" w14:textId="77777777" w:rsidTr="001E3D21">
        <w:tc>
          <w:tcPr>
            <w:tcW w:w="3083" w:type="dxa"/>
            <w:shd w:val="clear" w:color="auto" w:fill="auto"/>
          </w:tcPr>
          <w:p w14:paraId="2392B95C" w14:textId="77777777" w:rsidR="007E04A7" w:rsidRDefault="007E04A7" w:rsidP="00501A12">
            <w:pPr>
              <w:pStyle w:val="Normal1linespace"/>
              <w:widowControl w:val="0"/>
            </w:pPr>
            <w:bookmarkStart w:id="7" w:name="SubAreaRow" w:colFirst="0" w:colLast="1"/>
            <w:bookmarkEnd w:id="6"/>
          </w:p>
        </w:tc>
        <w:tc>
          <w:tcPr>
            <w:tcW w:w="5990" w:type="dxa"/>
            <w:shd w:val="clear" w:color="auto" w:fill="auto"/>
          </w:tcPr>
          <w:p w14:paraId="4EDDD5F0" w14:textId="77777777" w:rsidR="007E04A7" w:rsidRDefault="007E04A7" w:rsidP="00171DBB">
            <w:pPr>
              <w:pStyle w:val="Normal1linespace"/>
              <w:widowControl w:val="0"/>
              <w:jc w:val="left"/>
            </w:pPr>
          </w:p>
        </w:tc>
      </w:tr>
      <w:tr w:rsidR="007E04A7" w14:paraId="69DABDF5" w14:textId="77777777" w:rsidTr="001E3D21">
        <w:tc>
          <w:tcPr>
            <w:tcW w:w="3083" w:type="dxa"/>
            <w:shd w:val="clear" w:color="auto" w:fill="auto"/>
          </w:tcPr>
          <w:p w14:paraId="5922FDDE" w14:textId="77777777" w:rsidR="007E04A7" w:rsidRDefault="007E04A7" w:rsidP="00501A12">
            <w:pPr>
              <w:pStyle w:val="Normal1linespace"/>
              <w:widowControl w:val="0"/>
            </w:pPr>
            <w:r>
              <w:t>Sub-area:</w:t>
            </w:r>
          </w:p>
        </w:tc>
        <w:tc>
          <w:tcPr>
            <w:tcW w:w="5990" w:type="dxa"/>
            <w:shd w:val="clear" w:color="auto" w:fill="auto"/>
          </w:tcPr>
          <w:p w14:paraId="2E7216A0" w14:textId="77777777" w:rsidR="007E04A7" w:rsidRPr="00837288" w:rsidRDefault="00841313" w:rsidP="00435936">
            <w:pPr>
              <w:pStyle w:val="Normal1linespace"/>
              <w:widowControl w:val="0"/>
              <w:jc w:val="left"/>
            </w:pPr>
            <w:r>
              <w:fldChar w:fldCharType="begin"/>
            </w:r>
            <w:r>
              <w:instrText xml:space="preserve"> DOCPROPERTY  "Sub Area"  \* MERGEFORMAT </w:instrText>
            </w:r>
            <w:r>
              <w:fldChar w:fldCharType="separate"/>
            </w:r>
            <w:r w:rsidR="007E04A7" w:rsidRPr="007E04A7">
              <w:rPr>
                <w:lang w:val="en-US"/>
              </w:rPr>
              <w:t>General and Personal</w:t>
            </w:r>
            <w:r w:rsidR="007E04A7">
              <w:t xml:space="preserve"> Insolvency</w:t>
            </w:r>
            <w:r>
              <w:fldChar w:fldCharType="end"/>
            </w:r>
          </w:p>
        </w:tc>
      </w:tr>
      <w:bookmarkEnd w:id="7"/>
      <w:tr w:rsidR="007E04A7" w14:paraId="0D79A74A" w14:textId="77777777" w:rsidTr="001E3D21">
        <w:tc>
          <w:tcPr>
            <w:tcW w:w="3083" w:type="dxa"/>
            <w:shd w:val="clear" w:color="auto" w:fill="auto"/>
          </w:tcPr>
          <w:p w14:paraId="07B644F0" w14:textId="77777777" w:rsidR="007E04A7" w:rsidRDefault="007E04A7" w:rsidP="00501A12">
            <w:pPr>
              <w:pStyle w:val="Normal1linespace"/>
              <w:widowControl w:val="0"/>
            </w:pPr>
          </w:p>
        </w:tc>
        <w:tc>
          <w:tcPr>
            <w:tcW w:w="5990" w:type="dxa"/>
            <w:shd w:val="clear" w:color="auto" w:fill="auto"/>
          </w:tcPr>
          <w:p w14:paraId="767F51FF" w14:textId="77777777" w:rsidR="007E04A7" w:rsidRDefault="007E04A7" w:rsidP="00501A12">
            <w:pPr>
              <w:pStyle w:val="Normal1linespace"/>
              <w:widowControl w:val="0"/>
              <w:jc w:val="left"/>
            </w:pPr>
          </w:p>
        </w:tc>
      </w:tr>
      <w:tr w:rsidR="007E04A7" w14:paraId="45BF3A04" w14:textId="77777777" w:rsidTr="001E3D21">
        <w:tc>
          <w:tcPr>
            <w:tcW w:w="3083" w:type="dxa"/>
            <w:shd w:val="clear" w:color="auto" w:fill="auto"/>
          </w:tcPr>
          <w:p w14:paraId="0F137AE8" w14:textId="77777777" w:rsidR="007E04A7" w:rsidRDefault="007E04A7" w:rsidP="00501A12">
            <w:pPr>
              <w:pStyle w:val="Normal1linespace"/>
              <w:widowControl w:val="0"/>
            </w:pPr>
            <w:r>
              <w:t>Number of paragraphs:</w:t>
            </w:r>
          </w:p>
        </w:tc>
        <w:tc>
          <w:tcPr>
            <w:tcW w:w="5990" w:type="dxa"/>
            <w:shd w:val="clear" w:color="auto" w:fill="auto"/>
          </w:tcPr>
          <w:p w14:paraId="795ED285" w14:textId="4EF6D994" w:rsidR="007E04A7" w:rsidRDefault="001E3D21" w:rsidP="00501A12">
            <w:pPr>
              <w:pStyle w:val="Normal1linespace"/>
              <w:widowControl w:val="0"/>
              <w:jc w:val="left"/>
            </w:pPr>
            <w:bookmarkStart w:id="8" w:name="PlaceCategoryParagraphs"/>
            <w:r>
              <w:t>13</w:t>
            </w:r>
            <w:bookmarkEnd w:id="8"/>
          </w:p>
        </w:tc>
      </w:tr>
      <w:tr w:rsidR="007E04A7" w14:paraId="18ECEC26" w14:textId="77777777" w:rsidTr="001E3D21">
        <w:tc>
          <w:tcPr>
            <w:tcW w:w="3083" w:type="dxa"/>
            <w:shd w:val="clear" w:color="auto" w:fill="auto"/>
          </w:tcPr>
          <w:p w14:paraId="5421957A" w14:textId="77777777" w:rsidR="007E04A7" w:rsidRDefault="007E04A7" w:rsidP="007E04A7">
            <w:pPr>
              <w:pStyle w:val="Normal1linespace"/>
              <w:widowControl w:val="0"/>
              <w:jc w:val="left"/>
            </w:pPr>
          </w:p>
        </w:tc>
        <w:tc>
          <w:tcPr>
            <w:tcW w:w="5990" w:type="dxa"/>
            <w:shd w:val="clear" w:color="auto" w:fill="auto"/>
          </w:tcPr>
          <w:p w14:paraId="277043FC" w14:textId="77777777" w:rsidR="007E04A7" w:rsidRDefault="007E04A7" w:rsidP="007E04A7">
            <w:pPr>
              <w:pStyle w:val="Normal1linespace"/>
              <w:widowControl w:val="0"/>
              <w:jc w:val="left"/>
            </w:pPr>
          </w:p>
        </w:tc>
      </w:tr>
      <w:tr w:rsidR="007E04A7" w14:paraId="1889E33B" w14:textId="77777777" w:rsidTr="001E3D21">
        <w:tc>
          <w:tcPr>
            <w:tcW w:w="3083" w:type="dxa"/>
            <w:shd w:val="clear" w:color="auto" w:fill="auto"/>
          </w:tcPr>
          <w:p w14:paraId="542C19DD" w14:textId="77777777" w:rsidR="007E04A7" w:rsidRDefault="007E04A7" w:rsidP="007E04A7">
            <w:pPr>
              <w:pStyle w:val="Normal1linespace"/>
              <w:widowControl w:val="0"/>
              <w:jc w:val="left"/>
            </w:pPr>
            <w:bookmarkStart w:id="9" w:name="CounselDate" w:colFirst="0" w:colLast="2"/>
            <w:r w:rsidRPr="006A24E3">
              <w:t>Date of hearing:</w:t>
            </w:r>
          </w:p>
        </w:tc>
        <w:tc>
          <w:tcPr>
            <w:tcW w:w="5990" w:type="dxa"/>
            <w:shd w:val="clear" w:color="auto" w:fill="auto"/>
          </w:tcPr>
          <w:p w14:paraId="3AE905A2" w14:textId="77777777" w:rsidR="007E04A7" w:rsidRDefault="006A2CE5" w:rsidP="007E04A7">
            <w:pPr>
              <w:pStyle w:val="Normal1linespace"/>
              <w:widowControl w:val="0"/>
              <w:jc w:val="left"/>
            </w:pPr>
            <w:bookmarkStart w:id="10" w:name="HearingDate"/>
            <w:r>
              <w:t>28 July 2021</w:t>
            </w:r>
            <w:r w:rsidR="007E04A7">
              <w:t xml:space="preserve"> </w:t>
            </w:r>
            <w:bookmarkEnd w:id="10"/>
          </w:p>
        </w:tc>
      </w:tr>
      <w:tr w:rsidR="007E04A7" w14:paraId="1A0BC4ED" w14:textId="77777777" w:rsidTr="001E3D21">
        <w:tc>
          <w:tcPr>
            <w:tcW w:w="3083" w:type="dxa"/>
            <w:shd w:val="clear" w:color="auto" w:fill="auto"/>
          </w:tcPr>
          <w:p w14:paraId="7CDF1DEE" w14:textId="77777777" w:rsidR="007E04A7" w:rsidRDefault="007E04A7" w:rsidP="007E04A7">
            <w:pPr>
              <w:pStyle w:val="Normal1linespace"/>
              <w:widowControl w:val="0"/>
              <w:jc w:val="left"/>
            </w:pPr>
          </w:p>
        </w:tc>
        <w:tc>
          <w:tcPr>
            <w:tcW w:w="5990" w:type="dxa"/>
            <w:shd w:val="clear" w:color="auto" w:fill="auto"/>
          </w:tcPr>
          <w:p w14:paraId="168C28F4" w14:textId="77777777" w:rsidR="007E04A7" w:rsidRDefault="007E04A7" w:rsidP="007E04A7">
            <w:pPr>
              <w:pStyle w:val="Normal1linespace"/>
              <w:widowControl w:val="0"/>
              <w:jc w:val="left"/>
            </w:pPr>
          </w:p>
        </w:tc>
      </w:tr>
      <w:tr w:rsidR="001E3D21" w14:paraId="328ADE3C" w14:textId="77777777" w:rsidTr="001E3D21">
        <w:tc>
          <w:tcPr>
            <w:tcW w:w="3083" w:type="dxa"/>
            <w:shd w:val="clear" w:color="auto" w:fill="auto"/>
          </w:tcPr>
          <w:p w14:paraId="515A80B9" w14:textId="09D4C892" w:rsidR="001E3D21" w:rsidRDefault="001E3D21" w:rsidP="001E3D21">
            <w:pPr>
              <w:pStyle w:val="Normal1linespace"/>
              <w:widowControl w:val="0"/>
              <w:jc w:val="left"/>
            </w:pPr>
            <w:bookmarkStart w:id="11" w:name="Counsel" w:colFirst="0" w:colLast="2"/>
            <w:bookmarkEnd w:id="9"/>
            <w:r>
              <w:t>Counsel for the Applicants:</w:t>
            </w:r>
          </w:p>
        </w:tc>
        <w:tc>
          <w:tcPr>
            <w:tcW w:w="5990" w:type="dxa"/>
            <w:shd w:val="clear" w:color="auto" w:fill="auto"/>
          </w:tcPr>
          <w:p w14:paraId="18092987" w14:textId="07EE1653" w:rsidR="001E3D21" w:rsidRDefault="001E3D21" w:rsidP="001E3D21">
            <w:pPr>
              <w:pStyle w:val="Normal1linespace"/>
              <w:widowControl w:val="0"/>
              <w:jc w:val="left"/>
            </w:pPr>
            <w:bookmarkStart w:id="12" w:name="AppCounsel"/>
            <w:bookmarkEnd w:id="12"/>
            <w:r>
              <w:t>Mr A Combe</w:t>
            </w:r>
          </w:p>
        </w:tc>
      </w:tr>
      <w:tr w:rsidR="001E3D21" w14:paraId="5E4420F1" w14:textId="77777777" w:rsidTr="001E3D21">
        <w:tc>
          <w:tcPr>
            <w:tcW w:w="3083" w:type="dxa"/>
            <w:shd w:val="clear" w:color="auto" w:fill="auto"/>
          </w:tcPr>
          <w:p w14:paraId="28BCCC9A" w14:textId="77777777" w:rsidR="001E3D21" w:rsidRDefault="001E3D21" w:rsidP="001E3D21">
            <w:pPr>
              <w:pStyle w:val="Normal1linespace"/>
              <w:widowControl w:val="0"/>
              <w:jc w:val="left"/>
            </w:pPr>
          </w:p>
        </w:tc>
        <w:tc>
          <w:tcPr>
            <w:tcW w:w="5990" w:type="dxa"/>
            <w:shd w:val="clear" w:color="auto" w:fill="auto"/>
          </w:tcPr>
          <w:p w14:paraId="6E020343" w14:textId="77777777" w:rsidR="001E3D21" w:rsidRDefault="001E3D21" w:rsidP="001E3D21">
            <w:pPr>
              <w:pStyle w:val="Normal1linespace"/>
              <w:widowControl w:val="0"/>
              <w:jc w:val="left"/>
            </w:pPr>
          </w:p>
        </w:tc>
      </w:tr>
      <w:tr w:rsidR="001E3D21" w14:paraId="62898A75" w14:textId="77777777" w:rsidTr="001E3D21">
        <w:tc>
          <w:tcPr>
            <w:tcW w:w="3083" w:type="dxa"/>
            <w:shd w:val="clear" w:color="auto" w:fill="auto"/>
          </w:tcPr>
          <w:p w14:paraId="652B63BB" w14:textId="27E6BCED" w:rsidR="001E3D21" w:rsidRDefault="001E3D21" w:rsidP="001E3D21">
            <w:pPr>
              <w:pStyle w:val="Normal1linespace"/>
              <w:widowControl w:val="0"/>
              <w:jc w:val="left"/>
            </w:pPr>
            <w:r>
              <w:t>Solicitor for the Applicants:</w:t>
            </w:r>
          </w:p>
        </w:tc>
        <w:tc>
          <w:tcPr>
            <w:tcW w:w="5990" w:type="dxa"/>
            <w:shd w:val="clear" w:color="auto" w:fill="auto"/>
          </w:tcPr>
          <w:p w14:paraId="4C9DF33F" w14:textId="57862A84" w:rsidR="001E3D21" w:rsidRDefault="001E3D21" w:rsidP="001E3D21">
            <w:pPr>
              <w:pStyle w:val="Normal1linespace"/>
              <w:widowControl w:val="0"/>
              <w:jc w:val="left"/>
            </w:pPr>
            <w:r>
              <w:t>O’Neill Partners Commercial Lawyers</w:t>
            </w:r>
          </w:p>
        </w:tc>
      </w:tr>
      <w:tr w:rsidR="001E3D21" w14:paraId="1943E212" w14:textId="77777777" w:rsidTr="001E3D21">
        <w:tc>
          <w:tcPr>
            <w:tcW w:w="3083" w:type="dxa"/>
            <w:shd w:val="clear" w:color="auto" w:fill="auto"/>
          </w:tcPr>
          <w:p w14:paraId="75691C46" w14:textId="77777777" w:rsidR="001E3D21" w:rsidRDefault="001E3D21" w:rsidP="001E3D21">
            <w:pPr>
              <w:pStyle w:val="Normal1linespace"/>
              <w:widowControl w:val="0"/>
              <w:jc w:val="left"/>
            </w:pPr>
          </w:p>
        </w:tc>
        <w:tc>
          <w:tcPr>
            <w:tcW w:w="5990" w:type="dxa"/>
            <w:shd w:val="clear" w:color="auto" w:fill="auto"/>
          </w:tcPr>
          <w:p w14:paraId="5C6E9480" w14:textId="77777777" w:rsidR="001E3D21" w:rsidRDefault="001E3D21" w:rsidP="001E3D21">
            <w:pPr>
              <w:pStyle w:val="Normal1linespace"/>
              <w:widowControl w:val="0"/>
              <w:jc w:val="left"/>
            </w:pPr>
          </w:p>
        </w:tc>
      </w:tr>
      <w:tr w:rsidR="001E3D21" w14:paraId="0929D06B" w14:textId="77777777" w:rsidTr="001E3D21">
        <w:tc>
          <w:tcPr>
            <w:tcW w:w="3083" w:type="dxa"/>
            <w:shd w:val="clear" w:color="auto" w:fill="auto"/>
          </w:tcPr>
          <w:p w14:paraId="084C0C1B" w14:textId="242D5989" w:rsidR="001E3D21" w:rsidRDefault="001E3D21" w:rsidP="001E3D21">
            <w:pPr>
              <w:pStyle w:val="Normal1linespace"/>
              <w:widowControl w:val="0"/>
              <w:jc w:val="left"/>
            </w:pPr>
            <w:r>
              <w:lastRenderedPageBreak/>
              <w:t>Counsel for the First Respondent:</w:t>
            </w:r>
          </w:p>
        </w:tc>
        <w:tc>
          <w:tcPr>
            <w:tcW w:w="5990" w:type="dxa"/>
            <w:shd w:val="clear" w:color="auto" w:fill="auto"/>
          </w:tcPr>
          <w:p w14:paraId="68791BBB" w14:textId="7AD0AD3D" w:rsidR="001E3D21" w:rsidRDefault="001E3D21" w:rsidP="001E3D21">
            <w:pPr>
              <w:pStyle w:val="Normal1linespace"/>
              <w:widowControl w:val="0"/>
              <w:jc w:val="left"/>
            </w:pPr>
            <w:r>
              <w:t>The First Respondent did not appear</w:t>
            </w:r>
          </w:p>
        </w:tc>
      </w:tr>
      <w:tr w:rsidR="001E3D21" w14:paraId="3A153853" w14:textId="77777777" w:rsidTr="001E3D21">
        <w:tc>
          <w:tcPr>
            <w:tcW w:w="3083" w:type="dxa"/>
            <w:shd w:val="clear" w:color="auto" w:fill="auto"/>
          </w:tcPr>
          <w:p w14:paraId="013E632D" w14:textId="77777777" w:rsidR="001E3D21" w:rsidRDefault="001E3D21" w:rsidP="001E3D21">
            <w:pPr>
              <w:pStyle w:val="Normal1linespace"/>
              <w:widowControl w:val="0"/>
              <w:jc w:val="left"/>
            </w:pPr>
          </w:p>
        </w:tc>
        <w:tc>
          <w:tcPr>
            <w:tcW w:w="5990" w:type="dxa"/>
            <w:shd w:val="clear" w:color="auto" w:fill="auto"/>
          </w:tcPr>
          <w:p w14:paraId="516F68D3" w14:textId="77777777" w:rsidR="001E3D21" w:rsidRDefault="001E3D21" w:rsidP="001E3D21">
            <w:pPr>
              <w:pStyle w:val="Normal1linespace"/>
              <w:widowControl w:val="0"/>
              <w:jc w:val="left"/>
            </w:pPr>
          </w:p>
        </w:tc>
      </w:tr>
      <w:tr w:rsidR="001E3D21" w14:paraId="349F6C4F" w14:textId="77777777" w:rsidTr="001E3D21">
        <w:tc>
          <w:tcPr>
            <w:tcW w:w="3083" w:type="dxa"/>
            <w:shd w:val="clear" w:color="auto" w:fill="auto"/>
          </w:tcPr>
          <w:p w14:paraId="236B113C" w14:textId="630AE066" w:rsidR="001E3D21" w:rsidRDefault="001E3D21" w:rsidP="001E3D21">
            <w:pPr>
              <w:pStyle w:val="Normal1linespace"/>
              <w:widowControl w:val="0"/>
              <w:jc w:val="left"/>
            </w:pPr>
            <w:r>
              <w:t>Counsel for the Second Respondent:</w:t>
            </w:r>
          </w:p>
        </w:tc>
        <w:tc>
          <w:tcPr>
            <w:tcW w:w="5990" w:type="dxa"/>
            <w:shd w:val="clear" w:color="auto" w:fill="auto"/>
          </w:tcPr>
          <w:p w14:paraId="5D80E35E" w14:textId="334F90C2" w:rsidR="001E3D21" w:rsidRDefault="001E3D21" w:rsidP="001E3D21">
            <w:pPr>
              <w:pStyle w:val="Normal1linespace"/>
              <w:widowControl w:val="0"/>
              <w:jc w:val="left"/>
            </w:pPr>
            <w:r>
              <w:t>The Second Respondent filed a submitting notice save as to costs</w:t>
            </w:r>
          </w:p>
        </w:tc>
      </w:tr>
      <w:tr w:rsidR="001E3D21" w14:paraId="30A4A8B4" w14:textId="77777777" w:rsidTr="001E3D21">
        <w:tc>
          <w:tcPr>
            <w:tcW w:w="3083" w:type="dxa"/>
            <w:shd w:val="clear" w:color="auto" w:fill="auto"/>
          </w:tcPr>
          <w:p w14:paraId="75E2A795" w14:textId="77777777" w:rsidR="001E3D21" w:rsidRDefault="001E3D21" w:rsidP="001E3D21">
            <w:pPr>
              <w:pStyle w:val="Normal1linespace"/>
              <w:widowControl w:val="0"/>
              <w:jc w:val="left"/>
            </w:pPr>
          </w:p>
        </w:tc>
        <w:tc>
          <w:tcPr>
            <w:tcW w:w="5990" w:type="dxa"/>
            <w:shd w:val="clear" w:color="auto" w:fill="auto"/>
          </w:tcPr>
          <w:p w14:paraId="1343F1EC" w14:textId="77777777" w:rsidR="001E3D21" w:rsidRDefault="001E3D21" w:rsidP="001E3D21">
            <w:pPr>
              <w:pStyle w:val="Normal1linespace"/>
              <w:widowControl w:val="0"/>
              <w:jc w:val="left"/>
            </w:pPr>
          </w:p>
        </w:tc>
      </w:tr>
      <w:tr w:rsidR="001E3D21" w14:paraId="2092ABE7" w14:textId="77777777" w:rsidTr="001E3D21">
        <w:tc>
          <w:tcPr>
            <w:tcW w:w="3083" w:type="dxa"/>
            <w:shd w:val="clear" w:color="auto" w:fill="auto"/>
          </w:tcPr>
          <w:p w14:paraId="213C5F0B" w14:textId="35D97125" w:rsidR="001E3D21" w:rsidRDefault="001E3D21" w:rsidP="001E3D21">
            <w:pPr>
              <w:pStyle w:val="Normal1linespace"/>
              <w:widowControl w:val="0"/>
              <w:jc w:val="left"/>
            </w:pPr>
            <w:r>
              <w:t>Counsel for the Third Respondent:</w:t>
            </w:r>
          </w:p>
        </w:tc>
        <w:tc>
          <w:tcPr>
            <w:tcW w:w="5990" w:type="dxa"/>
            <w:shd w:val="clear" w:color="auto" w:fill="auto"/>
          </w:tcPr>
          <w:p w14:paraId="2416FA72" w14:textId="71D66311" w:rsidR="001E3D21" w:rsidRDefault="001E3D21" w:rsidP="001E3D21">
            <w:pPr>
              <w:pStyle w:val="Normal1linespace"/>
              <w:widowControl w:val="0"/>
              <w:jc w:val="left"/>
            </w:pPr>
            <w:r>
              <w:t>Mr R Glasson</w:t>
            </w:r>
          </w:p>
        </w:tc>
      </w:tr>
      <w:tr w:rsidR="001E3D21" w14:paraId="4BF5E3DB" w14:textId="77777777" w:rsidTr="001E3D21">
        <w:tc>
          <w:tcPr>
            <w:tcW w:w="3083" w:type="dxa"/>
            <w:shd w:val="clear" w:color="auto" w:fill="auto"/>
          </w:tcPr>
          <w:p w14:paraId="0C7CFDB8" w14:textId="77777777" w:rsidR="001E3D21" w:rsidRDefault="001E3D21" w:rsidP="001E3D21">
            <w:pPr>
              <w:pStyle w:val="Normal1linespace"/>
              <w:widowControl w:val="0"/>
              <w:jc w:val="left"/>
            </w:pPr>
          </w:p>
        </w:tc>
        <w:tc>
          <w:tcPr>
            <w:tcW w:w="5990" w:type="dxa"/>
            <w:shd w:val="clear" w:color="auto" w:fill="auto"/>
          </w:tcPr>
          <w:p w14:paraId="321E3577" w14:textId="77777777" w:rsidR="001E3D21" w:rsidRDefault="001E3D21" w:rsidP="001E3D21">
            <w:pPr>
              <w:pStyle w:val="Normal1linespace"/>
              <w:widowControl w:val="0"/>
              <w:jc w:val="left"/>
            </w:pPr>
          </w:p>
        </w:tc>
      </w:tr>
      <w:tr w:rsidR="001E3D21" w14:paraId="7177D3EB" w14:textId="77777777" w:rsidTr="001E3D21">
        <w:tc>
          <w:tcPr>
            <w:tcW w:w="3083" w:type="dxa"/>
            <w:shd w:val="clear" w:color="auto" w:fill="auto"/>
          </w:tcPr>
          <w:p w14:paraId="12C7EAE7" w14:textId="1D09C0D4" w:rsidR="001E3D21" w:rsidRDefault="001E3D21" w:rsidP="001E3D21">
            <w:pPr>
              <w:pStyle w:val="Normal1linespace"/>
              <w:widowControl w:val="0"/>
              <w:jc w:val="left"/>
            </w:pPr>
            <w:r>
              <w:t>Solicitor for the Third Respondent:</w:t>
            </w:r>
          </w:p>
        </w:tc>
        <w:tc>
          <w:tcPr>
            <w:tcW w:w="5990" w:type="dxa"/>
            <w:shd w:val="clear" w:color="auto" w:fill="auto"/>
          </w:tcPr>
          <w:p w14:paraId="1A8B6A40" w14:textId="1A375292" w:rsidR="001E3D21" w:rsidRDefault="001E3D21" w:rsidP="001E3D21">
            <w:pPr>
              <w:pStyle w:val="Normal1linespace"/>
              <w:widowControl w:val="0"/>
              <w:jc w:val="left"/>
            </w:pPr>
            <w:r>
              <w:t>Drayton Sher Lawyers</w:t>
            </w:r>
          </w:p>
        </w:tc>
      </w:tr>
      <w:bookmarkEnd w:id="11"/>
    </w:tbl>
    <w:p w14:paraId="772F5F74" w14:textId="08FBFD7A"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6F6DEF6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E42BB41" w14:textId="77777777" w:rsidTr="00E81DA6">
        <w:tc>
          <w:tcPr>
            <w:tcW w:w="6912" w:type="dxa"/>
            <w:gridSpan w:val="2"/>
          </w:tcPr>
          <w:p w14:paraId="67856162" w14:textId="77777777" w:rsidR="00A46CCC" w:rsidRPr="001765E0" w:rsidRDefault="00A46CCC" w:rsidP="00525A49">
            <w:pPr>
              <w:pStyle w:val="NormalHeadings"/>
            </w:pPr>
          </w:p>
        </w:tc>
        <w:tc>
          <w:tcPr>
            <w:tcW w:w="2330" w:type="dxa"/>
          </w:tcPr>
          <w:p w14:paraId="02F5E444" w14:textId="77777777" w:rsidR="00A46CCC" w:rsidRDefault="007E04A7" w:rsidP="00F92355">
            <w:pPr>
              <w:pStyle w:val="NormalHeadings"/>
              <w:jc w:val="right"/>
            </w:pPr>
            <w:bookmarkStart w:id="13" w:name="FileNo"/>
            <w:r>
              <w:t>NSD 853 of 2019</w:t>
            </w:r>
            <w:bookmarkEnd w:id="13"/>
          </w:p>
        </w:tc>
      </w:tr>
      <w:tr w:rsidR="00A76C13" w14:paraId="63CA2B82" w14:textId="77777777" w:rsidTr="00F461A4">
        <w:tc>
          <w:tcPr>
            <w:tcW w:w="9242" w:type="dxa"/>
            <w:gridSpan w:val="3"/>
          </w:tcPr>
          <w:p w14:paraId="51166915" w14:textId="01211EA6" w:rsidR="00A76C13" w:rsidRPr="00A76C13" w:rsidRDefault="007E04A7" w:rsidP="007E04A7">
            <w:pPr>
              <w:pStyle w:val="NormalHeadings"/>
              <w:spacing w:before="240" w:after="240"/>
              <w:jc w:val="left"/>
            </w:pPr>
            <w:bookmarkStart w:id="14" w:name="InTheMatterOf"/>
            <w:r w:rsidRPr="007E04A7">
              <w:t>IN THE MATTER OF THE BANKRUPT ESTATE OF PHILIP JAMES KAPP</w:t>
            </w:r>
            <w:bookmarkEnd w:id="14"/>
          </w:p>
        </w:tc>
      </w:tr>
      <w:tr w:rsidR="00A46CCC" w14:paraId="096A290C" w14:textId="77777777" w:rsidTr="005041F0">
        <w:trPr>
          <w:trHeight w:val="386"/>
        </w:trPr>
        <w:tc>
          <w:tcPr>
            <w:tcW w:w="2376" w:type="dxa"/>
          </w:tcPr>
          <w:p w14:paraId="5DF4151C" w14:textId="77777777" w:rsidR="00A46CCC" w:rsidRDefault="00A46CCC" w:rsidP="005041F0">
            <w:pPr>
              <w:pStyle w:val="NormalHeadings"/>
              <w:jc w:val="left"/>
              <w:rPr>
                <w:caps/>
                <w:szCs w:val="24"/>
              </w:rPr>
            </w:pPr>
            <w:bookmarkStart w:id="15" w:name="Parties"/>
            <w:r>
              <w:rPr>
                <w:caps/>
                <w:szCs w:val="24"/>
              </w:rPr>
              <w:t>BETWEEN:</w:t>
            </w:r>
          </w:p>
        </w:tc>
        <w:tc>
          <w:tcPr>
            <w:tcW w:w="6866" w:type="dxa"/>
            <w:gridSpan w:val="2"/>
          </w:tcPr>
          <w:p w14:paraId="77DAA8D0" w14:textId="77777777" w:rsidR="007E04A7" w:rsidRDefault="007E04A7" w:rsidP="007E04A7">
            <w:pPr>
              <w:pStyle w:val="NormalHeadings"/>
              <w:jc w:val="left"/>
            </w:pPr>
            <w:bookmarkStart w:id="16" w:name="Applicant"/>
            <w:r>
              <w:t>ANDREW ARAVANIS AND ALEXANDER CLARK AS TRUSTEES IN BANKRUPTCY OF THE BANKRUPT ESTATE OF PHILIP JAMES KAPP</w:t>
            </w:r>
          </w:p>
          <w:p w14:paraId="1A8B2502" w14:textId="41E5428C" w:rsidR="007E04A7" w:rsidRDefault="007E04A7" w:rsidP="007E04A7">
            <w:pPr>
              <w:pStyle w:val="PartyType"/>
            </w:pPr>
            <w:r>
              <w:t>Applicant</w:t>
            </w:r>
            <w:r w:rsidR="00EE5592">
              <w:t>s</w:t>
            </w:r>
          </w:p>
          <w:bookmarkEnd w:id="16"/>
          <w:p w14:paraId="67177180" w14:textId="77777777" w:rsidR="00A46CCC" w:rsidRPr="006555B4" w:rsidRDefault="00A46CCC" w:rsidP="005041F0">
            <w:pPr>
              <w:pStyle w:val="NormalHeadings"/>
              <w:jc w:val="left"/>
            </w:pPr>
          </w:p>
        </w:tc>
      </w:tr>
      <w:tr w:rsidR="00A46CCC" w14:paraId="5594542E" w14:textId="77777777" w:rsidTr="005041F0">
        <w:trPr>
          <w:trHeight w:val="386"/>
        </w:trPr>
        <w:tc>
          <w:tcPr>
            <w:tcW w:w="2376" w:type="dxa"/>
          </w:tcPr>
          <w:p w14:paraId="48B57A44" w14:textId="77777777" w:rsidR="00A46CCC" w:rsidRDefault="00A46CCC" w:rsidP="005041F0">
            <w:pPr>
              <w:pStyle w:val="NormalHeadings"/>
              <w:jc w:val="left"/>
              <w:rPr>
                <w:caps/>
                <w:szCs w:val="24"/>
              </w:rPr>
            </w:pPr>
            <w:r>
              <w:rPr>
                <w:caps/>
                <w:szCs w:val="24"/>
              </w:rPr>
              <w:t>AND:</w:t>
            </w:r>
          </w:p>
        </w:tc>
        <w:tc>
          <w:tcPr>
            <w:tcW w:w="6866" w:type="dxa"/>
            <w:gridSpan w:val="2"/>
          </w:tcPr>
          <w:p w14:paraId="7520526D" w14:textId="77777777" w:rsidR="007E04A7" w:rsidRDefault="007E04A7" w:rsidP="007E04A7">
            <w:pPr>
              <w:pStyle w:val="NormalHeadings"/>
              <w:jc w:val="left"/>
            </w:pPr>
            <w:bookmarkStart w:id="17" w:name="Respondent"/>
            <w:r>
              <w:t>TWIN INVESTORS PTY LTD ACN 608 534 505 AS TRUSTEE OF THE TWIN TRUST</w:t>
            </w:r>
          </w:p>
          <w:p w14:paraId="740703A0" w14:textId="77777777" w:rsidR="007E04A7" w:rsidRDefault="007E04A7" w:rsidP="007E04A7">
            <w:pPr>
              <w:pStyle w:val="PartyType"/>
            </w:pPr>
            <w:r>
              <w:t>First Respondent</w:t>
            </w:r>
          </w:p>
          <w:p w14:paraId="4C22FDD8" w14:textId="77777777" w:rsidR="007E04A7" w:rsidRDefault="007E04A7" w:rsidP="005041F0">
            <w:pPr>
              <w:pStyle w:val="NormalHeadings"/>
              <w:jc w:val="left"/>
              <w:rPr>
                <w:szCs w:val="24"/>
              </w:rPr>
            </w:pPr>
          </w:p>
          <w:p w14:paraId="757136E2" w14:textId="77777777" w:rsidR="007E04A7" w:rsidRDefault="007E04A7" w:rsidP="007E04A7">
            <w:pPr>
              <w:pStyle w:val="NormalHeadings"/>
              <w:jc w:val="left"/>
            </w:pPr>
            <w:r>
              <w:t>MARYANN KAPP</w:t>
            </w:r>
          </w:p>
          <w:p w14:paraId="13538021" w14:textId="77777777" w:rsidR="007E04A7" w:rsidRDefault="007E04A7" w:rsidP="007E04A7">
            <w:pPr>
              <w:pStyle w:val="PartyType"/>
            </w:pPr>
            <w:r>
              <w:t>Second Respondent</w:t>
            </w:r>
          </w:p>
          <w:p w14:paraId="05672791" w14:textId="77777777" w:rsidR="007E04A7" w:rsidRDefault="007E04A7" w:rsidP="005041F0">
            <w:pPr>
              <w:pStyle w:val="NormalHeadings"/>
              <w:jc w:val="left"/>
              <w:rPr>
                <w:szCs w:val="24"/>
              </w:rPr>
            </w:pPr>
          </w:p>
          <w:p w14:paraId="61659448" w14:textId="77777777" w:rsidR="007E04A7" w:rsidRDefault="007E04A7" w:rsidP="007E04A7">
            <w:pPr>
              <w:pStyle w:val="NormalHeadings"/>
              <w:jc w:val="left"/>
            </w:pPr>
            <w:r>
              <w:t>PHILIP JAMES KAPP</w:t>
            </w:r>
          </w:p>
          <w:p w14:paraId="10F66740" w14:textId="77777777" w:rsidR="007E04A7" w:rsidRDefault="007E04A7" w:rsidP="007E04A7">
            <w:pPr>
              <w:pStyle w:val="PartyType"/>
            </w:pPr>
            <w:r>
              <w:t>Third Respondent</w:t>
            </w:r>
          </w:p>
          <w:bookmarkEnd w:id="17"/>
          <w:p w14:paraId="57E3B49A" w14:textId="77777777" w:rsidR="00A46CCC" w:rsidRPr="006555B4" w:rsidRDefault="00A46CCC" w:rsidP="005041F0">
            <w:pPr>
              <w:pStyle w:val="NormalHeadings"/>
              <w:jc w:val="left"/>
            </w:pPr>
          </w:p>
        </w:tc>
      </w:tr>
    </w:tbl>
    <w:p w14:paraId="366E598E"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750DDE9A" w14:textId="77777777">
        <w:tc>
          <w:tcPr>
            <w:tcW w:w="2376" w:type="dxa"/>
          </w:tcPr>
          <w:p w14:paraId="426E6531"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202CE304" w14:textId="77777777" w:rsidR="00395B24" w:rsidRDefault="007E04A7">
            <w:pPr>
              <w:pStyle w:val="NormalHeadings"/>
              <w:jc w:val="left"/>
              <w:rPr>
                <w:caps/>
                <w:szCs w:val="24"/>
              </w:rPr>
            </w:pPr>
            <w:bookmarkStart w:id="20" w:name="Judge"/>
            <w:r>
              <w:rPr>
                <w:caps/>
                <w:szCs w:val="24"/>
              </w:rPr>
              <w:t>PERRAM J</w:t>
            </w:r>
            <w:bookmarkEnd w:id="20"/>
          </w:p>
        </w:tc>
      </w:tr>
      <w:tr w:rsidR="00395B24" w14:paraId="1BD3472D" w14:textId="77777777">
        <w:tc>
          <w:tcPr>
            <w:tcW w:w="2376" w:type="dxa"/>
          </w:tcPr>
          <w:p w14:paraId="3021A518" w14:textId="77777777" w:rsidR="00395B24" w:rsidRDefault="002C7385">
            <w:pPr>
              <w:pStyle w:val="NormalHeadings"/>
              <w:spacing w:after="120"/>
              <w:jc w:val="left"/>
              <w:rPr>
                <w:caps/>
                <w:szCs w:val="24"/>
              </w:rPr>
            </w:pPr>
            <w:r>
              <w:rPr>
                <w:caps/>
                <w:szCs w:val="24"/>
              </w:rPr>
              <w:t>DATE OF ORDER:</w:t>
            </w:r>
          </w:p>
        </w:tc>
        <w:tc>
          <w:tcPr>
            <w:tcW w:w="6866" w:type="dxa"/>
          </w:tcPr>
          <w:p w14:paraId="15C759F8" w14:textId="73DB1B21" w:rsidR="00395B24" w:rsidRDefault="001E3D21">
            <w:pPr>
              <w:pStyle w:val="NormalHeadings"/>
              <w:jc w:val="left"/>
              <w:rPr>
                <w:caps/>
                <w:szCs w:val="24"/>
              </w:rPr>
            </w:pPr>
            <w:r>
              <w:rPr>
                <w:caps/>
                <w:szCs w:val="24"/>
              </w:rPr>
              <w:t>3 August 2021</w:t>
            </w:r>
          </w:p>
        </w:tc>
      </w:tr>
    </w:tbl>
    <w:p w14:paraId="135E5926" w14:textId="77777777" w:rsidR="00395B24" w:rsidRDefault="00395B24">
      <w:pPr>
        <w:pStyle w:val="NormalHeadings"/>
        <w:rPr>
          <w:b w:val="0"/>
        </w:rPr>
      </w:pPr>
    </w:p>
    <w:p w14:paraId="258ECB71" w14:textId="77777777" w:rsidR="008D1617" w:rsidRDefault="008D1617">
      <w:pPr>
        <w:pStyle w:val="NormalHeadings"/>
        <w:rPr>
          <w:b w:val="0"/>
        </w:rPr>
      </w:pPr>
    </w:p>
    <w:p w14:paraId="721F7036" w14:textId="77777777" w:rsidR="00395B24" w:rsidRDefault="002C7385">
      <w:pPr>
        <w:pStyle w:val="NormalHeadings"/>
      </w:pPr>
      <w:r>
        <w:t>THE COURT ORDERS THAT:</w:t>
      </w:r>
    </w:p>
    <w:p w14:paraId="3B20B05E" w14:textId="77777777" w:rsidR="007F60DF" w:rsidRDefault="007F60DF" w:rsidP="00243E5E">
      <w:pPr>
        <w:pStyle w:val="NormalHeadings"/>
      </w:pPr>
    </w:p>
    <w:p w14:paraId="701ADD96" w14:textId="77CD627E" w:rsidR="001A6C52" w:rsidRDefault="00152FD9" w:rsidP="001A6C52">
      <w:pPr>
        <w:pStyle w:val="Order1"/>
      </w:pPr>
      <w:r>
        <w:t xml:space="preserve">Paragraphs 19 and </w:t>
      </w:r>
      <w:r w:rsidR="008845CB">
        <w:t>3</w:t>
      </w:r>
      <w:r>
        <w:t>2 of the affidavit of Andrew Aravanis sworn 28 February 2020 and pages</w:t>
      </w:r>
      <w:r w:rsidRPr="00152FD9">
        <w:t xml:space="preserve"> </w:t>
      </w:r>
      <w:r>
        <w:t>1359-1480 of Exhibit AA-2 to that affidavit</w:t>
      </w:r>
      <w:r w:rsidRPr="00152FD9">
        <w:t xml:space="preserve"> </w:t>
      </w:r>
      <w:r w:rsidR="008845CB">
        <w:t>are admitted into</w:t>
      </w:r>
      <w:r>
        <w:t xml:space="preserve"> evidence.</w:t>
      </w:r>
    </w:p>
    <w:p w14:paraId="51B3C2B8" w14:textId="77777777" w:rsidR="001A6C52" w:rsidRDefault="001A6C52" w:rsidP="001A6C52">
      <w:pPr>
        <w:pStyle w:val="BodyText"/>
      </w:pPr>
    </w:p>
    <w:p w14:paraId="7841F72A" w14:textId="77777777" w:rsidR="00A431E6" w:rsidRDefault="00A431E6" w:rsidP="001A6C52">
      <w:pPr>
        <w:pStyle w:val="BodyText"/>
      </w:pPr>
    </w:p>
    <w:p w14:paraId="15B3FCCC" w14:textId="77777777" w:rsidR="0050309C" w:rsidRDefault="007E04A7"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34F5DF5F" w14:textId="77777777" w:rsidR="009D328D" w:rsidRDefault="009D328D" w:rsidP="002B0E91">
      <w:pPr>
        <w:pStyle w:val="BodyText"/>
      </w:pPr>
    </w:p>
    <w:p w14:paraId="5787215E"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617F587"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796E46DE" w14:textId="669FAD5C" w:rsidR="004E7E4F" w:rsidRPr="00CB19B5" w:rsidRDefault="004E7E4F" w:rsidP="00CB19B5">
      <w:pPr>
        <w:pStyle w:val="NoNum"/>
        <w:rPr>
          <w:b/>
        </w:rPr>
      </w:pPr>
      <w:r w:rsidRPr="00CB19B5">
        <w:rPr>
          <w:b/>
        </w:rPr>
        <w:t>PERRAM J:</w:t>
      </w:r>
    </w:p>
    <w:p w14:paraId="103328D8" w14:textId="225A3349" w:rsidR="007E04A7" w:rsidRDefault="007E04A7" w:rsidP="007E04A7">
      <w:pPr>
        <w:pStyle w:val="ParaNumbering"/>
      </w:pPr>
      <w:r>
        <w:t xml:space="preserve">The Applicants seek to rely upon </w:t>
      </w:r>
      <w:r w:rsidR="008845CB">
        <w:t>§</w:t>
      </w:r>
      <w:r>
        <w:t xml:space="preserve">19 and </w:t>
      </w:r>
      <w:r w:rsidR="00DC594E">
        <w:t>§</w:t>
      </w:r>
      <w:r>
        <w:t>32 of the affidavit of Andrew Aravanis sworn 28</w:t>
      </w:r>
      <w:r w:rsidR="00EE5592">
        <w:t> </w:t>
      </w:r>
      <w:r>
        <w:t xml:space="preserve">February 2020 (‘Second Aravanis Affidavit’) and </w:t>
      </w:r>
      <w:r w:rsidR="00016691">
        <w:t>pp </w:t>
      </w:r>
      <w:r>
        <w:t>1359</w:t>
      </w:r>
      <w:r w:rsidR="00316324" w:rsidRPr="00316324">
        <w:t>–</w:t>
      </w:r>
      <w:r>
        <w:t xml:space="preserve">1480 of Exhibit AA-2 to that affidavit, </w:t>
      </w:r>
      <w:r w:rsidRPr="001E58DC">
        <w:t>being</w:t>
      </w:r>
      <w:r>
        <w:t xml:space="preserve"> a transcript of an examination of the Second Respondent conducted by two delegates of the Official Receiver under s 77C of the </w:t>
      </w:r>
      <w:r w:rsidRPr="005D3DA6">
        <w:rPr>
          <w:i/>
        </w:rPr>
        <w:t xml:space="preserve">Bankruptcy Act 1966 </w:t>
      </w:r>
      <w:r w:rsidRPr="005D3DA6">
        <w:t>(</w:t>
      </w:r>
      <w:proofErr w:type="spellStart"/>
      <w:r w:rsidRPr="005D3DA6">
        <w:t>Cth</w:t>
      </w:r>
      <w:proofErr w:type="spellEnd"/>
      <w:r w:rsidRPr="005D3DA6">
        <w:t>)</w:t>
      </w:r>
      <w:r w:rsidR="001406C8">
        <w:t xml:space="preserve">.  </w:t>
      </w:r>
    </w:p>
    <w:p w14:paraId="15B2900F" w14:textId="77777777" w:rsidR="007E04A7" w:rsidRDefault="007E04A7" w:rsidP="007E04A7">
      <w:pPr>
        <w:pStyle w:val="ParaNumbering"/>
      </w:pPr>
      <w:r>
        <w:t>The examination occurred on 11 September 2019</w:t>
      </w:r>
      <w:r w:rsidR="001406C8">
        <w:t xml:space="preserve">.  </w:t>
      </w:r>
      <w:r>
        <w:t>The Applicants wish to rely upon various representations which, so the transcript records, the Second Respondent made during the examination</w:t>
      </w:r>
      <w:r w:rsidR="001406C8">
        <w:t xml:space="preserve">.  </w:t>
      </w:r>
      <w:r>
        <w:t>The Applicants say that these representations are material to the resolution of the issues in dispute as between the Applicants and the First and Third Respondents</w:t>
      </w:r>
      <w:r w:rsidR="001406C8">
        <w:t xml:space="preserve">.  </w:t>
      </w:r>
    </w:p>
    <w:p w14:paraId="7E4D3BA7" w14:textId="72142F6B" w:rsidR="007E04A7" w:rsidRDefault="007E04A7" w:rsidP="007E04A7">
      <w:pPr>
        <w:pStyle w:val="ParaNumbering"/>
      </w:pPr>
      <w:r>
        <w:t>The Third Respondent objects to the Applicant</w:t>
      </w:r>
      <w:r w:rsidR="009C2513">
        <w:t>s</w:t>
      </w:r>
      <w:r>
        <w:t xml:space="preserve"> being permitted to rely on this evidence on the basis, he says, that it is caught by the hearsay rule and </w:t>
      </w:r>
      <w:r w:rsidR="00AD184C">
        <w:t xml:space="preserve">that </w:t>
      </w:r>
      <w:r>
        <w:t>the relevant exception to that rule for admissions does not apply</w:t>
      </w:r>
      <w:r w:rsidR="001406C8">
        <w:t xml:space="preserve">.  </w:t>
      </w:r>
      <w:r>
        <w:t>Specifically, the Third Respondent argues that the Second Respondent was not a director of the First Respondent at the time of the examination and therefore lacked authority to speak on behalf of the First Respondent</w:t>
      </w:r>
      <w:r w:rsidR="001406C8">
        <w:t xml:space="preserve">.  </w:t>
      </w:r>
      <w:r>
        <w:t xml:space="preserve">Accordingly, so the argument runs, by virtue of s 83 and </w:t>
      </w:r>
      <w:r w:rsidR="00AD184C">
        <w:t>s </w:t>
      </w:r>
      <w:r>
        <w:t xml:space="preserve">87 of the </w:t>
      </w:r>
      <w:r w:rsidRPr="005D3DA6">
        <w:rPr>
          <w:i/>
        </w:rPr>
        <w:t xml:space="preserve">Evidence Act 1995 </w:t>
      </w:r>
      <w:r w:rsidRPr="005D3DA6">
        <w:t>(</w:t>
      </w:r>
      <w:proofErr w:type="spellStart"/>
      <w:r w:rsidRPr="005D3DA6">
        <w:t>Cth</w:t>
      </w:r>
      <w:proofErr w:type="spellEnd"/>
      <w:r w:rsidRPr="005D3DA6">
        <w:t>)</w:t>
      </w:r>
      <w:r>
        <w:t xml:space="preserve">, any representations made by the Second Respondent </w:t>
      </w:r>
      <w:r w:rsidR="00E70A07">
        <w:t xml:space="preserve">that </w:t>
      </w:r>
      <w:r>
        <w:t>are recorded in the transcript cannot be relied upon as evidence of an admission adverse to the First Respondent or the Third Respondent, assuming that any representations recorded in the transcript indeed amount to admissions</w:t>
      </w:r>
      <w:r w:rsidR="001406C8">
        <w:t xml:space="preserve">.  </w:t>
      </w:r>
    </w:p>
    <w:p w14:paraId="73F67C50" w14:textId="55E58E6C" w:rsidR="007E04A7" w:rsidRDefault="007E04A7" w:rsidP="007E04A7">
      <w:pPr>
        <w:pStyle w:val="ParaNumbering"/>
      </w:pPr>
      <w:r>
        <w:t xml:space="preserve">In response, the Applicants assert that the transcript is admissible by operation of </w:t>
      </w:r>
      <w:r w:rsidR="00AD184C">
        <w:t>s </w:t>
      </w:r>
      <w:r>
        <w:t xml:space="preserve">77C(3) and </w:t>
      </w:r>
      <w:r w:rsidR="00AD184C">
        <w:t>s </w:t>
      </w:r>
      <w:r>
        <w:t xml:space="preserve">255(2) of the </w:t>
      </w:r>
      <w:r w:rsidRPr="00AD184C">
        <w:rPr>
          <w:i/>
        </w:rPr>
        <w:t>Bankruptcy Act</w:t>
      </w:r>
      <w:r w:rsidR="00AD184C">
        <w:rPr>
          <w:i/>
        </w:rPr>
        <w:t xml:space="preserve"> 1966 </w:t>
      </w:r>
      <w:r w:rsidR="00AD184C">
        <w:t>(</w:t>
      </w:r>
      <w:proofErr w:type="spellStart"/>
      <w:r w:rsidR="00AD184C">
        <w:t>Cth</w:t>
      </w:r>
      <w:proofErr w:type="spellEnd"/>
      <w:r w:rsidR="00AD184C">
        <w:t>)</w:t>
      </w:r>
      <w:r w:rsidR="001406C8">
        <w:t xml:space="preserve">.  </w:t>
      </w:r>
      <w:r w:rsidR="00D56A61">
        <w:t xml:space="preserve">These </w:t>
      </w:r>
      <w:r>
        <w:t xml:space="preserve">provisions are </w:t>
      </w:r>
      <w:r w:rsidR="00AD184C">
        <w:t>as follows</w:t>
      </w:r>
      <w:r>
        <w:t>:</w:t>
      </w:r>
    </w:p>
    <w:p w14:paraId="520BF2A3" w14:textId="77777777" w:rsidR="00D16013" w:rsidRPr="00D16013" w:rsidRDefault="00D16013" w:rsidP="00D16013">
      <w:pPr>
        <w:pStyle w:val="Quote1"/>
        <w:rPr>
          <w:b/>
        </w:rPr>
      </w:pPr>
      <w:bookmarkStart w:id="23" w:name="_Toc63412437"/>
      <w:r w:rsidRPr="00D16013">
        <w:rPr>
          <w:rStyle w:val="charsectno"/>
          <w:b/>
          <w:bCs/>
          <w:color w:val="000000"/>
          <w:szCs w:val="22"/>
        </w:rPr>
        <w:t>77C</w:t>
      </w:r>
      <w:r w:rsidRPr="00D16013">
        <w:rPr>
          <w:b/>
        </w:rPr>
        <w:t xml:space="preserve"> Power of Official Receiver to obtain information and evidence</w:t>
      </w:r>
      <w:bookmarkEnd w:id="23"/>
    </w:p>
    <w:p w14:paraId="2F682E82" w14:textId="77777777" w:rsidR="00D16013" w:rsidRPr="00FD5B6E" w:rsidRDefault="00D16013" w:rsidP="00D16013">
      <w:pPr>
        <w:pStyle w:val="Quote2"/>
        <w:ind w:left="2160" w:hanging="720"/>
      </w:pPr>
      <w:r w:rsidRPr="00FD5B6E">
        <w:t xml:space="preserve">(1)  </w:t>
      </w:r>
      <w:r>
        <w:tab/>
      </w:r>
      <w:r w:rsidRPr="00FD5B6E">
        <w:t>The Official Receiver may, by written notice given to a person, require the person to do one or more of the following:</w:t>
      </w:r>
    </w:p>
    <w:p w14:paraId="4ACCFC28" w14:textId="77777777" w:rsidR="00D16013" w:rsidRPr="00FD5B6E" w:rsidRDefault="00D16013" w:rsidP="00D16013">
      <w:pPr>
        <w:pStyle w:val="Quote3"/>
        <w:ind w:left="2880" w:hanging="720"/>
      </w:pPr>
      <w:r>
        <w:t xml:space="preserve">(a)  </w:t>
      </w:r>
      <w:r>
        <w:tab/>
      </w:r>
      <w:r w:rsidRPr="00FD5B6E">
        <w:t>give the Official Receiver information the Official Receiver requires for the purposes of the performance of the functions of the Official Receiver or a trustee under this Act;</w:t>
      </w:r>
    </w:p>
    <w:p w14:paraId="34F25696" w14:textId="77777777" w:rsidR="00D16013" w:rsidRDefault="00D16013" w:rsidP="00D16013">
      <w:pPr>
        <w:pStyle w:val="Quote3"/>
        <w:ind w:left="2880" w:hanging="720"/>
      </w:pPr>
      <w:r w:rsidRPr="00FD5B6E">
        <w:t xml:space="preserve">(b)  </w:t>
      </w:r>
      <w:r>
        <w:tab/>
      </w:r>
      <w:r w:rsidRPr="00FD5B6E">
        <w:t>attend before the Official Receiver, or an officer author</w:t>
      </w:r>
      <w:r>
        <w:t xml:space="preserve">ised in writing by the Official </w:t>
      </w:r>
      <w:r w:rsidRPr="00FD5B6E">
        <w:t xml:space="preserve">Receiver to exercise powers under this paragraph, and do one or both of the following: </w:t>
      </w:r>
    </w:p>
    <w:p w14:paraId="4FF079FB" w14:textId="77777777" w:rsidR="00D16013" w:rsidRPr="00FD5B6E" w:rsidRDefault="00D16013" w:rsidP="00D16013">
      <w:pPr>
        <w:pStyle w:val="Quote4"/>
        <w:ind w:left="3600" w:hanging="720"/>
      </w:pPr>
      <w:r w:rsidRPr="00FD5B6E">
        <w:t>(</w:t>
      </w:r>
      <w:proofErr w:type="spellStart"/>
      <w:r w:rsidRPr="00FD5B6E">
        <w:t>i</w:t>
      </w:r>
      <w:proofErr w:type="spellEnd"/>
      <w:r w:rsidRPr="00FD5B6E">
        <w:t xml:space="preserve">)  </w:t>
      </w:r>
      <w:r>
        <w:tab/>
      </w:r>
      <w:r w:rsidRPr="00FD5B6E">
        <w:t>give evidence relating to any matters connected with the performance of the functions of the Official Receiver or a trustee under this Act;</w:t>
      </w:r>
    </w:p>
    <w:p w14:paraId="57846295" w14:textId="77777777" w:rsidR="00D16013" w:rsidRPr="00FD5B6E" w:rsidRDefault="00D16013" w:rsidP="00D16013">
      <w:pPr>
        <w:pStyle w:val="Quote4"/>
        <w:ind w:left="3600" w:hanging="720"/>
      </w:pPr>
      <w:r w:rsidRPr="00FD5B6E">
        <w:lastRenderedPageBreak/>
        <w:t xml:space="preserve">(ii)  </w:t>
      </w:r>
      <w:r>
        <w:tab/>
      </w:r>
      <w:r w:rsidRPr="00FD5B6E">
        <w:t>produce all books in the person’s possession relating to any matters connected with the performance of the functions of the Official Receiver or a trustee under this Act;</w:t>
      </w:r>
    </w:p>
    <w:p w14:paraId="0CC6C426" w14:textId="77777777" w:rsidR="00D16013" w:rsidRPr="00FD5B6E" w:rsidRDefault="00D16013" w:rsidP="00D16013">
      <w:pPr>
        <w:pStyle w:val="Quote3"/>
        <w:ind w:left="2880" w:hanging="720"/>
      </w:pPr>
      <w:r w:rsidRPr="00FD5B6E">
        <w:t xml:space="preserve">(c)  </w:t>
      </w:r>
      <w:r>
        <w:tab/>
      </w:r>
      <w:r w:rsidRPr="00FD5B6E">
        <w:t>produce all books in the person’s possession relating to any matters connected with the performance of the functions of the Official Receiver or a trustee under this Act.</w:t>
      </w:r>
    </w:p>
    <w:p w14:paraId="405FAD5D" w14:textId="77777777" w:rsidR="00D16013" w:rsidRPr="00FD5B6E" w:rsidRDefault="00D16013" w:rsidP="00D16013">
      <w:pPr>
        <w:pStyle w:val="Quote2"/>
        <w:ind w:left="2160"/>
      </w:pPr>
      <w:r w:rsidRPr="00FD5B6E">
        <w:t>It does not matter whether or not the person is a bankrupt or is employed in or in connection with a Department, or an authority, of the Commonwealth or of a State or Territory.</w:t>
      </w:r>
    </w:p>
    <w:p w14:paraId="318A8E2C" w14:textId="77777777" w:rsidR="00D16013" w:rsidRPr="00FD5B6E" w:rsidRDefault="00D16013" w:rsidP="00D16013">
      <w:pPr>
        <w:pStyle w:val="Quote2"/>
        <w:ind w:left="2160" w:hanging="720"/>
      </w:pPr>
      <w:r w:rsidRPr="00FD5B6E">
        <w:t xml:space="preserve">(2)  </w:t>
      </w:r>
      <w:r>
        <w:tab/>
      </w:r>
      <w:r w:rsidRPr="00FD5B6E">
        <w:t>The Official Receiver or authorised officer may require the information or evidence to be given on oath, and either orally or in writing, and for that purpose may administer an oath.</w:t>
      </w:r>
    </w:p>
    <w:p w14:paraId="2B7CE91B" w14:textId="2466F5B6" w:rsidR="00D16013" w:rsidRPr="00FD5B6E" w:rsidRDefault="00D16013" w:rsidP="00D16013">
      <w:pPr>
        <w:pStyle w:val="Quote2"/>
        <w:ind w:left="2160" w:hanging="720"/>
      </w:pPr>
      <w:r w:rsidRPr="00FD5B6E">
        <w:t xml:space="preserve">(3)  </w:t>
      </w:r>
      <w:r>
        <w:tab/>
      </w:r>
      <w:r w:rsidRPr="00FD5B6E">
        <w:t xml:space="preserve">Notes taken down and signed by a person who attends before the Official Receiver or </w:t>
      </w:r>
      <w:r w:rsidR="00CD4D8D">
        <w:t xml:space="preserve">an </w:t>
      </w:r>
      <w:r w:rsidRPr="00FD5B6E">
        <w:t>authorised officer under paragraph (1)(b), and the transcript of the evidence given by the person at the attendance:</w:t>
      </w:r>
    </w:p>
    <w:p w14:paraId="72077058" w14:textId="77777777" w:rsidR="00D16013" w:rsidRPr="00FD5B6E" w:rsidRDefault="00D16013" w:rsidP="00D16013">
      <w:pPr>
        <w:pStyle w:val="Quote3"/>
        <w:ind w:left="2880" w:hanging="720"/>
      </w:pPr>
      <w:r w:rsidRPr="00FD5B6E">
        <w:t xml:space="preserve">(a)  </w:t>
      </w:r>
      <w:r>
        <w:tab/>
      </w:r>
      <w:r w:rsidRPr="00FD5B6E">
        <w:t>may be used in evidence in any proceeding under this Act whether or not the person is a party to the proceeding; and</w:t>
      </w:r>
    </w:p>
    <w:p w14:paraId="226DE15F" w14:textId="77777777" w:rsidR="00D16013" w:rsidRPr="00FD5B6E" w:rsidRDefault="00D16013" w:rsidP="00D16013">
      <w:pPr>
        <w:pStyle w:val="Quote3"/>
      </w:pPr>
      <w:r w:rsidRPr="00FD5B6E">
        <w:t xml:space="preserve">(b)  </w:t>
      </w:r>
      <w:r>
        <w:tab/>
      </w:r>
      <w:r w:rsidRPr="00FD5B6E">
        <w:t>may be inspected:</w:t>
      </w:r>
    </w:p>
    <w:p w14:paraId="6C6BC7A9" w14:textId="77777777" w:rsidR="00D16013" w:rsidRPr="00FD5B6E" w:rsidRDefault="00D16013" w:rsidP="00D16013">
      <w:pPr>
        <w:pStyle w:val="Quote4"/>
      </w:pPr>
      <w:r w:rsidRPr="00FD5B6E">
        <w:t>(</w:t>
      </w:r>
      <w:proofErr w:type="spellStart"/>
      <w:r w:rsidRPr="00FD5B6E">
        <w:t>i</w:t>
      </w:r>
      <w:proofErr w:type="spellEnd"/>
      <w:r w:rsidRPr="00FD5B6E">
        <w:t xml:space="preserve">)  </w:t>
      </w:r>
      <w:r>
        <w:tab/>
      </w:r>
      <w:r w:rsidRPr="00FD5B6E">
        <w:t>by the person, without fee; and</w:t>
      </w:r>
    </w:p>
    <w:p w14:paraId="7DD7898A" w14:textId="77777777" w:rsidR="00D16013" w:rsidRPr="00FD5B6E" w:rsidRDefault="00D16013" w:rsidP="00D16013">
      <w:pPr>
        <w:pStyle w:val="Quote4"/>
        <w:ind w:left="3600" w:hanging="720"/>
      </w:pPr>
      <w:r w:rsidRPr="00FD5B6E">
        <w:t xml:space="preserve">(ii)  </w:t>
      </w:r>
      <w:r>
        <w:tab/>
      </w:r>
      <w:r w:rsidRPr="00FD5B6E">
        <w:t>if the notes and evidence relate to matters concerning the bankruptcy of the person or of another person—by the trustee and a person who states in writing that he or she is a creditor, without fee; and</w:t>
      </w:r>
    </w:p>
    <w:p w14:paraId="50C469BE" w14:textId="47E2A9B2" w:rsidR="00D16013" w:rsidRDefault="00D16013" w:rsidP="00D16013">
      <w:pPr>
        <w:pStyle w:val="Quote4"/>
        <w:ind w:left="3600" w:hanging="720"/>
      </w:pPr>
      <w:r w:rsidRPr="00FD5B6E">
        <w:t xml:space="preserve">(iii)  </w:t>
      </w:r>
      <w:r>
        <w:tab/>
      </w:r>
      <w:r w:rsidRPr="00FD5B6E">
        <w:t>by any other person on payment of the fee determined by the Minister by legislative instrument.</w:t>
      </w:r>
    </w:p>
    <w:p w14:paraId="5D94E43C" w14:textId="3E5FE32B" w:rsidR="00CD4D8D" w:rsidRPr="00FD5B6E" w:rsidRDefault="00CD4D8D" w:rsidP="007E0B93">
      <w:pPr>
        <w:pStyle w:val="Quote1"/>
      </w:pPr>
      <w:r>
        <w:t>…</w:t>
      </w:r>
    </w:p>
    <w:p w14:paraId="1A198C8C" w14:textId="31A78949" w:rsidR="00D16013" w:rsidRPr="006A2CE5" w:rsidRDefault="00D16013" w:rsidP="00D16013">
      <w:pPr>
        <w:pStyle w:val="Quote1"/>
        <w:rPr>
          <w:b/>
        </w:rPr>
      </w:pPr>
      <w:bookmarkStart w:id="24" w:name="_Toc63412844"/>
      <w:r w:rsidRPr="006A2CE5">
        <w:rPr>
          <w:rStyle w:val="charsectno"/>
          <w:b/>
          <w:bCs/>
          <w:color w:val="000000"/>
          <w:szCs w:val="22"/>
        </w:rPr>
        <w:t>255</w:t>
      </w:r>
      <w:r w:rsidRPr="006A2CE5">
        <w:rPr>
          <w:b/>
        </w:rPr>
        <w:t xml:space="preserve"> Record of proceedings or evidence</w:t>
      </w:r>
      <w:bookmarkEnd w:id="24"/>
    </w:p>
    <w:p w14:paraId="61318743" w14:textId="77777777" w:rsidR="00D16013" w:rsidRPr="00FD5B6E" w:rsidRDefault="00D16013" w:rsidP="006A2CE5">
      <w:pPr>
        <w:pStyle w:val="Quote2"/>
        <w:ind w:left="2160" w:hanging="720"/>
      </w:pPr>
      <w:r w:rsidRPr="00FD5B6E">
        <w:t xml:space="preserve">(1)  </w:t>
      </w:r>
      <w:r w:rsidR="006A2CE5">
        <w:tab/>
      </w:r>
      <w:r w:rsidRPr="00FD5B6E">
        <w:t>A transcript or electronic or magnetic recording that purports to be a record of proceedings under section 77C or 81, or of proceedings before a court, is to be taken to be a record of that kind, unless the contrary is proved.</w:t>
      </w:r>
    </w:p>
    <w:p w14:paraId="441EFC37" w14:textId="77777777" w:rsidR="00D16013" w:rsidRPr="00FD5B6E" w:rsidRDefault="00D16013" w:rsidP="006A2CE5">
      <w:pPr>
        <w:pStyle w:val="Quote2"/>
        <w:ind w:left="2160" w:hanging="720"/>
      </w:pPr>
      <w:r w:rsidRPr="00FD5B6E">
        <w:t xml:space="preserve">(2)  </w:t>
      </w:r>
      <w:r w:rsidR="006A2CE5">
        <w:tab/>
      </w:r>
      <w:r w:rsidRPr="00FD5B6E">
        <w:t>The transcript or recording is admissible as evidence of the matters described by a person whose words are recorded in the transcript or recording, unless the Court, or a court in which the transcript is sought to be introduced, makes an order to the contrary.</w:t>
      </w:r>
    </w:p>
    <w:p w14:paraId="73BEB2E1" w14:textId="77777777" w:rsidR="00D16013" w:rsidRPr="00FD5B6E" w:rsidRDefault="00D16013" w:rsidP="006A2CE5">
      <w:pPr>
        <w:pStyle w:val="Quote2"/>
        <w:ind w:left="2160" w:hanging="720"/>
      </w:pPr>
      <w:r w:rsidRPr="00FD5B6E">
        <w:t xml:space="preserve">(3)  </w:t>
      </w:r>
      <w:r w:rsidR="006A2CE5">
        <w:tab/>
      </w:r>
      <w:r w:rsidRPr="00FD5B6E">
        <w:t>The cost of preparing a transcript or recording is an expense of administration of the estate of the bankrupt or debtor to which the matters recorded relate.</w:t>
      </w:r>
    </w:p>
    <w:p w14:paraId="7DE65766" w14:textId="6D227E86" w:rsidR="007E04A7" w:rsidRDefault="007E04A7" w:rsidP="001E3D21">
      <w:pPr>
        <w:pStyle w:val="ParaNumbering"/>
        <w:keepNext/>
      </w:pPr>
      <w:r>
        <w:lastRenderedPageBreak/>
        <w:t xml:space="preserve">It is clear that the transcript in question is a transcript to which </w:t>
      </w:r>
      <w:r w:rsidR="00D56A61">
        <w:t>s </w:t>
      </w:r>
      <w:r>
        <w:t xml:space="preserve">77C(3) and </w:t>
      </w:r>
      <w:r w:rsidR="00D56A61">
        <w:t>s </w:t>
      </w:r>
      <w:r>
        <w:t>255 apply</w:t>
      </w:r>
      <w:r w:rsidR="001406C8">
        <w:t xml:space="preserve">.  </w:t>
      </w:r>
      <w:r w:rsidR="00777528">
        <w:t>Accordingly, t</w:t>
      </w:r>
      <w:r>
        <w:t>he parties’ contest on admissibility reduces to two issues:</w:t>
      </w:r>
    </w:p>
    <w:p w14:paraId="08B3EE14" w14:textId="7538D99B" w:rsidR="007E04A7" w:rsidRDefault="007E04A7" w:rsidP="007E04A7">
      <w:pPr>
        <w:pStyle w:val="ListNo1"/>
      </w:pPr>
      <w:r>
        <w:t xml:space="preserve">Whether </w:t>
      </w:r>
      <w:r w:rsidR="00D56A61">
        <w:t>s </w:t>
      </w:r>
      <w:r>
        <w:t xml:space="preserve">77C(3) and </w:t>
      </w:r>
      <w:r w:rsidR="00D56A61">
        <w:t>s </w:t>
      </w:r>
      <w:r>
        <w:t>255(2) are determinative of the transcript’s admissibility or merely facultative</w:t>
      </w:r>
      <w:r w:rsidR="001406C8">
        <w:t xml:space="preserve">.  </w:t>
      </w:r>
      <w:r>
        <w:t>If they are determinative, the Applicants say the con</w:t>
      </w:r>
      <w:r w:rsidR="007E0B93">
        <w:t>sequence is that the transcript</w:t>
      </w:r>
      <w:r>
        <w:t xml:space="preserve"> should be admitted for all purposes</w:t>
      </w:r>
      <w:r w:rsidR="001406C8">
        <w:t xml:space="preserve">.  </w:t>
      </w:r>
    </w:p>
    <w:p w14:paraId="79C118DA" w14:textId="5A3A699E" w:rsidR="007E04A7" w:rsidRDefault="007E04A7" w:rsidP="007E04A7">
      <w:pPr>
        <w:pStyle w:val="ListNo1"/>
      </w:pPr>
      <w:r>
        <w:t xml:space="preserve">If, on the other hand, they are merely facultative, the admissibility of the documents falls to be determined under the provisions of the </w:t>
      </w:r>
      <w:r w:rsidRPr="00D56A61">
        <w:rPr>
          <w:i/>
        </w:rPr>
        <w:t>Evidence Act</w:t>
      </w:r>
      <w:r w:rsidR="00D56A61">
        <w:rPr>
          <w:i/>
        </w:rPr>
        <w:t xml:space="preserve"> 1995 </w:t>
      </w:r>
      <w:r w:rsidR="00D56A61">
        <w:t>(</w:t>
      </w:r>
      <w:proofErr w:type="spellStart"/>
      <w:r w:rsidR="00D56A61">
        <w:t>Cth</w:t>
      </w:r>
      <w:proofErr w:type="spellEnd"/>
      <w:r w:rsidR="00D56A61">
        <w:t>)</w:t>
      </w:r>
      <w:r w:rsidR="001406C8">
        <w:t xml:space="preserve">.  </w:t>
      </w:r>
      <w:r>
        <w:t xml:space="preserve">On that hypothesis, the Applicants say that the </w:t>
      </w:r>
      <w:r w:rsidR="007E0B93">
        <w:t>transcript</w:t>
      </w:r>
      <w:r w:rsidRPr="007E0B93">
        <w:t xml:space="preserve"> should be admitted under the exception to the hearsay rule for admissions contained in s</w:t>
      </w:r>
      <w:r w:rsidR="001E3D21">
        <w:t xml:space="preserve"> </w:t>
      </w:r>
      <w:r w:rsidRPr="007E0B93">
        <w:t xml:space="preserve">81 and </w:t>
      </w:r>
      <w:r w:rsidR="00F93C6E">
        <w:t>s </w:t>
      </w:r>
      <w:r w:rsidRPr="007E0B93">
        <w:t xml:space="preserve">87 of the </w:t>
      </w:r>
      <w:r w:rsidRPr="00834B68">
        <w:t>Evidence Act</w:t>
      </w:r>
      <w:r>
        <w:t>, on the basis that the admissions were made by the Second Respondent</w:t>
      </w:r>
      <w:r w:rsidR="00F93C6E">
        <w:t>,</w:t>
      </w:r>
      <w:r>
        <w:t xml:space="preserve"> on behalf and with the authority of the First Respondent</w:t>
      </w:r>
      <w:r w:rsidR="00F93C6E">
        <w:t>,</w:t>
      </w:r>
      <w:r>
        <w:t xml:space="preserve"> </w:t>
      </w:r>
      <w:r w:rsidR="00F93C6E">
        <w:t xml:space="preserve">in her capacity </w:t>
      </w:r>
      <w:r>
        <w:t>as a director of the First Respondent</w:t>
      </w:r>
      <w:r w:rsidR="001406C8">
        <w:t xml:space="preserve">.  </w:t>
      </w:r>
    </w:p>
    <w:p w14:paraId="7FE36E1C" w14:textId="3F4E3031" w:rsidR="007E04A7" w:rsidRPr="007F7424" w:rsidRDefault="007E0B93" w:rsidP="007E04A7">
      <w:pPr>
        <w:pStyle w:val="ParaNumbering"/>
      </w:pPr>
      <w:r w:rsidRPr="00777528">
        <w:t>For the reasons which follow, the effect of s</w:t>
      </w:r>
      <w:r w:rsidR="00F93C6E">
        <w:t> </w:t>
      </w:r>
      <w:r w:rsidRPr="00777528">
        <w:t xml:space="preserve">77C(3) and </w:t>
      </w:r>
      <w:r w:rsidR="00F93C6E">
        <w:t>s </w:t>
      </w:r>
      <w:r w:rsidRPr="00777528">
        <w:t xml:space="preserve">255 is that the transcript is admissible not only </w:t>
      </w:r>
      <w:r>
        <w:t xml:space="preserve">against </w:t>
      </w:r>
      <w:r w:rsidRPr="00777528">
        <w:t>the Second Respondent</w:t>
      </w:r>
      <w:r>
        <w:t xml:space="preserve"> but</w:t>
      </w:r>
      <w:r w:rsidRPr="00777528">
        <w:t xml:space="preserve"> as against all parties (and would be so admissible even if the Seco</w:t>
      </w:r>
      <w:r>
        <w:t xml:space="preserve">nd Respondent were not a party).  </w:t>
      </w:r>
      <w:r w:rsidR="00834B68">
        <w:t xml:space="preserve">Sections </w:t>
      </w:r>
      <w:r w:rsidRPr="00777528">
        <w:t xml:space="preserve">77C(3) and </w:t>
      </w:r>
      <w:r w:rsidR="00F93C6E">
        <w:t>s </w:t>
      </w:r>
      <w:r w:rsidRPr="00777528">
        <w:t>255</w:t>
      </w:r>
      <w:r>
        <w:t xml:space="preserve"> render a transcript admissible notwithstanding the hearsay rule, </w:t>
      </w:r>
      <w:r w:rsidRPr="00777528">
        <w:t>subject to any order which the court may make to the contrary, for example under s</w:t>
      </w:r>
      <w:r w:rsidR="00F93C6E">
        <w:t> </w:t>
      </w:r>
      <w:r w:rsidRPr="00777528">
        <w:t xml:space="preserve">135 and </w:t>
      </w:r>
      <w:r w:rsidR="00F93C6E">
        <w:t>s </w:t>
      </w:r>
      <w:r w:rsidRPr="00777528">
        <w:t xml:space="preserve">136 of the </w:t>
      </w:r>
      <w:r w:rsidRPr="00834B68">
        <w:t>Evidence Act</w:t>
      </w:r>
      <w:r w:rsidR="001406C8">
        <w:t xml:space="preserve">.  </w:t>
      </w:r>
      <w:r w:rsidR="00270E9F">
        <w:t xml:space="preserve">The </w:t>
      </w:r>
      <w:r w:rsidR="007E04A7">
        <w:t xml:space="preserve">Third Respondent did not invite me to make an order under </w:t>
      </w:r>
      <w:r w:rsidR="00F93C6E">
        <w:t>s </w:t>
      </w:r>
      <w:r w:rsidR="007E04A7">
        <w:t xml:space="preserve">135 or </w:t>
      </w:r>
      <w:r w:rsidR="00F93C6E">
        <w:t>s </w:t>
      </w:r>
      <w:r w:rsidR="007E04A7">
        <w:t>136 and sought only that the evidence be excluded on the basis that it was caught by the hearsay rule (which it is not</w:t>
      </w:r>
      <w:r w:rsidR="00CA59FE">
        <w:t xml:space="preserve">, by reason of s77C(3) and </w:t>
      </w:r>
      <w:r w:rsidR="000771EF">
        <w:t>s </w:t>
      </w:r>
      <w:r w:rsidR="00CA59FE">
        <w:t>255</w:t>
      </w:r>
      <w:r w:rsidR="007E04A7">
        <w:t>)</w:t>
      </w:r>
      <w:r w:rsidR="000771EF">
        <w:t>.</w:t>
      </w:r>
      <w:r w:rsidR="007E04A7">
        <w:t xml:space="preserve"> </w:t>
      </w:r>
      <w:r w:rsidR="001E3D21">
        <w:t xml:space="preserve"> </w:t>
      </w:r>
      <w:r w:rsidR="000771EF">
        <w:t>I propose therefore to admit</w:t>
      </w:r>
      <w:r w:rsidR="007E04A7">
        <w:t xml:space="preserve"> the evidence</w:t>
      </w:r>
      <w:r w:rsidR="001406C8">
        <w:t xml:space="preserve">.  </w:t>
      </w:r>
      <w:r w:rsidR="007E04A7">
        <w:t xml:space="preserve">Accordingly, it is not necessary to deal with the Applicants’ alternative argument that the evidence falls within the </w:t>
      </w:r>
      <w:r w:rsidR="00270E9F">
        <w:t xml:space="preserve">Evidence Act’s </w:t>
      </w:r>
      <w:r w:rsidR="007E04A7">
        <w:t>exception to the hearsay rule for admissions</w:t>
      </w:r>
      <w:r w:rsidR="001406C8">
        <w:t xml:space="preserve">.  </w:t>
      </w:r>
    </w:p>
    <w:p w14:paraId="53041F62" w14:textId="54A3753C" w:rsidR="007E04A7" w:rsidRDefault="007E04A7" w:rsidP="007E04A7">
      <w:pPr>
        <w:pStyle w:val="ParaNumbering"/>
      </w:pPr>
      <w:r>
        <w:t xml:space="preserve">The Full Court (Wilcox, O’Connor and Sackville JJ) considered the operation of s 255 in </w:t>
      </w:r>
      <w:r w:rsidRPr="005D3DA6">
        <w:rPr>
          <w:i/>
        </w:rPr>
        <w:t xml:space="preserve">Colonial Mutual Life Assurance Society </w:t>
      </w:r>
      <w:r w:rsidR="003B5FA3" w:rsidRPr="005D3DA6">
        <w:rPr>
          <w:i/>
        </w:rPr>
        <w:t xml:space="preserve">Ltd </w:t>
      </w:r>
      <w:r w:rsidRPr="005D3DA6">
        <w:rPr>
          <w:i/>
        </w:rPr>
        <w:t xml:space="preserve">v Donnelly </w:t>
      </w:r>
      <w:r w:rsidRPr="005D3DA6">
        <w:t>(1998) 82 FCR 418</w:t>
      </w:r>
      <w:r>
        <w:t xml:space="preserve"> (‘</w:t>
      </w:r>
      <w:r>
        <w:rPr>
          <w:i/>
        </w:rPr>
        <w:t>Colonial</w:t>
      </w:r>
      <w:r>
        <w:t>’)</w:t>
      </w:r>
      <w:r w:rsidR="001406C8">
        <w:t xml:space="preserve">.  </w:t>
      </w:r>
      <w:r>
        <w:t xml:space="preserve">This was an appeal from a decision of Beaumont J, </w:t>
      </w:r>
      <w:r w:rsidRPr="005D3DA6">
        <w:rPr>
          <w:i/>
        </w:rPr>
        <w:t xml:space="preserve">Re Morris; Ex </w:t>
      </w:r>
      <w:r w:rsidR="00DC594E">
        <w:rPr>
          <w:i/>
        </w:rPr>
        <w:t>p</w:t>
      </w:r>
      <w:r w:rsidR="00DC594E" w:rsidRPr="005D3DA6">
        <w:rPr>
          <w:i/>
        </w:rPr>
        <w:t xml:space="preserve">arte </w:t>
      </w:r>
      <w:r w:rsidRPr="005D3DA6">
        <w:rPr>
          <w:i/>
        </w:rPr>
        <w:t>Donnelly</w:t>
      </w:r>
      <w:r w:rsidRPr="005D3DA6">
        <w:t xml:space="preserve"> (1997) 77 FCR 303</w:t>
      </w:r>
      <w:r>
        <w:t>, to which Counsel for the Applicants and Counsel for the Third Respondent referred in the present matter</w:t>
      </w:r>
      <w:r w:rsidR="001406C8">
        <w:t xml:space="preserve">.  </w:t>
      </w:r>
      <w:r>
        <w:t xml:space="preserve">Neither party referred to the Full Court’s decision in </w:t>
      </w:r>
      <w:r>
        <w:rPr>
          <w:i/>
        </w:rPr>
        <w:t>Colonial</w:t>
      </w:r>
      <w:r w:rsidR="001406C8">
        <w:t xml:space="preserve">.  </w:t>
      </w:r>
    </w:p>
    <w:p w14:paraId="6034CC24" w14:textId="0C639F46" w:rsidR="007E04A7" w:rsidRDefault="007E04A7" w:rsidP="007E04A7">
      <w:pPr>
        <w:pStyle w:val="ParaNumbering"/>
      </w:pPr>
      <w:r>
        <w:rPr>
          <w:i/>
        </w:rPr>
        <w:t xml:space="preserve">Colonial </w:t>
      </w:r>
      <w:r>
        <w:t xml:space="preserve">concerned a transcript under s 81(17) of the </w:t>
      </w:r>
      <w:r w:rsidRPr="00BF51F1">
        <w:t>Bankruptcy Act</w:t>
      </w:r>
      <w:r w:rsidR="001406C8">
        <w:t xml:space="preserve">.  </w:t>
      </w:r>
      <w:r>
        <w:t>Section 255 applies to transcripts of</w:t>
      </w:r>
      <w:r w:rsidR="00E274C0">
        <w:t xml:space="preserve"> examinations conducted under s </w:t>
      </w:r>
      <w:r>
        <w:t>81 and also transcripts of examinations conducted under s 77C</w:t>
      </w:r>
      <w:r w:rsidR="001406C8">
        <w:t xml:space="preserve">.  </w:t>
      </w:r>
      <w:r>
        <w:t>Sections 81(17) and 77C(3) are relevantly in the same terms</w:t>
      </w:r>
      <w:r w:rsidR="001406C8">
        <w:t xml:space="preserve">.  </w:t>
      </w:r>
      <w:r>
        <w:t xml:space="preserve">The Full Court described the effect of s 255(2) in this way (at 434): </w:t>
      </w:r>
    </w:p>
    <w:p w14:paraId="64885D3D" w14:textId="77777777" w:rsidR="007E04A7" w:rsidRPr="00DA6704" w:rsidRDefault="007E04A7" w:rsidP="007E04A7">
      <w:pPr>
        <w:pStyle w:val="Quote1"/>
      </w:pPr>
      <w:r w:rsidRPr="00DA6704">
        <w:lastRenderedPageBreak/>
        <w:t>In our view, this provision was intended to make the transcript of evidence admissible as evidence not merely of the words spoken by the examinee, but of the matters described by the examinee in his or her evidence</w:t>
      </w:r>
      <w:r w:rsidR="001406C8">
        <w:t xml:space="preserve">. </w:t>
      </w:r>
      <w:r w:rsidRPr="00DA6704">
        <w:t>If there were any doubts that this was the intended effect of the subsection, they are resolved by the Explanatory Memorandum accompanying the 1996 Bill</w:t>
      </w:r>
      <w:r>
        <w:t xml:space="preserve"> [</w:t>
      </w:r>
      <w:r w:rsidRPr="00DA6704">
        <w:t xml:space="preserve">by which </w:t>
      </w:r>
      <w:r>
        <w:t>s 255</w:t>
      </w:r>
      <w:r w:rsidRPr="00DA6704">
        <w:t xml:space="preserve"> was inserted]</w:t>
      </w:r>
      <w:r w:rsidR="001406C8">
        <w:t xml:space="preserve">. </w:t>
      </w:r>
      <w:r w:rsidRPr="00DA6704">
        <w:t xml:space="preserve">The Memorandum (par 182.2) states that the: </w:t>
      </w:r>
    </w:p>
    <w:p w14:paraId="5E6DD708" w14:textId="77777777" w:rsidR="007E04A7" w:rsidRPr="00DA6704" w:rsidRDefault="007E04A7" w:rsidP="007E04A7">
      <w:pPr>
        <w:pStyle w:val="Quote2"/>
      </w:pPr>
      <w:r w:rsidRPr="00DA6704">
        <w:t>“</w:t>
      </w:r>
      <w:r w:rsidRPr="00BF51F1">
        <w:rPr>
          <w:i/>
        </w:rPr>
        <w:t>provision is designed to overcome the common law rules excluding hearsay evidence</w:t>
      </w:r>
      <w:r w:rsidRPr="00DA6704">
        <w:t xml:space="preserve">, and to enable evidence given at examinations and recorded interviews to be put on the record in proceedings in a court without the need for witnesses to repeat their account of events.” </w:t>
      </w:r>
    </w:p>
    <w:p w14:paraId="36DF40FF" w14:textId="1574B2F5" w:rsidR="007E04A7" w:rsidRDefault="007E04A7" w:rsidP="007E04A7">
      <w:pPr>
        <w:pStyle w:val="Quote1"/>
      </w:pPr>
      <w:r w:rsidRPr="00DA6704">
        <w:t>This does not mean that the contents of a transcript of a s 81 examination are automatically admissible in subsequent proceedings</w:t>
      </w:r>
      <w:r w:rsidR="001406C8">
        <w:t xml:space="preserve">. </w:t>
      </w:r>
      <w:r w:rsidRPr="00DA6704">
        <w:t>First, s 255(2) itself provides that the court in which the transcript is sought to be introduced may make an order to the contrary</w:t>
      </w:r>
      <w:r w:rsidR="001406C8">
        <w:t xml:space="preserve">. </w:t>
      </w:r>
      <w:r w:rsidRPr="00DA6704">
        <w:t>Secondly, s 255(2) must be read together with s 81(17)</w:t>
      </w:r>
      <w:r w:rsidR="001406C8">
        <w:t xml:space="preserve">. </w:t>
      </w:r>
      <w:r w:rsidRPr="00DA6704">
        <w:t>As we have said, s</w:t>
      </w:r>
      <w:r w:rsidR="00F72D5E">
        <w:t> </w:t>
      </w:r>
      <w:r w:rsidRPr="00DA6704">
        <w:t>81(17) is intended, in part, to impose a restriction on the use to which a s 81 transcript can be put in subsequent proceedings</w:t>
      </w:r>
      <w:r w:rsidR="001406C8">
        <w:t xml:space="preserve">. </w:t>
      </w:r>
      <w:r w:rsidRPr="00DA6704">
        <w:t xml:space="preserve">Thus the apparently broad terms of s 255(2) must be qualified so as to make a s 81 transcript admissible (subject to the power of the court to make an order to the contrary) only in proceedings under the </w:t>
      </w:r>
      <w:r w:rsidRPr="00DA6704">
        <w:rPr>
          <w:i/>
        </w:rPr>
        <w:t xml:space="preserve">Bankruptcy Act </w:t>
      </w:r>
      <w:r w:rsidRPr="00DA6704">
        <w:t>to which the examinee is a party</w:t>
      </w:r>
      <w:r w:rsidR="001406C8">
        <w:t xml:space="preserve">. </w:t>
      </w:r>
    </w:p>
    <w:p w14:paraId="2DCD507A" w14:textId="5A5AC1EB" w:rsidR="007E04A7" w:rsidRDefault="007E04A7" w:rsidP="007E04A7">
      <w:pPr>
        <w:pStyle w:val="Quote1"/>
      </w:pPr>
      <w:r>
        <w:t>(Emphasis added)</w:t>
      </w:r>
    </w:p>
    <w:p w14:paraId="66CE3806" w14:textId="77777777" w:rsidR="00027783" w:rsidRPr="00DA6704" w:rsidRDefault="00027783" w:rsidP="007E04A7">
      <w:pPr>
        <w:pStyle w:val="Quote1"/>
      </w:pPr>
    </w:p>
    <w:p w14:paraId="389529FE" w14:textId="76077775" w:rsidR="007E04A7" w:rsidRPr="00DA6704" w:rsidRDefault="007E04A7" w:rsidP="007E04A7">
      <w:pPr>
        <w:pStyle w:val="ParaNumbering"/>
      </w:pPr>
      <w:r>
        <w:t>For the reason given in the previous paragraph,</w:t>
      </w:r>
      <w:r w:rsidR="007E0B93">
        <w:t xml:space="preserve"> the Full Court’s description of the effect of s 81(17) is equally applicable to s 77C(3)</w:t>
      </w:r>
      <w:r w:rsidR="001406C8">
        <w:t xml:space="preserve">.  </w:t>
      </w:r>
    </w:p>
    <w:p w14:paraId="4D78CEAA" w14:textId="15AA6C44" w:rsidR="007E04A7" w:rsidRDefault="007E04A7" w:rsidP="007E04A7">
      <w:pPr>
        <w:pStyle w:val="ParaNumbering"/>
      </w:pPr>
      <w:r>
        <w:t xml:space="preserve">The upshot of the Full Court’s decision is that there </w:t>
      </w:r>
      <w:r w:rsidR="00027783">
        <w:t xml:space="preserve">were </w:t>
      </w:r>
      <w:r>
        <w:t>two limitations to the admissibility of a transcript to which s 255 applies</w:t>
      </w:r>
      <w:r w:rsidR="001406C8">
        <w:t xml:space="preserve">.  </w:t>
      </w:r>
      <w:r>
        <w:t xml:space="preserve">First, it </w:t>
      </w:r>
      <w:r w:rsidR="00027783">
        <w:t xml:space="preserve">could </w:t>
      </w:r>
      <w:r>
        <w:t xml:space="preserve">only be used in a proceeding to which the examinee </w:t>
      </w:r>
      <w:r w:rsidR="00027783">
        <w:t xml:space="preserve">was </w:t>
      </w:r>
      <w:r>
        <w:t>a party</w:t>
      </w:r>
      <w:r w:rsidR="001406C8">
        <w:t xml:space="preserve">.  </w:t>
      </w:r>
      <w:r>
        <w:t xml:space="preserve">Secondly, the admissibility </w:t>
      </w:r>
      <w:r w:rsidR="00027783">
        <w:t xml:space="preserve">was </w:t>
      </w:r>
      <w:r>
        <w:t xml:space="preserve">not </w:t>
      </w:r>
      <w:r w:rsidR="00E274C0">
        <w:t>‘</w:t>
      </w:r>
      <w:r>
        <w:t>automatic</w:t>
      </w:r>
      <w:r w:rsidR="00E274C0">
        <w:t>’</w:t>
      </w:r>
      <w:r>
        <w:t xml:space="preserve"> but </w:t>
      </w:r>
      <w:r w:rsidR="00027783">
        <w:t xml:space="preserve">was </w:t>
      </w:r>
      <w:r>
        <w:t>subject to the Court’s discretion under s 255(2) to make ‘an order to the contrary’</w:t>
      </w:r>
      <w:r w:rsidR="001406C8">
        <w:t xml:space="preserve">.  </w:t>
      </w:r>
    </w:p>
    <w:p w14:paraId="2E9D1DFC" w14:textId="525AFED1" w:rsidR="007E04A7" w:rsidRDefault="007E04A7" w:rsidP="007E04A7">
      <w:pPr>
        <w:pStyle w:val="ParaNumbering"/>
      </w:pPr>
      <w:r>
        <w:t xml:space="preserve">Murphy J dealt with each of these limitations in </w:t>
      </w:r>
      <w:proofErr w:type="spellStart"/>
      <w:r w:rsidRPr="005D3DA6">
        <w:rPr>
          <w:i/>
        </w:rPr>
        <w:t>Rambaldi</w:t>
      </w:r>
      <w:proofErr w:type="spellEnd"/>
      <w:r w:rsidRPr="005D3DA6">
        <w:rPr>
          <w:i/>
        </w:rPr>
        <w:t xml:space="preserve"> v Mullins (No 2) </w:t>
      </w:r>
      <w:r w:rsidRPr="005D3DA6">
        <w:t>[2016] FCA 977</w:t>
      </w:r>
      <w:r>
        <w:t xml:space="preserve"> (‘</w:t>
      </w:r>
      <w:proofErr w:type="spellStart"/>
      <w:r>
        <w:rPr>
          <w:i/>
        </w:rPr>
        <w:t>Rambaldi</w:t>
      </w:r>
      <w:proofErr w:type="spellEnd"/>
      <w:r>
        <w:t>’)</w:t>
      </w:r>
      <w:r w:rsidR="001406C8">
        <w:t xml:space="preserve">.  </w:t>
      </w:r>
      <w:r>
        <w:t xml:space="preserve">His Honour explained at [67] that the first limitation was removed by the </w:t>
      </w:r>
      <w:r w:rsidRPr="005D3DA6">
        <w:rPr>
          <w:i/>
        </w:rPr>
        <w:t>Bankruptcy Legislation Amendment (Anti-avoidance) Act 2006</w:t>
      </w:r>
      <w:r w:rsidRPr="005D3DA6">
        <w:t xml:space="preserve"> (</w:t>
      </w:r>
      <w:proofErr w:type="spellStart"/>
      <w:r w:rsidRPr="005D3DA6">
        <w:t>Cth</w:t>
      </w:r>
      <w:proofErr w:type="spellEnd"/>
      <w:r w:rsidRPr="005D3DA6">
        <w:t>)</w:t>
      </w:r>
      <w:r>
        <w:t xml:space="preserve"> (‘the A</w:t>
      </w:r>
      <w:r w:rsidR="00013F00">
        <w:t>A</w:t>
      </w:r>
      <w:r>
        <w:t xml:space="preserve"> Act’)</w:t>
      </w:r>
      <w:r w:rsidR="001406C8">
        <w:t xml:space="preserve">.  </w:t>
      </w:r>
      <w:r w:rsidR="00013F00">
        <w:t>By item </w:t>
      </w:r>
      <w:r>
        <w:t xml:space="preserve">3 of </w:t>
      </w:r>
      <w:proofErr w:type="spellStart"/>
      <w:r w:rsidR="004F1270">
        <w:t>Sch</w:t>
      </w:r>
      <w:proofErr w:type="spellEnd"/>
      <w:r w:rsidR="004F1270">
        <w:t> </w:t>
      </w:r>
      <w:r>
        <w:t xml:space="preserve">1, the </w:t>
      </w:r>
      <w:r w:rsidR="00013F00">
        <w:t xml:space="preserve">AA </w:t>
      </w:r>
      <w:r>
        <w:t>Act amended s 81(17) to omit the words ‘in which the person is a party’ and substitute the words ‘whether or not the person is a party to the proceeding’</w:t>
      </w:r>
      <w:r w:rsidR="001406C8">
        <w:t xml:space="preserve">.  </w:t>
      </w:r>
      <w:r>
        <w:t xml:space="preserve">By item 2 of </w:t>
      </w:r>
      <w:proofErr w:type="spellStart"/>
      <w:r>
        <w:t>Sch</w:t>
      </w:r>
      <w:proofErr w:type="spellEnd"/>
      <w:r w:rsidR="003A68FD">
        <w:t> </w:t>
      </w:r>
      <w:r>
        <w:t xml:space="preserve">1, the </w:t>
      </w:r>
      <w:r w:rsidR="00013F00">
        <w:t>AA</w:t>
      </w:r>
      <w:r>
        <w:t xml:space="preserve"> Act enacted s 77C(3) which, like its cousin s 81(17), included the words ‘whether or not the person is a party to the proceeding’</w:t>
      </w:r>
      <w:r w:rsidR="001406C8">
        <w:t xml:space="preserve">.  </w:t>
      </w:r>
      <w:r>
        <w:t>The consequence, as Murphy J explained, is that a transcript to which the provisions apply is ‘admissible, whether or not the examinee is a party to the proceeding, and against “all parties”’:</w:t>
      </w:r>
      <w:r w:rsidR="005201A5">
        <w:t xml:space="preserve"> </w:t>
      </w:r>
      <w:proofErr w:type="spellStart"/>
      <w:r w:rsidR="005201A5">
        <w:rPr>
          <w:i/>
        </w:rPr>
        <w:t>Rambaldi</w:t>
      </w:r>
      <w:proofErr w:type="spellEnd"/>
      <w:r>
        <w:t xml:space="preserve"> at [69], citing </w:t>
      </w:r>
      <w:proofErr w:type="spellStart"/>
      <w:r w:rsidRPr="005D3DA6">
        <w:rPr>
          <w:i/>
        </w:rPr>
        <w:t>Rothmore</w:t>
      </w:r>
      <w:proofErr w:type="spellEnd"/>
      <w:r w:rsidRPr="005D3DA6">
        <w:rPr>
          <w:i/>
        </w:rPr>
        <w:t xml:space="preserve"> Farms Pty Ltd (in </w:t>
      </w:r>
      <w:proofErr w:type="spellStart"/>
      <w:r w:rsidRPr="005D3DA6">
        <w:rPr>
          <w:i/>
        </w:rPr>
        <w:t>liq</w:t>
      </w:r>
      <w:proofErr w:type="spellEnd"/>
      <w:r w:rsidRPr="005D3DA6">
        <w:rPr>
          <w:i/>
        </w:rPr>
        <w:t>) v Belgravia Pty Ltd</w:t>
      </w:r>
      <w:r w:rsidRPr="005D3DA6">
        <w:t xml:space="preserve"> [1999] FCA 598</w:t>
      </w:r>
      <w:r w:rsidR="00013F00">
        <w:t xml:space="preserve"> </w:t>
      </w:r>
      <w:r>
        <w:t>at [9] per Mansfield J</w:t>
      </w:r>
      <w:r w:rsidR="001406C8">
        <w:t xml:space="preserve">.  </w:t>
      </w:r>
    </w:p>
    <w:p w14:paraId="5C94184C" w14:textId="5D0BC86E" w:rsidR="007E04A7" w:rsidRDefault="007E04A7" w:rsidP="007E04A7">
      <w:pPr>
        <w:pStyle w:val="ParaNumbering"/>
      </w:pPr>
      <w:r>
        <w:lastRenderedPageBreak/>
        <w:t>The second limitation is a broader one</w:t>
      </w:r>
      <w:r w:rsidR="001406C8">
        <w:t xml:space="preserve">.  </w:t>
      </w:r>
      <w:r>
        <w:t xml:space="preserve">It appears that Murphy J viewed the issue of whether or not to make ‘an order to the contrary’ as a question of whether to make an order under s135 or </w:t>
      </w:r>
      <w:r w:rsidR="00136737">
        <w:t>s </w:t>
      </w:r>
      <w:r>
        <w:t xml:space="preserve">136 of the </w:t>
      </w:r>
      <w:r w:rsidRPr="00BF51F1">
        <w:t>Evidence Act</w:t>
      </w:r>
      <w:r>
        <w:t>:</w:t>
      </w:r>
      <w:r w:rsidR="005201A5" w:rsidRPr="005201A5">
        <w:rPr>
          <w:i/>
        </w:rPr>
        <w:t xml:space="preserve"> </w:t>
      </w:r>
      <w:proofErr w:type="spellStart"/>
      <w:r w:rsidR="005201A5">
        <w:rPr>
          <w:i/>
        </w:rPr>
        <w:t>Rambaldi</w:t>
      </w:r>
      <w:proofErr w:type="spellEnd"/>
      <w:r w:rsidR="005201A5">
        <w:rPr>
          <w:i/>
        </w:rPr>
        <w:t xml:space="preserve"> </w:t>
      </w:r>
      <w:r w:rsidR="00D13E34">
        <w:t xml:space="preserve">at </w:t>
      </w:r>
      <w:r>
        <w:t>[70]</w:t>
      </w:r>
      <w:r w:rsidR="001406C8">
        <w:t xml:space="preserve">.  </w:t>
      </w:r>
      <w:r>
        <w:t xml:space="preserve">His Honour did not suggest that those provisions furnished the only kinds of order which a court might make in an exercise of </w:t>
      </w:r>
      <w:r w:rsidR="00D436C8">
        <w:t xml:space="preserve">its </w:t>
      </w:r>
      <w:r>
        <w:t xml:space="preserve">discretion to </w:t>
      </w:r>
      <w:r w:rsidR="004B6745">
        <w:t xml:space="preserve">constrain the </w:t>
      </w:r>
      <w:r>
        <w:t>admi</w:t>
      </w:r>
      <w:r w:rsidR="004B6745">
        <w:t>ssion</w:t>
      </w:r>
      <w:r>
        <w:t xml:space="preserve"> </w:t>
      </w:r>
      <w:r w:rsidR="004B6745">
        <w:t xml:space="preserve">of </w:t>
      </w:r>
      <w:r>
        <w:t>evidence under s 255(2)</w:t>
      </w:r>
      <w:r w:rsidR="001406C8">
        <w:t xml:space="preserve">.  </w:t>
      </w:r>
      <w:r w:rsidR="004B6745">
        <w:t>I</w:t>
      </w:r>
      <w:r>
        <w:t xml:space="preserve">t is not necessary to decide what other kinds of order might be made because, as I have explained, the Third Respondent sought only an order that I exclude the evidence on the basis that it engages the hearsay rule and does not fall within the </w:t>
      </w:r>
      <w:r w:rsidR="00D436C8">
        <w:t xml:space="preserve">hearsay </w:t>
      </w:r>
      <w:r>
        <w:t>exception for admissions</w:t>
      </w:r>
      <w:r w:rsidR="001406C8">
        <w:t xml:space="preserve">.  </w:t>
      </w:r>
      <w:r>
        <w:t xml:space="preserve">The authorities to which I have referred foreclose such an argument – the hearsay rule does not defeat the admissibility of a transcript to which </w:t>
      </w:r>
      <w:r w:rsidR="00016691">
        <w:t>s </w:t>
      </w:r>
      <w:r>
        <w:t xml:space="preserve">255 and </w:t>
      </w:r>
      <w:r w:rsidR="00016691">
        <w:t>s </w:t>
      </w:r>
      <w:r>
        <w:t xml:space="preserve">77C(3) of the </w:t>
      </w:r>
      <w:r w:rsidRPr="00BF51F1">
        <w:t xml:space="preserve">Bankruptcy Act </w:t>
      </w:r>
      <w:r>
        <w:t>apply</w:t>
      </w:r>
      <w:r w:rsidR="001406C8">
        <w:t xml:space="preserve">.  </w:t>
      </w:r>
    </w:p>
    <w:p w14:paraId="38750DF3" w14:textId="1147E619" w:rsidR="007E04A7" w:rsidRPr="00247A4F" w:rsidRDefault="007E04A7" w:rsidP="007E04A7">
      <w:pPr>
        <w:pStyle w:val="ParaNumbering"/>
      </w:pPr>
      <w:r>
        <w:t xml:space="preserve">Accordingly, </w:t>
      </w:r>
      <w:r w:rsidR="00016691">
        <w:t>§</w:t>
      </w:r>
      <w:r>
        <w:t xml:space="preserve">19 and </w:t>
      </w:r>
      <w:r w:rsidR="00016691">
        <w:t>§</w:t>
      </w:r>
      <w:r>
        <w:t xml:space="preserve">32 of the Second Aravanis Affidavit and </w:t>
      </w:r>
      <w:r w:rsidR="00016691">
        <w:t>pp 1359</w:t>
      </w:r>
      <w:r w:rsidR="00016691" w:rsidRPr="00316324">
        <w:t>–</w:t>
      </w:r>
      <w:r w:rsidR="00016691">
        <w:t>1480</w:t>
      </w:r>
      <w:r>
        <w:t xml:space="preserve"> of Exhibit AA-2 will be admitted into evidence</w:t>
      </w:r>
      <w:r w:rsidR="001406C8">
        <w:t xml:space="preserve">.  </w:t>
      </w:r>
    </w:p>
    <w:p w14:paraId="02AD5D4F" w14:textId="77777777" w:rsidR="001E3D21" w:rsidRDefault="001E3D21" w:rsidP="00815065">
      <w:pPr>
        <w:pStyle w:val="BodyText"/>
      </w:pPr>
      <w:bookmarkStart w:id="25" w:name="Certification"/>
    </w:p>
    <w:tbl>
      <w:tblPr>
        <w:tblW w:w="0" w:type="auto"/>
        <w:tblLook w:val="04A0" w:firstRow="1" w:lastRow="0" w:firstColumn="1" w:lastColumn="0" w:noHBand="0" w:noVBand="1"/>
      </w:tblPr>
      <w:tblGrid>
        <w:gridCol w:w="3794"/>
      </w:tblGrid>
      <w:tr w:rsidR="001E3D21" w:rsidRPr="001E3D21" w14:paraId="0FEAD1ED" w14:textId="77777777">
        <w:tc>
          <w:tcPr>
            <w:tcW w:w="3794" w:type="dxa"/>
            <w:shd w:val="clear" w:color="auto" w:fill="auto"/>
          </w:tcPr>
          <w:p w14:paraId="4FE14397" w14:textId="3E908D95" w:rsidR="001E3D21" w:rsidRPr="001E3D21" w:rsidRDefault="001E3D21" w:rsidP="001E3D21">
            <w:pPr>
              <w:pStyle w:val="Normal1linespace"/>
            </w:pPr>
            <w:r w:rsidRPr="001E3D21">
              <w:t xml:space="preserve">I certify that the preceding </w:t>
            </w:r>
            <w:bookmarkStart w:id="26" w:name="NumberWord"/>
            <w:r>
              <w:t>thirteen</w:t>
            </w:r>
            <w:bookmarkEnd w:id="26"/>
            <w:r w:rsidRPr="001E3D21">
              <w:t xml:space="preserve"> (</w:t>
            </w:r>
            <w:bookmarkStart w:id="27" w:name="NumberNumeral"/>
            <w:r>
              <w:t>13</w:t>
            </w:r>
            <w:bookmarkEnd w:id="27"/>
            <w:r w:rsidRPr="001E3D21">
              <w:t xml:space="preserve">) numbered </w:t>
            </w:r>
            <w:bookmarkStart w:id="28" w:name="CertPara"/>
            <w:r>
              <w:t>paragraphs are</w:t>
            </w:r>
            <w:bookmarkEnd w:id="28"/>
            <w:r w:rsidRPr="001E3D21">
              <w:t xml:space="preserve"> a true copy of the Reasons for Judgment of </w:t>
            </w:r>
            <w:bookmarkStart w:id="29" w:name="bkHonourable"/>
            <w:r w:rsidRPr="001E3D21">
              <w:t xml:space="preserve">the Honourable </w:t>
            </w:r>
            <w:bookmarkStart w:id="30" w:name="Justice"/>
            <w:bookmarkEnd w:id="29"/>
            <w:r>
              <w:t>Justice Perram</w:t>
            </w:r>
            <w:bookmarkEnd w:id="30"/>
            <w:r w:rsidRPr="001E3D21">
              <w:t>.</w:t>
            </w:r>
          </w:p>
        </w:tc>
      </w:tr>
    </w:tbl>
    <w:p w14:paraId="3E8421F4" w14:textId="77777777" w:rsidR="001E3D21" w:rsidRDefault="001E3D21" w:rsidP="00815065">
      <w:pPr>
        <w:pStyle w:val="BodyText"/>
      </w:pPr>
    </w:p>
    <w:p w14:paraId="0FA2511F" w14:textId="77777777" w:rsidR="001E3D21" w:rsidRDefault="001E3D21" w:rsidP="00815065">
      <w:pPr>
        <w:pStyle w:val="BodyText"/>
      </w:pPr>
      <w:bookmarkStart w:id="31" w:name="_GoBack"/>
      <w:bookmarkEnd w:id="31"/>
    </w:p>
    <w:p w14:paraId="610ED386" w14:textId="7B70883D" w:rsidR="001E3D21" w:rsidRDefault="001E3D21" w:rsidP="00815065">
      <w:pPr>
        <w:pStyle w:val="BodyText"/>
      </w:pPr>
      <w:r>
        <w:t>Associate:</w:t>
      </w:r>
    </w:p>
    <w:p w14:paraId="10D59D8A" w14:textId="77777777" w:rsidR="001E3D21" w:rsidRDefault="001E3D21" w:rsidP="00815065">
      <w:pPr>
        <w:pStyle w:val="BodyText"/>
      </w:pPr>
    </w:p>
    <w:p w14:paraId="6E097326" w14:textId="55B0043A" w:rsidR="001E3D21" w:rsidRDefault="001E3D21" w:rsidP="00815065">
      <w:pPr>
        <w:pStyle w:val="BodyText"/>
        <w:tabs>
          <w:tab w:val="left" w:pos="1134"/>
        </w:tabs>
      </w:pPr>
      <w:r>
        <w:t>Dated:</w:t>
      </w:r>
      <w:r>
        <w:tab/>
      </w:r>
      <w:bookmarkStart w:id="32" w:name="CertifyDated"/>
      <w:r>
        <w:t>3 August 2021</w:t>
      </w:r>
      <w:bookmarkEnd w:id="32"/>
    </w:p>
    <w:p w14:paraId="7B936599" w14:textId="77777777" w:rsidR="001E3D21" w:rsidRDefault="001E3D21" w:rsidP="00815065">
      <w:pPr>
        <w:pStyle w:val="BodyText"/>
      </w:pPr>
    </w:p>
    <w:bookmarkEnd w:id="25"/>
    <w:p w14:paraId="7DA50428" w14:textId="77777777" w:rsidR="0051434F" w:rsidRPr="007E04A7" w:rsidRDefault="0051434F" w:rsidP="001E3D21">
      <w:pPr>
        <w:pStyle w:val="BodyText"/>
      </w:pPr>
    </w:p>
    <w:sectPr w:rsidR="0051434F" w:rsidRPr="007E04A7"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035F" w14:textId="77777777" w:rsidR="0086434F" w:rsidRDefault="0086434F">
      <w:pPr>
        <w:spacing w:line="20" w:lineRule="exact"/>
      </w:pPr>
    </w:p>
    <w:p w14:paraId="68A12482" w14:textId="77777777" w:rsidR="0086434F" w:rsidRDefault="0086434F"/>
    <w:p w14:paraId="090276A2" w14:textId="77777777" w:rsidR="0086434F" w:rsidRDefault="0086434F"/>
  </w:endnote>
  <w:endnote w:type="continuationSeparator" w:id="0">
    <w:p w14:paraId="60C2766E" w14:textId="77777777" w:rsidR="0086434F" w:rsidRDefault="0086434F">
      <w:r>
        <w:t xml:space="preserve"> </w:t>
      </w:r>
    </w:p>
    <w:p w14:paraId="1F4645A3" w14:textId="77777777" w:rsidR="0086434F" w:rsidRDefault="0086434F"/>
    <w:p w14:paraId="65EA325D" w14:textId="77777777" w:rsidR="0086434F" w:rsidRDefault="0086434F"/>
  </w:endnote>
  <w:endnote w:type="continuationNotice" w:id="1">
    <w:p w14:paraId="29EDF6DD" w14:textId="77777777" w:rsidR="0086434F" w:rsidRDefault="0086434F">
      <w:r>
        <w:t xml:space="preserve"> </w:t>
      </w:r>
    </w:p>
    <w:p w14:paraId="29244DE2" w14:textId="77777777" w:rsidR="0086434F" w:rsidRDefault="0086434F"/>
    <w:p w14:paraId="70CCA985" w14:textId="77777777" w:rsidR="0086434F" w:rsidRDefault="00864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B80B" w14:textId="77777777" w:rsidR="001E3D21" w:rsidRDefault="001E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A045" w14:textId="755E5F2C"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85357F1" wp14:editId="1061989D">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A728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304169">
          <w:rPr>
            <w:bCs/>
            <w:sz w:val="18"/>
            <w:szCs w:val="18"/>
          </w:rPr>
          <w:t>Aravanis (Trustee) v Twin Investors Pty Ltd, in the matter of the Bankrupt Estate of Kapp (Admissibility Ruling) [2021] FCA 899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E3AA" w14:textId="77D92BB1" w:rsidR="00395B24" w:rsidRPr="001E3D21" w:rsidRDefault="00395B24" w:rsidP="001E3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31C9" w14:textId="48512C1D"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B286D45" wp14:editId="28F4A65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9833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61D52A1E00E459AB52D6A9F0FC784D3"/>
        </w:placeholder>
        <w:dataBinding w:prefixMappings="xmlns:ns0='http://schemas.globalmacros.com/FCA'" w:xpath="/ns0:root[1]/ns0:Name[1]" w:storeItemID="{687E7CCB-4AA5-44E7-B148-17BA2B6F57C0}"/>
        <w:text w:multiLine="1"/>
      </w:sdtPr>
      <w:sdtEndPr/>
      <w:sdtContent>
        <w:r w:rsidR="00304169">
          <w:rPr>
            <w:bCs/>
            <w:sz w:val="18"/>
            <w:szCs w:val="18"/>
          </w:rPr>
          <w:t>Aravanis (Trustee) v Twin Investors Pty Ltd, in the matter of the Bankrupt Estate of Kapp (Admissibility Ruling) [2021] FCA 899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BB4B" w14:textId="54A74144"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4C9D3862" wp14:editId="4688E1F7">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0BF7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9113D9EB1CD477CBBB14C80A5D6735D"/>
        </w:placeholder>
        <w:dataBinding w:prefixMappings="xmlns:ns0='http://schemas.globalmacros.com/FCA'" w:xpath="/ns0:root[1]/ns0:Name[1]" w:storeItemID="{687E7CCB-4AA5-44E7-B148-17BA2B6F57C0}"/>
        <w:text w:multiLine="1"/>
      </w:sdtPr>
      <w:sdtEndPr/>
      <w:sdtContent>
        <w:r w:rsidR="00304169">
          <w:rPr>
            <w:bCs/>
            <w:sz w:val="18"/>
            <w:szCs w:val="18"/>
          </w:rPr>
          <w:t>Aravanis (Trustee) v Twin Investors Pty Ltd, in the matter of the Bankrupt Estate of Kapp (Admissibility Ruling) [2021] FCA 899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F0E4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BE3E" w14:textId="4BC36D86"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C519CD2" wp14:editId="31F9E0D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721F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A1E37E1C2874CFBABF5501FA83012DE"/>
        </w:placeholder>
        <w:dataBinding w:prefixMappings="xmlns:ns0='http://schemas.globalmacros.com/FCA'" w:xpath="/ns0:root[1]/ns0:Name[1]" w:storeItemID="{687E7CCB-4AA5-44E7-B148-17BA2B6F57C0}"/>
        <w:text w:multiLine="1"/>
      </w:sdtPr>
      <w:sdtEndPr/>
      <w:sdtContent>
        <w:r w:rsidR="00304169">
          <w:rPr>
            <w:bCs/>
            <w:sz w:val="18"/>
            <w:szCs w:val="18"/>
          </w:rPr>
          <w:t>Aravanis (Trustee) v Twin Investors Pty Ltd, in the matter of the Bankrupt Estate of Kapp (Admissibility Ruling) [2021] FCA 899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41313">
      <w:rPr>
        <w:bCs/>
        <w:noProof/>
        <w:sz w:val="20"/>
      </w:rPr>
      <w:t>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1F5D" w14:textId="50C0AF76"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A331C3A" wp14:editId="75CEB68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7641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69A1DA60DB84630A68EFDD3C4BD1100"/>
        </w:placeholder>
        <w:dataBinding w:prefixMappings="xmlns:ns0='http://schemas.globalmacros.com/FCA'" w:xpath="/ns0:root[1]/ns0:Name[1]" w:storeItemID="{687E7CCB-4AA5-44E7-B148-17BA2B6F57C0}"/>
        <w:text w:multiLine="1"/>
      </w:sdtPr>
      <w:sdtEndPr/>
      <w:sdtContent>
        <w:r w:rsidR="00304169">
          <w:rPr>
            <w:bCs/>
            <w:sz w:val="18"/>
            <w:szCs w:val="18"/>
          </w:rPr>
          <w:t>Aravanis (Trustee) v Twin Investors Pty Ltd, in the matter of the Bankrupt Estate of Kapp (Admissibility Ruling) [2021] FCA 899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F0E4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30FC" w14:textId="77777777" w:rsidR="0086434F" w:rsidRDefault="0086434F"/>
    <w:p w14:paraId="6ED3346C" w14:textId="77777777" w:rsidR="0086434F" w:rsidRDefault="0086434F"/>
    <w:p w14:paraId="378EFD42" w14:textId="77777777" w:rsidR="0086434F" w:rsidRDefault="0086434F"/>
  </w:footnote>
  <w:footnote w:type="continuationSeparator" w:id="0">
    <w:p w14:paraId="45ACF00C" w14:textId="77777777" w:rsidR="0086434F" w:rsidRDefault="0086434F">
      <w:r>
        <w:continuationSeparator/>
      </w:r>
    </w:p>
    <w:p w14:paraId="1681CAAA" w14:textId="77777777" w:rsidR="0086434F" w:rsidRDefault="0086434F"/>
    <w:p w14:paraId="0C48881E" w14:textId="77777777" w:rsidR="0086434F" w:rsidRDefault="008643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B33C" w14:textId="77777777" w:rsidR="001E3D21" w:rsidRDefault="001E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70BA" w14:textId="77777777" w:rsidR="001E3D21" w:rsidRDefault="001E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0C7F" w14:textId="77777777" w:rsidR="001E3D21" w:rsidRDefault="001E3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3A34"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C394"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D5AB"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AA69"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77CB"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7E7B16E1"/>
    <w:multiLevelType w:val="hybridMultilevel"/>
    <w:tmpl w:val="F90C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24"/>
  </w:num>
  <w:num w:numId="2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DREW ARAVANIS AND ALEXANDER CLARK AS TRUSTEES IN BANKRUPTCY OF THE BANKRUPT ESTATE OF PHILIP JAMES KAPP"/>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EntryList" w:val="Counsel for the Second Respondent"/>
    <w:docVar w:name="FileNumbers" w:val="NSD 853 of 2019"/>
    <w:docVar w:name="grpRadioJudges" w:val="Justice"/>
    <w:docVar w:name="Initiators" w:val="(and another named in the Schedule)"/>
    <w:docVar w:name="InTheMatterOf" w:val="Aravanis (Trustee) v Twin Investors Pty Ltd, in the matter of the Bankrupt Estate of Kapp (Standing of Third Respondent)"/>
    <w:docVar w:name="Judgdate" w:val="3 August 2021"/>
    <w:docVar w:name="Judge" w:val="Perram"/>
    <w:docVar w:name="lstEntryList" w:val="3"/>
    <w:docVar w:name="myEntryList" w:val="Counsel for the Applicant=Mr A Combe|Solicitor for the Applicant=O’Neill Partners Commercial Lawyers|Counsel for the First Respondent=The First Respondent did not appear|Counsel for the Second Respondent=The Second Respondent filed a submitting notice save as to costs|Counsel for the Third Respondent=Mr R Glasson|Solicitor for the Third Respondent=Drayton Sher Lawyers"/>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Sydney"/>
    <w:docVar w:name="PracticeArea" w:val="Commercial and Corporations"/>
    <w:docVar w:name="RadioJudge" w:val="False"/>
    <w:docVar w:name="RadioJustice" w:val="True"/>
    <w:docVar w:name="RadioJustices" w:val="False"/>
    <w:docVar w:name="RESAndAnother" w:val="True"/>
    <w:docVar w:name="RESAndOthers" w:val="False"/>
    <w:docVar w:name="Respondent" w:val="TWIN INVESTORS PTY LTD ACN 608 534 505 AS TRUSTEE OF THE TWIN TRUST|MARYANN KAPP|PHILIP JAMES KAPP"/>
    <w:docVar w:name="ResState" w:val="New South Wales"/>
    <w:docVar w:name="SubArea" w:val="General and Personal Insolvency (C &amp; C)"/>
  </w:docVars>
  <w:rsids>
    <w:rsidRoot w:val="007E04A7"/>
    <w:rsid w:val="00000747"/>
    <w:rsid w:val="00010E0F"/>
    <w:rsid w:val="000115C5"/>
    <w:rsid w:val="00013F00"/>
    <w:rsid w:val="0001469E"/>
    <w:rsid w:val="00015993"/>
    <w:rsid w:val="00016691"/>
    <w:rsid w:val="00021CCB"/>
    <w:rsid w:val="00022289"/>
    <w:rsid w:val="00027398"/>
    <w:rsid w:val="00027783"/>
    <w:rsid w:val="0003201A"/>
    <w:rsid w:val="0003207A"/>
    <w:rsid w:val="00032F9F"/>
    <w:rsid w:val="00041C07"/>
    <w:rsid w:val="00045BB7"/>
    <w:rsid w:val="00055719"/>
    <w:rsid w:val="0005641B"/>
    <w:rsid w:val="0006196A"/>
    <w:rsid w:val="000771EF"/>
    <w:rsid w:val="00081497"/>
    <w:rsid w:val="00085255"/>
    <w:rsid w:val="000A2E76"/>
    <w:rsid w:val="000A4807"/>
    <w:rsid w:val="000A4BE4"/>
    <w:rsid w:val="000C023E"/>
    <w:rsid w:val="000C5195"/>
    <w:rsid w:val="000C62EF"/>
    <w:rsid w:val="000D2137"/>
    <w:rsid w:val="000D3FD2"/>
    <w:rsid w:val="000D4B2E"/>
    <w:rsid w:val="000D77CA"/>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36737"/>
    <w:rsid w:val="001406C8"/>
    <w:rsid w:val="00152FD9"/>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3D21"/>
    <w:rsid w:val="001E4A05"/>
    <w:rsid w:val="001E7388"/>
    <w:rsid w:val="001F13DD"/>
    <w:rsid w:val="001F2473"/>
    <w:rsid w:val="001F2DBC"/>
    <w:rsid w:val="001F73E8"/>
    <w:rsid w:val="0020262C"/>
    <w:rsid w:val="00202723"/>
    <w:rsid w:val="00211A3E"/>
    <w:rsid w:val="00215BCA"/>
    <w:rsid w:val="00217AC4"/>
    <w:rsid w:val="00221461"/>
    <w:rsid w:val="00224537"/>
    <w:rsid w:val="00233D73"/>
    <w:rsid w:val="00235956"/>
    <w:rsid w:val="00243E5E"/>
    <w:rsid w:val="00247C9A"/>
    <w:rsid w:val="0025160C"/>
    <w:rsid w:val="002535D0"/>
    <w:rsid w:val="002539B3"/>
    <w:rsid w:val="00256336"/>
    <w:rsid w:val="00257C3E"/>
    <w:rsid w:val="002602C2"/>
    <w:rsid w:val="002666C9"/>
    <w:rsid w:val="00270136"/>
    <w:rsid w:val="00270E9F"/>
    <w:rsid w:val="00270FD7"/>
    <w:rsid w:val="00274F5B"/>
    <w:rsid w:val="00280836"/>
    <w:rsid w:val="00282E1A"/>
    <w:rsid w:val="002840F1"/>
    <w:rsid w:val="0029113B"/>
    <w:rsid w:val="002934C0"/>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302F4E"/>
    <w:rsid w:val="00304169"/>
    <w:rsid w:val="0031256C"/>
    <w:rsid w:val="00314D6C"/>
    <w:rsid w:val="00316324"/>
    <w:rsid w:val="00316D2A"/>
    <w:rsid w:val="00322A7C"/>
    <w:rsid w:val="00322EEC"/>
    <w:rsid w:val="00323061"/>
    <w:rsid w:val="003402D3"/>
    <w:rsid w:val="00343ABC"/>
    <w:rsid w:val="003463FE"/>
    <w:rsid w:val="00347D41"/>
    <w:rsid w:val="003554B3"/>
    <w:rsid w:val="00356632"/>
    <w:rsid w:val="00357C3F"/>
    <w:rsid w:val="00357C7E"/>
    <w:rsid w:val="003653B6"/>
    <w:rsid w:val="00374CC4"/>
    <w:rsid w:val="003774B2"/>
    <w:rsid w:val="00380F2D"/>
    <w:rsid w:val="003845A9"/>
    <w:rsid w:val="003850C9"/>
    <w:rsid w:val="00390883"/>
    <w:rsid w:val="00390D43"/>
    <w:rsid w:val="003922F8"/>
    <w:rsid w:val="00395B24"/>
    <w:rsid w:val="003A2D38"/>
    <w:rsid w:val="003A68FD"/>
    <w:rsid w:val="003A7ECC"/>
    <w:rsid w:val="003B2C72"/>
    <w:rsid w:val="003B58B4"/>
    <w:rsid w:val="003B5FA3"/>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B6745"/>
    <w:rsid w:val="004C2A87"/>
    <w:rsid w:val="004C4D7B"/>
    <w:rsid w:val="004C4ED3"/>
    <w:rsid w:val="004C667B"/>
    <w:rsid w:val="004C7ECD"/>
    <w:rsid w:val="004D2EA5"/>
    <w:rsid w:val="004D32A6"/>
    <w:rsid w:val="004D53E5"/>
    <w:rsid w:val="004E6DC4"/>
    <w:rsid w:val="004E7009"/>
    <w:rsid w:val="004E7E4F"/>
    <w:rsid w:val="004F0E47"/>
    <w:rsid w:val="004F1270"/>
    <w:rsid w:val="004F21C1"/>
    <w:rsid w:val="004F225B"/>
    <w:rsid w:val="00501A12"/>
    <w:rsid w:val="0050309C"/>
    <w:rsid w:val="0051327C"/>
    <w:rsid w:val="0051346D"/>
    <w:rsid w:val="00513EAE"/>
    <w:rsid w:val="0051434F"/>
    <w:rsid w:val="00516806"/>
    <w:rsid w:val="005201A5"/>
    <w:rsid w:val="0052098C"/>
    <w:rsid w:val="00525A49"/>
    <w:rsid w:val="005262D1"/>
    <w:rsid w:val="00530876"/>
    <w:rsid w:val="00535613"/>
    <w:rsid w:val="005359EB"/>
    <w:rsid w:val="0054254A"/>
    <w:rsid w:val="0054500B"/>
    <w:rsid w:val="005466B5"/>
    <w:rsid w:val="00554314"/>
    <w:rsid w:val="00561974"/>
    <w:rsid w:val="00562829"/>
    <w:rsid w:val="005629B3"/>
    <w:rsid w:val="005724F6"/>
    <w:rsid w:val="00573AC4"/>
    <w:rsid w:val="005801FC"/>
    <w:rsid w:val="00585BA9"/>
    <w:rsid w:val="00587359"/>
    <w:rsid w:val="00595016"/>
    <w:rsid w:val="00597AAE"/>
    <w:rsid w:val="005A222C"/>
    <w:rsid w:val="005A4DF8"/>
    <w:rsid w:val="005A78C8"/>
    <w:rsid w:val="005B1426"/>
    <w:rsid w:val="005B70FD"/>
    <w:rsid w:val="005C0A8E"/>
    <w:rsid w:val="005C1767"/>
    <w:rsid w:val="005C185C"/>
    <w:rsid w:val="005C42EF"/>
    <w:rsid w:val="005C7EAA"/>
    <w:rsid w:val="005D3DA6"/>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1688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2CE5"/>
    <w:rsid w:val="006A5695"/>
    <w:rsid w:val="006B0439"/>
    <w:rsid w:val="006B3904"/>
    <w:rsid w:val="006B516E"/>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5D10"/>
    <w:rsid w:val="007171BA"/>
    <w:rsid w:val="00717616"/>
    <w:rsid w:val="007325D9"/>
    <w:rsid w:val="00732D8B"/>
    <w:rsid w:val="0073583B"/>
    <w:rsid w:val="007360CA"/>
    <w:rsid w:val="0074667B"/>
    <w:rsid w:val="007470BD"/>
    <w:rsid w:val="00760EC0"/>
    <w:rsid w:val="007711BD"/>
    <w:rsid w:val="00777528"/>
    <w:rsid w:val="0078003A"/>
    <w:rsid w:val="00780771"/>
    <w:rsid w:val="00791A3E"/>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04A7"/>
    <w:rsid w:val="007E0B93"/>
    <w:rsid w:val="007E13D9"/>
    <w:rsid w:val="007E2AEC"/>
    <w:rsid w:val="007E41BE"/>
    <w:rsid w:val="007E4DB6"/>
    <w:rsid w:val="007E6733"/>
    <w:rsid w:val="007E7CD4"/>
    <w:rsid w:val="007F0DFE"/>
    <w:rsid w:val="007F12AC"/>
    <w:rsid w:val="007F4501"/>
    <w:rsid w:val="007F60DF"/>
    <w:rsid w:val="00801800"/>
    <w:rsid w:val="00801861"/>
    <w:rsid w:val="00801B5B"/>
    <w:rsid w:val="008216E7"/>
    <w:rsid w:val="00825BE6"/>
    <w:rsid w:val="008276B4"/>
    <w:rsid w:val="00831927"/>
    <w:rsid w:val="00834B68"/>
    <w:rsid w:val="00837288"/>
    <w:rsid w:val="00841313"/>
    <w:rsid w:val="00841BD3"/>
    <w:rsid w:val="0084273D"/>
    <w:rsid w:val="00843060"/>
    <w:rsid w:val="00844E3F"/>
    <w:rsid w:val="00845A83"/>
    <w:rsid w:val="00846BB9"/>
    <w:rsid w:val="00851E06"/>
    <w:rsid w:val="0086434F"/>
    <w:rsid w:val="008649D5"/>
    <w:rsid w:val="008712BB"/>
    <w:rsid w:val="008830E7"/>
    <w:rsid w:val="008845CB"/>
    <w:rsid w:val="00890EDE"/>
    <w:rsid w:val="00892B38"/>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2513"/>
    <w:rsid w:val="009C59FB"/>
    <w:rsid w:val="009C6F3B"/>
    <w:rsid w:val="009D1467"/>
    <w:rsid w:val="009D328D"/>
    <w:rsid w:val="009E4FA6"/>
    <w:rsid w:val="009E6F04"/>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B41C1"/>
    <w:rsid w:val="00AB4CF2"/>
    <w:rsid w:val="00AB6CCA"/>
    <w:rsid w:val="00AC223F"/>
    <w:rsid w:val="00AC33B1"/>
    <w:rsid w:val="00AD12A8"/>
    <w:rsid w:val="00AD184C"/>
    <w:rsid w:val="00AE023F"/>
    <w:rsid w:val="00AF3577"/>
    <w:rsid w:val="00AF35F9"/>
    <w:rsid w:val="00AF4B01"/>
    <w:rsid w:val="00B0424C"/>
    <w:rsid w:val="00B05C7D"/>
    <w:rsid w:val="00B15D57"/>
    <w:rsid w:val="00B16347"/>
    <w:rsid w:val="00B17D6E"/>
    <w:rsid w:val="00B2435E"/>
    <w:rsid w:val="00B346C3"/>
    <w:rsid w:val="00B4005C"/>
    <w:rsid w:val="00B40253"/>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C40F6"/>
    <w:rsid w:val="00BE183D"/>
    <w:rsid w:val="00BE1936"/>
    <w:rsid w:val="00BF51F1"/>
    <w:rsid w:val="00BF599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3747"/>
    <w:rsid w:val="00C66E57"/>
    <w:rsid w:val="00C74150"/>
    <w:rsid w:val="00C75594"/>
    <w:rsid w:val="00C85982"/>
    <w:rsid w:val="00CA0466"/>
    <w:rsid w:val="00CA246D"/>
    <w:rsid w:val="00CA50D9"/>
    <w:rsid w:val="00CA59FE"/>
    <w:rsid w:val="00CB19B5"/>
    <w:rsid w:val="00CB3054"/>
    <w:rsid w:val="00CB5636"/>
    <w:rsid w:val="00CC3EE5"/>
    <w:rsid w:val="00CD4D8D"/>
    <w:rsid w:val="00CD7D9E"/>
    <w:rsid w:val="00CE425C"/>
    <w:rsid w:val="00CE58AC"/>
    <w:rsid w:val="00CF5A80"/>
    <w:rsid w:val="00D045EE"/>
    <w:rsid w:val="00D05091"/>
    <w:rsid w:val="00D10CA6"/>
    <w:rsid w:val="00D10F21"/>
    <w:rsid w:val="00D134CF"/>
    <w:rsid w:val="00D13E34"/>
    <w:rsid w:val="00D1573B"/>
    <w:rsid w:val="00D16013"/>
    <w:rsid w:val="00D24806"/>
    <w:rsid w:val="00D34040"/>
    <w:rsid w:val="00D34E69"/>
    <w:rsid w:val="00D36C78"/>
    <w:rsid w:val="00D375EE"/>
    <w:rsid w:val="00D436C8"/>
    <w:rsid w:val="00D55AE8"/>
    <w:rsid w:val="00D56056"/>
    <w:rsid w:val="00D56A61"/>
    <w:rsid w:val="00D6085F"/>
    <w:rsid w:val="00D62699"/>
    <w:rsid w:val="00D778E9"/>
    <w:rsid w:val="00D80A3A"/>
    <w:rsid w:val="00D812BF"/>
    <w:rsid w:val="00D82620"/>
    <w:rsid w:val="00D85707"/>
    <w:rsid w:val="00D9725F"/>
    <w:rsid w:val="00DA01B1"/>
    <w:rsid w:val="00DA11A2"/>
    <w:rsid w:val="00DA14ED"/>
    <w:rsid w:val="00DA26D6"/>
    <w:rsid w:val="00DB2EF1"/>
    <w:rsid w:val="00DB3DE1"/>
    <w:rsid w:val="00DB5DA0"/>
    <w:rsid w:val="00DB716C"/>
    <w:rsid w:val="00DC594E"/>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274C0"/>
    <w:rsid w:val="00E326A8"/>
    <w:rsid w:val="00E47428"/>
    <w:rsid w:val="00E56C8E"/>
    <w:rsid w:val="00E5716B"/>
    <w:rsid w:val="00E57F1F"/>
    <w:rsid w:val="00E66B9F"/>
    <w:rsid w:val="00E70A07"/>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1DDC"/>
    <w:rsid w:val="00EB2417"/>
    <w:rsid w:val="00EB2CCB"/>
    <w:rsid w:val="00EB7A25"/>
    <w:rsid w:val="00EC0F3E"/>
    <w:rsid w:val="00EC57A7"/>
    <w:rsid w:val="00ED0817"/>
    <w:rsid w:val="00ED7DD9"/>
    <w:rsid w:val="00EE445B"/>
    <w:rsid w:val="00EE5592"/>
    <w:rsid w:val="00EF3113"/>
    <w:rsid w:val="00EF3F84"/>
    <w:rsid w:val="00EF57AC"/>
    <w:rsid w:val="00F176AC"/>
    <w:rsid w:val="00F26F28"/>
    <w:rsid w:val="00F27714"/>
    <w:rsid w:val="00F3276E"/>
    <w:rsid w:val="00F33D3C"/>
    <w:rsid w:val="00F36709"/>
    <w:rsid w:val="00F37A91"/>
    <w:rsid w:val="00F408A0"/>
    <w:rsid w:val="00F45CF5"/>
    <w:rsid w:val="00F47DB0"/>
    <w:rsid w:val="00F50C3F"/>
    <w:rsid w:val="00F50E34"/>
    <w:rsid w:val="00F53EF7"/>
    <w:rsid w:val="00F54BF2"/>
    <w:rsid w:val="00F72D5E"/>
    <w:rsid w:val="00F775AC"/>
    <w:rsid w:val="00F92355"/>
    <w:rsid w:val="00F93963"/>
    <w:rsid w:val="00F93C6E"/>
    <w:rsid w:val="00F94291"/>
    <w:rsid w:val="00FA298A"/>
    <w:rsid w:val="00FA5B66"/>
    <w:rsid w:val="00FB30EB"/>
    <w:rsid w:val="00FB7982"/>
    <w:rsid w:val="00FC0734"/>
    <w:rsid w:val="00FC0FC5"/>
    <w:rsid w:val="00FC588F"/>
    <w:rsid w:val="00FC6879"/>
    <w:rsid w:val="00FD6A7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7196F7"/>
  <w15:docId w15:val="{E1B1EEB7-12D5-4AAC-BEB8-9197C6A6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34"/>
    <w:qFormat/>
    <w:rsid w:val="007E04A7"/>
    <w:pPr>
      <w:spacing w:after="160" w:line="259" w:lineRule="auto"/>
      <w:ind w:left="720"/>
      <w:contextualSpacing/>
      <w:jc w:val="left"/>
    </w:pPr>
    <w:rPr>
      <w:rFonts w:eastAsiaTheme="minorHAnsi" w:cstheme="minorBidi"/>
      <w:szCs w:val="22"/>
    </w:rPr>
  </w:style>
  <w:style w:type="paragraph" w:customStyle="1" w:styleId="subsection">
    <w:name w:val="subsection"/>
    <w:basedOn w:val="Normal"/>
    <w:rsid w:val="007E04A7"/>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7E04A7"/>
    <w:pPr>
      <w:spacing w:before="100" w:beforeAutospacing="1" w:after="100" w:afterAutospacing="1" w:line="240" w:lineRule="auto"/>
      <w:jc w:val="left"/>
    </w:pPr>
    <w:rPr>
      <w:rFonts w:eastAsia="Times New Roman"/>
      <w:szCs w:val="24"/>
      <w:lang w:eastAsia="en-AU"/>
    </w:rPr>
  </w:style>
  <w:style w:type="paragraph" w:customStyle="1" w:styleId="acthead5">
    <w:name w:val="acthead5"/>
    <w:basedOn w:val="Normal"/>
    <w:rsid w:val="007E04A7"/>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7E04A7"/>
  </w:style>
  <w:style w:type="paragraph" w:customStyle="1" w:styleId="paragraphsub">
    <w:name w:val="paragraphsub"/>
    <w:basedOn w:val="Normal"/>
    <w:rsid w:val="007E04A7"/>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7E04A7"/>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4F2ECA7818467997E3237851797D11"/>
        <w:category>
          <w:name w:val="General"/>
          <w:gallery w:val="placeholder"/>
        </w:category>
        <w:types>
          <w:type w:val="bbPlcHdr"/>
        </w:types>
        <w:behaviors>
          <w:behavior w:val="content"/>
        </w:behaviors>
        <w:guid w:val="{9A3828EC-A964-4D1A-BC98-ABD69D45AB00}"/>
      </w:docPartPr>
      <w:docPartBody>
        <w:p w:rsidR="00C22C7A" w:rsidRDefault="00C22C7A">
          <w:pPr>
            <w:pStyle w:val="2E4F2ECA7818467997E3237851797D11"/>
          </w:pPr>
          <w:r>
            <w:rPr>
              <w:rStyle w:val="PlaceholderText"/>
            </w:rPr>
            <w:t>MNC Text</w:t>
          </w:r>
        </w:p>
      </w:docPartBody>
    </w:docPart>
    <w:docPart>
      <w:docPartPr>
        <w:name w:val="161D52A1E00E459AB52D6A9F0FC784D3"/>
        <w:category>
          <w:name w:val="General"/>
          <w:gallery w:val="placeholder"/>
        </w:category>
        <w:types>
          <w:type w:val="bbPlcHdr"/>
        </w:types>
        <w:behaviors>
          <w:behavior w:val="content"/>
        </w:behaviors>
        <w:guid w:val="{6A9D3260-B021-47AC-9F34-618C2FD072E4}"/>
      </w:docPartPr>
      <w:docPartBody>
        <w:p w:rsidR="00C22C7A" w:rsidRDefault="00C22C7A">
          <w:pPr>
            <w:pStyle w:val="161D52A1E00E459AB52D6A9F0FC784D3"/>
          </w:pPr>
          <w:r w:rsidRPr="005C44BE">
            <w:rPr>
              <w:rStyle w:val="PlaceholderText"/>
            </w:rPr>
            <w:t>Click or tap here to enter text.</w:t>
          </w:r>
        </w:p>
      </w:docPartBody>
    </w:docPart>
    <w:docPart>
      <w:docPartPr>
        <w:name w:val="89113D9EB1CD477CBBB14C80A5D6735D"/>
        <w:category>
          <w:name w:val="General"/>
          <w:gallery w:val="placeholder"/>
        </w:category>
        <w:types>
          <w:type w:val="bbPlcHdr"/>
        </w:types>
        <w:behaviors>
          <w:behavior w:val="content"/>
        </w:behaviors>
        <w:guid w:val="{3B7CA58F-10B6-4E6D-A8A9-A409B5E6A35E}"/>
      </w:docPartPr>
      <w:docPartBody>
        <w:p w:rsidR="00C22C7A" w:rsidRDefault="00C22C7A">
          <w:pPr>
            <w:pStyle w:val="89113D9EB1CD477CBBB14C80A5D6735D"/>
          </w:pPr>
          <w:r w:rsidRPr="005C44BE">
            <w:rPr>
              <w:rStyle w:val="PlaceholderText"/>
            </w:rPr>
            <w:t>Click or tap here to enter text.</w:t>
          </w:r>
        </w:p>
      </w:docPartBody>
    </w:docPart>
    <w:docPart>
      <w:docPartPr>
        <w:name w:val="0A1E37E1C2874CFBABF5501FA83012DE"/>
        <w:category>
          <w:name w:val="General"/>
          <w:gallery w:val="placeholder"/>
        </w:category>
        <w:types>
          <w:type w:val="bbPlcHdr"/>
        </w:types>
        <w:behaviors>
          <w:behavior w:val="content"/>
        </w:behaviors>
        <w:guid w:val="{FDE35918-259A-4C1B-8FED-2D536BDA15D3}"/>
      </w:docPartPr>
      <w:docPartBody>
        <w:p w:rsidR="00C22C7A" w:rsidRDefault="00C22C7A">
          <w:pPr>
            <w:pStyle w:val="0A1E37E1C2874CFBABF5501FA83012DE"/>
          </w:pPr>
          <w:r w:rsidRPr="005C44BE">
            <w:rPr>
              <w:rStyle w:val="PlaceholderText"/>
            </w:rPr>
            <w:t>Click or tap here to enter text.</w:t>
          </w:r>
        </w:p>
      </w:docPartBody>
    </w:docPart>
    <w:docPart>
      <w:docPartPr>
        <w:name w:val="569A1DA60DB84630A68EFDD3C4BD1100"/>
        <w:category>
          <w:name w:val="General"/>
          <w:gallery w:val="placeholder"/>
        </w:category>
        <w:types>
          <w:type w:val="bbPlcHdr"/>
        </w:types>
        <w:behaviors>
          <w:behavior w:val="content"/>
        </w:behaviors>
        <w:guid w:val="{907BB67F-DCB9-4377-AD60-BBF6727CF094}"/>
      </w:docPartPr>
      <w:docPartBody>
        <w:p w:rsidR="00C22C7A" w:rsidRDefault="00C22C7A">
          <w:pPr>
            <w:pStyle w:val="569A1DA60DB84630A68EFDD3C4BD110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7A"/>
    <w:rsid w:val="00C1508B"/>
    <w:rsid w:val="00C22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4F2ECA7818467997E3237851797D11">
    <w:name w:val="2E4F2ECA7818467997E3237851797D11"/>
  </w:style>
  <w:style w:type="paragraph" w:customStyle="1" w:styleId="161D52A1E00E459AB52D6A9F0FC784D3">
    <w:name w:val="161D52A1E00E459AB52D6A9F0FC784D3"/>
  </w:style>
  <w:style w:type="paragraph" w:customStyle="1" w:styleId="89113D9EB1CD477CBBB14C80A5D6735D">
    <w:name w:val="89113D9EB1CD477CBBB14C80A5D6735D"/>
  </w:style>
  <w:style w:type="paragraph" w:customStyle="1" w:styleId="0A1E37E1C2874CFBABF5501FA83012DE">
    <w:name w:val="0A1E37E1C2874CFBABF5501FA83012DE"/>
  </w:style>
  <w:style w:type="paragraph" w:customStyle="1" w:styleId="569A1DA60DB84630A68EFDD3C4BD1100">
    <w:name w:val="569A1DA60DB84630A68EFDD3C4BD1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Aravanis (Trustee) v Twin Investors Pty Ltd, in the matter of the Bankrupt Estate of Kapp (Admissibility Ruling) [2021] FCA 899</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88ED10A-3774-4F8C-8F46-8FF41A39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8</Pages>
  <Words>2313</Words>
  <Characters>11525</Characters>
  <Application>Microsoft Office Word</Application>
  <DocSecurity>0</DocSecurity>
  <Lines>311</Lines>
  <Paragraphs>133</Paragraphs>
  <ScaleCrop>false</ScaleCrop>
  <HeadingPairs>
    <vt:vector size="2" baseType="variant">
      <vt:variant>
        <vt:lpstr>Title</vt:lpstr>
      </vt:variant>
      <vt:variant>
        <vt:i4>1</vt:i4>
      </vt:variant>
    </vt:vector>
  </HeadingPairs>
  <TitlesOfParts>
    <vt:vector size="1" baseType="lpstr">
      <vt:lpstr>Aravanis (Trustee) v Twin Investors Pty Ltd, in the matter of the Bankrupt Estate of Kapp (Admissibility Ruling) [2021] FCA 899 </vt:lpstr>
    </vt:vector>
  </TitlesOfParts>
  <Company>Federal Court of Australia</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Aravanis (Trustee) v Twin Investors Pty Ltd, in the matter of the Bankrupt Estate of Kapp (Admissibility Ruling) [2021] FCA 899</dc:title>
  <dc:creator>Federal Court of Australia</dc:creator>
  <cp:lastModifiedBy>Federal Court of Australia</cp:lastModifiedBy>
  <cp:revision>4</cp:revision>
  <cp:lastPrinted>2006-02-06T01:31:00Z</cp:lastPrinted>
  <dcterms:created xsi:type="dcterms:W3CDTF">2021-08-03T02:02:00Z</dcterms:created>
  <dcterms:modified xsi:type="dcterms:W3CDTF">2021-08-03T02:03:00Z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