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9784" w14:textId="77777777" w:rsidR="00395B24" w:rsidRDefault="00B575B1" w:rsidP="00A22932">
      <w:pPr>
        <w:pStyle w:val="CourtTitle"/>
      </w:pPr>
      <w:r>
        <w:fldChar w:fldCharType="begin"/>
      </w:r>
      <w:r>
        <w:instrText xml:space="preserve"> DOCPROPERTY  Court  \* MERGEFORMAT </w:instrText>
      </w:r>
      <w:r>
        <w:fldChar w:fldCharType="separate"/>
      </w:r>
      <w:r w:rsidR="00D96FE4">
        <w:t>Federal Court of Australia</w:t>
      </w:r>
      <w:r>
        <w:fldChar w:fldCharType="end"/>
      </w:r>
    </w:p>
    <w:p w14:paraId="1FCD6112" w14:textId="77777777" w:rsidR="00395B24" w:rsidRDefault="00395B24">
      <w:pPr>
        <w:pStyle w:val="NormalHeadings"/>
        <w:jc w:val="center"/>
        <w:rPr>
          <w:sz w:val="32"/>
        </w:rPr>
      </w:pPr>
    </w:p>
    <w:bookmarkStart w:id="0" w:name="MNC"/>
    <w:p w14:paraId="2511B945" w14:textId="518E2826" w:rsidR="00374CC4" w:rsidRDefault="00B575B1" w:rsidP="001A2B40">
      <w:pPr>
        <w:pStyle w:val="MNC"/>
      </w:pPr>
      <w:sdt>
        <w:sdtPr>
          <w:alias w:val="MNC"/>
          <w:tag w:val="MNC"/>
          <w:id w:val="343289786"/>
          <w:lock w:val="sdtLocked"/>
          <w:placeholder>
            <w:docPart w:val="529BEB0DE1474712B238A28BD8760683"/>
          </w:placeholder>
          <w:dataBinding w:prefixMappings="xmlns:ns0='http://schemas.globalmacros.com/FCA'" w:xpath="/ns0:root[1]/ns0:Name[1]" w:storeItemID="{687E7CCB-4AA5-44E7-B148-17BA2B6F57C0}"/>
          <w:text w:multiLine="1"/>
        </w:sdtPr>
        <w:sdtEndPr/>
        <w:sdtContent>
          <w:r w:rsidR="00D96FE4">
            <w:t xml:space="preserve">SZQKE v Minister for Immigration </w:t>
          </w:r>
          <w:r w:rsidR="003A478D">
            <w:t>and</w:t>
          </w:r>
          <w:r w:rsidR="00640FD2">
            <w:t xml:space="preserve"> </w:t>
          </w:r>
          <w:r w:rsidR="001F1A31">
            <w:t>Border Protection [2021] FCA 833</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36B596E7" w14:textId="77777777" w:rsidTr="00392F07">
        <w:tc>
          <w:tcPr>
            <w:tcW w:w="3084" w:type="dxa"/>
            <w:shd w:val="clear" w:color="auto" w:fill="auto"/>
          </w:tcPr>
          <w:p w14:paraId="33FD5BB7"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19B4588B" w14:textId="77777777" w:rsidR="00395B24" w:rsidRDefault="00FA699E" w:rsidP="002539B3">
            <w:pPr>
              <w:pStyle w:val="CasesLegislationAppealFrom"/>
              <w:spacing w:after="60"/>
            </w:pPr>
            <w:fldSimple w:instr=" DOCPROPERTY  AppealFrom  \* MERGEFORMAT ">
              <w:r w:rsidR="00D96FE4" w:rsidRPr="007D5BB2">
                <w:rPr>
                  <w:i/>
                </w:rPr>
                <w:t>SZQKE v Minister for Immigration and Anor</w:t>
              </w:r>
              <w:r w:rsidR="00D96FE4">
                <w:t xml:space="preserve"> [2020] FCCA 278</w:t>
              </w:r>
            </w:fldSimple>
          </w:p>
        </w:tc>
      </w:tr>
      <w:tr w:rsidR="00395B24" w14:paraId="4B262196" w14:textId="77777777" w:rsidTr="00392F07">
        <w:tc>
          <w:tcPr>
            <w:tcW w:w="3084" w:type="dxa"/>
            <w:shd w:val="clear" w:color="auto" w:fill="auto"/>
          </w:tcPr>
          <w:p w14:paraId="6F6ADD8D" w14:textId="77777777" w:rsidR="00395B24" w:rsidRDefault="00395B24" w:rsidP="00663878">
            <w:pPr>
              <w:pStyle w:val="Normal1linespace"/>
              <w:widowControl w:val="0"/>
              <w:jc w:val="left"/>
            </w:pPr>
          </w:p>
        </w:tc>
        <w:tc>
          <w:tcPr>
            <w:tcW w:w="5989" w:type="dxa"/>
            <w:shd w:val="clear" w:color="auto" w:fill="auto"/>
          </w:tcPr>
          <w:p w14:paraId="71C26EEB" w14:textId="77777777" w:rsidR="00395B24" w:rsidRDefault="00395B24" w:rsidP="00663878">
            <w:pPr>
              <w:pStyle w:val="Normal1linespace"/>
              <w:widowControl w:val="0"/>
              <w:jc w:val="left"/>
            </w:pPr>
          </w:p>
        </w:tc>
      </w:tr>
      <w:bookmarkEnd w:id="1"/>
      <w:tr w:rsidR="00395B24" w14:paraId="744440EB" w14:textId="77777777" w:rsidTr="00392F07">
        <w:tc>
          <w:tcPr>
            <w:tcW w:w="3084" w:type="dxa"/>
            <w:shd w:val="clear" w:color="auto" w:fill="auto"/>
          </w:tcPr>
          <w:p w14:paraId="10E346D8" w14:textId="77777777" w:rsidR="00395B24" w:rsidRDefault="002C7385" w:rsidP="00663878">
            <w:pPr>
              <w:pStyle w:val="Normal1linespace"/>
              <w:widowControl w:val="0"/>
              <w:jc w:val="left"/>
            </w:pPr>
            <w:r>
              <w:t>File number(s):</w:t>
            </w:r>
          </w:p>
        </w:tc>
        <w:tc>
          <w:tcPr>
            <w:tcW w:w="5989" w:type="dxa"/>
            <w:shd w:val="clear" w:color="auto" w:fill="auto"/>
          </w:tcPr>
          <w:p w14:paraId="7A218DA7" w14:textId="77777777" w:rsidR="00395B24" w:rsidRPr="00D96FE4" w:rsidRDefault="00FA699E" w:rsidP="00D96FE4">
            <w:pPr>
              <w:pStyle w:val="Normal1linespace"/>
              <w:jc w:val="left"/>
            </w:pPr>
            <w:fldSimple w:instr=" REF  FileNo  \* MERGEFORMAT " w:fldLock="1">
              <w:r w:rsidR="00D96FE4" w:rsidRPr="00D96FE4">
                <w:t>NSD 265 of 2020</w:t>
              </w:r>
            </w:fldSimple>
          </w:p>
        </w:tc>
      </w:tr>
      <w:tr w:rsidR="00395B24" w14:paraId="22AB5FA2" w14:textId="77777777" w:rsidTr="00392F07">
        <w:tc>
          <w:tcPr>
            <w:tcW w:w="3084" w:type="dxa"/>
            <w:shd w:val="clear" w:color="auto" w:fill="auto"/>
          </w:tcPr>
          <w:p w14:paraId="797B5DF2" w14:textId="77777777" w:rsidR="00395B24" w:rsidRDefault="00395B24" w:rsidP="00663878">
            <w:pPr>
              <w:pStyle w:val="Normal1linespace"/>
              <w:widowControl w:val="0"/>
              <w:jc w:val="left"/>
            </w:pPr>
          </w:p>
        </w:tc>
        <w:tc>
          <w:tcPr>
            <w:tcW w:w="5989" w:type="dxa"/>
            <w:shd w:val="clear" w:color="auto" w:fill="auto"/>
          </w:tcPr>
          <w:p w14:paraId="0CD00062" w14:textId="77777777" w:rsidR="00395B24" w:rsidRDefault="00395B24" w:rsidP="00663878">
            <w:pPr>
              <w:pStyle w:val="Normal1linespace"/>
              <w:widowControl w:val="0"/>
              <w:jc w:val="left"/>
            </w:pPr>
          </w:p>
        </w:tc>
      </w:tr>
      <w:tr w:rsidR="00395B24" w14:paraId="6AB361A9" w14:textId="77777777" w:rsidTr="00392F07">
        <w:tc>
          <w:tcPr>
            <w:tcW w:w="3084" w:type="dxa"/>
            <w:shd w:val="clear" w:color="auto" w:fill="auto"/>
          </w:tcPr>
          <w:p w14:paraId="23808DE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5D0149C" w14:textId="77777777" w:rsidR="00395B24" w:rsidRDefault="002C7385" w:rsidP="00663878">
            <w:pPr>
              <w:pStyle w:val="Normal1linespace"/>
              <w:widowControl w:val="0"/>
              <w:jc w:val="left"/>
              <w:rPr>
                <w:b/>
              </w:rPr>
            </w:pPr>
            <w:r w:rsidRPr="00D96FE4">
              <w:rPr>
                <w:b/>
              </w:rPr>
              <w:fldChar w:fldCharType="begin" w:fldLock="1"/>
            </w:r>
            <w:r w:rsidRPr="00D96FE4">
              <w:rPr>
                <w:b/>
              </w:rPr>
              <w:instrText xml:space="preserve"> REF  Judge  \* MERGEFORMAT </w:instrText>
            </w:r>
            <w:r w:rsidRPr="00D96FE4">
              <w:rPr>
                <w:b/>
              </w:rPr>
              <w:fldChar w:fldCharType="separate"/>
            </w:r>
            <w:r w:rsidR="00D96FE4" w:rsidRPr="00D96FE4">
              <w:rPr>
                <w:b/>
                <w:caps/>
                <w:szCs w:val="24"/>
              </w:rPr>
              <w:t>DAVIES J</w:t>
            </w:r>
            <w:r w:rsidRPr="00D96FE4">
              <w:rPr>
                <w:b/>
              </w:rPr>
              <w:fldChar w:fldCharType="end"/>
            </w:r>
          </w:p>
        </w:tc>
      </w:tr>
      <w:tr w:rsidR="00395B24" w14:paraId="1AB96E19" w14:textId="77777777" w:rsidTr="00392F07">
        <w:tc>
          <w:tcPr>
            <w:tcW w:w="3084" w:type="dxa"/>
            <w:shd w:val="clear" w:color="auto" w:fill="auto"/>
          </w:tcPr>
          <w:p w14:paraId="7EB68B0C" w14:textId="77777777" w:rsidR="00395B24" w:rsidRDefault="00395B24" w:rsidP="00663878">
            <w:pPr>
              <w:pStyle w:val="Normal1linespace"/>
              <w:widowControl w:val="0"/>
              <w:jc w:val="left"/>
            </w:pPr>
          </w:p>
        </w:tc>
        <w:tc>
          <w:tcPr>
            <w:tcW w:w="5989" w:type="dxa"/>
            <w:shd w:val="clear" w:color="auto" w:fill="auto"/>
          </w:tcPr>
          <w:p w14:paraId="3C0158D3" w14:textId="77777777" w:rsidR="00395B24" w:rsidRDefault="00395B24" w:rsidP="00663878">
            <w:pPr>
              <w:pStyle w:val="Normal1linespace"/>
              <w:widowControl w:val="0"/>
              <w:jc w:val="left"/>
            </w:pPr>
          </w:p>
        </w:tc>
      </w:tr>
      <w:tr w:rsidR="00395B24" w14:paraId="71FED792" w14:textId="77777777" w:rsidTr="00392F07">
        <w:tc>
          <w:tcPr>
            <w:tcW w:w="3084" w:type="dxa"/>
            <w:shd w:val="clear" w:color="auto" w:fill="auto"/>
          </w:tcPr>
          <w:p w14:paraId="56C16795" w14:textId="77777777" w:rsidR="00395B24" w:rsidRDefault="002C7385" w:rsidP="00663878">
            <w:pPr>
              <w:pStyle w:val="Normal1linespace"/>
              <w:widowControl w:val="0"/>
              <w:jc w:val="left"/>
            </w:pPr>
            <w:r>
              <w:t>Date of judgment:</w:t>
            </w:r>
          </w:p>
        </w:tc>
        <w:tc>
          <w:tcPr>
            <w:tcW w:w="5989" w:type="dxa"/>
            <w:shd w:val="clear" w:color="auto" w:fill="auto"/>
          </w:tcPr>
          <w:p w14:paraId="54AFA94D" w14:textId="6D095F1F" w:rsidR="00395B24" w:rsidRDefault="00166E33" w:rsidP="00663878">
            <w:pPr>
              <w:pStyle w:val="Normal1linespace"/>
              <w:widowControl w:val="0"/>
              <w:jc w:val="left"/>
            </w:pPr>
            <w:r>
              <w:t>26 July 2021</w:t>
            </w:r>
          </w:p>
        </w:tc>
      </w:tr>
      <w:tr w:rsidR="00395B24" w14:paraId="6A363F7A" w14:textId="77777777" w:rsidTr="00392F07">
        <w:tc>
          <w:tcPr>
            <w:tcW w:w="3084" w:type="dxa"/>
            <w:shd w:val="clear" w:color="auto" w:fill="auto"/>
          </w:tcPr>
          <w:p w14:paraId="58A0EBC2" w14:textId="77777777" w:rsidR="00395B24" w:rsidRDefault="00395B24" w:rsidP="00663878">
            <w:pPr>
              <w:pStyle w:val="Normal1linespace"/>
              <w:widowControl w:val="0"/>
              <w:jc w:val="left"/>
            </w:pPr>
          </w:p>
        </w:tc>
        <w:tc>
          <w:tcPr>
            <w:tcW w:w="5989" w:type="dxa"/>
            <w:shd w:val="clear" w:color="auto" w:fill="auto"/>
          </w:tcPr>
          <w:p w14:paraId="308144B9" w14:textId="77777777" w:rsidR="00395B24" w:rsidRDefault="00395B24" w:rsidP="00663878">
            <w:pPr>
              <w:pStyle w:val="Normal1linespace"/>
              <w:widowControl w:val="0"/>
              <w:jc w:val="left"/>
            </w:pPr>
          </w:p>
        </w:tc>
      </w:tr>
      <w:tr w:rsidR="00395B24" w14:paraId="25217C29" w14:textId="77777777" w:rsidTr="00392F07">
        <w:tc>
          <w:tcPr>
            <w:tcW w:w="3084" w:type="dxa"/>
            <w:shd w:val="clear" w:color="auto" w:fill="auto"/>
          </w:tcPr>
          <w:p w14:paraId="3E2E1618" w14:textId="77777777" w:rsidR="00395B24" w:rsidRDefault="002C7385" w:rsidP="00663878">
            <w:pPr>
              <w:pStyle w:val="Normal1linespace"/>
              <w:widowControl w:val="0"/>
              <w:jc w:val="left"/>
            </w:pPr>
            <w:r>
              <w:t>Catchwords:</w:t>
            </w:r>
          </w:p>
        </w:tc>
        <w:tc>
          <w:tcPr>
            <w:tcW w:w="5989" w:type="dxa"/>
            <w:shd w:val="clear" w:color="auto" w:fill="auto"/>
          </w:tcPr>
          <w:p w14:paraId="7080521E" w14:textId="17BBE2AA" w:rsidR="006C438F" w:rsidRPr="007F12E3" w:rsidRDefault="006C438F" w:rsidP="006C438F">
            <w:pPr>
              <w:pStyle w:val="Normal1linespace"/>
              <w:widowControl w:val="0"/>
            </w:pPr>
            <w:bookmarkStart w:id="2" w:name="Catchwords"/>
            <w:r w:rsidRPr="007F12E3">
              <w:rPr>
                <w:b/>
              </w:rPr>
              <w:t>MIGRATION</w:t>
            </w:r>
            <w:r w:rsidRPr="007F12E3">
              <w:t xml:space="preserve"> – Independent Treaties Obligations Assessment (</w:t>
            </w:r>
            <w:r w:rsidRPr="007F12E3">
              <w:rPr>
                <w:b/>
              </w:rPr>
              <w:t>ITOA</w:t>
            </w:r>
            <w:r w:rsidRPr="007F12E3">
              <w:t xml:space="preserve">) – duty to </w:t>
            </w:r>
            <w:r w:rsidRPr="0049190B">
              <w:t>put a</w:t>
            </w:r>
            <w:r w:rsidR="0049190B" w:rsidRPr="0049190B">
              <w:t>ppellant</w:t>
            </w:r>
            <w:r w:rsidRPr="0049190B">
              <w:t xml:space="preserve"> on</w:t>
            </w:r>
            <w:r w:rsidRPr="007F12E3">
              <w:t xml:space="preserve"> notice of information and sources of information – whether there was a denial of procedural fairness in failing to put country information to the appellant for comment during an ITOA interview – appeal dismissed</w:t>
            </w:r>
          </w:p>
          <w:p w14:paraId="05DB2A16" w14:textId="77777777" w:rsidR="006C438F" w:rsidRPr="007F12E3" w:rsidRDefault="006C438F" w:rsidP="006C438F">
            <w:pPr>
              <w:pStyle w:val="Normal1linespace"/>
              <w:widowControl w:val="0"/>
            </w:pPr>
          </w:p>
          <w:p w14:paraId="0EE5E8D2" w14:textId="3D7A9F23" w:rsidR="00395B24" w:rsidRDefault="006C438F" w:rsidP="001944C9">
            <w:pPr>
              <w:pStyle w:val="Normal1linespace"/>
              <w:widowControl w:val="0"/>
            </w:pPr>
            <w:r w:rsidRPr="007F12E3">
              <w:rPr>
                <w:b/>
              </w:rPr>
              <w:t>PRACTICE AND PROCEDURE</w:t>
            </w:r>
            <w:r w:rsidRPr="007F12E3">
              <w:t xml:space="preserve"> – application for leave to adduce fresh evidence on appeal – new evidence that constitutes a departure from the case below where appellant was represented – new arguments not raised below – change of position left unexplained – consideration of the question of materiality in an application for judicial review – appellant failed to show how fresh evidence would have produced a different result at first instance – application refused</w:t>
            </w:r>
            <w:r w:rsidR="00715751">
              <w:t xml:space="preserve"> </w:t>
            </w:r>
            <w:bookmarkEnd w:id="2"/>
          </w:p>
        </w:tc>
      </w:tr>
      <w:tr w:rsidR="00395B24" w14:paraId="3E34B523" w14:textId="77777777" w:rsidTr="00392F07">
        <w:tc>
          <w:tcPr>
            <w:tcW w:w="3084" w:type="dxa"/>
            <w:shd w:val="clear" w:color="auto" w:fill="auto"/>
          </w:tcPr>
          <w:p w14:paraId="10A4E965" w14:textId="77777777" w:rsidR="00395B24" w:rsidRDefault="00395B24" w:rsidP="00663878">
            <w:pPr>
              <w:pStyle w:val="Normal1linespace"/>
              <w:widowControl w:val="0"/>
              <w:jc w:val="left"/>
            </w:pPr>
          </w:p>
        </w:tc>
        <w:tc>
          <w:tcPr>
            <w:tcW w:w="5989" w:type="dxa"/>
            <w:shd w:val="clear" w:color="auto" w:fill="auto"/>
          </w:tcPr>
          <w:p w14:paraId="219A7985" w14:textId="77777777" w:rsidR="00395B24" w:rsidRDefault="00395B24" w:rsidP="00663878">
            <w:pPr>
              <w:pStyle w:val="Normal1linespace"/>
              <w:widowControl w:val="0"/>
              <w:jc w:val="left"/>
            </w:pPr>
          </w:p>
        </w:tc>
      </w:tr>
      <w:tr w:rsidR="00395B24" w14:paraId="280EA7B0" w14:textId="77777777" w:rsidTr="00392F07">
        <w:tc>
          <w:tcPr>
            <w:tcW w:w="3084" w:type="dxa"/>
            <w:shd w:val="clear" w:color="auto" w:fill="auto"/>
          </w:tcPr>
          <w:p w14:paraId="0715E70B" w14:textId="77777777" w:rsidR="00395B24" w:rsidRDefault="002C7385" w:rsidP="00663878">
            <w:pPr>
              <w:pStyle w:val="Normal1linespace"/>
              <w:widowControl w:val="0"/>
              <w:jc w:val="left"/>
            </w:pPr>
            <w:r>
              <w:t>Legislation:</w:t>
            </w:r>
          </w:p>
        </w:tc>
        <w:tc>
          <w:tcPr>
            <w:tcW w:w="5989" w:type="dxa"/>
            <w:shd w:val="clear" w:color="auto" w:fill="auto"/>
          </w:tcPr>
          <w:p w14:paraId="29AA133B" w14:textId="77777777" w:rsidR="00313EEC" w:rsidRDefault="00715751" w:rsidP="00313EEC">
            <w:pPr>
              <w:pStyle w:val="CasesLegislationAppealFrom"/>
              <w:spacing w:after="60"/>
            </w:pPr>
            <w:bookmarkStart w:id="3" w:name="Legislation"/>
            <w:r>
              <w:t xml:space="preserve"> </w:t>
            </w:r>
            <w:r w:rsidR="00313EEC" w:rsidRPr="00EE7CA0">
              <w:rPr>
                <w:i/>
              </w:rPr>
              <w:t xml:space="preserve">Federal Court of </w:t>
            </w:r>
            <w:r w:rsidR="00313EEC" w:rsidRPr="00B33B54">
              <w:rPr>
                <w:i/>
              </w:rPr>
              <w:t xml:space="preserve">Australia Act 1976 </w:t>
            </w:r>
            <w:r w:rsidR="00313EEC" w:rsidRPr="00B33B54">
              <w:t>(</w:t>
            </w:r>
            <w:proofErr w:type="spellStart"/>
            <w:r w:rsidR="00313EEC" w:rsidRPr="00B33B54">
              <w:t>Cth</w:t>
            </w:r>
            <w:proofErr w:type="spellEnd"/>
            <w:r w:rsidR="00313EEC" w:rsidRPr="00B33B54">
              <w:t>)</w:t>
            </w:r>
            <w:r w:rsidR="00313EEC">
              <w:t xml:space="preserve"> s 27</w:t>
            </w:r>
          </w:p>
          <w:p w14:paraId="19705969" w14:textId="62BEC04C" w:rsidR="00313EEC" w:rsidRDefault="00313EEC" w:rsidP="00313EEC">
            <w:pPr>
              <w:pStyle w:val="CasesLegislationAppealFrom"/>
              <w:spacing w:after="60"/>
            </w:pPr>
            <w:r w:rsidRPr="00D65166">
              <w:rPr>
                <w:i/>
              </w:rPr>
              <w:t xml:space="preserve">Migration Act 1958 </w:t>
            </w:r>
            <w:r w:rsidRPr="00D65166">
              <w:t>(</w:t>
            </w:r>
            <w:proofErr w:type="spellStart"/>
            <w:r w:rsidRPr="00D65166">
              <w:t>Cth</w:t>
            </w:r>
            <w:proofErr w:type="spellEnd"/>
            <w:r w:rsidRPr="00D65166">
              <w:t>)</w:t>
            </w:r>
            <w:r>
              <w:t xml:space="preserve"> s 476A</w:t>
            </w:r>
          </w:p>
          <w:p w14:paraId="6E4D56FA" w14:textId="15A9CD82" w:rsidR="00395B24" w:rsidRDefault="00313EEC" w:rsidP="00313EEC">
            <w:pPr>
              <w:pStyle w:val="CasesLegislationAppealFrom"/>
              <w:spacing w:after="60"/>
            </w:pPr>
            <w:r w:rsidRPr="00B33B54">
              <w:rPr>
                <w:i/>
              </w:rPr>
              <w:t>Federal Court Rules 2011</w:t>
            </w:r>
            <w:r w:rsidRPr="00B33B54">
              <w:t xml:space="preserve"> (</w:t>
            </w:r>
            <w:proofErr w:type="spellStart"/>
            <w:r w:rsidRPr="00B33B54">
              <w:t>Cth</w:t>
            </w:r>
            <w:proofErr w:type="spellEnd"/>
            <w:r w:rsidRPr="00B33B54">
              <w:t xml:space="preserve">) r 36.57 </w:t>
            </w:r>
            <w:r w:rsidR="00715751">
              <w:t xml:space="preserve"> </w:t>
            </w:r>
            <w:r w:rsidR="002C7385">
              <w:t xml:space="preserve"> </w:t>
            </w:r>
            <w:bookmarkEnd w:id="3"/>
          </w:p>
        </w:tc>
      </w:tr>
      <w:tr w:rsidR="00395B24" w14:paraId="3B0C1A84" w14:textId="77777777" w:rsidTr="00392F07">
        <w:tc>
          <w:tcPr>
            <w:tcW w:w="3084" w:type="dxa"/>
            <w:shd w:val="clear" w:color="auto" w:fill="auto"/>
          </w:tcPr>
          <w:p w14:paraId="5543CFF2" w14:textId="77777777" w:rsidR="00395B24" w:rsidRDefault="00395B24" w:rsidP="00663878">
            <w:pPr>
              <w:pStyle w:val="Normal1linespace"/>
              <w:widowControl w:val="0"/>
              <w:jc w:val="left"/>
            </w:pPr>
          </w:p>
        </w:tc>
        <w:tc>
          <w:tcPr>
            <w:tcW w:w="5989" w:type="dxa"/>
            <w:shd w:val="clear" w:color="auto" w:fill="auto"/>
          </w:tcPr>
          <w:p w14:paraId="258D5BEB" w14:textId="77777777" w:rsidR="00395B24" w:rsidRDefault="00395B24" w:rsidP="00663878">
            <w:pPr>
              <w:pStyle w:val="Normal1linespace"/>
              <w:widowControl w:val="0"/>
              <w:jc w:val="left"/>
            </w:pPr>
          </w:p>
        </w:tc>
      </w:tr>
      <w:tr w:rsidR="00395B24" w14:paraId="106E3D3F" w14:textId="77777777" w:rsidTr="00392F07">
        <w:tc>
          <w:tcPr>
            <w:tcW w:w="3084" w:type="dxa"/>
            <w:shd w:val="clear" w:color="auto" w:fill="auto"/>
          </w:tcPr>
          <w:p w14:paraId="5A62131E" w14:textId="77777777" w:rsidR="00395B24" w:rsidRDefault="002C7385" w:rsidP="00663878">
            <w:pPr>
              <w:pStyle w:val="Normal1linespace"/>
              <w:widowControl w:val="0"/>
              <w:jc w:val="left"/>
            </w:pPr>
            <w:r>
              <w:t>Cases cited:</w:t>
            </w:r>
          </w:p>
        </w:tc>
        <w:tc>
          <w:tcPr>
            <w:tcW w:w="5989" w:type="dxa"/>
            <w:shd w:val="clear" w:color="auto" w:fill="auto"/>
          </w:tcPr>
          <w:p w14:paraId="13D0636A" w14:textId="77777777" w:rsidR="00313EEC" w:rsidRDefault="00715751" w:rsidP="00313EEC">
            <w:pPr>
              <w:pStyle w:val="CasesLegislationAppealFrom"/>
              <w:spacing w:after="60"/>
              <w:rPr>
                <w:i/>
                <w:lang w:eastAsia="en-AU"/>
              </w:rPr>
            </w:pPr>
            <w:bookmarkStart w:id="4" w:name="Cases_Cited"/>
            <w:r>
              <w:t xml:space="preserve"> </w:t>
            </w:r>
            <w:r w:rsidR="00313EEC" w:rsidRPr="00D65166">
              <w:rPr>
                <w:i/>
              </w:rPr>
              <w:t xml:space="preserve">AAM15 v Minister for Immigration and Border Protection </w:t>
            </w:r>
            <w:r w:rsidR="00313EEC" w:rsidRPr="00D65166">
              <w:t>[2015] FCA 804;(2015) 231 FCR 452</w:t>
            </w:r>
          </w:p>
          <w:p w14:paraId="3C8291C8" w14:textId="77777777" w:rsidR="00313EEC" w:rsidRDefault="00313EEC" w:rsidP="00313EEC">
            <w:pPr>
              <w:pStyle w:val="CasesLegislationAppealFrom"/>
              <w:spacing w:after="60"/>
              <w:rPr>
                <w:lang w:eastAsia="en-AU"/>
              </w:rPr>
            </w:pPr>
            <w:r w:rsidRPr="00D661E4">
              <w:rPr>
                <w:i/>
                <w:lang w:eastAsia="en-AU"/>
              </w:rPr>
              <w:t xml:space="preserve">CNY17 v Minister for Immigration and Border Protection </w:t>
            </w:r>
            <w:r w:rsidRPr="00D661E4">
              <w:rPr>
                <w:lang w:eastAsia="en-AU"/>
              </w:rPr>
              <w:t>[2019] HCA 50; (2019) 375 ALR 47</w:t>
            </w:r>
          </w:p>
          <w:p w14:paraId="781F68F0" w14:textId="77777777" w:rsidR="00313EEC" w:rsidRDefault="00313EEC" w:rsidP="00313EEC">
            <w:pPr>
              <w:pStyle w:val="CasesLegislationAppealFrom"/>
              <w:spacing w:after="60"/>
              <w:rPr>
                <w:lang w:eastAsia="en-AU"/>
              </w:rPr>
            </w:pPr>
            <w:proofErr w:type="spellStart"/>
            <w:r w:rsidRPr="00D65166">
              <w:rPr>
                <w:i/>
              </w:rPr>
              <w:t>Coulton</w:t>
            </w:r>
            <w:proofErr w:type="spellEnd"/>
            <w:r w:rsidRPr="00D65166">
              <w:rPr>
                <w:i/>
              </w:rPr>
              <w:t xml:space="preserve"> v Holcombe</w:t>
            </w:r>
            <w:r w:rsidRPr="00D65166">
              <w:t xml:space="preserve"> [1986] HCA 33;</w:t>
            </w:r>
            <w:r w:rsidRPr="00D65166">
              <w:rPr>
                <w:i/>
              </w:rPr>
              <w:t xml:space="preserve"> </w:t>
            </w:r>
            <w:r w:rsidRPr="00D65166">
              <w:t>(1986) 162 CLR 1</w:t>
            </w:r>
          </w:p>
          <w:p w14:paraId="6809C3BC" w14:textId="77777777" w:rsidR="00313EEC" w:rsidRDefault="00313EEC" w:rsidP="00313EEC">
            <w:pPr>
              <w:pStyle w:val="CasesLegislationAppealFrom"/>
              <w:spacing w:after="60"/>
              <w:rPr>
                <w:i/>
                <w:shd w:val="clear" w:color="auto" w:fill="FFFFFF"/>
              </w:rPr>
            </w:pPr>
            <w:r w:rsidRPr="00D65166">
              <w:rPr>
                <w:i/>
              </w:rPr>
              <w:t xml:space="preserve">Han v Minister for Home Affairs </w:t>
            </w:r>
            <w:r w:rsidRPr="00D65166">
              <w:t>[2019] FCA 331</w:t>
            </w:r>
          </w:p>
          <w:p w14:paraId="59A6E993" w14:textId="77777777" w:rsidR="00313EEC" w:rsidRDefault="00313EEC" w:rsidP="00313EEC">
            <w:pPr>
              <w:pStyle w:val="CasesLegislationAppealFrom"/>
              <w:spacing w:after="60"/>
              <w:rPr>
                <w:i/>
              </w:rPr>
            </w:pPr>
            <w:r w:rsidRPr="00BA2DBA">
              <w:rPr>
                <w:i/>
                <w:shd w:val="clear" w:color="auto" w:fill="FFFFFF"/>
              </w:rPr>
              <w:t xml:space="preserve">Hossain v Minister for Immigration and Border Protection </w:t>
            </w:r>
            <w:r w:rsidRPr="00BA2DBA">
              <w:rPr>
                <w:shd w:val="clear" w:color="auto" w:fill="FFFFFF"/>
              </w:rPr>
              <w:t xml:space="preserve">[2018] HCA </w:t>
            </w:r>
            <w:r w:rsidRPr="00D661E4">
              <w:rPr>
                <w:shd w:val="clear" w:color="auto" w:fill="FFFFFF"/>
              </w:rPr>
              <w:t>34; (2018) CLR 123</w:t>
            </w:r>
          </w:p>
          <w:p w14:paraId="735B83EA" w14:textId="77777777" w:rsidR="00313EEC" w:rsidRDefault="00313EEC" w:rsidP="00313EEC">
            <w:pPr>
              <w:pStyle w:val="CasesLegislationAppealFrom"/>
              <w:spacing w:after="60"/>
            </w:pPr>
            <w:r w:rsidRPr="00EE7CA0">
              <w:rPr>
                <w:i/>
              </w:rPr>
              <w:t xml:space="preserve">Minister for Immigration and Border Protection v SZMTA </w:t>
            </w:r>
            <w:r>
              <w:t xml:space="preserve">[2019] HCA 3; (2019) 264 CLR 421 </w:t>
            </w:r>
          </w:p>
          <w:p w14:paraId="18E0AE35" w14:textId="77777777" w:rsidR="00313EEC" w:rsidRDefault="00313EEC" w:rsidP="00313EEC">
            <w:pPr>
              <w:pStyle w:val="CasesLegislationAppealFrom"/>
              <w:spacing w:after="60"/>
            </w:pPr>
            <w:r w:rsidRPr="007A1F32">
              <w:rPr>
                <w:i/>
              </w:rPr>
              <w:t>Minister for Immigration v SZQRB</w:t>
            </w:r>
            <w:r>
              <w:t xml:space="preserve"> [2013] FCAFC 33</w:t>
            </w:r>
          </w:p>
          <w:p w14:paraId="7E87E704" w14:textId="77777777" w:rsidR="00313EEC" w:rsidRDefault="00313EEC" w:rsidP="008D3FC7">
            <w:pPr>
              <w:pStyle w:val="CasesLegislationAppealFrom"/>
              <w:keepNext/>
              <w:keepLines/>
              <w:spacing w:after="60"/>
            </w:pPr>
            <w:r w:rsidRPr="00D74201">
              <w:rPr>
                <w:i/>
                <w:iCs/>
                <w:shd w:val="clear" w:color="auto" w:fill="FFFFFF"/>
              </w:rPr>
              <w:lastRenderedPageBreak/>
              <w:t xml:space="preserve">Moore v Minister for Immigration and </w:t>
            </w:r>
            <w:r w:rsidRPr="0087551C">
              <w:rPr>
                <w:i/>
                <w:iCs/>
                <w:shd w:val="clear" w:color="auto" w:fill="FFFFFF"/>
              </w:rPr>
              <w:t>Citizenship</w:t>
            </w:r>
            <w:r w:rsidRPr="0087551C">
              <w:rPr>
                <w:shd w:val="clear" w:color="auto" w:fill="FFFFFF"/>
              </w:rPr>
              <w:t> [2007] FCAFC 134; (2007) 161 FCR 236</w:t>
            </w:r>
            <w:r>
              <w:t xml:space="preserve"> </w:t>
            </w:r>
          </w:p>
          <w:p w14:paraId="31967186" w14:textId="77777777" w:rsidR="00313EEC" w:rsidRDefault="00313EEC" w:rsidP="00313EEC">
            <w:pPr>
              <w:pStyle w:val="CasesLegislationAppealFrom"/>
              <w:spacing w:after="60"/>
              <w:rPr>
                <w:i/>
                <w:shd w:val="clear" w:color="auto" w:fill="FFFFFF"/>
              </w:rPr>
            </w:pPr>
            <w:r w:rsidRPr="00BA2DBA">
              <w:rPr>
                <w:i/>
                <w:shd w:val="clear" w:color="auto" w:fill="FFFFFF"/>
              </w:rPr>
              <w:t>MZAPC v Minister for Immigration and Border Protection</w:t>
            </w:r>
          </w:p>
          <w:p w14:paraId="738DEE54" w14:textId="77777777" w:rsidR="00313EEC" w:rsidRDefault="00313EEC" w:rsidP="00313EEC">
            <w:pPr>
              <w:pStyle w:val="CasesLegislationAppealFrom"/>
              <w:spacing w:after="60"/>
              <w:rPr>
                <w:i/>
                <w:iCs/>
                <w:shd w:val="clear" w:color="auto" w:fill="FFFFFF"/>
              </w:rPr>
            </w:pPr>
            <w:r w:rsidRPr="00BA2DBA">
              <w:rPr>
                <w:shd w:val="clear" w:color="auto" w:fill="FFFFFF"/>
              </w:rPr>
              <w:t xml:space="preserve">[2021] </w:t>
            </w:r>
            <w:r w:rsidRPr="00D661E4">
              <w:rPr>
                <w:shd w:val="clear" w:color="auto" w:fill="FFFFFF"/>
              </w:rPr>
              <w:t>HCA 17</w:t>
            </w:r>
          </w:p>
          <w:p w14:paraId="26FD05C0" w14:textId="77777777" w:rsidR="00313EEC" w:rsidRDefault="00313EEC" w:rsidP="00313EEC">
            <w:pPr>
              <w:pStyle w:val="CasesLegislationAppealFrom"/>
              <w:spacing w:after="60"/>
              <w:rPr>
                <w:shd w:val="clear" w:color="auto" w:fill="FFFFFF"/>
              </w:rPr>
            </w:pPr>
            <w:r w:rsidRPr="0087551C">
              <w:rPr>
                <w:i/>
                <w:iCs/>
                <w:shd w:val="clear" w:color="auto" w:fill="FFFFFF"/>
              </w:rPr>
              <w:t xml:space="preserve">Sami v Minister for Immigration and </w:t>
            </w:r>
            <w:r w:rsidRPr="0087551C">
              <w:rPr>
                <w:i/>
                <w:shd w:val="clear" w:color="auto" w:fill="FFFFFF"/>
              </w:rPr>
              <w:t>Citizenship</w:t>
            </w:r>
            <w:r w:rsidRPr="0087551C">
              <w:rPr>
                <w:shd w:val="clear" w:color="auto" w:fill="FFFFFF"/>
              </w:rPr>
              <w:t> [2013] FCAFC 128; (2013) 139 ALD 1</w:t>
            </w:r>
          </w:p>
          <w:p w14:paraId="7F844594" w14:textId="289117E1" w:rsidR="00395B24" w:rsidRDefault="00313EEC" w:rsidP="00313EEC">
            <w:pPr>
              <w:pStyle w:val="CasesLegislationAppealFrom"/>
              <w:spacing w:after="60"/>
            </w:pPr>
            <w:r w:rsidRPr="00D65166">
              <w:rPr>
                <w:i/>
              </w:rPr>
              <w:t>VUAX v Minister for Immigration and Multicultural and Indigenous Affairs</w:t>
            </w:r>
            <w:r w:rsidRPr="00D65166">
              <w:t xml:space="preserve"> [2004] FCAFC 158; (2004) 238 FCR 588</w:t>
            </w:r>
            <w:r>
              <w:t xml:space="preserve"> </w:t>
            </w:r>
            <w:bookmarkEnd w:id="4"/>
          </w:p>
        </w:tc>
      </w:tr>
      <w:tr w:rsidR="00D96FE4" w14:paraId="041301EF" w14:textId="77777777" w:rsidTr="00392F07">
        <w:tc>
          <w:tcPr>
            <w:tcW w:w="3084" w:type="dxa"/>
            <w:shd w:val="clear" w:color="auto" w:fill="auto"/>
          </w:tcPr>
          <w:p w14:paraId="703064BD" w14:textId="77777777" w:rsidR="00D96FE4" w:rsidRDefault="00D96FE4" w:rsidP="009909E9">
            <w:pPr>
              <w:pStyle w:val="Normal1linespace"/>
              <w:widowControl w:val="0"/>
            </w:pPr>
          </w:p>
        </w:tc>
        <w:tc>
          <w:tcPr>
            <w:tcW w:w="5989" w:type="dxa"/>
            <w:shd w:val="clear" w:color="auto" w:fill="auto"/>
          </w:tcPr>
          <w:p w14:paraId="0B95921C" w14:textId="77777777" w:rsidR="00D96FE4" w:rsidRDefault="00D96FE4" w:rsidP="009909E9">
            <w:pPr>
              <w:pStyle w:val="Normal1linespace"/>
              <w:widowControl w:val="0"/>
              <w:jc w:val="left"/>
            </w:pPr>
          </w:p>
        </w:tc>
      </w:tr>
      <w:tr w:rsidR="00D96FE4" w14:paraId="28540B52" w14:textId="77777777" w:rsidTr="00392F07">
        <w:tc>
          <w:tcPr>
            <w:tcW w:w="3084" w:type="dxa"/>
            <w:shd w:val="clear" w:color="auto" w:fill="auto"/>
          </w:tcPr>
          <w:p w14:paraId="683DE56B" w14:textId="77777777" w:rsidR="00D96FE4" w:rsidRDefault="00D96FE4" w:rsidP="00501A12">
            <w:pPr>
              <w:pStyle w:val="Normal1linespace"/>
              <w:widowControl w:val="0"/>
            </w:pPr>
            <w:r>
              <w:t>Division:</w:t>
            </w:r>
          </w:p>
        </w:tc>
        <w:tc>
          <w:tcPr>
            <w:tcW w:w="5989" w:type="dxa"/>
            <w:shd w:val="clear" w:color="auto" w:fill="auto"/>
          </w:tcPr>
          <w:p w14:paraId="29973189" w14:textId="3D0620FE" w:rsidR="00D96FE4" w:rsidRPr="00F17599" w:rsidRDefault="00FA699E" w:rsidP="00501A12">
            <w:pPr>
              <w:pStyle w:val="Normal1linespace"/>
              <w:widowControl w:val="0"/>
              <w:jc w:val="left"/>
            </w:pPr>
            <w:fldSimple w:instr=" DOCPROPERTY  Division ">
              <w:r w:rsidR="00042080">
                <w:t>General</w:t>
              </w:r>
              <w:r w:rsidR="00D96FE4">
                <w:t xml:space="preserve"> Division</w:t>
              </w:r>
            </w:fldSimple>
          </w:p>
        </w:tc>
      </w:tr>
      <w:tr w:rsidR="00D96FE4" w14:paraId="0D687526" w14:textId="77777777" w:rsidTr="00392F07">
        <w:tc>
          <w:tcPr>
            <w:tcW w:w="3084" w:type="dxa"/>
            <w:shd w:val="clear" w:color="auto" w:fill="auto"/>
          </w:tcPr>
          <w:p w14:paraId="3B430542" w14:textId="77777777" w:rsidR="00D96FE4" w:rsidRDefault="00D96FE4" w:rsidP="00501A12">
            <w:pPr>
              <w:pStyle w:val="Normal1linespace"/>
              <w:widowControl w:val="0"/>
            </w:pPr>
            <w:bookmarkStart w:id="5" w:name="Registry_rows" w:colFirst="0" w:colLast="1"/>
          </w:p>
        </w:tc>
        <w:tc>
          <w:tcPr>
            <w:tcW w:w="5989" w:type="dxa"/>
            <w:shd w:val="clear" w:color="auto" w:fill="auto"/>
          </w:tcPr>
          <w:p w14:paraId="152D7EDC" w14:textId="77777777" w:rsidR="00D96FE4" w:rsidRDefault="00D96FE4" w:rsidP="00501A12">
            <w:pPr>
              <w:pStyle w:val="Normal1linespace"/>
              <w:widowControl w:val="0"/>
              <w:jc w:val="left"/>
            </w:pPr>
          </w:p>
        </w:tc>
      </w:tr>
      <w:tr w:rsidR="00D96FE4" w14:paraId="15C8CCCF" w14:textId="77777777" w:rsidTr="00392F07">
        <w:tc>
          <w:tcPr>
            <w:tcW w:w="3084" w:type="dxa"/>
            <w:shd w:val="clear" w:color="auto" w:fill="auto"/>
          </w:tcPr>
          <w:p w14:paraId="7B62E142" w14:textId="77777777" w:rsidR="00D96FE4" w:rsidRDefault="00D96FE4" w:rsidP="00501A12">
            <w:pPr>
              <w:pStyle w:val="Normal1linespace"/>
              <w:widowControl w:val="0"/>
            </w:pPr>
            <w:r>
              <w:t>Registry:</w:t>
            </w:r>
          </w:p>
        </w:tc>
        <w:tc>
          <w:tcPr>
            <w:tcW w:w="5989" w:type="dxa"/>
            <w:shd w:val="clear" w:color="auto" w:fill="auto"/>
          </w:tcPr>
          <w:p w14:paraId="1B68927F" w14:textId="77777777" w:rsidR="00D96FE4" w:rsidRPr="00F17599" w:rsidRDefault="00FA699E" w:rsidP="00501A12">
            <w:pPr>
              <w:pStyle w:val="Normal1linespace"/>
              <w:widowControl w:val="0"/>
              <w:jc w:val="left"/>
            </w:pPr>
            <w:fldSimple w:instr=" DOCPROPERTY  Registry ">
              <w:r w:rsidR="00D96FE4">
                <w:t>New South Wales</w:t>
              </w:r>
            </w:fldSimple>
          </w:p>
        </w:tc>
      </w:tr>
      <w:tr w:rsidR="00D96FE4" w14:paraId="1680D323" w14:textId="77777777" w:rsidTr="00392F07">
        <w:tc>
          <w:tcPr>
            <w:tcW w:w="3084" w:type="dxa"/>
            <w:shd w:val="clear" w:color="auto" w:fill="auto"/>
          </w:tcPr>
          <w:p w14:paraId="5365DD4A" w14:textId="77777777" w:rsidR="00D96FE4" w:rsidRDefault="00D96FE4" w:rsidP="00501A12">
            <w:pPr>
              <w:pStyle w:val="Normal1linespace"/>
              <w:widowControl w:val="0"/>
            </w:pPr>
            <w:bookmarkStart w:id="6" w:name="NPARow" w:colFirst="0" w:colLast="1"/>
            <w:bookmarkEnd w:id="5"/>
          </w:p>
        </w:tc>
        <w:tc>
          <w:tcPr>
            <w:tcW w:w="5989" w:type="dxa"/>
            <w:shd w:val="clear" w:color="auto" w:fill="auto"/>
          </w:tcPr>
          <w:p w14:paraId="05E753A7" w14:textId="77777777" w:rsidR="00D96FE4" w:rsidRPr="00F17599" w:rsidRDefault="00D96FE4" w:rsidP="00501A12">
            <w:pPr>
              <w:pStyle w:val="Normal1linespace"/>
              <w:widowControl w:val="0"/>
              <w:jc w:val="left"/>
              <w:rPr>
                <w:b/>
              </w:rPr>
            </w:pPr>
          </w:p>
        </w:tc>
      </w:tr>
      <w:tr w:rsidR="00D96FE4" w14:paraId="5B56F367" w14:textId="77777777" w:rsidTr="00392F07">
        <w:tc>
          <w:tcPr>
            <w:tcW w:w="3084" w:type="dxa"/>
            <w:shd w:val="clear" w:color="auto" w:fill="auto"/>
          </w:tcPr>
          <w:p w14:paraId="6730924C" w14:textId="77777777" w:rsidR="00D96FE4" w:rsidRDefault="00D96FE4" w:rsidP="00501A12">
            <w:pPr>
              <w:pStyle w:val="Normal1linespace"/>
              <w:widowControl w:val="0"/>
            </w:pPr>
            <w:r>
              <w:t>National Practice Area:</w:t>
            </w:r>
          </w:p>
        </w:tc>
        <w:tc>
          <w:tcPr>
            <w:tcW w:w="5989" w:type="dxa"/>
            <w:shd w:val="clear" w:color="auto" w:fill="auto"/>
          </w:tcPr>
          <w:p w14:paraId="4D694A5F" w14:textId="77777777" w:rsidR="00D96FE4" w:rsidRPr="00F17599" w:rsidRDefault="00FA699E" w:rsidP="009909E9">
            <w:pPr>
              <w:pStyle w:val="Normal1linespace"/>
              <w:widowControl w:val="0"/>
              <w:jc w:val="left"/>
              <w:rPr>
                <w:b/>
              </w:rPr>
            </w:pPr>
            <w:fldSimple w:instr=" DOCPROPERTY  &quot;Practice Area&quot;  \* MERGEFORMAT ">
              <w:r w:rsidR="00D96FE4">
                <w:t>Administrative and Constitutional Law and Human Rights</w:t>
              </w:r>
            </w:fldSimple>
          </w:p>
        </w:tc>
      </w:tr>
      <w:bookmarkEnd w:id="6"/>
      <w:tr w:rsidR="00D96FE4" w14:paraId="2167B7FA" w14:textId="77777777" w:rsidTr="00392F07">
        <w:tc>
          <w:tcPr>
            <w:tcW w:w="3084" w:type="dxa"/>
            <w:shd w:val="clear" w:color="auto" w:fill="auto"/>
          </w:tcPr>
          <w:p w14:paraId="31C4AEE7" w14:textId="77777777" w:rsidR="00D96FE4" w:rsidRDefault="00D96FE4" w:rsidP="00501A12">
            <w:pPr>
              <w:pStyle w:val="Normal1linespace"/>
              <w:widowControl w:val="0"/>
            </w:pPr>
          </w:p>
        </w:tc>
        <w:tc>
          <w:tcPr>
            <w:tcW w:w="5989" w:type="dxa"/>
            <w:shd w:val="clear" w:color="auto" w:fill="auto"/>
          </w:tcPr>
          <w:p w14:paraId="6176B0C1" w14:textId="77777777" w:rsidR="00D96FE4" w:rsidRDefault="00D96FE4" w:rsidP="00501A12">
            <w:pPr>
              <w:pStyle w:val="Normal1linespace"/>
              <w:widowControl w:val="0"/>
              <w:jc w:val="left"/>
            </w:pPr>
          </w:p>
        </w:tc>
      </w:tr>
      <w:tr w:rsidR="00D96FE4" w14:paraId="4482DED7" w14:textId="77777777" w:rsidTr="00392F07">
        <w:tc>
          <w:tcPr>
            <w:tcW w:w="3084" w:type="dxa"/>
            <w:shd w:val="clear" w:color="auto" w:fill="auto"/>
          </w:tcPr>
          <w:p w14:paraId="2309BFD3" w14:textId="77777777" w:rsidR="00D96FE4" w:rsidRDefault="00D96FE4" w:rsidP="00501A12">
            <w:pPr>
              <w:pStyle w:val="Normal1linespace"/>
              <w:widowControl w:val="0"/>
            </w:pPr>
            <w:r>
              <w:t>Number of paragraphs:</w:t>
            </w:r>
          </w:p>
        </w:tc>
        <w:tc>
          <w:tcPr>
            <w:tcW w:w="5989" w:type="dxa"/>
            <w:shd w:val="clear" w:color="auto" w:fill="auto"/>
          </w:tcPr>
          <w:p w14:paraId="4810B880" w14:textId="006EBAE0" w:rsidR="00D96FE4" w:rsidRDefault="00392F07" w:rsidP="00183455">
            <w:pPr>
              <w:pStyle w:val="Normal1linespace"/>
              <w:widowControl w:val="0"/>
              <w:jc w:val="left"/>
            </w:pPr>
            <w:bookmarkStart w:id="7" w:name="PlaceCategoryParagraphs"/>
            <w:r>
              <w:t>35</w:t>
            </w:r>
            <w:bookmarkEnd w:id="7"/>
          </w:p>
        </w:tc>
      </w:tr>
      <w:tr w:rsidR="00D96FE4" w14:paraId="25BE5152" w14:textId="77777777" w:rsidTr="00392F07">
        <w:tc>
          <w:tcPr>
            <w:tcW w:w="3084" w:type="dxa"/>
            <w:shd w:val="clear" w:color="auto" w:fill="auto"/>
          </w:tcPr>
          <w:p w14:paraId="6BABBDDD" w14:textId="77777777" w:rsidR="00D96FE4" w:rsidRDefault="00D96FE4" w:rsidP="00D96FE4">
            <w:pPr>
              <w:pStyle w:val="Normal1linespace"/>
              <w:widowControl w:val="0"/>
              <w:jc w:val="left"/>
            </w:pPr>
          </w:p>
        </w:tc>
        <w:tc>
          <w:tcPr>
            <w:tcW w:w="5989" w:type="dxa"/>
            <w:shd w:val="clear" w:color="auto" w:fill="auto"/>
          </w:tcPr>
          <w:p w14:paraId="369FA65F" w14:textId="77777777" w:rsidR="00D96FE4" w:rsidRDefault="00D96FE4" w:rsidP="00D96FE4">
            <w:pPr>
              <w:pStyle w:val="Normal1linespace"/>
              <w:widowControl w:val="0"/>
              <w:jc w:val="left"/>
            </w:pPr>
          </w:p>
        </w:tc>
      </w:tr>
      <w:tr w:rsidR="00D96FE4" w14:paraId="79C1EDDA" w14:textId="77777777" w:rsidTr="00392F07">
        <w:tc>
          <w:tcPr>
            <w:tcW w:w="3084" w:type="dxa"/>
            <w:shd w:val="clear" w:color="auto" w:fill="auto"/>
          </w:tcPr>
          <w:p w14:paraId="11428338" w14:textId="77777777" w:rsidR="00D96FE4" w:rsidRDefault="00D96FE4" w:rsidP="00D96FE4">
            <w:pPr>
              <w:pStyle w:val="Normal1linespace"/>
              <w:widowControl w:val="0"/>
              <w:jc w:val="left"/>
            </w:pPr>
            <w:bookmarkStart w:id="8" w:name="CounselDate" w:colFirst="0" w:colLast="2"/>
            <w:r w:rsidRPr="006A24E3">
              <w:t>Date of hearing:</w:t>
            </w:r>
          </w:p>
        </w:tc>
        <w:tc>
          <w:tcPr>
            <w:tcW w:w="5989" w:type="dxa"/>
            <w:shd w:val="clear" w:color="auto" w:fill="auto"/>
          </w:tcPr>
          <w:p w14:paraId="3FB0B94F" w14:textId="77777777" w:rsidR="00D96FE4" w:rsidRDefault="007B4475" w:rsidP="00D96FE4">
            <w:pPr>
              <w:pStyle w:val="Normal1linespace"/>
              <w:widowControl w:val="0"/>
              <w:jc w:val="left"/>
            </w:pPr>
            <w:bookmarkStart w:id="9" w:name="HearingDate"/>
            <w:r>
              <w:t>30 June 2021</w:t>
            </w:r>
            <w:r w:rsidR="00D96FE4">
              <w:t xml:space="preserve"> </w:t>
            </w:r>
            <w:bookmarkEnd w:id="9"/>
          </w:p>
        </w:tc>
      </w:tr>
      <w:tr w:rsidR="00D96FE4" w14:paraId="49222DAC" w14:textId="77777777" w:rsidTr="00392F07">
        <w:tc>
          <w:tcPr>
            <w:tcW w:w="3084" w:type="dxa"/>
            <w:shd w:val="clear" w:color="auto" w:fill="auto"/>
          </w:tcPr>
          <w:p w14:paraId="1FCEC274" w14:textId="77777777" w:rsidR="00D96FE4" w:rsidRDefault="00D96FE4" w:rsidP="00D96FE4">
            <w:pPr>
              <w:pStyle w:val="Normal1linespace"/>
              <w:widowControl w:val="0"/>
              <w:jc w:val="left"/>
            </w:pPr>
          </w:p>
        </w:tc>
        <w:tc>
          <w:tcPr>
            <w:tcW w:w="5989" w:type="dxa"/>
            <w:shd w:val="clear" w:color="auto" w:fill="auto"/>
          </w:tcPr>
          <w:p w14:paraId="5A06922A" w14:textId="77777777" w:rsidR="00D96FE4" w:rsidRDefault="00D96FE4" w:rsidP="00D96FE4">
            <w:pPr>
              <w:pStyle w:val="Normal1linespace"/>
              <w:widowControl w:val="0"/>
              <w:jc w:val="left"/>
            </w:pPr>
          </w:p>
        </w:tc>
      </w:tr>
      <w:tr w:rsidR="007B4475" w14:paraId="3794BB3D" w14:textId="77777777" w:rsidTr="00392F07">
        <w:tc>
          <w:tcPr>
            <w:tcW w:w="3084" w:type="dxa"/>
            <w:shd w:val="clear" w:color="auto" w:fill="auto"/>
          </w:tcPr>
          <w:p w14:paraId="3F3F0636" w14:textId="77777777" w:rsidR="007B4475" w:rsidRDefault="007B4475" w:rsidP="007B4475">
            <w:pPr>
              <w:pStyle w:val="Normal1linespace"/>
              <w:widowControl w:val="0"/>
              <w:jc w:val="left"/>
            </w:pPr>
            <w:r>
              <w:t>Counsel for the Appellant:</w:t>
            </w:r>
          </w:p>
        </w:tc>
        <w:tc>
          <w:tcPr>
            <w:tcW w:w="5989" w:type="dxa"/>
            <w:shd w:val="clear" w:color="auto" w:fill="auto"/>
          </w:tcPr>
          <w:p w14:paraId="6FDE2094" w14:textId="77777777" w:rsidR="007B4475" w:rsidRDefault="003E69A0" w:rsidP="00D96FE4">
            <w:pPr>
              <w:pStyle w:val="Normal1linespace"/>
              <w:widowControl w:val="0"/>
              <w:jc w:val="left"/>
            </w:pPr>
            <w:r>
              <w:t xml:space="preserve">Mr S Prince SC and Ms S </w:t>
            </w:r>
            <w:proofErr w:type="spellStart"/>
            <w:r>
              <w:t>Brenker</w:t>
            </w:r>
            <w:proofErr w:type="spellEnd"/>
          </w:p>
        </w:tc>
      </w:tr>
      <w:tr w:rsidR="007B4475" w14:paraId="462718A5" w14:textId="77777777" w:rsidTr="00392F07">
        <w:tc>
          <w:tcPr>
            <w:tcW w:w="3084" w:type="dxa"/>
            <w:shd w:val="clear" w:color="auto" w:fill="auto"/>
          </w:tcPr>
          <w:p w14:paraId="5FDFD52C" w14:textId="77777777" w:rsidR="007B4475" w:rsidRDefault="007B4475" w:rsidP="00D96FE4">
            <w:pPr>
              <w:pStyle w:val="Normal1linespace"/>
              <w:widowControl w:val="0"/>
              <w:jc w:val="left"/>
            </w:pPr>
          </w:p>
        </w:tc>
        <w:tc>
          <w:tcPr>
            <w:tcW w:w="5989" w:type="dxa"/>
            <w:shd w:val="clear" w:color="auto" w:fill="auto"/>
          </w:tcPr>
          <w:p w14:paraId="2901D3CD" w14:textId="77777777" w:rsidR="007B4475" w:rsidRDefault="007B4475" w:rsidP="00D96FE4">
            <w:pPr>
              <w:pStyle w:val="Normal1linespace"/>
              <w:widowControl w:val="0"/>
              <w:jc w:val="left"/>
            </w:pPr>
          </w:p>
        </w:tc>
      </w:tr>
      <w:tr w:rsidR="007B4475" w14:paraId="38AF41C2" w14:textId="77777777" w:rsidTr="00392F07">
        <w:tc>
          <w:tcPr>
            <w:tcW w:w="3084" w:type="dxa"/>
            <w:shd w:val="clear" w:color="auto" w:fill="auto"/>
          </w:tcPr>
          <w:p w14:paraId="64E93C1E" w14:textId="77777777" w:rsidR="007B4475" w:rsidRDefault="007B4475" w:rsidP="00D96FE4">
            <w:pPr>
              <w:pStyle w:val="Normal1linespace"/>
              <w:widowControl w:val="0"/>
              <w:jc w:val="left"/>
            </w:pPr>
            <w:r>
              <w:t>Solicitor for the Appellant:</w:t>
            </w:r>
          </w:p>
        </w:tc>
        <w:tc>
          <w:tcPr>
            <w:tcW w:w="5989" w:type="dxa"/>
            <w:shd w:val="clear" w:color="auto" w:fill="auto"/>
          </w:tcPr>
          <w:p w14:paraId="62B4445B" w14:textId="77777777" w:rsidR="007B4475" w:rsidRDefault="00944104" w:rsidP="00D96FE4">
            <w:pPr>
              <w:pStyle w:val="Normal1linespace"/>
              <w:widowControl w:val="0"/>
              <w:jc w:val="left"/>
            </w:pPr>
            <w:r>
              <w:t>Michaela Byers</w:t>
            </w:r>
          </w:p>
        </w:tc>
      </w:tr>
      <w:tr w:rsidR="007B4475" w14:paraId="4B715DB7" w14:textId="77777777" w:rsidTr="00392F07">
        <w:tc>
          <w:tcPr>
            <w:tcW w:w="3084" w:type="dxa"/>
            <w:shd w:val="clear" w:color="auto" w:fill="auto"/>
          </w:tcPr>
          <w:p w14:paraId="367A7C21" w14:textId="77777777" w:rsidR="007B4475" w:rsidRDefault="007B4475" w:rsidP="00D96FE4">
            <w:pPr>
              <w:pStyle w:val="Normal1linespace"/>
              <w:widowControl w:val="0"/>
              <w:jc w:val="left"/>
            </w:pPr>
          </w:p>
        </w:tc>
        <w:tc>
          <w:tcPr>
            <w:tcW w:w="5989" w:type="dxa"/>
            <w:shd w:val="clear" w:color="auto" w:fill="auto"/>
          </w:tcPr>
          <w:p w14:paraId="13F8D0DD" w14:textId="77777777" w:rsidR="007B4475" w:rsidRDefault="007B4475" w:rsidP="00D96FE4">
            <w:pPr>
              <w:pStyle w:val="Normal1linespace"/>
              <w:widowControl w:val="0"/>
              <w:jc w:val="left"/>
            </w:pPr>
          </w:p>
        </w:tc>
      </w:tr>
      <w:tr w:rsidR="007B4475" w14:paraId="69649175" w14:textId="77777777" w:rsidTr="00392F07">
        <w:tc>
          <w:tcPr>
            <w:tcW w:w="3084" w:type="dxa"/>
            <w:shd w:val="clear" w:color="auto" w:fill="auto"/>
          </w:tcPr>
          <w:p w14:paraId="57250E7F" w14:textId="2A0A5C3D" w:rsidR="007B4475" w:rsidRDefault="007B4475" w:rsidP="00D96FE4">
            <w:pPr>
              <w:pStyle w:val="Normal1linespace"/>
              <w:widowControl w:val="0"/>
              <w:jc w:val="left"/>
            </w:pPr>
            <w:r>
              <w:t>Counsel for the</w:t>
            </w:r>
            <w:r w:rsidR="00D705C8">
              <w:t xml:space="preserve"> First</w:t>
            </w:r>
            <w:r>
              <w:t xml:space="preserve"> Respondent:</w:t>
            </w:r>
          </w:p>
        </w:tc>
        <w:tc>
          <w:tcPr>
            <w:tcW w:w="5989" w:type="dxa"/>
            <w:shd w:val="clear" w:color="auto" w:fill="auto"/>
          </w:tcPr>
          <w:p w14:paraId="43A9EFE2" w14:textId="77777777" w:rsidR="007B4475" w:rsidRDefault="003E69A0" w:rsidP="00D96FE4">
            <w:pPr>
              <w:pStyle w:val="Normal1linespace"/>
              <w:widowControl w:val="0"/>
              <w:jc w:val="left"/>
            </w:pPr>
            <w:r>
              <w:t>Mr B Kaplan</w:t>
            </w:r>
          </w:p>
        </w:tc>
      </w:tr>
      <w:tr w:rsidR="007B4475" w14:paraId="61427BF2" w14:textId="77777777" w:rsidTr="00392F07">
        <w:tc>
          <w:tcPr>
            <w:tcW w:w="3084" w:type="dxa"/>
            <w:shd w:val="clear" w:color="auto" w:fill="auto"/>
          </w:tcPr>
          <w:p w14:paraId="522D25F8" w14:textId="77777777" w:rsidR="007B4475" w:rsidRDefault="007B4475" w:rsidP="00D96FE4">
            <w:pPr>
              <w:pStyle w:val="Normal1linespace"/>
              <w:widowControl w:val="0"/>
              <w:jc w:val="left"/>
            </w:pPr>
          </w:p>
        </w:tc>
        <w:tc>
          <w:tcPr>
            <w:tcW w:w="5989" w:type="dxa"/>
            <w:shd w:val="clear" w:color="auto" w:fill="auto"/>
          </w:tcPr>
          <w:p w14:paraId="29168D96" w14:textId="77777777" w:rsidR="007B4475" w:rsidRDefault="007B4475" w:rsidP="00D96FE4">
            <w:pPr>
              <w:pStyle w:val="Normal1linespace"/>
              <w:widowControl w:val="0"/>
              <w:jc w:val="left"/>
            </w:pPr>
          </w:p>
        </w:tc>
      </w:tr>
      <w:tr w:rsidR="007B4475" w14:paraId="36CAB738" w14:textId="77777777" w:rsidTr="00392F07">
        <w:tc>
          <w:tcPr>
            <w:tcW w:w="3084" w:type="dxa"/>
            <w:shd w:val="clear" w:color="auto" w:fill="auto"/>
          </w:tcPr>
          <w:p w14:paraId="4E99E58E" w14:textId="62A77A1A" w:rsidR="007B4475" w:rsidRDefault="007B4475" w:rsidP="00D96FE4">
            <w:pPr>
              <w:pStyle w:val="Normal1linespace"/>
              <w:widowControl w:val="0"/>
              <w:jc w:val="left"/>
            </w:pPr>
            <w:r>
              <w:t xml:space="preserve">Solicitor for the </w:t>
            </w:r>
            <w:r w:rsidR="00D705C8">
              <w:t xml:space="preserve">First </w:t>
            </w:r>
            <w:r>
              <w:t>Respondent:</w:t>
            </w:r>
          </w:p>
        </w:tc>
        <w:tc>
          <w:tcPr>
            <w:tcW w:w="5989" w:type="dxa"/>
            <w:shd w:val="clear" w:color="auto" w:fill="auto"/>
          </w:tcPr>
          <w:p w14:paraId="01084EFC" w14:textId="77777777" w:rsidR="007B4475" w:rsidRDefault="003E69A0" w:rsidP="00D96FE4">
            <w:pPr>
              <w:pStyle w:val="Normal1linespace"/>
              <w:widowControl w:val="0"/>
              <w:jc w:val="left"/>
            </w:pPr>
            <w:r>
              <w:t>Australian Government Solicitor</w:t>
            </w:r>
          </w:p>
        </w:tc>
      </w:tr>
      <w:tr w:rsidR="00D705C8" w14:paraId="26E9F282" w14:textId="77777777" w:rsidTr="00392F07">
        <w:tc>
          <w:tcPr>
            <w:tcW w:w="3084" w:type="dxa"/>
            <w:shd w:val="clear" w:color="auto" w:fill="auto"/>
          </w:tcPr>
          <w:p w14:paraId="73187E52" w14:textId="77777777" w:rsidR="00D705C8" w:rsidRDefault="00D705C8" w:rsidP="00D96FE4">
            <w:pPr>
              <w:pStyle w:val="Normal1linespace"/>
              <w:widowControl w:val="0"/>
              <w:jc w:val="left"/>
            </w:pPr>
          </w:p>
        </w:tc>
        <w:tc>
          <w:tcPr>
            <w:tcW w:w="5989" w:type="dxa"/>
            <w:shd w:val="clear" w:color="auto" w:fill="auto"/>
          </w:tcPr>
          <w:p w14:paraId="0DB2FEE9" w14:textId="77777777" w:rsidR="00D705C8" w:rsidRDefault="00D705C8" w:rsidP="00D96FE4">
            <w:pPr>
              <w:pStyle w:val="Normal1linespace"/>
              <w:widowControl w:val="0"/>
              <w:jc w:val="left"/>
            </w:pPr>
          </w:p>
        </w:tc>
      </w:tr>
      <w:tr w:rsidR="00D705C8" w14:paraId="4E7581A1" w14:textId="77777777" w:rsidTr="00392F07">
        <w:tc>
          <w:tcPr>
            <w:tcW w:w="3084" w:type="dxa"/>
            <w:shd w:val="clear" w:color="auto" w:fill="auto"/>
          </w:tcPr>
          <w:p w14:paraId="45C00F36" w14:textId="24CED62D" w:rsidR="00D705C8" w:rsidRDefault="00D705C8" w:rsidP="00D96FE4">
            <w:pPr>
              <w:pStyle w:val="Normal1linespace"/>
              <w:widowControl w:val="0"/>
              <w:jc w:val="left"/>
            </w:pPr>
            <w:r>
              <w:t>Counsel for the Second Respondent:</w:t>
            </w:r>
          </w:p>
        </w:tc>
        <w:tc>
          <w:tcPr>
            <w:tcW w:w="5989" w:type="dxa"/>
            <w:shd w:val="clear" w:color="auto" w:fill="auto"/>
          </w:tcPr>
          <w:p w14:paraId="74146BB9" w14:textId="78D95E4E" w:rsidR="00D705C8" w:rsidRDefault="00D705C8" w:rsidP="00D96FE4">
            <w:pPr>
              <w:pStyle w:val="Normal1linespace"/>
              <w:widowControl w:val="0"/>
              <w:jc w:val="left"/>
            </w:pPr>
            <w:r>
              <w:t>The Second Respondent filed a Submitting Notice</w:t>
            </w:r>
          </w:p>
        </w:tc>
      </w:tr>
    </w:tbl>
    <w:p w14:paraId="19E3B67D" w14:textId="77777777" w:rsidR="00B17D6E" w:rsidRDefault="00B17D6E">
      <w:pPr>
        <w:pStyle w:val="Normal1linespace"/>
      </w:pPr>
      <w:bookmarkStart w:id="10" w:name="CompletionTable"/>
      <w:bookmarkEnd w:id="8"/>
    </w:p>
    <w:bookmarkEnd w:id="10"/>
    <w:p w14:paraId="4FDCA1DD" w14:textId="77777777" w:rsidR="007470BD" w:rsidRDefault="007470BD">
      <w:pPr>
        <w:pStyle w:val="Normal1linespace"/>
      </w:pPr>
    </w:p>
    <w:p w14:paraId="5E3A8DED" w14:textId="77777777" w:rsidR="00E94CBF" w:rsidRDefault="00E94CBF">
      <w:pPr>
        <w:pStyle w:val="Normal1linespace"/>
      </w:pPr>
    </w:p>
    <w:p w14:paraId="0763937E"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121E0CD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F7665A9" w14:textId="77777777" w:rsidTr="00E81DA6">
        <w:tc>
          <w:tcPr>
            <w:tcW w:w="6912" w:type="dxa"/>
            <w:gridSpan w:val="2"/>
          </w:tcPr>
          <w:p w14:paraId="25DE3858" w14:textId="77777777" w:rsidR="00A46CCC" w:rsidRPr="001765E0" w:rsidRDefault="00A46CCC" w:rsidP="00525A49">
            <w:pPr>
              <w:pStyle w:val="NormalHeadings"/>
            </w:pPr>
          </w:p>
        </w:tc>
        <w:tc>
          <w:tcPr>
            <w:tcW w:w="2330" w:type="dxa"/>
          </w:tcPr>
          <w:p w14:paraId="592444F6" w14:textId="77777777" w:rsidR="00A46CCC" w:rsidRDefault="00D96FE4" w:rsidP="00F92355">
            <w:pPr>
              <w:pStyle w:val="NormalHeadings"/>
              <w:jc w:val="right"/>
            </w:pPr>
            <w:bookmarkStart w:id="11" w:name="FileNo"/>
            <w:r>
              <w:t>NSD 265 of 2020</w:t>
            </w:r>
            <w:bookmarkEnd w:id="11"/>
          </w:p>
        </w:tc>
      </w:tr>
      <w:tr w:rsidR="00A76C13" w14:paraId="5C253E94" w14:textId="77777777" w:rsidTr="009909E9">
        <w:tc>
          <w:tcPr>
            <w:tcW w:w="9242" w:type="dxa"/>
            <w:gridSpan w:val="3"/>
          </w:tcPr>
          <w:p w14:paraId="5C26EB7F" w14:textId="77777777" w:rsidR="00A76C13" w:rsidRPr="00A76C13" w:rsidRDefault="00D96FE4" w:rsidP="00D96FE4">
            <w:pPr>
              <w:pStyle w:val="NormalHeadings"/>
              <w:jc w:val="left"/>
            </w:pPr>
            <w:bookmarkStart w:id="12" w:name="InTheMatterOf"/>
            <w:r>
              <w:t xml:space="preserve"> </w:t>
            </w:r>
            <w:bookmarkEnd w:id="12"/>
          </w:p>
        </w:tc>
      </w:tr>
      <w:tr w:rsidR="00A46CCC" w14:paraId="1EB45772" w14:textId="77777777" w:rsidTr="009909E9">
        <w:trPr>
          <w:trHeight w:val="386"/>
        </w:trPr>
        <w:tc>
          <w:tcPr>
            <w:tcW w:w="2376" w:type="dxa"/>
          </w:tcPr>
          <w:p w14:paraId="1BDE8CA2" w14:textId="77777777" w:rsidR="00A46CCC" w:rsidRDefault="00A46CCC" w:rsidP="009909E9">
            <w:pPr>
              <w:pStyle w:val="NormalHeadings"/>
              <w:jc w:val="left"/>
              <w:rPr>
                <w:caps/>
                <w:szCs w:val="24"/>
              </w:rPr>
            </w:pPr>
            <w:bookmarkStart w:id="13" w:name="Parties"/>
            <w:r>
              <w:rPr>
                <w:caps/>
                <w:szCs w:val="24"/>
              </w:rPr>
              <w:t>BETWEEN:</w:t>
            </w:r>
          </w:p>
        </w:tc>
        <w:tc>
          <w:tcPr>
            <w:tcW w:w="6866" w:type="dxa"/>
            <w:gridSpan w:val="2"/>
          </w:tcPr>
          <w:p w14:paraId="43C5E6A9" w14:textId="77777777" w:rsidR="00D96FE4" w:rsidRDefault="00D96FE4" w:rsidP="00D96FE4">
            <w:pPr>
              <w:pStyle w:val="NormalHeadings"/>
              <w:jc w:val="left"/>
            </w:pPr>
            <w:bookmarkStart w:id="14" w:name="Applicant"/>
            <w:r>
              <w:t>SZQKE</w:t>
            </w:r>
          </w:p>
          <w:p w14:paraId="1A2EC9FF" w14:textId="77777777" w:rsidR="00D96FE4" w:rsidRDefault="00D96FE4" w:rsidP="00D96FE4">
            <w:pPr>
              <w:pStyle w:val="PartyType"/>
            </w:pPr>
            <w:r>
              <w:t>Appellant</w:t>
            </w:r>
          </w:p>
          <w:bookmarkEnd w:id="14"/>
          <w:p w14:paraId="100804FF" w14:textId="77777777" w:rsidR="00A46CCC" w:rsidRPr="006555B4" w:rsidRDefault="00A46CCC" w:rsidP="009909E9">
            <w:pPr>
              <w:pStyle w:val="NormalHeadings"/>
              <w:jc w:val="left"/>
            </w:pPr>
          </w:p>
        </w:tc>
      </w:tr>
      <w:tr w:rsidR="00A46CCC" w14:paraId="1DF1F28D" w14:textId="77777777" w:rsidTr="009909E9">
        <w:trPr>
          <w:trHeight w:val="386"/>
        </w:trPr>
        <w:tc>
          <w:tcPr>
            <w:tcW w:w="2376" w:type="dxa"/>
          </w:tcPr>
          <w:p w14:paraId="078B7BB9" w14:textId="77777777" w:rsidR="00A46CCC" w:rsidRDefault="00A46CCC" w:rsidP="009909E9">
            <w:pPr>
              <w:pStyle w:val="NormalHeadings"/>
              <w:jc w:val="left"/>
              <w:rPr>
                <w:caps/>
                <w:szCs w:val="24"/>
              </w:rPr>
            </w:pPr>
            <w:r>
              <w:rPr>
                <w:caps/>
                <w:szCs w:val="24"/>
              </w:rPr>
              <w:t>AND:</w:t>
            </w:r>
          </w:p>
        </w:tc>
        <w:tc>
          <w:tcPr>
            <w:tcW w:w="6866" w:type="dxa"/>
            <w:gridSpan w:val="2"/>
          </w:tcPr>
          <w:p w14:paraId="0D160A61" w14:textId="77777777" w:rsidR="00D96FE4" w:rsidRDefault="00D96FE4" w:rsidP="00D96FE4">
            <w:pPr>
              <w:pStyle w:val="NormalHeadings"/>
              <w:jc w:val="left"/>
            </w:pPr>
            <w:bookmarkStart w:id="15" w:name="Respondent"/>
            <w:r>
              <w:t>MINISTER FOR IMMIGRATION AND BORDER PROTECTION</w:t>
            </w:r>
          </w:p>
          <w:p w14:paraId="2198D81F" w14:textId="77777777" w:rsidR="00D96FE4" w:rsidRDefault="00D96FE4" w:rsidP="00D96FE4">
            <w:pPr>
              <w:pStyle w:val="PartyType"/>
            </w:pPr>
            <w:r>
              <w:t>First Respondent</w:t>
            </w:r>
          </w:p>
          <w:p w14:paraId="7FA7EF88" w14:textId="77777777" w:rsidR="00D96FE4" w:rsidRDefault="00D96FE4" w:rsidP="009909E9">
            <w:pPr>
              <w:pStyle w:val="NormalHeadings"/>
              <w:jc w:val="left"/>
              <w:rPr>
                <w:szCs w:val="24"/>
              </w:rPr>
            </w:pPr>
          </w:p>
          <w:p w14:paraId="689D1F2D" w14:textId="77777777" w:rsidR="00D96FE4" w:rsidRDefault="00D96FE4" w:rsidP="00D96FE4">
            <w:pPr>
              <w:pStyle w:val="NormalHeadings"/>
              <w:jc w:val="left"/>
            </w:pPr>
            <w:r>
              <w:t>SECRETARY OF THE DEPARTMENT OF IMMIGRATION AND BORDER PROTECTION</w:t>
            </w:r>
          </w:p>
          <w:p w14:paraId="6EC1FB67" w14:textId="77777777" w:rsidR="00D96FE4" w:rsidRDefault="00D96FE4" w:rsidP="00D96FE4">
            <w:pPr>
              <w:pStyle w:val="PartyType"/>
            </w:pPr>
            <w:r>
              <w:t>Second Respondent</w:t>
            </w:r>
          </w:p>
          <w:bookmarkEnd w:id="15"/>
          <w:p w14:paraId="22D69A80" w14:textId="77777777" w:rsidR="00A46CCC" w:rsidRPr="006555B4" w:rsidRDefault="00A46CCC" w:rsidP="009909E9">
            <w:pPr>
              <w:pStyle w:val="NormalHeadings"/>
              <w:jc w:val="left"/>
            </w:pPr>
          </w:p>
        </w:tc>
      </w:tr>
    </w:tbl>
    <w:p w14:paraId="65F2BABA"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5BA33259" w14:textId="77777777">
        <w:tc>
          <w:tcPr>
            <w:tcW w:w="2376" w:type="dxa"/>
          </w:tcPr>
          <w:p w14:paraId="2BF2518E"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0A2F8237" w14:textId="77777777" w:rsidR="00395B24" w:rsidRDefault="00D96FE4">
            <w:pPr>
              <w:pStyle w:val="NormalHeadings"/>
              <w:jc w:val="left"/>
              <w:rPr>
                <w:caps/>
                <w:szCs w:val="24"/>
              </w:rPr>
            </w:pPr>
            <w:bookmarkStart w:id="18" w:name="Judge"/>
            <w:r>
              <w:rPr>
                <w:caps/>
                <w:szCs w:val="24"/>
              </w:rPr>
              <w:t>DAVIES J</w:t>
            </w:r>
            <w:bookmarkEnd w:id="18"/>
          </w:p>
        </w:tc>
      </w:tr>
      <w:tr w:rsidR="00395B24" w14:paraId="172C4F8B" w14:textId="77777777">
        <w:tc>
          <w:tcPr>
            <w:tcW w:w="2376" w:type="dxa"/>
          </w:tcPr>
          <w:p w14:paraId="1ECF6D48" w14:textId="77777777" w:rsidR="00395B24" w:rsidRDefault="002C7385">
            <w:pPr>
              <w:pStyle w:val="NormalHeadings"/>
              <w:spacing w:after="120"/>
              <w:jc w:val="left"/>
              <w:rPr>
                <w:caps/>
                <w:szCs w:val="24"/>
              </w:rPr>
            </w:pPr>
            <w:r>
              <w:rPr>
                <w:caps/>
                <w:szCs w:val="24"/>
              </w:rPr>
              <w:t>DATE OF ORDER:</w:t>
            </w:r>
          </w:p>
        </w:tc>
        <w:tc>
          <w:tcPr>
            <w:tcW w:w="6866" w:type="dxa"/>
          </w:tcPr>
          <w:p w14:paraId="16A01AAE" w14:textId="65B773C2" w:rsidR="00395B24" w:rsidRDefault="000F6A2D">
            <w:pPr>
              <w:pStyle w:val="NormalHeadings"/>
              <w:jc w:val="left"/>
              <w:rPr>
                <w:caps/>
                <w:szCs w:val="24"/>
              </w:rPr>
            </w:pPr>
            <w:r>
              <w:rPr>
                <w:caps/>
                <w:szCs w:val="24"/>
              </w:rPr>
              <w:t>26 july 2021</w:t>
            </w:r>
          </w:p>
        </w:tc>
      </w:tr>
    </w:tbl>
    <w:p w14:paraId="19F4422B" w14:textId="77777777" w:rsidR="00395B24" w:rsidRDefault="00395B24">
      <w:pPr>
        <w:pStyle w:val="NormalHeadings"/>
        <w:rPr>
          <w:b w:val="0"/>
        </w:rPr>
      </w:pPr>
    </w:p>
    <w:p w14:paraId="4A9B27B7" w14:textId="77777777" w:rsidR="008D1617" w:rsidRDefault="008D1617">
      <w:pPr>
        <w:pStyle w:val="NormalHeadings"/>
        <w:rPr>
          <w:b w:val="0"/>
        </w:rPr>
      </w:pPr>
    </w:p>
    <w:p w14:paraId="3D4F64E2" w14:textId="77777777" w:rsidR="00395B24" w:rsidRDefault="002C7385">
      <w:pPr>
        <w:pStyle w:val="NormalHeadings"/>
      </w:pPr>
      <w:r>
        <w:t>THE COURT ORDERS THAT:</w:t>
      </w:r>
    </w:p>
    <w:p w14:paraId="29DDFDEE" w14:textId="77777777" w:rsidR="007F60DF" w:rsidRDefault="007F60DF" w:rsidP="00243E5E">
      <w:pPr>
        <w:pStyle w:val="NormalHeadings"/>
      </w:pPr>
    </w:p>
    <w:p w14:paraId="44636668" w14:textId="02C8777A" w:rsidR="00C07FA6" w:rsidRPr="00166E33" w:rsidRDefault="00C07FA6" w:rsidP="001A6C52">
      <w:pPr>
        <w:pStyle w:val="Order1"/>
      </w:pPr>
      <w:r w:rsidRPr="00166E33">
        <w:t>The interlocutory application</w:t>
      </w:r>
      <w:r w:rsidR="00F410D7" w:rsidRPr="00166E33">
        <w:t xml:space="preserve"> to adduce further evidence on appeal</w:t>
      </w:r>
      <w:r w:rsidRPr="00166E33">
        <w:t xml:space="preserve"> be</w:t>
      </w:r>
      <w:r w:rsidR="00076F8B" w:rsidRPr="00166E33">
        <w:t xml:space="preserve"> dismissed</w:t>
      </w:r>
      <w:r w:rsidRPr="00166E33">
        <w:t>.</w:t>
      </w:r>
    </w:p>
    <w:p w14:paraId="345C808B" w14:textId="77777777" w:rsidR="001A6C52" w:rsidRPr="00166E33" w:rsidRDefault="00C07FA6" w:rsidP="001A6C52">
      <w:pPr>
        <w:pStyle w:val="Order1"/>
      </w:pPr>
      <w:r w:rsidRPr="00166E33">
        <w:t>The appeal be dismissed.</w:t>
      </w:r>
    </w:p>
    <w:p w14:paraId="5BBC2963" w14:textId="77777777" w:rsidR="00F410D7" w:rsidRPr="00166E33" w:rsidRDefault="00F410D7" w:rsidP="001A6C52">
      <w:pPr>
        <w:pStyle w:val="Order1"/>
      </w:pPr>
      <w:r w:rsidRPr="00166E33">
        <w:t xml:space="preserve">The appellant </w:t>
      </w:r>
      <w:r w:rsidR="00CA3B98" w:rsidRPr="00166E33">
        <w:t xml:space="preserve">is </w:t>
      </w:r>
      <w:r w:rsidRPr="00166E33">
        <w:t xml:space="preserve">to pay the </w:t>
      </w:r>
      <w:r w:rsidR="0087669C" w:rsidRPr="00166E33">
        <w:t xml:space="preserve">costs of the first </w:t>
      </w:r>
      <w:r w:rsidRPr="00166E33">
        <w:t>respondent.</w:t>
      </w:r>
    </w:p>
    <w:p w14:paraId="5C8CB373" w14:textId="77777777" w:rsidR="001A6C52" w:rsidRDefault="001A6C52" w:rsidP="001A6C52">
      <w:pPr>
        <w:pStyle w:val="BodyText"/>
      </w:pPr>
    </w:p>
    <w:p w14:paraId="1CCD1F9E" w14:textId="77777777" w:rsidR="00C07FA6" w:rsidRDefault="00C07FA6" w:rsidP="001A6C52">
      <w:pPr>
        <w:pStyle w:val="BodyText"/>
      </w:pPr>
    </w:p>
    <w:p w14:paraId="0442A5E7" w14:textId="77777777" w:rsidR="00C07FA6" w:rsidRDefault="00C07FA6" w:rsidP="001A6C52">
      <w:pPr>
        <w:pStyle w:val="BodyText"/>
      </w:pPr>
    </w:p>
    <w:p w14:paraId="0BE3368F" w14:textId="77777777" w:rsidR="00C07FA6" w:rsidRDefault="00C07FA6" w:rsidP="001A6C52">
      <w:pPr>
        <w:pStyle w:val="BodyText"/>
      </w:pPr>
    </w:p>
    <w:p w14:paraId="26B0C2CC" w14:textId="77777777" w:rsidR="00C07FA6" w:rsidRDefault="00C07FA6" w:rsidP="001A6C52">
      <w:pPr>
        <w:pStyle w:val="BodyText"/>
      </w:pPr>
    </w:p>
    <w:p w14:paraId="662DE473" w14:textId="77777777" w:rsidR="00C07FA6" w:rsidRDefault="00C07FA6" w:rsidP="001A6C52">
      <w:pPr>
        <w:pStyle w:val="BodyText"/>
      </w:pPr>
    </w:p>
    <w:p w14:paraId="09A1EF8A" w14:textId="77777777" w:rsidR="00A431E6" w:rsidRDefault="00A431E6" w:rsidP="001A6C52">
      <w:pPr>
        <w:pStyle w:val="BodyText"/>
      </w:pPr>
    </w:p>
    <w:p w14:paraId="246F39DB" w14:textId="77777777" w:rsidR="0050309C" w:rsidRDefault="00D96FE4"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5A0B4D4A" w14:textId="77777777" w:rsidR="009D328D" w:rsidRDefault="009D328D" w:rsidP="002B0E91">
      <w:pPr>
        <w:pStyle w:val="BodyText"/>
      </w:pPr>
    </w:p>
    <w:p w14:paraId="7EA0FBB3"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00E510D8"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6EC3EA09" w14:textId="77777777" w:rsidR="00694BEB" w:rsidRDefault="007D5BB2" w:rsidP="005E0510">
      <w:pPr>
        <w:pStyle w:val="NormalHeadings"/>
        <w:spacing w:line="360" w:lineRule="auto"/>
        <w:jc w:val="left"/>
        <w:rPr>
          <w:sz w:val="26"/>
          <w:szCs w:val="26"/>
        </w:rPr>
      </w:pPr>
      <w:r>
        <w:rPr>
          <w:sz w:val="26"/>
          <w:szCs w:val="26"/>
        </w:rPr>
        <w:t>DAVIES J:</w:t>
      </w:r>
    </w:p>
    <w:p w14:paraId="6CF6449E" w14:textId="77777777" w:rsidR="0051434F" w:rsidRDefault="007D5BB2" w:rsidP="007D5BB2">
      <w:pPr>
        <w:pStyle w:val="Heading1"/>
      </w:pPr>
      <w:r>
        <w:t>Introduction</w:t>
      </w:r>
    </w:p>
    <w:p w14:paraId="3EB3559D" w14:textId="77777777" w:rsidR="007D5BB2" w:rsidRDefault="007D5BB2" w:rsidP="0051434F">
      <w:pPr>
        <w:pStyle w:val="ParaNumbering"/>
      </w:pPr>
      <w:r>
        <w:t>The appellant has appealed a decision of the Federal Circuit Court of Australia (</w:t>
      </w:r>
      <w:r>
        <w:rPr>
          <w:b/>
        </w:rPr>
        <w:t>FCC</w:t>
      </w:r>
      <w:r>
        <w:t>) dismissing his application for judicial review of an adverse Independent Treaties Obligations Assessment</w:t>
      </w:r>
      <w:r w:rsidR="006329BE">
        <w:t xml:space="preserve"> (</w:t>
      </w:r>
      <w:r w:rsidR="006329BE">
        <w:rPr>
          <w:b/>
        </w:rPr>
        <w:t>ITOA</w:t>
      </w:r>
      <w:r w:rsidR="006329BE">
        <w:t>)</w:t>
      </w:r>
      <w:r>
        <w:t xml:space="preserve"> conducted by an officer (</w:t>
      </w:r>
      <w:r>
        <w:rPr>
          <w:b/>
        </w:rPr>
        <w:t>a</w:t>
      </w:r>
      <w:r w:rsidRPr="007D5BB2">
        <w:rPr>
          <w:b/>
        </w:rPr>
        <w:t>ss</w:t>
      </w:r>
      <w:r>
        <w:rPr>
          <w:b/>
        </w:rPr>
        <w:t>essor</w:t>
      </w:r>
      <w:r>
        <w:t xml:space="preserve">) in the department of the first </w:t>
      </w:r>
      <w:r w:rsidRPr="002A34CB">
        <w:t>respondent</w:t>
      </w:r>
      <w:r w:rsidR="007D0834" w:rsidRPr="002A34CB">
        <w:t xml:space="preserve"> (</w:t>
      </w:r>
      <w:r w:rsidR="007D0834" w:rsidRPr="002A34CB">
        <w:rPr>
          <w:b/>
        </w:rPr>
        <w:t>the Minister</w:t>
      </w:r>
      <w:r w:rsidR="007D0834" w:rsidRPr="002A34CB">
        <w:t>)</w:t>
      </w:r>
      <w:r w:rsidRPr="002A34CB">
        <w:t>.</w:t>
      </w:r>
    </w:p>
    <w:p w14:paraId="00E83763" w14:textId="75D4B64A" w:rsidR="007D5BB2" w:rsidRDefault="007D5BB2" w:rsidP="0051434F">
      <w:pPr>
        <w:pStyle w:val="ParaNumbering"/>
      </w:pPr>
      <w:r>
        <w:t xml:space="preserve">The appellant is a citizen of Afghanistan who arrived at Christmas Island as an irregular maritime arrival on 11 January 2010.  </w:t>
      </w:r>
      <w:r w:rsidR="00F70923">
        <w:t xml:space="preserve">The procedural history of </w:t>
      </w:r>
      <w:r w:rsidR="00E62FB1">
        <w:t xml:space="preserve">the appellant’s protection visa application following his arrival in Australia </w:t>
      </w:r>
      <w:r w:rsidR="00E62FB1" w:rsidRPr="004008A8">
        <w:t>is lengthy</w:t>
      </w:r>
      <w:r w:rsidR="007D0834" w:rsidRPr="004008A8">
        <w:t>,</w:t>
      </w:r>
      <w:r w:rsidR="00E62FB1" w:rsidRPr="004008A8">
        <w:t xml:space="preserve"> </w:t>
      </w:r>
      <w:r w:rsidRPr="004008A8">
        <w:t>but</w:t>
      </w:r>
      <w:r>
        <w:t xml:space="preserve"> need</w:t>
      </w:r>
      <w:r w:rsidR="00E62FB1">
        <w:t xml:space="preserve"> not</w:t>
      </w:r>
      <w:r>
        <w:t xml:space="preserve"> be traversed.  It i</w:t>
      </w:r>
      <w:r w:rsidR="00B33139">
        <w:t xml:space="preserve">s sufficient to record that </w:t>
      </w:r>
      <w:r w:rsidR="00143603">
        <w:t xml:space="preserve">the </w:t>
      </w:r>
      <w:r>
        <w:t xml:space="preserve">assessor </w:t>
      </w:r>
      <w:r w:rsidR="00120659">
        <w:t xml:space="preserve">who </w:t>
      </w:r>
      <w:r w:rsidR="00120659" w:rsidRPr="004008A8">
        <w:t xml:space="preserve">conducted the </w:t>
      </w:r>
      <w:r w:rsidR="00B9327C" w:rsidRPr="004008A8">
        <w:t>ITOA</w:t>
      </w:r>
      <w:r w:rsidR="00143603" w:rsidRPr="004008A8">
        <w:t xml:space="preserve"> </w:t>
      </w:r>
      <w:r w:rsidRPr="004008A8">
        <w:t xml:space="preserve">was not </w:t>
      </w:r>
      <w:r w:rsidR="00F50D49" w:rsidRPr="004008A8">
        <w:t>satisfied</w:t>
      </w:r>
      <w:r w:rsidRPr="004008A8">
        <w:t xml:space="preserve"> t</w:t>
      </w:r>
      <w:r w:rsidR="00F16500" w:rsidRPr="004008A8">
        <w:t>hat</w:t>
      </w:r>
      <w:r w:rsidR="00F16500">
        <w:t xml:space="preserve"> the appellant</w:t>
      </w:r>
      <w:r w:rsidR="0033226C">
        <w:t xml:space="preserve"> </w:t>
      </w:r>
      <w:r w:rsidR="00910C1F">
        <w:t xml:space="preserve">has a well-founded fear </w:t>
      </w:r>
      <w:r w:rsidR="00002E75">
        <w:t xml:space="preserve">that he would be </w:t>
      </w:r>
      <w:r w:rsidR="00910C1F">
        <w:t>persecuted</w:t>
      </w:r>
      <w:r w:rsidR="000746D6">
        <w:t xml:space="preserve"> for reasons</w:t>
      </w:r>
      <w:r w:rsidR="0033226C">
        <w:t xml:space="preserve"> of </w:t>
      </w:r>
      <w:r w:rsidR="00F16500">
        <w:t xml:space="preserve">his Shia religion, </w:t>
      </w:r>
      <w:proofErr w:type="spellStart"/>
      <w:r w:rsidR="00F16500">
        <w:t>Hazara</w:t>
      </w:r>
      <w:proofErr w:type="spellEnd"/>
      <w:r w:rsidR="00F16500">
        <w:t xml:space="preserve"> ethnicity or imputed political opinion</w:t>
      </w:r>
      <w:r w:rsidR="00076F8B">
        <w:t xml:space="preserve"> </w:t>
      </w:r>
      <w:r w:rsidR="00C241D6">
        <w:t xml:space="preserve">or that there is a real risk </w:t>
      </w:r>
      <w:r w:rsidR="002407AB">
        <w:t>he will suffer significant harm in</w:t>
      </w:r>
      <w:r w:rsidR="002407AB" w:rsidRPr="002407AB">
        <w:t xml:space="preserve"> </w:t>
      </w:r>
      <w:r w:rsidR="002407AB">
        <w:t>Afghanistan</w:t>
      </w:r>
      <w:r w:rsidR="004E566D">
        <w:t>,</w:t>
      </w:r>
      <w:r w:rsidR="002407AB">
        <w:t xml:space="preserve"> </w:t>
      </w:r>
      <w:r w:rsidR="004E566D">
        <w:t xml:space="preserve">if he returned to Afghanistan </w:t>
      </w:r>
      <w:r w:rsidR="00143603">
        <w:t>and</w:t>
      </w:r>
      <w:r w:rsidR="004E566D">
        <w:t>,</w:t>
      </w:r>
      <w:r w:rsidR="00143603">
        <w:t xml:space="preserve"> </w:t>
      </w:r>
      <w:r w:rsidR="00002E75" w:rsidRPr="004008A8">
        <w:t>thus</w:t>
      </w:r>
      <w:r w:rsidR="007D0834" w:rsidRPr="004008A8">
        <w:t>,</w:t>
      </w:r>
      <w:r w:rsidR="00002E75" w:rsidRPr="004008A8">
        <w:t xml:space="preserve"> </w:t>
      </w:r>
      <w:r w:rsidRPr="004008A8">
        <w:t xml:space="preserve">was </w:t>
      </w:r>
      <w:r w:rsidR="00143603" w:rsidRPr="004008A8">
        <w:t>not</w:t>
      </w:r>
      <w:r w:rsidR="00143603">
        <w:t xml:space="preserve"> </w:t>
      </w:r>
      <w:r w:rsidR="00002E75">
        <w:t>a person to whom Australia has</w:t>
      </w:r>
      <w:r>
        <w:t xml:space="preserve"> non</w:t>
      </w:r>
      <w:r>
        <w:noBreakHyphen/>
      </w:r>
      <w:proofErr w:type="spellStart"/>
      <w:r w:rsidR="00F50D49">
        <w:t>refoulement</w:t>
      </w:r>
      <w:proofErr w:type="spellEnd"/>
      <w:r>
        <w:t xml:space="preserve"> obligations</w:t>
      </w:r>
      <w:r w:rsidR="00143603">
        <w:t xml:space="preserve">. </w:t>
      </w:r>
      <w:r w:rsidR="007D0834">
        <w:t xml:space="preserve"> </w:t>
      </w:r>
      <w:r w:rsidR="00002E75">
        <w:t xml:space="preserve">The </w:t>
      </w:r>
      <w:r w:rsidR="0080643C">
        <w:t>assessor</w:t>
      </w:r>
      <w:r w:rsidR="00002E75">
        <w:t xml:space="preserve">’s lack of satisfaction was based in part on </w:t>
      </w:r>
      <w:r w:rsidR="0080643C">
        <w:t>country</w:t>
      </w:r>
      <w:r w:rsidR="00002E75">
        <w:t xml:space="preserve"> inf</w:t>
      </w:r>
      <w:r w:rsidR="00002E75" w:rsidRPr="004008A8">
        <w:t>ormation</w:t>
      </w:r>
      <w:r w:rsidR="007D34D3" w:rsidRPr="004008A8">
        <w:t xml:space="preserve"> </w:t>
      </w:r>
      <w:r w:rsidR="001237F2" w:rsidRPr="004008A8">
        <w:t xml:space="preserve">taken from the sources </w:t>
      </w:r>
      <w:r w:rsidR="007D34D3" w:rsidRPr="004008A8">
        <w:t xml:space="preserve">referenced </w:t>
      </w:r>
      <w:r w:rsidR="00047CE9" w:rsidRPr="004008A8">
        <w:t xml:space="preserve">at </w:t>
      </w:r>
      <w:r w:rsidR="007D34D3" w:rsidRPr="004008A8">
        <w:t>footnotes</w:t>
      </w:r>
      <w:r w:rsidR="00E4457C" w:rsidRPr="004008A8">
        <w:t xml:space="preserve"> (</w:t>
      </w:r>
      <w:proofErr w:type="spellStart"/>
      <w:r w:rsidR="00E4457C" w:rsidRPr="004008A8">
        <w:rPr>
          <w:b/>
        </w:rPr>
        <w:t>fn</w:t>
      </w:r>
      <w:proofErr w:type="spellEnd"/>
      <w:r w:rsidR="00E4457C" w:rsidRPr="004008A8">
        <w:t>)</w:t>
      </w:r>
      <w:r w:rsidR="007D34D3" w:rsidRPr="004008A8">
        <w:t xml:space="preserve"> 80 to 89 </w:t>
      </w:r>
      <w:r w:rsidR="007A1F32" w:rsidRPr="004008A8">
        <w:t xml:space="preserve">and 97 </w:t>
      </w:r>
      <w:r w:rsidR="007D34D3" w:rsidRPr="004008A8">
        <w:t xml:space="preserve">of the </w:t>
      </w:r>
      <w:r w:rsidR="00B9327C" w:rsidRPr="004008A8">
        <w:t xml:space="preserve">ITOA </w:t>
      </w:r>
      <w:r w:rsidR="007D34D3" w:rsidRPr="004008A8">
        <w:t>report</w:t>
      </w:r>
      <w:r w:rsidR="0080643C">
        <w:t xml:space="preserve">.  </w:t>
      </w:r>
    </w:p>
    <w:p w14:paraId="67A19226" w14:textId="1604C1BC" w:rsidR="00C82511" w:rsidRDefault="009A2489" w:rsidP="00C82511">
      <w:pPr>
        <w:pStyle w:val="Heading1"/>
      </w:pPr>
      <w:r>
        <w:t>the assessor’s</w:t>
      </w:r>
      <w:r w:rsidR="00C82511" w:rsidRPr="007D0834">
        <w:t xml:space="preserve"> report</w:t>
      </w:r>
    </w:p>
    <w:p w14:paraId="3C70BD0F" w14:textId="386C281C" w:rsidR="00AB3DDB" w:rsidRDefault="00E056CE" w:rsidP="00AB3DDB">
      <w:pPr>
        <w:pStyle w:val="ParaNumbering"/>
      </w:pPr>
      <w:r>
        <w:t xml:space="preserve">The appellant’s home province was </w:t>
      </w:r>
      <w:proofErr w:type="spellStart"/>
      <w:r>
        <w:t>Bamiyan</w:t>
      </w:r>
      <w:proofErr w:type="spellEnd"/>
      <w:r>
        <w:t xml:space="preserve"> and a</w:t>
      </w:r>
      <w:r w:rsidR="00EA69C2">
        <w:t xml:space="preserve">mongst other things, the assessor considered </w:t>
      </w:r>
      <w:r>
        <w:t xml:space="preserve">whether </w:t>
      </w:r>
      <w:r w:rsidR="00DB7B6E">
        <w:t xml:space="preserve">there </w:t>
      </w:r>
      <w:r w:rsidR="001237F2">
        <w:t xml:space="preserve">is </w:t>
      </w:r>
      <w:r w:rsidR="00DB7B6E">
        <w:t xml:space="preserve">a </w:t>
      </w:r>
      <w:r>
        <w:t>real chance that the appellant would face persecution throughout Afghanistan</w:t>
      </w:r>
      <w:r w:rsidR="00DB7B6E">
        <w:t xml:space="preserve"> because he is a Shia </w:t>
      </w:r>
      <w:proofErr w:type="spellStart"/>
      <w:r w:rsidR="00DB7B6E">
        <w:t>Hazara</w:t>
      </w:r>
      <w:proofErr w:type="spellEnd"/>
      <w:r>
        <w:t xml:space="preserve">.  </w:t>
      </w:r>
      <w:r w:rsidR="00DB7B6E">
        <w:t xml:space="preserve">The </w:t>
      </w:r>
      <w:r w:rsidR="00EA69C2">
        <w:t xml:space="preserve">assessor </w:t>
      </w:r>
      <w:r w:rsidR="00DB7B6E">
        <w:t xml:space="preserve">concluded that an objective consideration of the country information did not support a finding that “simply being a Shia </w:t>
      </w:r>
      <w:proofErr w:type="spellStart"/>
      <w:r w:rsidR="00DB7B6E">
        <w:t>Hazara</w:t>
      </w:r>
      <w:proofErr w:type="spellEnd"/>
      <w:r w:rsidR="00DB7B6E">
        <w:t>” would create a real chance that he would face persecution throughout Afghanistan</w:t>
      </w:r>
      <w:r w:rsidR="00A45262">
        <w:t xml:space="preserve">. </w:t>
      </w:r>
      <w:r w:rsidR="009F5A11">
        <w:t xml:space="preserve"> </w:t>
      </w:r>
      <w:r w:rsidR="00A45262">
        <w:t xml:space="preserve">In forming that view, the assessor took into account that the appellant may need to travel on the roads in and out of </w:t>
      </w:r>
      <w:proofErr w:type="spellStart"/>
      <w:r w:rsidR="00A45262">
        <w:t>Bamiyan</w:t>
      </w:r>
      <w:proofErr w:type="spellEnd"/>
      <w:r w:rsidR="00A45262">
        <w:t xml:space="preserve"> if he were to return to</w:t>
      </w:r>
      <w:r w:rsidR="00A45262" w:rsidRPr="00A45262">
        <w:t xml:space="preserve"> </w:t>
      </w:r>
      <w:r w:rsidR="00A45262">
        <w:t xml:space="preserve">Afghanistan </w:t>
      </w:r>
      <w:r w:rsidR="00A45262" w:rsidRPr="001E33D8">
        <w:t xml:space="preserve">and “in that context … considered the issue of road security in Afghanistan, in particular for Shias and </w:t>
      </w:r>
      <w:proofErr w:type="spellStart"/>
      <w:r w:rsidR="00A45262" w:rsidRPr="001E33D8">
        <w:t>Hazaras</w:t>
      </w:r>
      <w:proofErr w:type="spellEnd"/>
      <w:r w:rsidR="000E1875" w:rsidRPr="001E33D8">
        <w:t>”</w:t>
      </w:r>
      <w:r w:rsidR="00A45262" w:rsidRPr="001E33D8">
        <w:t>.</w:t>
      </w:r>
      <w:r w:rsidR="00A45262">
        <w:t xml:space="preserve"> </w:t>
      </w:r>
      <w:r w:rsidR="009F5A11">
        <w:t xml:space="preserve"> </w:t>
      </w:r>
      <w:r w:rsidR="00D62E1E">
        <w:t xml:space="preserve">The country information considered by the assessor included reports of </w:t>
      </w:r>
      <w:proofErr w:type="spellStart"/>
      <w:r w:rsidR="00D62E1E">
        <w:t>Hazaras</w:t>
      </w:r>
      <w:proofErr w:type="spellEnd"/>
      <w:r w:rsidR="00D62E1E">
        <w:t xml:space="preserve"> being killed in</w:t>
      </w:r>
      <w:r w:rsidR="00D62E1E" w:rsidRPr="00D62E1E">
        <w:t xml:space="preserve"> </w:t>
      </w:r>
      <w:r w:rsidR="00D62E1E">
        <w:t xml:space="preserve">Afghanistan by the Taliban.  That country information was </w:t>
      </w:r>
      <w:r w:rsidR="001237F2">
        <w:t xml:space="preserve">taken from </w:t>
      </w:r>
      <w:r w:rsidR="004021FD">
        <w:t xml:space="preserve">the sources cited at </w:t>
      </w:r>
      <w:r w:rsidR="00BE45B3">
        <w:t>footnotes </w:t>
      </w:r>
      <w:r w:rsidR="00D62E1E">
        <w:t>80</w:t>
      </w:r>
      <w:r w:rsidR="00BE45B3">
        <w:t>–</w:t>
      </w:r>
      <w:r w:rsidR="00D62E1E">
        <w:t>89</w:t>
      </w:r>
      <w:r w:rsidR="00074703">
        <w:t xml:space="preserve"> to the following passages:</w:t>
      </w:r>
      <w:r w:rsidR="00D62E1E">
        <w:t xml:space="preserve"> </w:t>
      </w:r>
    </w:p>
    <w:p w14:paraId="4C11B40D" w14:textId="6C26714C" w:rsidR="00AB3DDB" w:rsidRPr="00BA1B69" w:rsidRDefault="00D62E1E" w:rsidP="00AB3DDB">
      <w:pPr>
        <w:pStyle w:val="Quote1"/>
        <w:rPr>
          <w:vertAlign w:val="superscript"/>
          <w:lang w:eastAsia="en-AU"/>
        </w:rPr>
      </w:pPr>
      <w:r>
        <w:rPr>
          <w:shd w:val="clear" w:color="auto" w:fill="FFFFFF"/>
        </w:rPr>
        <w:t xml:space="preserve">I have considered a number of reports of </w:t>
      </w:r>
      <w:proofErr w:type="spellStart"/>
      <w:r>
        <w:rPr>
          <w:shd w:val="clear" w:color="auto" w:fill="FFFFFF"/>
        </w:rPr>
        <w:t>Hazaras</w:t>
      </w:r>
      <w:proofErr w:type="spellEnd"/>
      <w:r>
        <w:rPr>
          <w:shd w:val="clear" w:color="auto" w:fill="FFFFFF"/>
        </w:rPr>
        <w:t xml:space="preserve"> being killed in Afghanistan in recent years by the Taliban. For example in August 2012 there were reports of eleven </w:t>
      </w:r>
      <w:proofErr w:type="spellStart"/>
      <w:r>
        <w:rPr>
          <w:shd w:val="clear" w:color="auto" w:fill="FFFFFF"/>
        </w:rPr>
        <w:t>Hazaras</w:t>
      </w:r>
      <w:proofErr w:type="spellEnd"/>
      <w:r>
        <w:rPr>
          <w:shd w:val="clear" w:color="auto" w:fill="FFFFFF"/>
        </w:rPr>
        <w:t xml:space="preserve"> being killed in two incidents a week apart in </w:t>
      </w:r>
      <w:proofErr w:type="spellStart"/>
      <w:r>
        <w:rPr>
          <w:shd w:val="clear" w:color="auto" w:fill="FFFFFF"/>
        </w:rPr>
        <w:t>Jalrez</w:t>
      </w:r>
      <w:proofErr w:type="spellEnd"/>
      <w:r>
        <w:rPr>
          <w:shd w:val="clear" w:color="auto" w:fill="FFFFFF"/>
        </w:rPr>
        <w:t xml:space="preserve"> district of </w:t>
      </w:r>
      <w:proofErr w:type="spellStart"/>
      <w:r>
        <w:rPr>
          <w:shd w:val="clear" w:color="auto" w:fill="FFFFFF"/>
        </w:rPr>
        <w:t>Maidan</w:t>
      </w:r>
      <w:proofErr w:type="spellEnd"/>
      <w:r>
        <w:rPr>
          <w:shd w:val="clear" w:color="auto" w:fill="FFFFFF"/>
        </w:rPr>
        <w:t xml:space="preserve"> </w:t>
      </w:r>
      <w:proofErr w:type="spellStart"/>
      <w:r>
        <w:rPr>
          <w:shd w:val="clear" w:color="auto" w:fill="FFFFFF"/>
        </w:rPr>
        <w:t>Wardak</w:t>
      </w:r>
      <w:proofErr w:type="spellEnd"/>
      <w:r>
        <w:rPr>
          <w:shd w:val="clear" w:color="auto" w:fill="FFFFFF"/>
        </w:rPr>
        <w:t xml:space="preserve"> province </w:t>
      </w:r>
      <w:r>
        <w:rPr>
          <w:shd w:val="clear" w:color="auto" w:fill="FFFFFF"/>
        </w:rPr>
        <w:lastRenderedPageBreak/>
        <w:t xml:space="preserve">and of five </w:t>
      </w:r>
      <w:proofErr w:type="spellStart"/>
      <w:r>
        <w:rPr>
          <w:shd w:val="clear" w:color="auto" w:fill="FFFFFF"/>
        </w:rPr>
        <w:t>Hazaras</w:t>
      </w:r>
      <w:proofErr w:type="spellEnd"/>
      <w:r>
        <w:rPr>
          <w:shd w:val="clear" w:color="auto" w:fill="FFFFFF"/>
        </w:rPr>
        <w:t xml:space="preserve"> being taken off a bus and shot in </w:t>
      </w:r>
      <w:proofErr w:type="spellStart"/>
      <w:r>
        <w:rPr>
          <w:shd w:val="clear" w:color="auto" w:fill="FFFFFF"/>
        </w:rPr>
        <w:t>Andar</w:t>
      </w:r>
      <w:proofErr w:type="spellEnd"/>
      <w:r>
        <w:rPr>
          <w:shd w:val="clear" w:color="auto" w:fill="FFFFFF"/>
        </w:rPr>
        <w:t xml:space="preserve"> district of </w:t>
      </w:r>
      <w:proofErr w:type="spellStart"/>
      <w:r>
        <w:rPr>
          <w:shd w:val="clear" w:color="auto" w:fill="FFFFFF"/>
        </w:rPr>
        <w:t>Ghazni</w:t>
      </w:r>
      <w:proofErr w:type="spellEnd"/>
      <w:r>
        <w:rPr>
          <w:shd w:val="clear" w:color="auto" w:fill="FFFFFF"/>
        </w:rPr>
        <w:t xml:space="preserve"> province in October 2012. It has also been reported that the roads to </w:t>
      </w:r>
      <w:proofErr w:type="spellStart"/>
      <w:r>
        <w:rPr>
          <w:shd w:val="clear" w:color="auto" w:fill="FFFFFF"/>
        </w:rPr>
        <w:t>Bamiyan</w:t>
      </w:r>
      <w:proofErr w:type="spellEnd"/>
      <w:r>
        <w:rPr>
          <w:shd w:val="clear" w:color="auto" w:fill="FFFFFF"/>
        </w:rPr>
        <w:t xml:space="preserve"> through </w:t>
      </w:r>
      <w:proofErr w:type="spellStart"/>
      <w:r>
        <w:rPr>
          <w:shd w:val="clear" w:color="auto" w:fill="FFFFFF"/>
        </w:rPr>
        <w:t>Maidan</w:t>
      </w:r>
      <w:proofErr w:type="spellEnd"/>
      <w:r>
        <w:rPr>
          <w:shd w:val="clear" w:color="auto" w:fill="FFFFFF"/>
        </w:rPr>
        <w:t xml:space="preserve"> </w:t>
      </w:r>
      <w:proofErr w:type="spellStart"/>
      <w:r>
        <w:rPr>
          <w:shd w:val="clear" w:color="auto" w:fill="FFFFFF"/>
        </w:rPr>
        <w:t>Wardak</w:t>
      </w:r>
      <w:proofErr w:type="spellEnd"/>
      <w:r>
        <w:rPr>
          <w:shd w:val="clear" w:color="auto" w:fill="FFFFFF"/>
        </w:rPr>
        <w:t xml:space="preserve"> and Parwan have become more dangerous with a [sic] ‘tens’ of </w:t>
      </w:r>
      <w:proofErr w:type="spellStart"/>
      <w:r>
        <w:rPr>
          <w:shd w:val="clear" w:color="auto" w:fill="FFFFFF"/>
        </w:rPr>
        <w:t>Hazaras</w:t>
      </w:r>
      <w:proofErr w:type="spellEnd"/>
      <w:r>
        <w:rPr>
          <w:shd w:val="clear" w:color="auto" w:fill="FFFFFF"/>
        </w:rPr>
        <w:t xml:space="preserve"> being killed in </w:t>
      </w:r>
      <w:proofErr w:type="spellStart"/>
      <w:r>
        <w:rPr>
          <w:shd w:val="clear" w:color="auto" w:fill="FFFFFF"/>
        </w:rPr>
        <w:t>Ghorband</w:t>
      </w:r>
      <w:proofErr w:type="spellEnd"/>
      <w:r>
        <w:rPr>
          <w:shd w:val="clear" w:color="auto" w:fill="FFFFFF"/>
        </w:rPr>
        <w:t xml:space="preserve"> district in Parwan as well as in Jalrez</w:t>
      </w:r>
      <w:r w:rsidR="00BA1B69">
        <w:rPr>
          <w:shd w:val="clear" w:color="auto" w:fill="FFFFFF"/>
        </w:rPr>
        <w:t>.</w:t>
      </w:r>
      <w:r w:rsidR="00BA1B69">
        <w:rPr>
          <w:vertAlign w:val="superscript"/>
          <w:lang w:eastAsia="en-AU"/>
        </w:rPr>
        <w:t>80</w:t>
      </w:r>
    </w:p>
    <w:p w14:paraId="5E353B20" w14:textId="339ACF6A" w:rsidR="00AB3DDB" w:rsidRPr="00316391" w:rsidRDefault="00AB3DDB" w:rsidP="00AB3DDB">
      <w:pPr>
        <w:pStyle w:val="Quote1"/>
        <w:rPr>
          <w:sz w:val="18"/>
          <w:szCs w:val="18"/>
          <w:lang w:eastAsia="en-AU"/>
        </w:rPr>
      </w:pPr>
      <w:r w:rsidRPr="0016310F">
        <w:rPr>
          <w:lang w:eastAsia="en-AU"/>
        </w:rPr>
        <w:t xml:space="preserve">Regarding the reports of the killings in </w:t>
      </w:r>
      <w:proofErr w:type="spellStart"/>
      <w:r w:rsidRPr="0016310F">
        <w:rPr>
          <w:lang w:eastAsia="en-AU"/>
        </w:rPr>
        <w:t>Jalrez</w:t>
      </w:r>
      <w:proofErr w:type="spellEnd"/>
      <w:r w:rsidRPr="0016310F">
        <w:rPr>
          <w:lang w:eastAsia="en-AU"/>
        </w:rPr>
        <w:t xml:space="preserve">, The Kabul Press reported on the first killings that the district administrator had claimed the five men had worked at a foreign forces base, although the dead men's </w:t>
      </w:r>
      <w:r w:rsidRPr="00854C97">
        <w:rPr>
          <w:lang w:eastAsia="en-AU"/>
        </w:rPr>
        <w:t>families denied this.</w:t>
      </w:r>
      <w:r w:rsidR="00BA1B69">
        <w:rPr>
          <w:vertAlign w:val="superscript"/>
          <w:lang w:eastAsia="en-AU"/>
        </w:rPr>
        <w:t>81</w:t>
      </w:r>
      <w:r w:rsidRPr="00854C97">
        <w:rPr>
          <w:szCs w:val="22"/>
          <w:lang w:eastAsia="en-AU"/>
        </w:rPr>
        <w:t xml:space="preserve"> </w:t>
      </w:r>
      <w:r w:rsidR="00053915" w:rsidRPr="00854C97">
        <w:rPr>
          <w:szCs w:val="22"/>
          <w:lang w:eastAsia="en-AU"/>
        </w:rPr>
        <w:t xml:space="preserve">No information about the backgrounds of the victims of the second reported incident in </w:t>
      </w:r>
      <w:proofErr w:type="spellStart"/>
      <w:r w:rsidR="00053915" w:rsidRPr="00854C97">
        <w:rPr>
          <w:szCs w:val="22"/>
          <w:lang w:eastAsia="en-AU"/>
        </w:rPr>
        <w:t>Jalrez</w:t>
      </w:r>
      <w:proofErr w:type="spellEnd"/>
      <w:r w:rsidR="00053915" w:rsidRPr="00854C97">
        <w:rPr>
          <w:szCs w:val="22"/>
          <w:lang w:eastAsia="en-AU"/>
        </w:rPr>
        <w:t xml:space="preserve"> in August 2012 or the reasons for the killings could be located.</w:t>
      </w:r>
      <w:r w:rsidR="00053915">
        <w:rPr>
          <w:szCs w:val="22"/>
          <w:lang w:eastAsia="en-AU"/>
        </w:rPr>
        <w:t xml:space="preserve"> </w:t>
      </w:r>
      <w:r w:rsidRPr="00795570">
        <w:rPr>
          <w:szCs w:val="22"/>
          <w:lang w:eastAsia="en-AU"/>
        </w:rPr>
        <w:t>An</w:t>
      </w:r>
      <w:r>
        <w:rPr>
          <w:rFonts w:ascii="Arial" w:hAnsi="Arial" w:cs="Arial"/>
          <w:sz w:val="21"/>
          <w:szCs w:val="21"/>
          <w:lang w:eastAsia="en-AU"/>
        </w:rPr>
        <w:t xml:space="preserve"> </w:t>
      </w:r>
      <w:r>
        <w:rPr>
          <w:lang w:eastAsia="en-AU"/>
        </w:rPr>
        <w:t xml:space="preserve">investigation on the killings in </w:t>
      </w:r>
      <w:proofErr w:type="spellStart"/>
      <w:r>
        <w:rPr>
          <w:lang w:eastAsia="en-AU"/>
        </w:rPr>
        <w:t>Andar</w:t>
      </w:r>
      <w:proofErr w:type="spellEnd"/>
      <w:r>
        <w:rPr>
          <w:lang w:eastAsia="en-AU"/>
        </w:rPr>
        <w:t xml:space="preserve"> found that contrary to the first reports that all five were </w:t>
      </w:r>
      <w:proofErr w:type="spellStart"/>
      <w:r>
        <w:rPr>
          <w:lang w:eastAsia="en-AU"/>
        </w:rPr>
        <w:t>Hazaras</w:t>
      </w:r>
      <w:proofErr w:type="spellEnd"/>
      <w:r>
        <w:rPr>
          <w:lang w:eastAsia="en-AU"/>
        </w:rPr>
        <w:t xml:space="preserve">, the deceased were three </w:t>
      </w:r>
      <w:proofErr w:type="spellStart"/>
      <w:r>
        <w:rPr>
          <w:lang w:eastAsia="en-AU"/>
        </w:rPr>
        <w:t>Hazaras</w:t>
      </w:r>
      <w:proofErr w:type="spellEnd"/>
      <w:r>
        <w:rPr>
          <w:lang w:eastAsia="en-AU"/>
        </w:rPr>
        <w:t xml:space="preserve"> and two Tajiks and that they had been employed building a new police station in </w:t>
      </w:r>
      <w:proofErr w:type="spellStart"/>
      <w:r>
        <w:rPr>
          <w:lang w:eastAsia="en-AU"/>
        </w:rPr>
        <w:t>Waghaz</w:t>
      </w:r>
      <w:proofErr w:type="spellEnd"/>
      <w:r>
        <w:rPr>
          <w:lang w:eastAsia="en-AU"/>
        </w:rPr>
        <w:t xml:space="preserve"> district.</w:t>
      </w:r>
      <w:r w:rsidR="00991659">
        <w:rPr>
          <w:vertAlign w:val="superscript"/>
          <w:lang w:eastAsia="en-AU"/>
        </w:rPr>
        <w:t>82</w:t>
      </w:r>
    </w:p>
    <w:p w14:paraId="3B2A23C0" w14:textId="14041A9E" w:rsidR="00AB3DDB" w:rsidRPr="009A1736" w:rsidRDefault="00AB3DDB" w:rsidP="00AB3DDB">
      <w:pPr>
        <w:pStyle w:val="Quote1"/>
        <w:rPr>
          <w:lang w:eastAsia="en-AU"/>
        </w:rPr>
      </w:pPr>
      <w:r w:rsidRPr="00005E7B">
        <w:rPr>
          <w:lang w:eastAsia="en-AU"/>
        </w:rPr>
        <w:t xml:space="preserve">This is consistent with other reports of attacks on </w:t>
      </w:r>
      <w:proofErr w:type="spellStart"/>
      <w:r w:rsidRPr="00005E7B">
        <w:rPr>
          <w:lang w:eastAsia="en-AU"/>
        </w:rPr>
        <w:t>Hazaras</w:t>
      </w:r>
      <w:proofErr w:type="spellEnd"/>
      <w:r w:rsidRPr="00005E7B">
        <w:rPr>
          <w:lang w:eastAsia="en-AU"/>
        </w:rPr>
        <w:t xml:space="preserve"> in the past. For example, in the case of the nine or e</w:t>
      </w:r>
      <w:r w:rsidR="00854C97" w:rsidRPr="00005E7B">
        <w:rPr>
          <w:lang w:eastAsia="en-AU"/>
        </w:rPr>
        <w:t>leven (depending on the source)</w:t>
      </w:r>
      <w:r w:rsidR="003B176F" w:rsidRPr="00005E7B">
        <w:rPr>
          <w:lang w:eastAsia="en-AU"/>
        </w:rPr>
        <w:t xml:space="preserve"> </w:t>
      </w:r>
      <w:proofErr w:type="spellStart"/>
      <w:r w:rsidR="003B176F" w:rsidRPr="00005E7B">
        <w:rPr>
          <w:lang w:eastAsia="en-AU"/>
        </w:rPr>
        <w:t>Hazaras</w:t>
      </w:r>
      <w:proofErr w:type="spellEnd"/>
      <w:r w:rsidRPr="00005E7B">
        <w:rPr>
          <w:lang w:eastAsia="en-AU"/>
        </w:rPr>
        <w:t xml:space="preserve"> killed </w:t>
      </w:r>
      <w:r w:rsidRPr="00005E7B">
        <w:rPr>
          <w:szCs w:val="22"/>
          <w:lang w:eastAsia="en-AU"/>
        </w:rPr>
        <w:t xml:space="preserve">in </w:t>
      </w:r>
      <w:proofErr w:type="spellStart"/>
      <w:r w:rsidRPr="00005E7B">
        <w:rPr>
          <w:lang w:eastAsia="en-AU"/>
        </w:rPr>
        <w:t>Uruzgan</w:t>
      </w:r>
      <w:proofErr w:type="spellEnd"/>
      <w:r w:rsidRPr="00005E7B">
        <w:rPr>
          <w:lang w:eastAsia="en-AU"/>
        </w:rPr>
        <w:t xml:space="preserve"> province in June 2010, whi1e an initial report on the killings initially stated the men were killed because they were </w:t>
      </w:r>
      <w:proofErr w:type="spellStart"/>
      <w:r w:rsidRPr="00005E7B">
        <w:rPr>
          <w:lang w:eastAsia="en-AU"/>
        </w:rPr>
        <w:t>Hazara</w:t>
      </w:r>
      <w:proofErr w:type="spellEnd"/>
      <w:r w:rsidRPr="00005E7B">
        <w:rPr>
          <w:lang w:eastAsia="en-AU"/>
        </w:rPr>
        <w:t xml:space="preserve"> and Shi'as a Taliban spokesman later stated they were killed after meeting with foreign forces in </w:t>
      </w:r>
      <w:proofErr w:type="spellStart"/>
      <w:r w:rsidRPr="00005E7B">
        <w:rPr>
          <w:lang w:eastAsia="en-AU"/>
        </w:rPr>
        <w:t>Tari</w:t>
      </w:r>
      <w:r w:rsidR="003B176F" w:rsidRPr="00005E7B">
        <w:rPr>
          <w:lang w:eastAsia="en-AU"/>
        </w:rPr>
        <w:t>n</w:t>
      </w:r>
      <w:proofErr w:type="spellEnd"/>
      <w:r w:rsidR="003B176F" w:rsidRPr="00005E7B">
        <w:rPr>
          <w:lang w:eastAsia="en-AU"/>
        </w:rPr>
        <w:t xml:space="preserve"> </w:t>
      </w:r>
      <w:proofErr w:type="spellStart"/>
      <w:r w:rsidR="003B176F" w:rsidRPr="00005E7B">
        <w:rPr>
          <w:lang w:eastAsia="en-AU"/>
        </w:rPr>
        <w:t>Kowt</w:t>
      </w:r>
      <w:proofErr w:type="spellEnd"/>
      <w:r w:rsidR="003B176F" w:rsidRPr="00005E7B">
        <w:rPr>
          <w:lang w:eastAsia="en-AU"/>
        </w:rPr>
        <w:t xml:space="preserve"> to discuss setting up a </w:t>
      </w:r>
      <w:r w:rsidRPr="00005E7B">
        <w:rPr>
          <w:lang w:eastAsia="en-AU"/>
        </w:rPr>
        <w:t>local militia against the express instructions of the Taliban not to do so</w:t>
      </w:r>
      <w:r>
        <w:rPr>
          <w:lang w:eastAsia="en-AU"/>
        </w:rPr>
        <w:t>.</w:t>
      </w:r>
      <w:r w:rsidR="00991659">
        <w:rPr>
          <w:vertAlign w:val="superscript"/>
          <w:lang w:eastAsia="en-AU"/>
        </w:rPr>
        <w:t>83</w:t>
      </w:r>
    </w:p>
    <w:p w14:paraId="5AAA5085" w14:textId="15C403C3" w:rsidR="00AB3DDB" w:rsidRPr="00316391" w:rsidRDefault="00AB3DDB" w:rsidP="00AB3DDB">
      <w:pPr>
        <w:pStyle w:val="Quote1"/>
        <w:rPr>
          <w:sz w:val="18"/>
          <w:szCs w:val="18"/>
          <w:lang w:eastAsia="en-AU"/>
        </w:rPr>
      </w:pPr>
      <w:r>
        <w:t xml:space="preserve">More recently, an analysis of recent claims of killings and/or abductions </w:t>
      </w:r>
      <w:r w:rsidRPr="00854C97">
        <w:t xml:space="preserve">of </w:t>
      </w:r>
      <w:proofErr w:type="spellStart"/>
      <w:r w:rsidR="003B176F" w:rsidRPr="00854C97">
        <w:t>Hazaras</w:t>
      </w:r>
      <w:proofErr w:type="spellEnd"/>
      <w:r w:rsidRPr="00854C97">
        <w:t xml:space="preserve"> in various parts of Afghanistan done </w:t>
      </w:r>
      <w:r w:rsidRPr="00854C97">
        <w:rPr>
          <w:szCs w:val="22"/>
        </w:rPr>
        <w:t xml:space="preserve">by </w:t>
      </w:r>
      <w:r w:rsidRPr="00854C97">
        <w:t>the Afghanistan Analysts Network (AAN</w:t>
      </w:r>
      <w:r>
        <w:t xml:space="preserve">) also showed in </w:t>
      </w:r>
      <w:r>
        <w:rPr>
          <w:szCs w:val="22"/>
        </w:rPr>
        <w:t>most cases the reasons people were killed or kidnapped were for reasons</w:t>
      </w:r>
      <w:r>
        <w:t xml:space="preserve"> </w:t>
      </w:r>
      <w:r>
        <w:rPr>
          <w:szCs w:val="22"/>
        </w:rPr>
        <w:t xml:space="preserve">other than </w:t>
      </w:r>
      <w:r>
        <w:rPr>
          <w:sz w:val="21"/>
          <w:szCs w:val="21"/>
        </w:rPr>
        <w:t xml:space="preserve">simply </w:t>
      </w:r>
      <w:r>
        <w:rPr>
          <w:szCs w:val="22"/>
        </w:rPr>
        <w:t xml:space="preserve">being </w:t>
      </w:r>
      <w:proofErr w:type="spellStart"/>
      <w:r>
        <w:rPr>
          <w:szCs w:val="22"/>
        </w:rPr>
        <w:t>Hazara</w:t>
      </w:r>
      <w:proofErr w:type="spellEnd"/>
      <w:r>
        <w:rPr>
          <w:szCs w:val="22"/>
        </w:rPr>
        <w:t xml:space="preserve"> or Shias (such </w:t>
      </w:r>
      <w:r w:rsidRPr="009A1736">
        <w:rPr>
          <w:iCs/>
          <w:szCs w:val="22"/>
        </w:rPr>
        <w:t>as</w:t>
      </w:r>
      <w:r>
        <w:rPr>
          <w:i/>
          <w:iCs/>
          <w:sz w:val="25"/>
          <w:szCs w:val="25"/>
        </w:rPr>
        <w:t xml:space="preserve"> </w:t>
      </w:r>
      <w:r>
        <w:rPr>
          <w:szCs w:val="22"/>
        </w:rPr>
        <w:t>associations with government or</w:t>
      </w:r>
      <w:r>
        <w:t xml:space="preserve"> foreign </w:t>
      </w:r>
      <w:r>
        <w:rPr>
          <w:szCs w:val="22"/>
        </w:rPr>
        <w:t xml:space="preserve">forces), that the reports had been exaggerated or misrepresented or </w:t>
      </w:r>
      <w:r w:rsidRPr="009A1736">
        <w:t xml:space="preserve">in </w:t>
      </w:r>
      <w:r>
        <w:rPr>
          <w:szCs w:val="22"/>
        </w:rPr>
        <w:t>some</w:t>
      </w:r>
      <w:r>
        <w:t xml:space="preserve"> cases that the persons affected were actually not Hazaras</w:t>
      </w:r>
      <w:r>
        <w:rPr>
          <w:lang w:eastAsia="en-AU"/>
        </w:rPr>
        <w:t>.</w:t>
      </w:r>
      <w:r w:rsidR="00991659">
        <w:rPr>
          <w:vertAlign w:val="superscript"/>
          <w:lang w:eastAsia="en-AU"/>
        </w:rPr>
        <w:t>84</w:t>
      </w:r>
    </w:p>
    <w:p w14:paraId="52DFDB00" w14:textId="66A7B020" w:rsidR="00AB3DDB" w:rsidRDefault="00AB3DDB" w:rsidP="00AB3DDB">
      <w:pPr>
        <w:pStyle w:val="Quote1"/>
        <w:rPr>
          <w:rFonts w:ascii="HiddenHorzOCR" w:eastAsia="HiddenHorzOCR" w:cs="HiddenHorzOCR"/>
          <w:sz w:val="21"/>
          <w:szCs w:val="21"/>
          <w:lang w:eastAsia="en-AU"/>
        </w:rPr>
      </w:pPr>
      <w:r>
        <w:rPr>
          <w:lang w:eastAsia="en-AU"/>
        </w:rPr>
        <w:t xml:space="preserve">This is not to say that </w:t>
      </w:r>
      <w:proofErr w:type="spellStart"/>
      <w:r>
        <w:rPr>
          <w:lang w:eastAsia="en-AU"/>
        </w:rPr>
        <w:t>Hazaras</w:t>
      </w:r>
      <w:proofErr w:type="spellEnd"/>
      <w:r>
        <w:rPr>
          <w:lang w:eastAsia="en-AU"/>
        </w:rPr>
        <w:t xml:space="preserve"> face no risk of harm on account of their religion or race </w:t>
      </w:r>
      <w:r w:rsidRPr="009A1736">
        <w:rPr>
          <w:szCs w:val="22"/>
          <w:lang w:eastAsia="en-AU"/>
        </w:rPr>
        <w:t>while travelling through insurgent or insecure areas</w:t>
      </w:r>
      <w:r>
        <w:rPr>
          <w:szCs w:val="22"/>
          <w:lang w:eastAsia="en-AU"/>
        </w:rPr>
        <w:t xml:space="preserve">. I note that the killings of a </w:t>
      </w:r>
      <w:proofErr w:type="spellStart"/>
      <w:r w:rsidRPr="00D17390">
        <w:rPr>
          <w:szCs w:val="22"/>
          <w:lang w:eastAsia="en-AU"/>
        </w:rPr>
        <w:t>Hazara</w:t>
      </w:r>
      <w:proofErr w:type="spellEnd"/>
      <w:r w:rsidRPr="00D17390">
        <w:rPr>
          <w:szCs w:val="22"/>
          <w:lang w:eastAsia="en-AU"/>
        </w:rPr>
        <w:t xml:space="preserve"> wedding party of 16 while travelling </w:t>
      </w:r>
      <w:r w:rsidRPr="00854C97">
        <w:rPr>
          <w:szCs w:val="22"/>
          <w:lang w:eastAsia="en-AU"/>
        </w:rPr>
        <w:t>thro</w:t>
      </w:r>
      <w:r w:rsidR="007608BB" w:rsidRPr="00854C97">
        <w:rPr>
          <w:szCs w:val="22"/>
          <w:lang w:eastAsia="en-AU"/>
        </w:rPr>
        <w:t xml:space="preserve">ugh </w:t>
      </w:r>
      <w:proofErr w:type="spellStart"/>
      <w:r w:rsidR="007608BB" w:rsidRPr="00854C97">
        <w:rPr>
          <w:szCs w:val="22"/>
          <w:lang w:eastAsia="en-AU"/>
        </w:rPr>
        <w:t>Gho</w:t>
      </w:r>
      <w:r w:rsidRPr="00854C97">
        <w:rPr>
          <w:szCs w:val="22"/>
          <w:lang w:eastAsia="en-AU"/>
        </w:rPr>
        <w:t>r</w:t>
      </w:r>
      <w:proofErr w:type="spellEnd"/>
      <w:r w:rsidRPr="00854C97">
        <w:rPr>
          <w:szCs w:val="22"/>
          <w:lang w:eastAsia="en-AU"/>
        </w:rPr>
        <w:t xml:space="preserve"> province</w:t>
      </w:r>
      <w:r>
        <w:rPr>
          <w:szCs w:val="22"/>
          <w:lang w:eastAsia="en-AU"/>
        </w:rPr>
        <w:t xml:space="preserve"> from Kabul to </w:t>
      </w:r>
      <w:proofErr w:type="spellStart"/>
      <w:r w:rsidR="009F5B68">
        <w:rPr>
          <w:szCs w:val="22"/>
          <w:lang w:eastAsia="en-AU"/>
        </w:rPr>
        <w:t>Mazar</w:t>
      </w:r>
      <w:proofErr w:type="spellEnd"/>
      <w:r w:rsidR="009F5B68">
        <w:rPr>
          <w:szCs w:val="22"/>
          <w:lang w:eastAsia="en-AU"/>
        </w:rPr>
        <w:noBreakHyphen/>
      </w:r>
      <w:r w:rsidRPr="00D17390">
        <w:rPr>
          <w:szCs w:val="22"/>
          <w:lang w:eastAsia="en-AU"/>
        </w:rPr>
        <w:t>e</w:t>
      </w:r>
      <w:r w:rsidR="009F5B68">
        <w:rPr>
          <w:szCs w:val="22"/>
          <w:lang w:eastAsia="en-AU"/>
        </w:rPr>
        <w:noBreakHyphen/>
      </w:r>
      <w:r w:rsidRPr="00D17390">
        <w:rPr>
          <w:szCs w:val="22"/>
          <w:lang w:eastAsia="en-AU"/>
        </w:rPr>
        <w:t>Sharif in July 2014 appe</w:t>
      </w:r>
      <w:r>
        <w:rPr>
          <w:szCs w:val="22"/>
          <w:lang w:eastAsia="en-AU"/>
        </w:rPr>
        <w:t>ars to be because of their race/</w:t>
      </w:r>
      <w:r w:rsidRPr="00D17390">
        <w:rPr>
          <w:szCs w:val="22"/>
          <w:lang w:eastAsia="en-AU"/>
        </w:rPr>
        <w:t>religion.</w:t>
      </w:r>
      <w:r w:rsidR="00991659">
        <w:rPr>
          <w:vertAlign w:val="superscript"/>
          <w:lang w:eastAsia="en-AU"/>
        </w:rPr>
        <w:t>85</w:t>
      </w:r>
      <w:r w:rsidRPr="00D17390">
        <w:rPr>
          <w:szCs w:val="22"/>
          <w:lang w:eastAsia="en-AU"/>
        </w:rPr>
        <w:t xml:space="preserve"> </w:t>
      </w:r>
      <w:r>
        <w:rPr>
          <w:szCs w:val="22"/>
          <w:lang w:eastAsia="en-AU"/>
        </w:rPr>
        <w:t xml:space="preserve">I note </w:t>
      </w:r>
      <w:r w:rsidRPr="00D17390">
        <w:rPr>
          <w:szCs w:val="22"/>
          <w:lang w:eastAsia="en-AU"/>
        </w:rPr>
        <w:t xml:space="preserve">however that the commander responsible was reportedly captured by </w:t>
      </w:r>
      <w:r>
        <w:rPr>
          <w:rFonts w:eastAsia="HiddenHorzOCR"/>
          <w:szCs w:val="22"/>
          <w:lang w:eastAsia="en-AU"/>
        </w:rPr>
        <w:t>Afgh</w:t>
      </w:r>
      <w:r w:rsidRPr="00D17390">
        <w:rPr>
          <w:rFonts w:eastAsia="HiddenHorzOCR"/>
          <w:szCs w:val="22"/>
          <w:lang w:eastAsia="en-AU"/>
        </w:rPr>
        <w:t xml:space="preserve">an </w:t>
      </w:r>
      <w:r>
        <w:rPr>
          <w:szCs w:val="22"/>
          <w:lang w:eastAsia="en-AU"/>
        </w:rPr>
        <w:t xml:space="preserve">security </w:t>
      </w:r>
      <w:r w:rsidRPr="00D17390">
        <w:rPr>
          <w:szCs w:val="22"/>
          <w:lang w:eastAsia="en-AU"/>
        </w:rPr>
        <w:t>forces in October 2014 and</w:t>
      </w:r>
      <w:r>
        <w:rPr>
          <w:szCs w:val="22"/>
          <w:lang w:eastAsia="en-AU"/>
        </w:rPr>
        <w:t xml:space="preserve"> was descri</w:t>
      </w:r>
      <w:r w:rsidRPr="00D17390">
        <w:rPr>
          <w:szCs w:val="22"/>
          <w:lang w:eastAsia="en-AU"/>
        </w:rPr>
        <w:t>bed by</w:t>
      </w:r>
      <w:r>
        <w:rPr>
          <w:szCs w:val="22"/>
          <w:lang w:eastAsia="en-AU"/>
        </w:rPr>
        <w:t xml:space="preserve"> </w:t>
      </w:r>
      <w:proofErr w:type="spellStart"/>
      <w:r w:rsidRPr="00D17390">
        <w:rPr>
          <w:szCs w:val="22"/>
          <w:lang w:eastAsia="en-AU"/>
        </w:rPr>
        <w:t>Tolo</w:t>
      </w:r>
      <w:proofErr w:type="spellEnd"/>
      <w:r w:rsidRPr="00D17390">
        <w:rPr>
          <w:szCs w:val="22"/>
          <w:lang w:eastAsia="en-AU"/>
        </w:rPr>
        <w:t xml:space="preserve"> Press as 'no</w:t>
      </w:r>
      <w:r>
        <w:rPr>
          <w:szCs w:val="22"/>
          <w:lang w:eastAsia="en-AU"/>
        </w:rPr>
        <w:t>torious'</w:t>
      </w:r>
      <w:r w:rsidRPr="00D17390">
        <w:rPr>
          <w:szCs w:val="22"/>
          <w:lang w:eastAsia="en-AU"/>
        </w:rPr>
        <w:t>.</w:t>
      </w:r>
      <w:r w:rsidR="00991659">
        <w:rPr>
          <w:vertAlign w:val="superscript"/>
          <w:lang w:eastAsia="en-AU"/>
        </w:rPr>
        <w:t>86</w:t>
      </w:r>
      <w:r w:rsidRPr="00D17390">
        <w:rPr>
          <w:szCs w:val="22"/>
          <w:lang w:eastAsia="en-AU"/>
        </w:rPr>
        <w:t xml:space="preserve"> I also </w:t>
      </w:r>
      <w:r>
        <w:rPr>
          <w:szCs w:val="22"/>
          <w:lang w:eastAsia="en-AU"/>
        </w:rPr>
        <w:t xml:space="preserve">accept </w:t>
      </w:r>
      <w:r w:rsidRPr="00D17390">
        <w:rPr>
          <w:szCs w:val="22"/>
          <w:lang w:eastAsia="en-AU"/>
        </w:rPr>
        <w:t xml:space="preserve">that the 30 people who were kidnapped in February 2015 in </w:t>
      </w:r>
      <w:proofErr w:type="spellStart"/>
      <w:r w:rsidRPr="00D17390">
        <w:rPr>
          <w:szCs w:val="22"/>
          <w:lang w:eastAsia="en-AU"/>
        </w:rPr>
        <w:t>Zabul</w:t>
      </w:r>
      <w:proofErr w:type="spellEnd"/>
      <w:r w:rsidRPr="00D17390">
        <w:rPr>
          <w:szCs w:val="22"/>
          <w:lang w:eastAsia="en-AU"/>
        </w:rPr>
        <w:t xml:space="preserve"> province </w:t>
      </w:r>
      <w:r>
        <w:rPr>
          <w:szCs w:val="22"/>
          <w:lang w:eastAsia="en-AU"/>
        </w:rPr>
        <w:t xml:space="preserve">by </w:t>
      </w:r>
      <w:r w:rsidRPr="00D17390">
        <w:rPr>
          <w:szCs w:val="22"/>
          <w:lang w:eastAsia="en-AU"/>
        </w:rPr>
        <w:t xml:space="preserve">reportedly foreign fighters </w:t>
      </w:r>
      <w:r>
        <w:rPr>
          <w:szCs w:val="22"/>
          <w:lang w:eastAsia="en-AU"/>
        </w:rPr>
        <w:t>from Uzbekistan,</w:t>
      </w:r>
      <w:r w:rsidR="00991659">
        <w:rPr>
          <w:vertAlign w:val="superscript"/>
          <w:lang w:eastAsia="en-AU"/>
        </w:rPr>
        <w:t>87</w:t>
      </w:r>
      <w:r w:rsidRPr="00D17390">
        <w:rPr>
          <w:szCs w:val="22"/>
          <w:lang w:eastAsia="en-AU"/>
        </w:rPr>
        <w:t xml:space="preserve"> may have been taken </w:t>
      </w:r>
      <w:r>
        <w:rPr>
          <w:szCs w:val="22"/>
          <w:lang w:eastAsia="en-AU"/>
        </w:rPr>
        <w:t xml:space="preserve">on account of </w:t>
      </w:r>
      <w:r w:rsidRPr="00D17390">
        <w:rPr>
          <w:szCs w:val="22"/>
          <w:lang w:eastAsia="en-AU"/>
        </w:rPr>
        <w:t xml:space="preserve">being Shias </w:t>
      </w:r>
      <w:r w:rsidRPr="00C931D2">
        <w:rPr>
          <w:i/>
          <w:szCs w:val="22"/>
          <w:lang w:eastAsia="en-AU"/>
        </w:rPr>
        <w:t>although</w:t>
      </w:r>
      <w:r w:rsidRPr="00D17390">
        <w:rPr>
          <w:szCs w:val="22"/>
          <w:lang w:eastAsia="en-AU"/>
        </w:rPr>
        <w:t xml:space="preserve"> the AAN report indicated there was no evidence that race</w:t>
      </w:r>
      <w:r>
        <w:rPr>
          <w:szCs w:val="22"/>
          <w:lang w:eastAsia="en-AU"/>
        </w:rPr>
        <w:t xml:space="preserve"> or </w:t>
      </w:r>
      <w:r w:rsidRPr="009A1736">
        <w:rPr>
          <w:szCs w:val="22"/>
          <w:lang w:eastAsia="en-AU"/>
        </w:rPr>
        <w:t>religion was the</w:t>
      </w:r>
      <w:r>
        <w:rPr>
          <w:lang w:eastAsia="en-AU"/>
        </w:rPr>
        <w:t xml:space="preserve"> </w:t>
      </w:r>
      <w:r>
        <w:rPr>
          <w:szCs w:val="22"/>
          <w:lang w:eastAsia="en-AU"/>
        </w:rPr>
        <w:t xml:space="preserve">reason </w:t>
      </w:r>
      <w:r>
        <w:rPr>
          <w:lang w:eastAsia="en-AU"/>
        </w:rPr>
        <w:t>for the kidnapping.</w:t>
      </w:r>
      <w:r w:rsidR="00991659">
        <w:rPr>
          <w:vertAlign w:val="superscript"/>
          <w:lang w:eastAsia="en-AU"/>
        </w:rPr>
        <w:t>88</w:t>
      </w:r>
      <w:r>
        <w:rPr>
          <w:lang w:eastAsia="en-AU"/>
        </w:rPr>
        <w:t xml:space="preserve"> </w:t>
      </w:r>
      <w:r w:rsidRPr="00D17390">
        <w:rPr>
          <w:szCs w:val="22"/>
          <w:lang w:eastAsia="en-AU"/>
        </w:rPr>
        <w:t>On this</w:t>
      </w:r>
      <w:r>
        <w:rPr>
          <w:sz w:val="25"/>
          <w:szCs w:val="25"/>
          <w:lang w:eastAsia="en-AU"/>
        </w:rPr>
        <w:t xml:space="preserve"> </w:t>
      </w:r>
      <w:r>
        <w:rPr>
          <w:szCs w:val="22"/>
          <w:lang w:eastAsia="en-AU"/>
        </w:rPr>
        <w:t xml:space="preserve">point </w:t>
      </w:r>
      <w:r>
        <w:rPr>
          <w:lang w:eastAsia="en-AU"/>
        </w:rPr>
        <w:t xml:space="preserve">however I also note </w:t>
      </w:r>
      <w:r>
        <w:rPr>
          <w:sz w:val="21"/>
          <w:szCs w:val="21"/>
          <w:lang w:eastAsia="en-AU"/>
        </w:rPr>
        <w:t xml:space="preserve">that </w:t>
      </w:r>
      <w:r>
        <w:rPr>
          <w:lang w:eastAsia="en-AU"/>
        </w:rPr>
        <w:t>the</w:t>
      </w:r>
      <w:r>
        <w:rPr>
          <w:szCs w:val="22"/>
          <w:lang w:eastAsia="en-AU"/>
        </w:rPr>
        <w:t xml:space="preserve"> majority of those kidnapped were subsequently released after negotiations for </w:t>
      </w:r>
      <w:r>
        <w:rPr>
          <w:lang w:eastAsia="en-AU"/>
        </w:rPr>
        <w:t>the</w:t>
      </w:r>
      <w:r>
        <w:rPr>
          <w:szCs w:val="22"/>
          <w:lang w:eastAsia="en-AU"/>
        </w:rPr>
        <w:t xml:space="preserve"> </w:t>
      </w:r>
      <w:r>
        <w:rPr>
          <w:sz w:val="21"/>
          <w:szCs w:val="21"/>
          <w:lang w:eastAsia="en-AU"/>
        </w:rPr>
        <w:t xml:space="preserve">release </w:t>
      </w:r>
      <w:r>
        <w:rPr>
          <w:szCs w:val="22"/>
          <w:lang w:eastAsia="en-AU"/>
        </w:rPr>
        <w:t xml:space="preserve">of prisoners </w:t>
      </w:r>
      <w:r>
        <w:rPr>
          <w:sz w:val="21"/>
          <w:szCs w:val="21"/>
          <w:lang w:eastAsia="en-AU"/>
        </w:rPr>
        <w:t xml:space="preserve">held </w:t>
      </w:r>
      <w:r>
        <w:rPr>
          <w:rFonts w:ascii="Arial" w:hAnsi="Arial" w:cs="Arial"/>
          <w:szCs w:val="22"/>
          <w:lang w:eastAsia="en-AU"/>
        </w:rPr>
        <w:t xml:space="preserve">by </w:t>
      </w:r>
      <w:r>
        <w:rPr>
          <w:sz w:val="21"/>
          <w:szCs w:val="21"/>
          <w:lang w:eastAsia="en-AU"/>
        </w:rPr>
        <w:t xml:space="preserve">the Afghan </w:t>
      </w:r>
      <w:r w:rsidRPr="00D17390">
        <w:rPr>
          <w:rFonts w:eastAsia="HiddenHorzOCR"/>
          <w:szCs w:val="22"/>
          <w:lang w:eastAsia="en-AU"/>
        </w:rPr>
        <w:t>government</w:t>
      </w:r>
      <w:r w:rsidR="003664D3">
        <w:rPr>
          <w:rFonts w:ascii="HiddenHorzOCR" w:eastAsia="HiddenHorzOCR" w:cs="HiddenHorzOCR"/>
          <w:sz w:val="21"/>
          <w:szCs w:val="21"/>
          <w:lang w:eastAsia="en-AU"/>
        </w:rPr>
        <w:t>.</w:t>
      </w:r>
      <w:r w:rsidR="00991659">
        <w:rPr>
          <w:vertAlign w:val="superscript"/>
          <w:lang w:eastAsia="en-AU"/>
        </w:rPr>
        <w:t>89</w:t>
      </w:r>
    </w:p>
    <w:p w14:paraId="65E41F53" w14:textId="41FF6282" w:rsidR="008F2602" w:rsidRPr="00322881" w:rsidRDefault="00991659" w:rsidP="008F2602">
      <w:pPr>
        <w:pStyle w:val="Quote1"/>
        <w:ind w:left="1440" w:hanging="703"/>
        <w:rPr>
          <w:sz w:val="19"/>
          <w:szCs w:val="19"/>
          <w:lang w:eastAsia="en-AU"/>
        </w:rPr>
      </w:pPr>
      <w:r>
        <w:rPr>
          <w:vertAlign w:val="superscript"/>
          <w:lang w:eastAsia="en-AU"/>
        </w:rPr>
        <w:t>80</w:t>
      </w:r>
      <w:r>
        <w:rPr>
          <w:vertAlign w:val="superscript"/>
          <w:lang w:eastAsia="en-AU"/>
        </w:rPr>
        <w:tab/>
      </w:r>
      <w:r w:rsidR="00654CD6">
        <w:rPr>
          <w:sz w:val="19"/>
          <w:szCs w:val="19"/>
          <w:lang w:eastAsia="en-AU"/>
        </w:rPr>
        <w:t>CX298002, “'Ta</w:t>
      </w:r>
      <w:r w:rsidR="008F2602" w:rsidRPr="00322881">
        <w:rPr>
          <w:sz w:val="19"/>
          <w:szCs w:val="19"/>
          <w:lang w:eastAsia="en-AU"/>
        </w:rPr>
        <w:t xml:space="preserve">liban attack kills five Afghan civilians”, Press TV, 27 October 2012; CX300421, </w:t>
      </w:r>
      <w:r w:rsidR="00DF4761">
        <w:rPr>
          <w:sz w:val="19"/>
          <w:szCs w:val="19"/>
          <w:lang w:eastAsia="en-AU"/>
        </w:rPr>
        <w:t>“</w:t>
      </w:r>
      <w:r w:rsidR="008F2602" w:rsidRPr="00322881">
        <w:rPr>
          <w:sz w:val="19"/>
          <w:szCs w:val="19"/>
          <w:lang w:eastAsia="en-AU"/>
        </w:rPr>
        <w:t>Road dangers and the rising threat of renewed ethnic violence</w:t>
      </w:r>
      <w:r w:rsidR="00322881">
        <w:rPr>
          <w:sz w:val="19"/>
          <w:szCs w:val="19"/>
          <w:lang w:eastAsia="en-AU"/>
        </w:rPr>
        <w:t>”</w:t>
      </w:r>
      <w:r w:rsidR="008F2602" w:rsidRPr="00322881">
        <w:rPr>
          <w:sz w:val="19"/>
          <w:szCs w:val="19"/>
          <w:lang w:eastAsia="en-AU"/>
        </w:rPr>
        <w:t xml:space="preserve">, </w:t>
      </w:r>
      <w:proofErr w:type="spellStart"/>
      <w:r w:rsidR="00F8027D" w:rsidRPr="00322881">
        <w:rPr>
          <w:sz w:val="19"/>
          <w:szCs w:val="19"/>
          <w:lang w:eastAsia="en-AU"/>
        </w:rPr>
        <w:t>EurasiaNet</w:t>
      </w:r>
      <w:proofErr w:type="spellEnd"/>
      <w:r w:rsidR="00F8027D" w:rsidRPr="00322881">
        <w:rPr>
          <w:sz w:val="19"/>
          <w:szCs w:val="19"/>
          <w:lang w:eastAsia="en-AU"/>
        </w:rPr>
        <w:t xml:space="preserve">, </w:t>
      </w:r>
      <w:r w:rsidR="008F2602" w:rsidRPr="00322881">
        <w:rPr>
          <w:sz w:val="19"/>
          <w:szCs w:val="19"/>
          <w:lang w:eastAsia="en-AU"/>
        </w:rPr>
        <w:t>6 November 2012; CX275944, ''Kabul-</w:t>
      </w:r>
      <w:proofErr w:type="spellStart"/>
      <w:r w:rsidR="008F2602" w:rsidRPr="00322881">
        <w:rPr>
          <w:sz w:val="19"/>
          <w:szCs w:val="19"/>
          <w:lang w:eastAsia="en-AU"/>
        </w:rPr>
        <w:t>Bamyan</w:t>
      </w:r>
      <w:proofErr w:type="spellEnd"/>
      <w:r w:rsidR="008F2602" w:rsidRPr="00322881">
        <w:rPr>
          <w:sz w:val="19"/>
          <w:szCs w:val="19"/>
          <w:lang w:eastAsia="en-AU"/>
        </w:rPr>
        <w:t xml:space="preserve"> highway insecurity impedes </w:t>
      </w:r>
      <w:proofErr w:type="spellStart"/>
      <w:r w:rsidR="00F8027D" w:rsidRPr="00322881">
        <w:rPr>
          <w:sz w:val="19"/>
          <w:szCs w:val="19"/>
          <w:lang w:eastAsia="en-AU"/>
        </w:rPr>
        <w:t>Eid</w:t>
      </w:r>
      <w:proofErr w:type="spellEnd"/>
      <w:r w:rsidR="00F8027D" w:rsidRPr="00322881">
        <w:rPr>
          <w:sz w:val="19"/>
          <w:szCs w:val="19"/>
          <w:lang w:eastAsia="en-AU"/>
        </w:rPr>
        <w:t xml:space="preserve"> travel, residents </w:t>
      </w:r>
      <w:r w:rsidR="008F2602" w:rsidRPr="00322881">
        <w:rPr>
          <w:sz w:val="19"/>
          <w:szCs w:val="19"/>
          <w:lang w:eastAsia="en-AU"/>
        </w:rPr>
        <w:t>say</w:t>
      </w:r>
      <w:r w:rsidR="00F8027D" w:rsidRPr="00322881">
        <w:rPr>
          <w:sz w:val="19"/>
          <w:szCs w:val="19"/>
          <w:lang w:eastAsia="en-AU"/>
        </w:rPr>
        <w:t>”</w:t>
      </w:r>
      <w:r w:rsidR="008F2602" w:rsidRPr="00322881">
        <w:rPr>
          <w:sz w:val="19"/>
          <w:szCs w:val="19"/>
          <w:lang w:eastAsia="en-AU"/>
        </w:rPr>
        <w:t xml:space="preserve">, </w:t>
      </w:r>
      <w:proofErr w:type="spellStart"/>
      <w:r w:rsidR="008F2602" w:rsidRPr="00322881">
        <w:rPr>
          <w:sz w:val="19"/>
          <w:szCs w:val="19"/>
          <w:lang w:eastAsia="en-AU"/>
        </w:rPr>
        <w:t>Pajbwok</w:t>
      </w:r>
      <w:proofErr w:type="spellEnd"/>
      <w:r w:rsidR="008F2602" w:rsidRPr="00322881">
        <w:rPr>
          <w:sz w:val="19"/>
          <w:szCs w:val="19"/>
          <w:lang w:eastAsia="en-AU"/>
        </w:rPr>
        <w:t xml:space="preserve"> Afghan News -</w:t>
      </w:r>
      <w:r w:rsidR="00F8027D" w:rsidRPr="00322881">
        <w:rPr>
          <w:sz w:val="19"/>
          <w:szCs w:val="19"/>
          <w:lang w:eastAsia="en-AU"/>
        </w:rPr>
        <w:t xml:space="preserve"> Afghanistan</w:t>
      </w:r>
      <w:r w:rsidR="008F2602" w:rsidRPr="00322881">
        <w:rPr>
          <w:sz w:val="19"/>
          <w:szCs w:val="19"/>
          <w:lang w:eastAsia="en-AU"/>
        </w:rPr>
        <w:t>, 7 November 2011</w:t>
      </w:r>
    </w:p>
    <w:p w14:paraId="67FE7F4A" w14:textId="4371AC3A" w:rsidR="008F2602" w:rsidRDefault="008F2602" w:rsidP="008F2602">
      <w:pPr>
        <w:pStyle w:val="Quote1"/>
        <w:ind w:left="1440" w:hanging="703"/>
        <w:rPr>
          <w:sz w:val="18"/>
          <w:szCs w:val="18"/>
          <w:lang w:eastAsia="en-AU"/>
        </w:rPr>
      </w:pPr>
      <w:r>
        <w:rPr>
          <w:sz w:val="13"/>
          <w:szCs w:val="13"/>
          <w:lang w:eastAsia="en-AU"/>
        </w:rPr>
        <w:t xml:space="preserve">81 </w:t>
      </w:r>
      <w:r>
        <w:rPr>
          <w:sz w:val="13"/>
          <w:szCs w:val="13"/>
          <w:lang w:eastAsia="en-AU"/>
        </w:rPr>
        <w:tab/>
      </w:r>
      <w:r w:rsidR="007F20B6" w:rsidRPr="00322881">
        <w:rPr>
          <w:sz w:val="19"/>
          <w:szCs w:val="19"/>
          <w:lang w:eastAsia="en-AU"/>
        </w:rPr>
        <w:t>CX305045, “</w:t>
      </w:r>
      <w:r w:rsidRPr="00322881">
        <w:rPr>
          <w:sz w:val="19"/>
          <w:szCs w:val="19"/>
          <w:lang w:eastAsia="en-AU"/>
        </w:rPr>
        <w:t>The Talib</w:t>
      </w:r>
      <w:r w:rsidR="00F8027D" w:rsidRPr="00322881">
        <w:rPr>
          <w:sz w:val="19"/>
          <w:szCs w:val="19"/>
          <w:lang w:eastAsia="en-AU"/>
        </w:rPr>
        <w:t xml:space="preserve">an terrorists killed five </w:t>
      </w:r>
      <w:proofErr w:type="spellStart"/>
      <w:r w:rsidR="00F8027D" w:rsidRPr="00322881">
        <w:rPr>
          <w:sz w:val="19"/>
          <w:szCs w:val="19"/>
          <w:lang w:eastAsia="en-AU"/>
        </w:rPr>
        <w:t>Hazaras</w:t>
      </w:r>
      <w:proofErr w:type="spellEnd"/>
      <w:r w:rsidR="00F8027D" w:rsidRPr="00322881">
        <w:rPr>
          <w:sz w:val="19"/>
          <w:szCs w:val="19"/>
          <w:lang w:eastAsia="en-AU"/>
        </w:rPr>
        <w:t xml:space="preserve"> in </w:t>
      </w:r>
      <w:proofErr w:type="spellStart"/>
      <w:r w:rsidR="00F8027D" w:rsidRPr="00322881">
        <w:rPr>
          <w:sz w:val="19"/>
          <w:szCs w:val="19"/>
          <w:lang w:eastAsia="en-AU"/>
        </w:rPr>
        <w:t>Maidan</w:t>
      </w:r>
      <w:proofErr w:type="spellEnd"/>
      <w:r w:rsidR="00F8027D" w:rsidRPr="00322881">
        <w:rPr>
          <w:sz w:val="19"/>
          <w:szCs w:val="19"/>
          <w:lang w:eastAsia="en-AU"/>
        </w:rPr>
        <w:t xml:space="preserve"> </w:t>
      </w:r>
      <w:r w:rsidRPr="00322881">
        <w:rPr>
          <w:sz w:val="19"/>
          <w:szCs w:val="19"/>
          <w:lang w:eastAsia="en-AU"/>
        </w:rPr>
        <w:t>Province</w:t>
      </w:r>
      <w:r w:rsidR="007F20B6" w:rsidRPr="00322881">
        <w:rPr>
          <w:sz w:val="19"/>
          <w:szCs w:val="19"/>
          <w:lang w:eastAsia="en-AU"/>
        </w:rPr>
        <w:t>”, Kabul Press, 27 Ju</w:t>
      </w:r>
      <w:r w:rsidRPr="00322881">
        <w:rPr>
          <w:sz w:val="19"/>
          <w:szCs w:val="19"/>
          <w:lang w:eastAsia="en-AU"/>
        </w:rPr>
        <w:t>ly 2012</w:t>
      </w:r>
    </w:p>
    <w:p w14:paraId="599FB24A" w14:textId="3C5CE95C" w:rsidR="00991659" w:rsidRPr="00322881" w:rsidRDefault="008F2602" w:rsidP="008F2602">
      <w:pPr>
        <w:pStyle w:val="Quote1"/>
        <w:ind w:left="1440" w:hanging="703"/>
        <w:rPr>
          <w:sz w:val="19"/>
          <w:szCs w:val="19"/>
          <w:lang w:eastAsia="en-AU"/>
        </w:rPr>
      </w:pPr>
      <w:r>
        <w:rPr>
          <w:sz w:val="13"/>
          <w:szCs w:val="13"/>
          <w:lang w:eastAsia="en-AU"/>
        </w:rPr>
        <w:t xml:space="preserve">82 </w:t>
      </w:r>
      <w:r>
        <w:rPr>
          <w:sz w:val="13"/>
          <w:szCs w:val="13"/>
          <w:lang w:eastAsia="en-AU"/>
        </w:rPr>
        <w:tab/>
      </w:r>
      <w:r w:rsidRPr="00322881">
        <w:rPr>
          <w:sz w:val="19"/>
          <w:szCs w:val="19"/>
          <w:lang w:eastAsia="en-AU"/>
        </w:rPr>
        <w:t xml:space="preserve">CX299253, </w:t>
      </w:r>
      <w:r w:rsidR="00DF4761">
        <w:rPr>
          <w:sz w:val="19"/>
          <w:szCs w:val="19"/>
          <w:lang w:eastAsia="en-AU"/>
        </w:rPr>
        <w:t>“</w:t>
      </w:r>
      <w:r w:rsidRPr="00322881">
        <w:rPr>
          <w:sz w:val="19"/>
          <w:szCs w:val="19"/>
          <w:lang w:eastAsia="en-AU"/>
        </w:rPr>
        <w:t xml:space="preserve">The Nightmare </w:t>
      </w:r>
      <w:r w:rsidR="007F20B6" w:rsidRPr="00322881">
        <w:rPr>
          <w:sz w:val="19"/>
          <w:szCs w:val="19"/>
          <w:lang w:eastAsia="en-AU"/>
        </w:rPr>
        <w:t>Scenarios</w:t>
      </w:r>
      <w:r w:rsidR="00DF4761">
        <w:rPr>
          <w:sz w:val="19"/>
          <w:szCs w:val="19"/>
          <w:lang w:eastAsia="en-AU"/>
        </w:rPr>
        <w:t>”</w:t>
      </w:r>
      <w:r w:rsidRPr="00322881">
        <w:rPr>
          <w:sz w:val="19"/>
          <w:szCs w:val="19"/>
          <w:lang w:eastAsia="en-AU"/>
        </w:rPr>
        <w:t xml:space="preserve">, </w:t>
      </w:r>
      <w:r w:rsidR="007F20B6" w:rsidRPr="00322881">
        <w:rPr>
          <w:i/>
          <w:iCs/>
          <w:sz w:val="19"/>
          <w:szCs w:val="19"/>
          <w:lang w:eastAsia="en-AU"/>
        </w:rPr>
        <w:t>International Hera</w:t>
      </w:r>
      <w:r w:rsidRPr="00322881">
        <w:rPr>
          <w:i/>
          <w:iCs/>
          <w:sz w:val="19"/>
          <w:szCs w:val="19"/>
          <w:lang w:eastAsia="en-AU"/>
        </w:rPr>
        <w:t xml:space="preserve">ld Tribune, </w:t>
      </w:r>
      <w:r w:rsidRPr="00322881">
        <w:rPr>
          <w:sz w:val="19"/>
          <w:szCs w:val="19"/>
          <w:lang w:eastAsia="en-AU"/>
        </w:rPr>
        <w:t>1 November 2012</w:t>
      </w:r>
    </w:p>
    <w:p w14:paraId="389956ED" w14:textId="743F2862" w:rsidR="007F20B6" w:rsidRPr="00322881" w:rsidRDefault="007F20B6" w:rsidP="0055673B">
      <w:pPr>
        <w:pStyle w:val="Quote1"/>
        <w:ind w:left="1440" w:hanging="703"/>
        <w:rPr>
          <w:sz w:val="19"/>
          <w:szCs w:val="19"/>
          <w:lang w:eastAsia="en-AU"/>
        </w:rPr>
      </w:pPr>
      <w:r>
        <w:rPr>
          <w:sz w:val="13"/>
          <w:szCs w:val="13"/>
          <w:lang w:eastAsia="en-AU"/>
        </w:rPr>
        <w:t>83</w:t>
      </w:r>
      <w:r>
        <w:rPr>
          <w:sz w:val="13"/>
          <w:szCs w:val="13"/>
          <w:lang w:eastAsia="en-AU"/>
        </w:rPr>
        <w:tab/>
      </w:r>
      <w:r w:rsidR="00DF4761">
        <w:rPr>
          <w:sz w:val="19"/>
          <w:szCs w:val="19"/>
          <w:lang w:eastAsia="en-AU"/>
        </w:rPr>
        <w:t>CX245508, “</w:t>
      </w:r>
      <w:r w:rsidRPr="00322881">
        <w:rPr>
          <w:sz w:val="19"/>
          <w:szCs w:val="19"/>
          <w:lang w:eastAsia="en-AU"/>
        </w:rPr>
        <w:t xml:space="preserve">Police find </w:t>
      </w:r>
      <w:r w:rsidR="0055673B" w:rsidRPr="00322881">
        <w:rPr>
          <w:sz w:val="19"/>
          <w:szCs w:val="19"/>
          <w:lang w:eastAsia="en-AU"/>
        </w:rPr>
        <w:t>11</w:t>
      </w:r>
      <w:r w:rsidRPr="00322881">
        <w:rPr>
          <w:sz w:val="19"/>
          <w:szCs w:val="19"/>
          <w:lang w:eastAsia="en-AU"/>
        </w:rPr>
        <w:t xml:space="preserve"> beheaded bodies i</w:t>
      </w:r>
      <w:r w:rsidR="0055673B" w:rsidRPr="00322881">
        <w:rPr>
          <w:sz w:val="19"/>
          <w:szCs w:val="19"/>
          <w:lang w:eastAsia="en-AU"/>
        </w:rPr>
        <w:t>n</w:t>
      </w:r>
      <w:r w:rsidRPr="00322881">
        <w:rPr>
          <w:sz w:val="19"/>
          <w:szCs w:val="19"/>
          <w:lang w:eastAsia="en-AU"/>
        </w:rPr>
        <w:t xml:space="preserve"> Afghan south</w:t>
      </w:r>
      <w:r w:rsidR="0055673B" w:rsidRPr="00322881">
        <w:rPr>
          <w:sz w:val="19"/>
          <w:szCs w:val="19"/>
          <w:lang w:eastAsia="en-AU"/>
        </w:rPr>
        <w:t>”</w:t>
      </w:r>
      <w:r w:rsidRPr="00322881">
        <w:rPr>
          <w:sz w:val="19"/>
          <w:szCs w:val="19"/>
          <w:lang w:eastAsia="en-AU"/>
        </w:rPr>
        <w:t xml:space="preserve">, Reuters, 25 June 2010; </w:t>
      </w:r>
      <w:r w:rsidR="0055673B" w:rsidRPr="00322881">
        <w:rPr>
          <w:iCs/>
          <w:sz w:val="19"/>
          <w:szCs w:val="19"/>
          <w:lang w:eastAsia="en-AU"/>
        </w:rPr>
        <w:t>CX245566, “</w:t>
      </w:r>
      <w:r w:rsidRPr="00322881">
        <w:rPr>
          <w:sz w:val="19"/>
          <w:szCs w:val="19"/>
          <w:lang w:eastAsia="en-AU"/>
        </w:rPr>
        <w:t>Taliba</w:t>
      </w:r>
      <w:r w:rsidR="0055673B" w:rsidRPr="00322881">
        <w:rPr>
          <w:sz w:val="19"/>
          <w:szCs w:val="19"/>
          <w:lang w:eastAsia="en-AU"/>
        </w:rPr>
        <w:t>n</w:t>
      </w:r>
      <w:r w:rsidRPr="00322881">
        <w:rPr>
          <w:sz w:val="19"/>
          <w:szCs w:val="19"/>
          <w:lang w:eastAsia="en-AU"/>
        </w:rPr>
        <w:t xml:space="preserve"> Kill</w:t>
      </w:r>
      <w:r w:rsidR="0055673B" w:rsidRPr="00322881">
        <w:rPr>
          <w:sz w:val="19"/>
          <w:szCs w:val="19"/>
          <w:lang w:eastAsia="en-AU"/>
        </w:rPr>
        <w:t xml:space="preserve"> </w:t>
      </w:r>
      <w:r w:rsidRPr="00322881">
        <w:rPr>
          <w:sz w:val="19"/>
          <w:szCs w:val="19"/>
          <w:lang w:eastAsia="en-AU"/>
        </w:rPr>
        <w:t>9 Members of</w:t>
      </w:r>
      <w:r w:rsidR="0055673B" w:rsidRPr="00322881">
        <w:rPr>
          <w:sz w:val="19"/>
          <w:szCs w:val="19"/>
          <w:lang w:eastAsia="en-AU"/>
        </w:rPr>
        <w:t xml:space="preserve"> </w:t>
      </w:r>
      <w:r w:rsidRPr="00322881">
        <w:rPr>
          <w:sz w:val="19"/>
          <w:szCs w:val="19"/>
          <w:lang w:eastAsia="en-AU"/>
        </w:rPr>
        <w:t>Minority in Ambush</w:t>
      </w:r>
      <w:r w:rsidR="0055673B" w:rsidRPr="00322881">
        <w:rPr>
          <w:sz w:val="19"/>
          <w:szCs w:val="19"/>
          <w:lang w:eastAsia="en-AU"/>
        </w:rPr>
        <w:t>”</w:t>
      </w:r>
      <w:r w:rsidRPr="00322881">
        <w:rPr>
          <w:sz w:val="19"/>
          <w:szCs w:val="19"/>
          <w:lang w:eastAsia="en-AU"/>
        </w:rPr>
        <w:t xml:space="preserve">, </w:t>
      </w:r>
      <w:r w:rsidRPr="00322881">
        <w:rPr>
          <w:i/>
          <w:iCs/>
          <w:sz w:val="19"/>
          <w:szCs w:val="19"/>
          <w:lang w:eastAsia="en-AU"/>
        </w:rPr>
        <w:t xml:space="preserve">New </w:t>
      </w:r>
      <w:r w:rsidR="0055673B" w:rsidRPr="00322881">
        <w:rPr>
          <w:i/>
          <w:sz w:val="19"/>
          <w:szCs w:val="19"/>
          <w:lang w:eastAsia="en-AU"/>
        </w:rPr>
        <w:t>Yor</w:t>
      </w:r>
      <w:r w:rsidRPr="00322881">
        <w:rPr>
          <w:i/>
          <w:sz w:val="19"/>
          <w:szCs w:val="19"/>
          <w:lang w:eastAsia="en-AU"/>
        </w:rPr>
        <w:t>k</w:t>
      </w:r>
      <w:r w:rsidRPr="00322881">
        <w:rPr>
          <w:sz w:val="19"/>
          <w:szCs w:val="19"/>
          <w:lang w:eastAsia="en-AU"/>
        </w:rPr>
        <w:t xml:space="preserve"> </w:t>
      </w:r>
      <w:r w:rsidRPr="00322881">
        <w:rPr>
          <w:i/>
          <w:iCs/>
          <w:sz w:val="19"/>
          <w:szCs w:val="19"/>
          <w:lang w:eastAsia="en-AU"/>
        </w:rPr>
        <w:t xml:space="preserve">Times, </w:t>
      </w:r>
      <w:r w:rsidR="0055673B" w:rsidRPr="00322881">
        <w:rPr>
          <w:iCs/>
          <w:sz w:val="19"/>
          <w:szCs w:val="19"/>
          <w:lang w:eastAsia="en-AU"/>
        </w:rPr>
        <w:t>25 June</w:t>
      </w:r>
      <w:r w:rsidRPr="00322881">
        <w:rPr>
          <w:sz w:val="19"/>
          <w:szCs w:val="19"/>
          <w:lang w:eastAsia="en-AU"/>
        </w:rPr>
        <w:t>, 2010</w:t>
      </w:r>
    </w:p>
    <w:p w14:paraId="748AC4DD" w14:textId="63D93956" w:rsidR="007F20B6" w:rsidRPr="00322881" w:rsidRDefault="0055673B" w:rsidP="0055673B">
      <w:pPr>
        <w:pStyle w:val="Quote1"/>
        <w:ind w:left="1440" w:hanging="703"/>
        <w:rPr>
          <w:sz w:val="19"/>
          <w:szCs w:val="19"/>
          <w:lang w:eastAsia="en-AU"/>
        </w:rPr>
      </w:pPr>
      <w:r>
        <w:rPr>
          <w:sz w:val="13"/>
          <w:szCs w:val="13"/>
          <w:lang w:eastAsia="en-AU"/>
        </w:rPr>
        <w:t>84</w:t>
      </w:r>
      <w:r>
        <w:rPr>
          <w:sz w:val="13"/>
          <w:szCs w:val="13"/>
          <w:lang w:eastAsia="en-AU"/>
        </w:rPr>
        <w:tab/>
      </w:r>
      <w:r w:rsidR="007F20B6" w:rsidRPr="00322881">
        <w:rPr>
          <w:sz w:val="19"/>
          <w:szCs w:val="19"/>
          <w:lang w:eastAsia="en-AU"/>
        </w:rPr>
        <w:t>CXBD6A</w:t>
      </w:r>
      <w:r w:rsidRPr="00322881">
        <w:rPr>
          <w:sz w:val="19"/>
          <w:szCs w:val="19"/>
          <w:lang w:eastAsia="en-AU"/>
        </w:rPr>
        <w:t>0</w:t>
      </w:r>
      <w:r w:rsidR="007F20B6" w:rsidRPr="00322881">
        <w:rPr>
          <w:sz w:val="19"/>
          <w:szCs w:val="19"/>
          <w:lang w:eastAsia="en-AU"/>
        </w:rPr>
        <w:t xml:space="preserve">DE5323: </w:t>
      </w:r>
      <w:r w:rsidR="00DF4761">
        <w:rPr>
          <w:sz w:val="19"/>
          <w:szCs w:val="19"/>
          <w:lang w:eastAsia="en-AU"/>
        </w:rPr>
        <w:t>“</w:t>
      </w:r>
      <w:proofErr w:type="spellStart"/>
      <w:r w:rsidR="007F20B6" w:rsidRPr="00322881">
        <w:rPr>
          <w:sz w:val="19"/>
          <w:szCs w:val="19"/>
          <w:lang w:eastAsia="en-AU"/>
        </w:rPr>
        <w:t>Hazaras</w:t>
      </w:r>
      <w:proofErr w:type="spellEnd"/>
      <w:r w:rsidR="007F20B6" w:rsidRPr="00322881">
        <w:rPr>
          <w:sz w:val="19"/>
          <w:szCs w:val="19"/>
          <w:lang w:eastAsia="en-AU"/>
        </w:rPr>
        <w:t xml:space="preserve"> in the Crosshair</w:t>
      </w:r>
      <w:r w:rsidRPr="00322881">
        <w:rPr>
          <w:sz w:val="19"/>
          <w:szCs w:val="19"/>
          <w:lang w:eastAsia="en-AU"/>
        </w:rPr>
        <w:t>s</w:t>
      </w:r>
      <w:r w:rsidR="007F20B6" w:rsidRPr="00322881">
        <w:rPr>
          <w:sz w:val="19"/>
          <w:szCs w:val="19"/>
          <w:lang w:eastAsia="en-AU"/>
        </w:rPr>
        <w:t xml:space="preserve">? </w:t>
      </w:r>
      <w:r w:rsidRPr="00322881">
        <w:rPr>
          <w:sz w:val="19"/>
          <w:szCs w:val="19"/>
          <w:lang w:eastAsia="en-AU"/>
        </w:rPr>
        <w:t xml:space="preserve">A scrutiny of recent incidents”, Afghanistan Analysts Network, </w:t>
      </w:r>
      <w:r w:rsidR="007F20B6" w:rsidRPr="00322881">
        <w:rPr>
          <w:sz w:val="19"/>
          <w:szCs w:val="19"/>
          <w:lang w:eastAsia="en-AU"/>
        </w:rPr>
        <w:t>24 April</w:t>
      </w:r>
      <w:r w:rsidRPr="00322881">
        <w:rPr>
          <w:sz w:val="19"/>
          <w:szCs w:val="19"/>
          <w:lang w:eastAsia="en-AU"/>
        </w:rPr>
        <w:t xml:space="preserve"> </w:t>
      </w:r>
      <w:r w:rsidR="007F20B6" w:rsidRPr="00322881">
        <w:rPr>
          <w:sz w:val="19"/>
          <w:szCs w:val="19"/>
          <w:lang w:eastAsia="en-AU"/>
        </w:rPr>
        <w:t>2015</w:t>
      </w:r>
    </w:p>
    <w:p w14:paraId="7F64808A" w14:textId="77B3E1A3" w:rsidR="007F20B6" w:rsidRPr="00322881" w:rsidRDefault="0055673B" w:rsidP="007D3EE1">
      <w:pPr>
        <w:pStyle w:val="Quote1"/>
        <w:ind w:left="1440" w:hanging="703"/>
        <w:rPr>
          <w:sz w:val="19"/>
          <w:szCs w:val="19"/>
          <w:lang w:eastAsia="en-AU"/>
        </w:rPr>
      </w:pPr>
      <w:r>
        <w:rPr>
          <w:sz w:val="13"/>
          <w:szCs w:val="13"/>
          <w:lang w:eastAsia="en-AU"/>
        </w:rPr>
        <w:t>85</w:t>
      </w:r>
      <w:r>
        <w:rPr>
          <w:sz w:val="13"/>
          <w:szCs w:val="13"/>
          <w:lang w:eastAsia="en-AU"/>
        </w:rPr>
        <w:tab/>
      </w:r>
      <w:r w:rsidR="007F20B6" w:rsidRPr="00322881">
        <w:rPr>
          <w:sz w:val="19"/>
          <w:szCs w:val="19"/>
          <w:lang w:eastAsia="en-AU"/>
        </w:rPr>
        <w:t>CXIB9ECAB8314:</w:t>
      </w:r>
      <w:r w:rsidR="007D3EE1" w:rsidRPr="00322881">
        <w:rPr>
          <w:sz w:val="19"/>
          <w:szCs w:val="19"/>
          <w:lang w:eastAsia="en-AU"/>
        </w:rPr>
        <w:t xml:space="preserve"> “Families of Taliban's Victims in </w:t>
      </w:r>
      <w:proofErr w:type="spellStart"/>
      <w:r w:rsidR="007D3EE1" w:rsidRPr="00322881">
        <w:rPr>
          <w:sz w:val="19"/>
          <w:szCs w:val="19"/>
          <w:lang w:eastAsia="en-AU"/>
        </w:rPr>
        <w:t>Ghor</w:t>
      </w:r>
      <w:proofErr w:type="spellEnd"/>
      <w:r w:rsidR="007D3EE1" w:rsidRPr="00322881">
        <w:rPr>
          <w:sz w:val="19"/>
          <w:szCs w:val="19"/>
          <w:lang w:eastAsia="en-AU"/>
        </w:rPr>
        <w:t xml:space="preserve"> Searc</w:t>
      </w:r>
      <w:r w:rsidR="007F20B6" w:rsidRPr="00322881">
        <w:rPr>
          <w:sz w:val="19"/>
          <w:szCs w:val="19"/>
          <w:lang w:eastAsia="en-AU"/>
        </w:rPr>
        <w:t>h for Answers</w:t>
      </w:r>
      <w:r w:rsidR="00DF4761">
        <w:rPr>
          <w:sz w:val="19"/>
          <w:szCs w:val="19"/>
          <w:lang w:eastAsia="en-AU"/>
        </w:rPr>
        <w:t>”</w:t>
      </w:r>
      <w:r w:rsidR="007F20B6" w:rsidRPr="00322881">
        <w:rPr>
          <w:sz w:val="19"/>
          <w:szCs w:val="19"/>
          <w:lang w:eastAsia="en-AU"/>
        </w:rPr>
        <w:t xml:space="preserve">, </w:t>
      </w:r>
      <w:proofErr w:type="spellStart"/>
      <w:r w:rsidR="007F20B6" w:rsidRPr="00322881">
        <w:rPr>
          <w:sz w:val="19"/>
          <w:szCs w:val="19"/>
          <w:lang w:eastAsia="en-AU"/>
        </w:rPr>
        <w:t>Tolo</w:t>
      </w:r>
      <w:proofErr w:type="spellEnd"/>
      <w:r w:rsidR="007F20B6" w:rsidRPr="00322881">
        <w:rPr>
          <w:sz w:val="19"/>
          <w:szCs w:val="19"/>
          <w:lang w:eastAsia="en-AU"/>
        </w:rPr>
        <w:t xml:space="preserve"> </w:t>
      </w:r>
      <w:r w:rsidR="007F20B6" w:rsidRPr="00322881">
        <w:rPr>
          <w:sz w:val="19"/>
          <w:szCs w:val="19"/>
          <w:lang w:eastAsia="en-AU"/>
        </w:rPr>
        <w:lastRenderedPageBreak/>
        <w:t>News, 27</w:t>
      </w:r>
      <w:r w:rsidR="007D3EE1" w:rsidRPr="00322881">
        <w:rPr>
          <w:sz w:val="19"/>
          <w:szCs w:val="19"/>
          <w:lang w:eastAsia="en-AU"/>
        </w:rPr>
        <w:t xml:space="preserve"> </w:t>
      </w:r>
      <w:r w:rsidR="007F20B6" w:rsidRPr="00322881">
        <w:rPr>
          <w:sz w:val="19"/>
          <w:szCs w:val="19"/>
          <w:lang w:eastAsia="en-AU"/>
        </w:rPr>
        <w:t>July 2014</w:t>
      </w:r>
    </w:p>
    <w:p w14:paraId="2BF4A933" w14:textId="0AA4E7C6" w:rsidR="007F20B6" w:rsidRPr="00322881" w:rsidRDefault="007D3EE1" w:rsidP="007D3EE1">
      <w:pPr>
        <w:pStyle w:val="Quote1"/>
        <w:ind w:left="1440" w:hanging="703"/>
        <w:rPr>
          <w:sz w:val="19"/>
          <w:szCs w:val="19"/>
          <w:lang w:eastAsia="en-AU"/>
        </w:rPr>
      </w:pPr>
      <w:r>
        <w:rPr>
          <w:sz w:val="13"/>
          <w:szCs w:val="13"/>
          <w:lang w:eastAsia="en-AU"/>
        </w:rPr>
        <w:t>86</w:t>
      </w:r>
      <w:r>
        <w:rPr>
          <w:sz w:val="13"/>
          <w:szCs w:val="13"/>
          <w:lang w:eastAsia="en-AU"/>
        </w:rPr>
        <w:tab/>
      </w:r>
      <w:r w:rsidR="007F20B6" w:rsidRPr="00322881">
        <w:rPr>
          <w:sz w:val="19"/>
          <w:szCs w:val="19"/>
          <w:lang w:eastAsia="en-AU"/>
        </w:rPr>
        <w:t xml:space="preserve">CXIB9ECAB8310: </w:t>
      </w:r>
      <w:r w:rsidRPr="00322881">
        <w:rPr>
          <w:sz w:val="19"/>
          <w:szCs w:val="19"/>
          <w:lang w:eastAsia="en-AU"/>
        </w:rPr>
        <w:t>“Taliban</w:t>
      </w:r>
      <w:r w:rsidR="007F20B6" w:rsidRPr="00322881">
        <w:rPr>
          <w:sz w:val="19"/>
          <w:szCs w:val="19"/>
          <w:lang w:eastAsia="en-AU"/>
        </w:rPr>
        <w:t xml:space="preserve"> </w:t>
      </w:r>
      <w:r w:rsidRPr="00322881">
        <w:rPr>
          <w:sz w:val="19"/>
          <w:szCs w:val="19"/>
          <w:lang w:eastAsia="en-AU"/>
        </w:rPr>
        <w:t>leader held in murder of German tourist</w:t>
      </w:r>
      <w:r w:rsidR="007F20B6" w:rsidRPr="00322881">
        <w:rPr>
          <w:sz w:val="19"/>
          <w:szCs w:val="19"/>
          <w:lang w:eastAsia="en-AU"/>
        </w:rPr>
        <w:t xml:space="preserve">, 14 civilians in </w:t>
      </w:r>
      <w:proofErr w:type="spellStart"/>
      <w:r w:rsidR="007F20B6" w:rsidRPr="00322881">
        <w:rPr>
          <w:sz w:val="19"/>
          <w:szCs w:val="19"/>
          <w:lang w:eastAsia="en-AU"/>
        </w:rPr>
        <w:t>Ghor</w:t>
      </w:r>
      <w:proofErr w:type="spellEnd"/>
      <w:r w:rsidRPr="00322881">
        <w:rPr>
          <w:sz w:val="19"/>
          <w:szCs w:val="19"/>
          <w:lang w:eastAsia="en-AU"/>
        </w:rPr>
        <w:t>”</w:t>
      </w:r>
      <w:r w:rsidR="007F20B6" w:rsidRPr="00322881">
        <w:rPr>
          <w:sz w:val="19"/>
          <w:szCs w:val="19"/>
          <w:lang w:eastAsia="en-AU"/>
        </w:rPr>
        <w:t xml:space="preserve">, </w:t>
      </w:r>
      <w:proofErr w:type="spellStart"/>
      <w:r w:rsidR="007F20B6" w:rsidRPr="00322881">
        <w:rPr>
          <w:sz w:val="19"/>
          <w:szCs w:val="19"/>
          <w:lang w:eastAsia="en-AU"/>
        </w:rPr>
        <w:t>Khaama</w:t>
      </w:r>
      <w:proofErr w:type="spellEnd"/>
      <w:r w:rsidRPr="00322881">
        <w:rPr>
          <w:sz w:val="19"/>
          <w:szCs w:val="19"/>
          <w:lang w:eastAsia="en-AU"/>
        </w:rPr>
        <w:t xml:space="preserve"> </w:t>
      </w:r>
      <w:r w:rsidR="007F20B6" w:rsidRPr="00322881">
        <w:rPr>
          <w:sz w:val="19"/>
          <w:szCs w:val="19"/>
          <w:lang w:eastAsia="en-AU"/>
        </w:rPr>
        <w:t>Press, 22 October 2014</w:t>
      </w:r>
    </w:p>
    <w:p w14:paraId="338F27D1" w14:textId="1CDE8761" w:rsidR="007F20B6" w:rsidRDefault="007D3EE1" w:rsidP="007D3EE1">
      <w:pPr>
        <w:pStyle w:val="Quote1"/>
        <w:ind w:left="1440" w:hanging="703"/>
        <w:rPr>
          <w:sz w:val="19"/>
          <w:szCs w:val="19"/>
          <w:lang w:eastAsia="en-AU"/>
        </w:rPr>
      </w:pPr>
      <w:r>
        <w:rPr>
          <w:sz w:val="13"/>
          <w:szCs w:val="13"/>
          <w:lang w:eastAsia="en-AU"/>
        </w:rPr>
        <w:t>87</w:t>
      </w:r>
      <w:r>
        <w:rPr>
          <w:sz w:val="13"/>
          <w:szCs w:val="13"/>
          <w:lang w:eastAsia="en-AU"/>
        </w:rPr>
        <w:tab/>
      </w:r>
      <w:r w:rsidRPr="00322881">
        <w:rPr>
          <w:sz w:val="19"/>
          <w:szCs w:val="19"/>
          <w:lang w:eastAsia="en-AU"/>
        </w:rPr>
        <w:t>CXBD6A0</w:t>
      </w:r>
      <w:r w:rsidR="007F20B6" w:rsidRPr="00322881">
        <w:rPr>
          <w:sz w:val="19"/>
          <w:szCs w:val="19"/>
          <w:lang w:eastAsia="en-AU"/>
        </w:rPr>
        <w:t xml:space="preserve">DE6745: </w:t>
      </w:r>
      <w:r w:rsidRPr="00322881">
        <w:rPr>
          <w:sz w:val="19"/>
          <w:szCs w:val="19"/>
          <w:lang w:eastAsia="en-AU"/>
        </w:rPr>
        <w:t>“</w:t>
      </w:r>
      <w:r w:rsidR="007F20B6" w:rsidRPr="00322881">
        <w:rPr>
          <w:sz w:val="19"/>
          <w:szCs w:val="19"/>
          <w:lang w:eastAsia="en-AU"/>
        </w:rPr>
        <w:t xml:space="preserve">19 </w:t>
      </w:r>
      <w:r w:rsidRPr="00322881">
        <w:rPr>
          <w:sz w:val="19"/>
          <w:szCs w:val="19"/>
          <w:lang w:eastAsia="en-AU"/>
        </w:rPr>
        <w:t xml:space="preserve">kidnapped passengers freed”, </w:t>
      </w:r>
      <w:proofErr w:type="spellStart"/>
      <w:r w:rsidRPr="00322881">
        <w:rPr>
          <w:sz w:val="19"/>
          <w:szCs w:val="19"/>
          <w:lang w:eastAsia="en-AU"/>
        </w:rPr>
        <w:t>Pajhwok</w:t>
      </w:r>
      <w:proofErr w:type="spellEnd"/>
      <w:r w:rsidRPr="00322881">
        <w:rPr>
          <w:sz w:val="19"/>
          <w:szCs w:val="19"/>
          <w:lang w:eastAsia="en-AU"/>
        </w:rPr>
        <w:t xml:space="preserve"> Afghan News – </w:t>
      </w:r>
      <w:r w:rsidR="007F20B6" w:rsidRPr="00322881">
        <w:rPr>
          <w:sz w:val="19"/>
          <w:szCs w:val="19"/>
          <w:lang w:eastAsia="en-AU"/>
        </w:rPr>
        <w:t>Afgh</w:t>
      </w:r>
      <w:r w:rsidRPr="00322881">
        <w:rPr>
          <w:sz w:val="19"/>
          <w:szCs w:val="19"/>
          <w:lang w:eastAsia="en-AU"/>
        </w:rPr>
        <w:t>a</w:t>
      </w:r>
      <w:r w:rsidR="007F20B6" w:rsidRPr="00322881">
        <w:rPr>
          <w:sz w:val="19"/>
          <w:szCs w:val="19"/>
          <w:lang w:eastAsia="en-AU"/>
        </w:rPr>
        <w:t>n</w:t>
      </w:r>
      <w:r w:rsidRPr="00322881">
        <w:rPr>
          <w:sz w:val="19"/>
          <w:szCs w:val="19"/>
          <w:lang w:eastAsia="en-AU"/>
        </w:rPr>
        <w:t xml:space="preserve">istan, 11 May </w:t>
      </w:r>
      <w:r w:rsidR="007F20B6" w:rsidRPr="00322881">
        <w:rPr>
          <w:sz w:val="19"/>
          <w:szCs w:val="19"/>
          <w:lang w:eastAsia="en-AU"/>
        </w:rPr>
        <w:t>2015</w:t>
      </w:r>
    </w:p>
    <w:p w14:paraId="4D04CC29" w14:textId="404BDB0E" w:rsidR="007F20B6" w:rsidRDefault="007D3EE1" w:rsidP="007D3EE1">
      <w:pPr>
        <w:pStyle w:val="Quote1"/>
        <w:ind w:left="1440" w:hanging="703"/>
        <w:rPr>
          <w:sz w:val="19"/>
          <w:szCs w:val="19"/>
          <w:lang w:eastAsia="en-AU"/>
        </w:rPr>
      </w:pPr>
      <w:r>
        <w:rPr>
          <w:sz w:val="13"/>
          <w:szCs w:val="13"/>
          <w:lang w:eastAsia="en-AU"/>
        </w:rPr>
        <w:t>88</w:t>
      </w:r>
      <w:r>
        <w:rPr>
          <w:sz w:val="13"/>
          <w:szCs w:val="13"/>
          <w:lang w:eastAsia="en-AU"/>
        </w:rPr>
        <w:tab/>
      </w:r>
      <w:r w:rsidR="007F20B6">
        <w:rPr>
          <w:sz w:val="19"/>
          <w:szCs w:val="19"/>
          <w:lang w:eastAsia="en-AU"/>
        </w:rPr>
        <w:t>CXB</w:t>
      </w:r>
      <w:r>
        <w:rPr>
          <w:sz w:val="19"/>
          <w:szCs w:val="19"/>
          <w:lang w:eastAsia="en-AU"/>
        </w:rPr>
        <w:t>D6A0DE5323: “</w:t>
      </w:r>
      <w:proofErr w:type="spellStart"/>
      <w:r>
        <w:rPr>
          <w:sz w:val="19"/>
          <w:szCs w:val="19"/>
          <w:lang w:eastAsia="en-AU"/>
        </w:rPr>
        <w:t>Hazaras</w:t>
      </w:r>
      <w:proofErr w:type="spellEnd"/>
      <w:r>
        <w:rPr>
          <w:sz w:val="19"/>
          <w:szCs w:val="19"/>
          <w:lang w:eastAsia="en-AU"/>
        </w:rPr>
        <w:t xml:space="preserve"> in the Crossha</w:t>
      </w:r>
      <w:r w:rsidR="007F20B6">
        <w:rPr>
          <w:sz w:val="19"/>
          <w:szCs w:val="19"/>
          <w:lang w:eastAsia="en-AU"/>
        </w:rPr>
        <w:t xml:space="preserve">irs? A </w:t>
      </w:r>
      <w:r>
        <w:rPr>
          <w:sz w:val="19"/>
          <w:szCs w:val="19"/>
          <w:lang w:eastAsia="en-AU"/>
        </w:rPr>
        <w:t xml:space="preserve">scrutiny of recent </w:t>
      </w:r>
      <w:r w:rsidR="007F20B6">
        <w:rPr>
          <w:sz w:val="19"/>
          <w:szCs w:val="19"/>
          <w:lang w:eastAsia="en-AU"/>
        </w:rPr>
        <w:t>incidents</w:t>
      </w:r>
      <w:r>
        <w:rPr>
          <w:sz w:val="19"/>
          <w:szCs w:val="19"/>
          <w:lang w:eastAsia="en-AU"/>
        </w:rPr>
        <w:t>”</w:t>
      </w:r>
      <w:r w:rsidR="007F20B6">
        <w:rPr>
          <w:sz w:val="19"/>
          <w:szCs w:val="19"/>
          <w:lang w:eastAsia="en-AU"/>
        </w:rPr>
        <w:t>, Afghanis</w:t>
      </w:r>
      <w:r>
        <w:rPr>
          <w:sz w:val="19"/>
          <w:szCs w:val="19"/>
          <w:lang w:eastAsia="en-AU"/>
        </w:rPr>
        <w:t>ta</w:t>
      </w:r>
      <w:r w:rsidR="003664D3">
        <w:rPr>
          <w:sz w:val="19"/>
          <w:szCs w:val="19"/>
          <w:lang w:eastAsia="en-AU"/>
        </w:rPr>
        <w:t xml:space="preserve">n </w:t>
      </w:r>
      <w:r w:rsidR="007F20B6">
        <w:rPr>
          <w:sz w:val="19"/>
          <w:szCs w:val="19"/>
          <w:lang w:eastAsia="en-AU"/>
        </w:rPr>
        <w:t>Analysts Network, 24 April</w:t>
      </w:r>
      <w:r>
        <w:rPr>
          <w:sz w:val="19"/>
          <w:szCs w:val="19"/>
          <w:lang w:eastAsia="en-AU"/>
        </w:rPr>
        <w:t xml:space="preserve"> 2015</w:t>
      </w:r>
    </w:p>
    <w:p w14:paraId="1DD8CBBE" w14:textId="77777777" w:rsidR="00322881" w:rsidRDefault="007D3EE1" w:rsidP="00322881">
      <w:pPr>
        <w:pStyle w:val="Quote1"/>
        <w:ind w:left="1440" w:hanging="703"/>
        <w:rPr>
          <w:sz w:val="19"/>
          <w:szCs w:val="19"/>
          <w:lang w:eastAsia="en-AU"/>
        </w:rPr>
      </w:pPr>
      <w:r>
        <w:rPr>
          <w:sz w:val="13"/>
          <w:szCs w:val="13"/>
          <w:lang w:eastAsia="en-AU"/>
        </w:rPr>
        <w:t>89</w:t>
      </w:r>
      <w:r>
        <w:rPr>
          <w:sz w:val="13"/>
          <w:szCs w:val="13"/>
          <w:lang w:eastAsia="en-AU"/>
        </w:rPr>
        <w:tab/>
      </w:r>
      <w:r>
        <w:rPr>
          <w:sz w:val="19"/>
          <w:szCs w:val="19"/>
          <w:lang w:eastAsia="en-AU"/>
        </w:rPr>
        <w:t>CXBD6A0</w:t>
      </w:r>
      <w:r w:rsidR="007F20B6">
        <w:rPr>
          <w:sz w:val="19"/>
          <w:szCs w:val="19"/>
          <w:lang w:eastAsia="en-AU"/>
        </w:rPr>
        <w:t xml:space="preserve">DE6745: </w:t>
      </w:r>
      <w:r>
        <w:rPr>
          <w:sz w:val="19"/>
          <w:szCs w:val="19"/>
          <w:lang w:eastAsia="en-AU"/>
        </w:rPr>
        <w:t>“</w:t>
      </w:r>
      <w:r w:rsidR="007F20B6">
        <w:rPr>
          <w:sz w:val="19"/>
          <w:szCs w:val="19"/>
          <w:lang w:eastAsia="en-AU"/>
        </w:rPr>
        <w:t xml:space="preserve">l9 </w:t>
      </w:r>
      <w:r>
        <w:rPr>
          <w:sz w:val="19"/>
          <w:szCs w:val="19"/>
          <w:lang w:eastAsia="en-AU"/>
        </w:rPr>
        <w:t xml:space="preserve">kidnapped passengers </w:t>
      </w:r>
      <w:r w:rsidR="007F20B6">
        <w:rPr>
          <w:sz w:val="19"/>
          <w:szCs w:val="19"/>
          <w:lang w:eastAsia="en-AU"/>
        </w:rPr>
        <w:t>freed</w:t>
      </w:r>
      <w:r>
        <w:rPr>
          <w:sz w:val="19"/>
          <w:szCs w:val="19"/>
          <w:lang w:eastAsia="en-AU"/>
        </w:rPr>
        <w:t>”</w:t>
      </w:r>
      <w:r w:rsidR="007F20B6">
        <w:rPr>
          <w:sz w:val="19"/>
          <w:szCs w:val="19"/>
          <w:lang w:eastAsia="en-AU"/>
        </w:rPr>
        <w:t xml:space="preserve">, </w:t>
      </w:r>
      <w:proofErr w:type="spellStart"/>
      <w:r w:rsidR="00322881">
        <w:rPr>
          <w:sz w:val="19"/>
          <w:szCs w:val="19"/>
          <w:lang w:eastAsia="en-AU"/>
        </w:rPr>
        <w:t>Pajhwok</w:t>
      </w:r>
      <w:proofErr w:type="spellEnd"/>
      <w:r w:rsidR="00322881">
        <w:rPr>
          <w:sz w:val="19"/>
          <w:szCs w:val="19"/>
          <w:lang w:eastAsia="en-AU"/>
        </w:rPr>
        <w:t xml:space="preserve"> Afghan News – Afghanistan, 11 May 2015</w:t>
      </w:r>
    </w:p>
    <w:p w14:paraId="70E18349" w14:textId="3A0572C4" w:rsidR="00AB3DDB" w:rsidRPr="008B3C97" w:rsidRDefault="00AB3DDB" w:rsidP="008B3C97">
      <w:pPr>
        <w:pStyle w:val="ParaNumbering"/>
        <w:rPr>
          <w:b/>
          <w:sz w:val="18"/>
          <w:szCs w:val="18"/>
        </w:rPr>
      </w:pPr>
      <w:r>
        <w:t xml:space="preserve">The assessor accepted that some roads in and out of </w:t>
      </w:r>
      <w:proofErr w:type="spellStart"/>
      <w:r>
        <w:t>Bam</w:t>
      </w:r>
      <w:r w:rsidR="000E6C87">
        <w:t>iyan</w:t>
      </w:r>
      <w:proofErr w:type="spellEnd"/>
      <w:r w:rsidR="000E6C87">
        <w:t xml:space="preserve"> can at times be dangerous, </w:t>
      </w:r>
      <w:r w:rsidR="009E3A4D" w:rsidRPr="000E6C87">
        <w:t>however</w:t>
      </w:r>
      <w:r w:rsidR="0054013A" w:rsidRPr="000E6C87">
        <w:t xml:space="preserve"> noted that </w:t>
      </w:r>
      <w:r w:rsidRPr="000E6C87">
        <w:t xml:space="preserve">country information </w:t>
      </w:r>
      <w:r w:rsidR="0054013A" w:rsidRPr="000E6C87">
        <w:t xml:space="preserve">in a </w:t>
      </w:r>
      <w:r w:rsidR="009E3A4D" w:rsidRPr="000E6C87">
        <w:t>Department of Foreign Affairs and Trade (</w:t>
      </w:r>
      <w:r w:rsidR="0054013A" w:rsidRPr="000E6C87">
        <w:rPr>
          <w:b/>
        </w:rPr>
        <w:t>DFAT</w:t>
      </w:r>
      <w:r w:rsidR="009E3A4D" w:rsidRPr="000E6C87">
        <w:t>)</w:t>
      </w:r>
      <w:r w:rsidR="0054013A">
        <w:t xml:space="preserve"> report of March 2014 indicate</w:t>
      </w:r>
      <w:r w:rsidR="00130CD8">
        <w:t xml:space="preserve">d </w:t>
      </w:r>
      <w:r>
        <w:t>that loc</w:t>
      </w:r>
      <w:r w:rsidR="0054013A">
        <w:t xml:space="preserve">als with knowledge of the area </w:t>
      </w:r>
      <w:r w:rsidR="00130CD8">
        <w:t xml:space="preserve">were </w:t>
      </w:r>
      <w:r>
        <w:t>generally able to travel without serious incident.</w:t>
      </w:r>
      <w:r w:rsidR="0054013A">
        <w:rPr>
          <w:b/>
          <w:sz w:val="18"/>
          <w:szCs w:val="18"/>
        </w:rPr>
        <w:t xml:space="preserve"> </w:t>
      </w:r>
      <w:r w:rsidR="009E3A4D">
        <w:rPr>
          <w:b/>
          <w:sz w:val="18"/>
          <w:szCs w:val="18"/>
        </w:rPr>
        <w:t xml:space="preserve"> </w:t>
      </w:r>
      <w:r w:rsidR="0054013A">
        <w:t xml:space="preserve">The assessor also noted that </w:t>
      </w:r>
      <w:r>
        <w:t xml:space="preserve">DFAT </w:t>
      </w:r>
      <w:r w:rsidR="0054013A">
        <w:t xml:space="preserve">report </w:t>
      </w:r>
      <w:r>
        <w:t xml:space="preserve">stated that the main targets on the roads were ‘those employed by or with direct links to the Afghan Government or international community – regardless of ethnicity’. </w:t>
      </w:r>
    </w:p>
    <w:p w14:paraId="16768421" w14:textId="57B34D56" w:rsidR="001C3915" w:rsidRPr="001E33D8" w:rsidRDefault="00394169" w:rsidP="00E2334F">
      <w:pPr>
        <w:pStyle w:val="ParaNumbering"/>
        <w:rPr>
          <w:color w:val="101010"/>
          <w:szCs w:val="24"/>
          <w:lang w:eastAsia="en-AU"/>
        </w:rPr>
      </w:pPr>
      <w:r>
        <w:t xml:space="preserve">Under the heading “Assessment of claims”, the assessor </w:t>
      </w:r>
      <w:r w:rsidR="00504546">
        <w:t xml:space="preserve">accepted that there is </w:t>
      </w:r>
      <w:r w:rsidR="00504546">
        <w:rPr>
          <w:lang w:eastAsia="en-AU"/>
        </w:rPr>
        <w:t xml:space="preserve">insecurity on </w:t>
      </w:r>
      <w:r w:rsidR="000E680F">
        <w:rPr>
          <w:lang w:eastAsia="en-AU"/>
        </w:rPr>
        <w:t xml:space="preserve">the </w:t>
      </w:r>
      <w:r w:rsidR="00504546" w:rsidRPr="0036696B">
        <w:rPr>
          <w:szCs w:val="24"/>
          <w:lang w:eastAsia="en-AU"/>
        </w:rPr>
        <w:t xml:space="preserve">roads </w:t>
      </w:r>
      <w:r w:rsidR="000E680F" w:rsidRPr="0036696B">
        <w:rPr>
          <w:szCs w:val="24"/>
          <w:lang w:eastAsia="en-AU"/>
        </w:rPr>
        <w:t>in and out</w:t>
      </w:r>
      <w:r w:rsidR="000E680F">
        <w:rPr>
          <w:lang w:eastAsia="en-AU"/>
        </w:rPr>
        <w:t xml:space="preserve"> </w:t>
      </w:r>
      <w:r w:rsidR="000E680F" w:rsidRPr="00E2334F">
        <w:rPr>
          <w:sz w:val="25"/>
          <w:szCs w:val="25"/>
          <w:lang w:eastAsia="en-AU"/>
        </w:rPr>
        <w:t>of</w:t>
      </w:r>
      <w:r w:rsidR="00504546" w:rsidRPr="00E2334F">
        <w:rPr>
          <w:sz w:val="25"/>
          <w:szCs w:val="25"/>
          <w:lang w:eastAsia="en-AU"/>
        </w:rPr>
        <w:t xml:space="preserve"> </w:t>
      </w:r>
      <w:proofErr w:type="spellStart"/>
      <w:r w:rsidR="00504546" w:rsidRPr="00E2334F">
        <w:rPr>
          <w:szCs w:val="24"/>
          <w:lang w:eastAsia="en-AU"/>
        </w:rPr>
        <w:t>Bamiyan</w:t>
      </w:r>
      <w:proofErr w:type="spellEnd"/>
      <w:r w:rsidR="00504546" w:rsidRPr="00E2334F">
        <w:rPr>
          <w:szCs w:val="24"/>
          <w:lang w:eastAsia="en-AU"/>
        </w:rPr>
        <w:t xml:space="preserve"> at </w:t>
      </w:r>
      <w:r w:rsidR="00130CD8">
        <w:rPr>
          <w:lang w:eastAsia="en-AU"/>
        </w:rPr>
        <w:t>times</w:t>
      </w:r>
      <w:r w:rsidR="000E680F">
        <w:rPr>
          <w:lang w:eastAsia="en-AU"/>
        </w:rPr>
        <w:t xml:space="preserve"> and that travellers </w:t>
      </w:r>
      <w:r w:rsidR="000E680F" w:rsidRPr="00E2334F">
        <w:rPr>
          <w:szCs w:val="24"/>
          <w:lang w:eastAsia="en-AU"/>
        </w:rPr>
        <w:t>need to take</w:t>
      </w:r>
      <w:r w:rsidR="00504546" w:rsidRPr="00E2334F">
        <w:rPr>
          <w:szCs w:val="24"/>
          <w:lang w:eastAsia="en-AU"/>
        </w:rPr>
        <w:t xml:space="preserve"> </w:t>
      </w:r>
      <w:r w:rsidR="000E680F" w:rsidRPr="00E2334F">
        <w:rPr>
          <w:szCs w:val="24"/>
          <w:lang w:eastAsia="en-AU"/>
        </w:rPr>
        <w:t xml:space="preserve">precautions when </w:t>
      </w:r>
      <w:r w:rsidR="00504546" w:rsidRPr="0036696B">
        <w:rPr>
          <w:szCs w:val="24"/>
          <w:lang w:eastAsia="en-AU"/>
        </w:rPr>
        <w:t>travelling</w:t>
      </w:r>
      <w:r w:rsidR="00A83224" w:rsidRPr="0036696B">
        <w:rPr>
          <w:szCs w:val="24"/>
          <w:lang w:eastAsia="en-AU"/>
        </w:rPr>
        <w:t xml:space="preserve"> </w:t>
      </w:r>
      <w:r w:rsidR="00504546" w:rsidRPr="0036696B">
        <w:rPr>
          <w:szCs w:val="24"/>
          <w:lang w:eastAsia="en-AU"/>
        </w:rPr>
        <w:t>but</w:t>
      </w:r>
      <w:r w:rsidR="00A83224" w:rsidRPr="0036696B">
        <w:rPr>
          <w:szCs w:val="24"/>
          <w:lang w:eastAsia="en-AU"/>
        </w:rPr>
        <w:t>,</w:t>
      </w:r>
      <w:r w:rsidR="00504546" w:rsidRPr="00E2334F">
        <w:rPr>
          <w:szCs w:val="24"/>
          <w:lang w:eastAsia="en-AU"/>
        </w:rPr>
        <w:t xml:space="preserve"> considering the country inform</w:t>
      </w:r>
      <w:r w:rsidR="000E680F" w:rsidRPr="00E2334F">
        <w:rPr>
          <w:szCs w:val="24"/>
          <w:lang w:eastAsia="en-AU"/>
        </w:rPr>
        <w:t>ation</w:t>
      </w:r>
      <w:r w:rsidR="00504546" w:rsidRPr="00E2334F">
        <w:rPr>
          <w:szCs w:val="24"/>
          <w:lang w:eastAsia="en-AU"/>
        </w:rPr>
        <w:t xml:space="preserve">, found </w:t>
      </w:r>
      <w:r w:rsidR="00504546" w:rsidRPr="0036696B">
        <w:rPr>
          <w:szCs w:val="24"/>
          <w:lang w:eastAsia="en-AU"/>
        </w:rPr>
        <w:t xml:space="preserve">that </w:t>
      </w:r>
      <w:r w:rsidR="000E680F" w:rsidRPr="0036696B">
        <w:rPr>
          <w:szCs w:val="24"/>
          <w:lang w:eastAsia="en-AU"/>
        </w:rPr>
        <w:t xml:space="preserve">the </w:t>
      </w:r>
      <w:r w:rsidR="00E2334F" w:rsidRPr="0036696B">
        <w:rPr>
          <w:szCs w:val="24"/>
          <w:lang w:eastAsia="en-AU"/>
        </w:rPr>
        <w:t>r</w:t>
      </w:r>
      <w:r w:rsidR="000E680F" w:rsidRPr="0036696B">
        <w:rPr>
          <w:szCs w:val="24"/>
          <w:lang w:eastAsia="en-AU"/>
        </w:rPr>
        <w:t xml:space="preserve">isk </w:t>
      </w:r>
      <w:r w:rsidR="00504546" w:rsidRPr="0036696B">
        <w:rPr>
          <w:szCs w:val="24"/>
          <w:lang w:eastAsia="en-AU"/>
        </w:rPr>
        <w:t xml:space="preserve">to </w:t>
      </w:r>
      <w:proofErr w:type="spellStart"/>
      <w:r w:rsidR="00504546" w:rsidRPr="0036696B">
        <w:rPr>
          <w:szCs w:val="24"/>
          <w:lang w:eastAsia="en-AU"/>
        </w:rPr>
        <w:t>Hazara</w:t>
      </w:r>
      <w:r w:rsidR="000E680F" w:rsidRPr="0036696B">
        <w:rPr>
          <w:szCs w:val="24"/>
          <w:lang w:eastAsia="en-AU"/>
        </w:rPr>
        <w:t>s</w:t>
      </w:r>
      <w:proofErr w:type="spellEnd"/>
      <w:r w:rsidR="000E680F">
        <w:rPr>
          <w:lang w:eastAsia="en-AU"/>
        </w:rPr>
        <w:t xml:space="preserve"> being seriously </w:t>
      </w:r>
      <w:r w:rsidR="00385523">
        <w:rPr>
          <w:lang w:eastAsia="en-AU"/>
        </w:rPr>
        <w:t xml:space="preserve">harmed </w:t>
      </w:r>
      <w:r w:rsidR="000E680F">
        <w:rPr>
          <w:lang w:eastAsia="en-AU"/>
        </w:rPr>
        <w:t>or killed while travelling on the</w:t>
      </w:r>
      <w:r w:rsidR="00385523" w:rsidRPr="00385523">
        <w:rPr>
          <w:lang w:eastAsia="en-AU"/>
        </w:rPr>
        <w:t xml:space="preserve"> </w:t>
      </w:r>
      <w:r w:rsidR="000E680F" w:rsidRPr="00E2334F">
        <w:rPr>
          <w:bCs/>
          <w:sz w:val="23"/>
          <w:szCs w:val="23"/>
          <w:lang w:eastAsia="en-AU"/>
        </w:rPr>
        <w:t>roads</w:t>
      </w:r>
      <w:r w:rsidR="000E680F" w:rsidRPr="00E2334F">
        <w:rPr>
          <w:b/>
          <w:bCs/>
          <w:sz w:val="23"/>
          <w:szCs w:val="23"/>
          <w:lang w:eastAsia="en-AU"/>
        </w:rPr>
        <w:t xml:space="preserve"> </w:t>
      </w:r>
      <w:r w:rsidR="000E680F" w:rsidRPr="00E2334F">
        <w:rPr>
          <w:szCs w:val="22"/>
          <w:lang w:eastAsia="en-AU"/>
        </w:rPr>
        <w:t xml:space="preserve">in and out </w:t>
      </w:r>
      <w:r w:rsidR="000E680F">
        <w:rPr>
          <w:lang w:eastAsia="en-AU"/>
        </w:rPr>
        <w:t>of</w:t>
      </w:r>
      <w:r w:rsidR="00385523">
        <w:rPr>
          <w:lang w:eastAsia="en-AU"/>
        </w:rPr>
        <w:t xml:space="preserve"> </w:t>
      </w:r>
      <w:proofErr w:type="spellStart"/>
      <w:r w:rsidR="00385523">
        <w:rPr>
          <w:lang w:eastAsia="en-AU"/>
        </w:rPr>
        <w:t>Bamiyam</w:t>
      </w:r>
      <w:proofErr w:type="spellEnd"/>
      <w:r w:rsidR="000E680F">
        <w:rPr>
          <w:lang w:eastAsia="en-AU"/>
        </w:rPr>
        <w:t xml:space="preserve"> </w:t>
      </w:r>
      <w:r w:rsidR="00385523" w:rsidRPr="00E2334F">
        <w:rPr>
          <w:szCs w:val="22"/>
          <w:lang w:eastAsia="en-AU"/>
        </w:rPr>
        <w:t>on account of their race or religion</w:t>
      </w:r>
      <w:r w:rsidR="000E680F" w:rsidRPr="00E2334F">
        <w:rPr>
          <w:szCs w:val="24"/>
          <w:lang w:eastAsia="en-AU"/>
        </w:rPr>
        <w:t>,</w:t>
      </w:r>
      <w:r w:rsidR="000E680F" w:rsidRPr="00E2334F">
        <w:rPr>
          <w:sz w:val="23"/>
          <w:szCs w:val="23"/>
          <w:lang w:eastAsia="en-AU"/>
        </w:rPr>
        <w:t xml:space="preserve"> </w:t>
      </w:r>
      <w:r w:rsidR="000E680F" w:rsidRPr="00E2334F">
        <w:rPr>
          <w:szCs w:val="22"/>
          <w:lang w:eastAsia="en-AU"/>
        </w:rPr>
        <w:t>or because they are</w:t>
      </w:r>
      <w:r w:rsidR="00385523" w:rsidRPr="00E2334F">
        <w:rPr>
          <w:szCs w:val="22"/>
          <w:lang w:eastAsia="en-AU"/>
        </w:rPr>
        <w:t xml:space="preserve"> </w:t>
      </w:r>
      <w:r w:rsidR="00385523">
        <w:rPr>
          <w:lang w:eastAsia="en-AU"/>
        </w:rPr>
        <w:t>imputed as being pro-</w:t>
      </w:r>
      <w:r w:rsidR="009F5B68">
        <w:rPr>
          <w:lang w:eastAsia="en-AU"/>
        </w:rPr>
        <w:t>government</w:t>
      </w:r>
      <w:r w:rsidR="000E680F">
        <w:rPr>
          <w:lang w:eastAsia="en-AU"/>
        </w:rPr>
        <w:t xml:space="preserve"> or p</w:t>
      </w:r>
      <w:r w:rsidR="009F5B68">
        <w:rPr>
          <w:lang w:eastAsia="en-AU"/>
        </w:rPr>
        <w:t>ro</w:t>
      </w:r>
      <w:r w:rsidR="000E680F">
        <w:rPr>
          <w:lang w:eastAsia="en-AU"/>
        </w:rPr>
        <w:t xml:space="preserve">-foreign forces because they are </w:t>
      </w:r>
      <w:proofErr w:type="spellStart"/>
      <w:r w:rsidR="000E680F">
        <w:rPr>
          <w:lang w:eastAsia="en-AU"/>
        </w:rPr>
        <w:t>Hazaras</w:t>
      </w:r>
      <w:proofErr w:type="spellEnd"/>
      <w:r w:rsidR="000E680F" w:rsidRPr="001E33D8">
        <w:rPr>
          <w:szCs w:val="24"/>
          <w:lang w:eastAsia="en-AU"/>
        </w:rPr>
        <w:t>,</w:t>
      </w:r>
      <w:r w:rsidR="00130CD8">
        <w:rPr>
          <w:szCs w:val="24"/>
          <w:lang w:eastAsia="en-AU"/>
        </w:rPr>
        <w:t xml:space="preserve"> was</w:t>
      </w:r>
      <w:r w:rsidR="00385523" w:rsidRPr="001E33D8">
        <w:rPr>
          <w:szCs w:val="24"/>
          <w:lang w:eastAsia="en-AU"/>
        </w:rPr>
        <w:t xml:space="preserve"> </w:t>
      </w:r>
      <w:r w:rsidR="000E680F" w:rsidRPr="001E33D8">
        <w:rPr>
          <w:szCs w:val="24"/>
          <w:lang w:eastAsia="en-AU"/>
        </w:rPr>
        <w:t>remote rather than re</w:t>
      </w:r>
      <w:r w:rsidR="00E2334F" w:rsidRPr="001E33D8">
        <w:rPr>
          <w:szCs w:val="24"/>
          <w:lang w:eastAsia="en-AU"/>
        </w:rPr>
        <w:t xml:space="preserve">al and the </w:t>
      </w:r>
      <w:r w:rsidR="000E680F" w:rsidRPr="001E33D8">
        <w:rPr>
          <w:color w:val="101010"/>
          <w:szCs w:val="24"/>
          <w:lang w:eastAsia="en-AU"/>
        </w:rPr>
        <w:t xml:space="preserve">risk to travellers, including </w:t>
      </w:r>
      <w:proofErr w:type="spellStart"/>
      <w:r w:rsidR="000E680F" w:rsidRPr="001E33D8">
        <w:rPr>
          <w:color w:val="101010"/>
          <w:szCs w:val="24"/>
          <w:lang w:eastAsia="en-AU"/>
        </w:rPr>
        <w:t>Hazaras</w:t>
      </w:r>
      <w:proofErr w:type="spellEnd"/>
      <w:r w:rsidR="000E680F" w:rsidRPr="001E33D8">
        <w:rPr>
          <w:color w:val="101010"/>
          <w:szCs w:val="24"/>
          <w:lang w:eastAsia="en-AU"/>
        </w:rPr>
        <w:t>, being seriously harmed due to general insecurity</w:t>
      </w:r>
      <w:r w:rsidR="00E2334F" w:rsidRPr="001E33D8">
        <w:rPr>
          <w:color w:val="101010"/>
          <w:szCs w:val="24"/>
          <w:lang w:eastAsia="en-AU"/>
        </w:rPr>
        <w:t xml:space="preserve"> </w:t>
      </w:r>
      <w:r w:rsidR="000E680F" w:rsidRPr="001E33D8">
        <w:rPr>
          <w:color w:val="101010"/>
          <w:szCs w:val="24"/>
          <w:lang w:eastAsia="en-AU"/>
        </w:rPr>
        <w:t xml:space="preserve">on the roads </w:t>
      </w:r>
      <w:r w:rsidR="00130CD8">
        <w:rPr>
          <w:color w:val="101010"/>
          <w:szCs w:val="24"/>
          <w:lang w:eastAsia="en-AU"/>
        </w:rPr>
        <w:t xml:space="preserve">was </w:t>
      </w:r>
      <w:r w:rsidR="000E680F" w:rsidRPr="001E33D8">
        <w:rPr>
          <w:color w:val="101010"/>
          <w:szCs w:val="24"/>
          <w:lang w:eastAsia="en-AU"/>
        </w:rPr>
        <w:t>remote rather than real.</w:t>
      </w:r>
      <w:r w:rsidR="00D94F78" w:rsidRPr="001E33D8">
        <w:rPr>
          <w:color w:val="101010"/>
          <w:szCs w:val="24"/>
          <w:lang w:eastAsia="en-AU"/>
        </w:rPr>
        <w:t xml:space="preserve"> </w:t>
      </w:r>
    </w:p>
    <w:p w14:paraId="5BB79C29" w14:textId="6B294E63" w:rsidR="00D94F78" w:rsidRPr="00E2334F" w:rsidRDefault="00D94F78" w:rsidP="00E2334F">
      <w:pPr>
        <w:pStyle w:val="ParaNumbering"/>
        <w:rPr>
          <w:color w:val="101010"/>
          <w:sz w:val="23"/>
          <w:szCs w:val="23"/>
          <w:lang w:eastAsia="en-AU"/>
        </w:rPr>
      </w:pPr>
      <w:r>
        <w:t>The assessor also c</w:t>
      </w:r>
      <w:r w:rsidR="00DC578E">
        <w:t xml:space="preserve">onsidered the issues that the appellant may face returning as a failed asylum seeker. </w:t>
      </w:r>
      <w:r w:rsidR="00FB7511">
        <w:t xml:space="preserve"> </w:t>
      </w:r>
      <w:r w:rsidR="00DC578E">
        <w:t>In that context, the assessor</w:t>
      </w:r>
      <w:r w:rsidR="00F02591">
        <w:t xml:space="preserve"> had regard</w:t>
      </w:r>
      <w:r w:rsidR="00DC578E">
        <w:t xml:space="preserve">, amongst other things, </w:t>
      </w:r>
      <w:r w:rsidR="00F02591">
        <w:t xml:space="preserve">to an October 2014 </w:t>
      </w:r>
      <w:r w:rsidR="00F02591" w:rsidRPr="00F05768">
        <w:rPr>
          <w:lang w:eastAsia="en-AU"/>
        </w:rPr>
        <w:t xml:space="preserve">UK Home Office Country of Origin Report on </w:t>
      </w:r>
      <w:r w:rsidR="00F02591" w:rsidRPr="004E510C">
        <w:rPr>
          <w:lang w:eastAsia="en-AU"/>
        </w:rPr>
        <w:t>Afghanistan</w:t>
      </w:r>
      <w:r w:rsidR="000834A7" w:rsidRPr="004E510C">
        <w:rPr>
          <w:lang w:eastAsia="en-AU"/>
        </w:rPr>
        <w:t xml:space="preserve"> (</w:t>
      </w:r>
      <w:r w:rsidR="000834A7" w:rsidRPr="004E510C">
        <w:rPr>
          <w:b/>
          <w:lang w:eastAsia="en-AU"/>
        </w:rPr>
        <w:t>UK Home Office Report</w:t>
      </w:r>
      <w:r w:rsidR="000834A7" w:rsidRPr="004E510C">
        <w:rPr>
          <w:lang w:eastAsia="en-AU"/>
        </w:rPr>
        <w:t>)</w:t>
      </w:r>
      <w:r w:rsidR="00F02591" w:rsidRPr="004E510C">
        <w:rPr>
          <w:lang w:eastAsia="en-AU"/>
        </w:rPr>
        <w:t>, footnoted</w:t>
      </w:r>
      <w:r w:rsidR="00F02591">
        <w:rPr>
          <w:lang w:eastAsia="en-AU"/>
        </w:rPr>
        <w:t xml:space="preserve"> at </w:t>
      </w:r>
      <w:proofErr w:type="spellStart"/>
      <w:r w:rsidR="00F02591">
        <w:rPr>
          <w:lang w:eastAsia="en-AU"/>
        </w:rPr>
        <w:t>fn</w:t>
      </w:r>
      <w:proofErr w:type="spellEnd"/>
      <w:r w:rsidR="00F02591">
        <w:rPr>
          <w:lang w:eastAsia="en-AU"/>
        </w:rPr>
        <w:t xml:space="preserve"> 97. </w:t>
      </w:r>
      <w:r w:rsidR="00FB7511">
        <w:rPr>
          <w:lang w:eastAsia="en-AU"/>
        </w:rPr>
        <w:t xml:space="preserve"> </w:t>
      </w:r>
      <w:r w:rsidR="00F02591">
        <w:rPr>
          <w:lang w:eastAsia="en-AU"/>
        </w:rPr>
        <w:t xml:space="preserve">The assessor stated that: </w:t>
      </w:r>
    </w:p>
    <w:p w14:paraId="444AD0FF" w14:textId="5B7408F5" w:rsidR="00183455" w:rsidRPr="007F5432" w:rsidRDefault="00F02591" w:rsidP="007F5432">
      <w:pPr>
        <w:pStyle w:val="Quote1"/>
        <w:rPr>
          <w:b/>
          <w:sz w:val="18"/>
          <w:szCs w:val="18"/>
          <w:lang w:eastAsia="en-AU"/>
        </w:rPr>
      </w:pPr>
      <w:r w:rsidRPr="00F05768">
        <w:rPr>
          <w:lang w:eastAsia="en-AU"/>
        </w:rPr>
        <w:t xml:space="preserve">The October 2014 UK Home Office Country of Origin Report on Afghanistan talked of the economic challenges facing some returnees, as well as issues for returnees who had left Afghanistan at a very young age or had been born outside of Afghanistan. </w:t>
      </w:r>
      <w:r w:rsidRPr="00F02591">
        <w:rPr>
          <w:lang w:eastAsia="en-AU"/>
        </w:rPr>
        <w:t>It makes no mention of adult returnees who departed Afghanistan as adults facing harm because they are imputed with certain religious or political opinions due to their residence</w:t>
      </w:r>
      <w:r w:rsidRPr="00DD7851">
        <w:rPr>
          <w:b/>
          <w:lang w:eastAsia="en-AU"/>
        </w:rPr>
        <w:t xml:space="preserve"> </w:t>
      </w:r>
      <w:r w:rsidR="002E6E22">
        <w:rPr>
          <w:lang w:eastAsia="en-AU"/>
        </w:rPr>
        <w:t>abroad.</w:t>
      </w:r>
    </w:p>
    <w:p w14:paraId="39F8CA5F" w14:textId="6EE0E1FE" w:rsidR="00EF73C2" w:rsidRPr="00392F07" w:rsidRDefault="00EF73C2" w:rsidP="00EF73C2">
      <w:pPr>
        <w:pStyle w:val="ParaNumbering"/>
        <w:numPr>
          <w:ilvl w:val="0"/>
          <w:numId w:val="0"/>
        </w:numPr>
        <w:rPr>
          <w:b/>
        </w:rPr>
      </w:pPr>
      <w:r w:rsidRPr="00392F07">
        <w:rPr>
          <w:b/>
        </w:rPr>
        <w:t>FCC DECISION</w:t>
      </w:r>
    </w:p>
    <w:p w14:paraId="18787A3A" w14:textId="17DDC0FB" w:rsidR="00FD03C9" w:rsidRDefault="00D144E6" w:rsidP="0051434F">
      <w:pPr>
        <w:pStyle w:val="ParaNumbering"/>
      </w:pPr>
      <w:r>
        <w:t xml:space="preserve">The appellant’s application for review by the FCC </w:t>
      </w:r>
      <w:r w:rsidR="00D31A5B">
        <w:t xml:space="preserve">alleged that </w:t>
      </w:r>
      <w:r w:rsidR="0080643C">
        <w:t>th</w:t>
      </w:r>
      <w:r w:rsidR="00FD03C9">
        <w:t xml:space="preserve">e assessor fell into jurisdictional error in failing to put country information to the appellant for comment and </w:t>
      </w:r>
      <w:r w:rsidR="00FD03C9">
        <w:lastRenderedPageBreak/>
        <w:t xml:space="preserve">denied the appellant </w:t>
      </w:r>
      <w:r w:rsidR="00F50D49">
        <w:t>procedural</w:t>
      </w:r>
      <w:r w:rsidR="0080643C">
        <w:t xml:space="preserve"> fairness</w:t>
      </w:r>
      <w:r w:rsidR="007A1F32">
        <w:t xml:space="preserve"> “in accordance with the Full Federal Court judgment in </w:t>
      </w:r>
      <w:r w:rsidR="007A1F32" w:rsidRPr="007A1F32">
        <w:rPr>
          <w:i/>
        </w:rPr>
        <w:t>Minister for Immigration v SZQRB</w:t>
      </w:r>
      <w:r w:rsidR="007A1F32">
        <w:t xml:space="preserve"> [2013] FCAFC 33”</w:t>
      </w:r>
      <w:r w:rsidR="00FD03C9">
        <w:t xml:space="preserve">. </w:t>
      </w:r>
      <w:r w:rsidR="002E6E22">
        <w:t xml:space="preserve"> </w:t>
      </w:r>
      <w:r w:rsidR="00FD03C9">
        <w:t>The ground was particularised as follows:</w:t>
      </w:r>
    </w:p>
    <w:p w14:paraId="16F6D89E" w14:textId="62338DA3" w:rsidR="0055304D" w:rsidRDefault="0055304D" w:rsidP="0055304D">
      <w:pPr>
        <w:pStyle w:val="Quote1"/>
        <w:ind w:left="1440" w:hanging="703"/>
      </w:pPr>
      <w:r>
        <w:t>a.</w:t>
      </w:r>
      <w:r>
        <w:tab/>
      </w:r>
      <w:r w:rsidR="004E510C">
        <w:t>The [appellant] was interviewed</w:t>
      </w:r>
      <w:r w:rsidR="00D31A5B">
        <w:t xml:space="preserve"> on 15 June 2015 and a transcript of the interview has been filed;</w:t>
      </w:r>
    </w:p>
    <w:p w14:paraId="4F4BD4CE" w14:textId="1D341949" w:rsidR="00D31A5B" w:rsidRDefault="0055304D" w:rsidP="0055304D">
      <w:pPr>
        <w:pStyle w:val="Quote1"/>
        <w:ind w:left="1440" w:hanging="703"/>
      </w:pPr>
      <w:r>
        <w:t>b.</w:t>
      </w:r>
      <w:r>
        <w:tab/>
      </w:r>
      <w:r w:rsidR="00D31A5B">
        <w:t xml:space="preserve">In </w:t>
      </w:r>
      <w:r w:rsidR="007E0DA1">
        <w:t>the</w:t>
      </w:r>
      <w:r w:rsidR="00D31A5B">
        <w:t xml:space="preserve"> findings section of </w:t>
      </w:r>
      <w:r w:rsidR="007E0DA1" w:rsidRPr="004E510C">
        <w:t>the</w:t>
      </w:r>
      <w:r w:rsidR="00D31A5B" w:rsidRPr="004E510C">
        <w:t xml:space="preserve"> </w:t>
      </w:r>
      <w:r w:rsidR="008E301A" w:rsidRPr="004E510C">
        <w:t xml:space="preserve">ITOA </w:t>
      </w:r>
      <w:r w:rsidR="00D31A5B" w:rsidRPr="004E510C">
        <w:t xml:space="preserve">assessment the assessor relied on country information that was </w:t>
      </w:r>
      <w:r w:rsidR="007E0DA1" w:rsidRPr="004E510C">
        <w:t xml:space="preserve">not </w:t>
      </w:r>
      <w:r w:rsidR="00D31A5B" w:rsidRPr="004E510C">
        <w:t>put to the [appellant] for comment at the interview</w:t>
      </w:r>
      <w:r w:rsidR="008E301A" w:rsidRPr="004E510C">
        <w:t>. The assessor considered;</w:t>
      </w:r>
    </w:p>
    <w:p w14:paraId="6848B004" w14:textId="77777777" w:rsidR="0055304D" w:rsidRDefault="0055304D" w:rsidP="0055304D">
      <w:pPr>
        <w:pStyle w:val="Quote2"/>
        <w:ind w:left="2160" w:hanging="720"/>
      </w:pPr>
      <w:proofErr w:type="spellStart"/>
      <w:r>
        <w:t>i</w:t>
      </w:r>
      <w:proofErr w:type="spellEnd"/>
      <w:r>
        <w:t>.</w:t>
      </w:r>
      <w:r>
        <w:tab/>
      </w:r>
      <w:r w:rsidR="007E0DA1">
        <w:t xml:space="preserve">A number of reports of </w:t>
      </w:r>
      <w:proofErr w:type="spellStart"/>
      <w:r w:rsidR="007E0DA1">
        <w:t>Hazaras</w:t>
      </w:r>
      <w:proofErr w:type="spellEnd"/>
      <w:r w:rsidR="007E0DA1">
        <w:t xml:space="preserve"> being killed in Afghanistan in recent years by the Taliban at footnotes 80-89;</w:t>
      </w:r>
    </w:p>
    <w:p w14:paraId="00017A5A" w14:textId="77777777" w:rsidR="0055304D" w:rsidRDefault="0055304D" w:rsidP="0055304D">
      <w:pPr>
        <w:pStyle w:val="Quote2"/>
        <w:ind w:left="2160" w:hanging="720"/>
      </w:pPr>
      <w:r>
        <w:t>ii.</w:t>
      </w:r>
      <w:r>
        <w:tab/>
      </w:r>
      <w:r w:rsidR="007E0DA1">
        <w:t>[not pressed]</w:t>
      </w:r>
    </w:p>
    <w:p w14:paraId="366E00FD" w14:textId="7EB7624B" w:rsidR="007E0DA1" w:rsidRDefault="0055304D" w:rsidP="0055304D">
      <w:pPr>
        <w:pStyle w:val="Quote2"/>
        <w:ind w:left="2160" w:hanging="720"/>
      </w:pPr>
      <w:r>
        <w:t>iii.</w:t>
      </w:r>
      <w:r>
        <w:tab/>
      </w:r>
      <w:r w:rsidR="007E0DA1">
        <w:t>Economic challenges facing returnees at footnote 97.</w:t>
      </w:r>
    </w:p>
    <w:p w14:paraId="3528ACE6" w14:textId="319A5B52" w:rsidR="008B2519" w:rsidRPr="008B2519" w:rsidRDefault="00AF183C" w:rsidP="006C4428">
      <w:pPr>
        <w:pStyle w:val="ParaNumbering"/>
        <w:rPr>
          <w:lang w:eastAsia="en-AU"/>
        </w:rPr>
      </w:pPr>
      <w:r>
        <w:rPr>
          <w:shd w:val="clear" w:color="auto" w:fill="FFFFFF"/>
          <w:lang w:eastAsia="en-AU"/>
        </w:rPr>
        <w:t xml:space="preserve">In </w:t>
      </w:r>
      <w:r w:rsidR="006C4428" w:rsidRPr="006C4428">
        <w:rPr>
          <w:shd w:val="clear" w:color="auto" w:fill="FFFFFF"/>
          <w:lang w:eastAsia="en-AU"/>
        </w:rPr>
        <w:t xml:space="preserve">written submissions </w:t>
      </w:r>
      <w:r w:rsidR="00291CF2">
        <w:rPr>
          <w:shd w:val="clear" w:color="auto" w:fill="FFFFFF"/>
          <w:lang w:eastAsia="en-AU"/>
        </w:rPr>
        <w:t xml:space="preserve">in support of the </w:t>
      </w:r>
      <w:r w:rsidR="00291CF2" w:rsidRPr="004E510C">
        <w:rPr>
          <w:shd w:val="clear" w:color="auto" w:fill="FFFFFF"/>
          <w:lang w:eastAsia="en-AU"/>
        </w:rPr>
        <w:t>ground</w:t>
      </w:r>
      <w:r w:rsidR="00B93FA9" w:rsidRPr="004E510C">
        <w:rPr>
          <w:shd w:val="clear" w:color="auto" w:fill="FFFFFF"/>
          <w:lang w:eastAsia="en-AU"/>
        </w:rPr>
        <w:t>,</w:t>
      </w:r>
      <w:r w:rsidR="00291CF2" w:rsidRPr="004E510C">
        <w:rPr>
          <w:shd w:val="clear" w:color="auto" w:fill="FFFFFF"/>
          <w:lang w:eastAsia="en-AU"/>
        </w:rPr>
        <w:t xml:space="preserve"> </w:t>
      </w:r>
      <w:r w:rsidRPr="004E510C">
        <w:rPr>
          <w:shd w:val="clear" w:color="auto" w:fill="FFFFFF"/>
          <w:lang w:eastAsia="en-AU"/>
        </w:rPr>
        <w:t>the</w:t>
      </w:r>
      <w:r>
        <w:rPr>
          <w:shd w:val="clear" w:color="auto" w:fill="FFFFFF"/>
          <w:lang w:eastAsia="en-AU"/>
        </w:rPr>
        <w:t xml:space="preserve"> appellant argued that he was denied procedural fairness because the assessor did not put to him</w:t>
      </w:r>
      <w:r w:rsidR="008B2519">
        <w:rPr>
          <w:shd w:val="clear" w:color="auto" w:fill="FFFFFF"/>
          <w:lang w:eastAsia="en-AU"/>
        </w:rPr>
        <w:t>:</w:t>
      </w:r>
    </w:p>
    <w:p w14:paraId="747DB5DD" w14:textId="43D7D85C" w:rsidR="008B2519" w:rsidRDefault="00AF183C" w:rsidP="0055304D">
      <w:pPr>
        <w:pStyle w:val="ListNo2"/>
        <w:rPr>
          <w:lang w:eastAsia="en-AU"/>
        </w:rPr>
      </w:pPr>
      <w:r>
        <w:rPr>
          <w:shd w:val="clear" w:color="auto" w:fill="FFFFFF"/>
          <w:lang w:eastAsia="en-AU"/>
        </w:rPr>
        <w:t>the source of the items of country information referenced at footnotes 80 to 89</w:t>
      </w:r>
      <w:r w:rsidR="009D1A08">
        <w:rPr>
          <w:lang w:eastAsia="en-AU"/>
        </w:rPr>
        <w:t>.</w:t>
      </w:r>
      <w:r w:rsidR="00112486">
        <w:rPr>
          <w:lang w:eastAsia="en-AU"/>
        </w:rPr>
        <w:t xml:space="preserve">  </w:t>
      </w:r>
      <w:r w:rsidR="009D1A08">
        <w:rPr>
          <w:lang w:eastAsia="en-AU"/>
        </w:rPr>
        <w:t>I</w:t>
      </w:r>
      <w:r w:rsidR="00703646">
        <w:rPr>
          <w:lang w:eastAsia="en-AU"/>
        </w:rPr>
        <w:t xml:space="preserve">t was submitted this was </w:t>
      </w:r>
      <w:r w:rsidR="009D1A08">
        <w:rPr>
          <w:lang w:eastAsia="en-AU"/>
        </w:rPr>
        <w:t>a denial of procedural fairness because the information in these “unquestioned media sources” formed the majority of information relied on by the assessor in his decision</w:t>
      </w:r>
      <w:r w:rsidR="00517429" w:rsidRPr="00517429">
        <w:rPr>
          <w:lang w:eastAsia="en-AU"/>
        </w:rPr>
        <w:t xml:space="preserve"> </w:t>
      </w:r>
      <w:r w:rsidR="00517429">
        <w:rPr>
          <w:lang w:eastAsia="en-AU"/>
        </w:rPr>
        <w:t xml:space="preserve">and he was not </w:t>
      </w:r>
      <w:r w:rsidR="00517429" w:rsidRPr="008B2519">
        <w:rPr>
          <w:lang w:eastAsia="en-AU"/>
        </w:rPr>
        <w:t>given an opportunity to address and make meaningful submissions as to the credibility or reliability of the sources</w:t>
      </w:r>
      <w:r w:rsidR="009D1A08">
        <w:rPr>
          <w:lang w:eastAsia="en-AU"/>
        </w:rPr>
        <w:t>;</w:t>
      </w:r>
      <w:r w:rsidR="008B2519">
        <w:rPr>
          <w:lang w:eastAsia="en-AU"/>
        </w:rPr>
        <w:t xml:space="preserve"> </w:t>
      </w:r>
      <w:r w:rsidR="003B51A3">
        <w:rPr>
          <w:lang w:eastAsia="en-AU"/>
        </w:rPr>
        <w:t xml:space="preserve">or </w:t>
      </w:r>
    </w:p>
    <w:p w14:paraId="15B6D5F9" w14:textId="07CFD554" w:rsidR="006A1DF9" w:rsidRPr="00FE6B26" w:rsidRDefault="003B51A3" w:rsidP="0055304D">
      <w:pPr>
        <w:pStyle w:val="ListNo2"/>
        <w:rPr>
          <w:lang w:eastAsia="en-AU"/>
        </w:rPr>
      </w:pPr>
      <w:r w:rsidRPr="00133D96">
        <w:rPr>
          <w:lang w:eastAsia="en-AU"/>
        </w:rPr>
        <w:t xml:space="preserve">the </w:t>
      </w:r>
      <w:r>
        <w:rPr>
          <w:lang w:eastAsia="en-AU"/>
        </w:rPr>
        <w:t xml:space="preserve">substance of the </w:t>
      </w:r>
      <w:r w:rsidRPr="00133D96">
        <w:rPr>
          <w:lang w:eastAsia="en-AU"/>
        </w:rPr>
        <w:t xml:space="preserve">contents of </w:t>
      </w:r>
      <w:r w:rsidR="007F5432">
        <w:rPr>
          <w:lang w:eastAsia="en-AU"/>
        </w:rPr>
        <w:t>the</w:t>
      </w:r>
      <w:r>
        <w:rPr>
          <w:lang w:eastAsia="en-AU"/>
        </w:rPr>
        <w:t xml:space="preserve"> UK Home Office Report </w:t>
      </w:r>
      <w:r w:rsidRPr="004E510C">
        <w:rPr>
          <w:lang w:eastAsia="en-AU"/>
        </w:rPr>
        <w:t xml:space="preserve">footnoted at </w:t>
      </w:r>
      <w:proofErr w:type="spellStart"/>
      <w:r w:rsidRPr="004E510C">
        <w:rPr>
          <w:lang w:eastAsia="en-AU"/>
        </w:rPr>
        <w:t>fn</w:t>
      </w:r>
      <w:proofErr w:type="spellEnd"/>
      <w:r w:rsidRPr="004E510C">
        <w:rPr>
          <w:lang w:eastAsia="en-AU"/>
        </w:rPr>
        <w:t xml:space="preserve"> 97</w:t>
      </w:r>
      <w:r w:rsidR="002177B2" w:rsidRPr="004E510C">
        <w:rPr>
          <w:lang w:eastAsia="en-AU"/>
        </w:rPr>
        <w:t>,</w:t>
      </w:r>
      <w:r>
        <w:rPr>
          <w:lang w:eastAsia="en-AU"/>
        </w:rPr>
        <w:t xml:space="preserve"> which the assessor relied on </w:t>
      </w:r>
      <w:r w:rsidR="006C4428" w:rsidRPr="006C4428">
        <w:rPr>
          <w:lang w:eastAsia="en-AU"/>
        </w:rPr>
        <w:t xml:space="preserve">as part of his process of reasoning to find, adverse to the </w:t>
      </w:r>
      <w:r w:rsidR="006C4428" w:rsidRPr="006D6375">
        <w:rPr>
          <w:lang w:eastAsia="en-AU"/>
        </w:rPr>
        <w:t>applicant's</w:t>
      </w:r>
      <w:r w:rsidR="006C4428" w:rsidRPr="006C4428">
        <w:rPr>
          <w:lang w:eastAsia="en-AU"/>
        </w:rPr>
        <w:t xml:space="preserve"> interests, that while there may be economic challenges facing some returnees, there were no challenges based on rel</w:t>
      </w:r>
      <w:r w:rsidR="004506E7">
        <w:rPr>
          <w:lang w:eastAsia="en-AU"/>
        </w:rPr>
        <w:t>igious or political opinion</w:t>
      </w:r>
      <w:r w:rsidR="003910B9">
        <w:rPr>
          <w:lang w:eastAsia="en-AU"/>
        </w:rPr>
        <w:t>. It was submitted this was a denial of procedural fairness the assessor used</w:t>
      </w:r>
      <w:r w:rsidR="006C4428" w:rsidRPr="006C4428">
        <w:rPr>
          <w:lang w:eastAsia="en-AU"/>
        </w:rPr>
        <w:t xml:space="preserve"> </w:t>
      </w:r>
      <w:r w:rsidR="003910B9">
        <w:rPr>
          <w:lang w:eastAsia="en-AU"/>
        </w:rPr>
        <w:t xml:space="preserve">that report </w:t>
      </w:r>
      <w:r w:rsidR="006C4428" w:rsidRPr="006C4428">
        <w:rPr>
          <w:lang w:eastAsia="en-AU"/>
        </w:rPr>
        <w:t xml:space="preserve">to refute the </w:t>
      </w:r>
      <w:r w:rsidR="00275F2A">
        <w:rPr>
          <w:lang w:eastAsia="en-AU"/>
        </w:rPr>
        <w:t>appella</w:t>
      </w:r>
      <w:r w:rsidR="009D1A08">
        <w:rPr>
          <w:lang w:eastAsia="en-AU"/>
        </w:rPr>
        <w:t>nt’s</w:t>
      </w:r>
      <w:r w:rsidR="00275F2A">
        <w:rPr>
          <w:lang w:eastAsia="en-AU"/>
        </w:rPr>
        <w:t xml:space="preserve"> </w:t>
      </w:r>
      <w:r w:rsidR="006C4428" w:rsidRPr="006C4428">
        <w:rPr>
          <w:lang w:eastAsia="en-AU"/>
        </w:rPr>
        <w:t>claim that as a person who had lived abroad and had sought asylum abroad he would face risk of har</w:t>
      </w:r>
      <w:r w:rsidR="009D1A08">
        <w:rPr>
          <w:lang w:eastAsia="en-AU"/>
        </w:rPr>
        <w:t>m if he returned to Afghanistan.</w:t>
      </w:r>
    </w:p>
    <w:p w14:paraId="223B8082" w14:textId="2BAA4796" w:rsidR="00291269" w:rsidRDefault="00A140B3" w:rsidP="008B090B">
      <w:pPr>
        <w:pStyle w:val="ParaNumbering"/>
        <w:tabs>
          <w:tab w:val="clear" w:pos="720"/>
        </w:tabs>
      </w:pPr>
      <w:r>
        <w:t>A</w:t>
      </w:r>
      <w:r w:rsidR="005B1B34">
        <w:t>fter the hearing, the parties</w:t>
      </w:r>
      <w:r w:rsidR="00A83224">
        <w:t>,</w:t>
      </w:r>
      <w:r w:rsidR="005B1B34">
        <w:t xml:space="preserve"> </w:t>
      </w:r>
      <w:r w:rsidR="00A83224">
        <w:t xml:space="preserve">as directed by the Court, </w:t>
      </w:r>
      <w:r w:rsidR="005B1B34">
        <w:t xml:space="preserve">filed a </w:t>
      </w:r>
      <w:r>
        <w:t>“Scott S</w:t>
      </w:r>
      <w:r w:rsidR="005B1B34">
        <w:t>chedule</w:t>
      </w:r>
      <w:r>
        <w:t>-like”</w:t>
      </w:r>
      <w:r w:rsidR="00492CDC">
        <w:t xml:space="preserve"> </w:t>
      </w:r>
      <w:r w:rsidR="00050631">
        <w:t xml:space="preserve">table </w:t>
      </w:r>
      <w:r w:rsidR="00827060">
        <w:t xml:space="preserve">setting out the </w:t>
      </w:r>
      <w:r w:rsidR="00937DD8">
        <w:t xml:space="preserve">appellant’s </w:t>
      </w:r>
      <w:r w:rsidR="005F59E6">
        <w:t>contention</w:t>
      </w:r>
      <w:r w:rsidR="00827060">
        <w:t>s</w:t>
      </w:r>
      <w:r w:rsidR="005F59E6">
        <w:t xml:space="preserve"> and the Minister’s response</w:t>
      </w:r>
      <w:r w:rsidR="00937DD8" w:rsidRPr="00937DD8">
        <w:t xml:space="preserve"> </w:t>
      </w:r>
      <w:r w:rsidR="004506E7">
        <w:t xml:space="preserve">with respect of </w:t>
      </w:r>
      <w:r w:rsidR="00827060">
        <w:t>each of the subject footnote references</w:t>
      </w:r>
      <w:r w:rsidR="00937DD8">
        <w:t xml:space="preserve">. </w:t>
      </w:r>
      <w:r w:rsidR="00D33523">
        <w:t xml:space="preserve"> </w:t>
      </w:r>
      <w:r w:rsidR="00937DD8">
        <w:t xml:space="preserve">This </w:t>
      </w:r>
      <w:r w:rsidR="00050631">
        <w:t xml:space="preserve">table </w:t>
      </w:r>
      <w:r w:rsidR="000B264B">
        <w:t>formed the basi</w:t>
      </w:r>
      <w:r w:rsidR="000274A6">
        <w:t xml:space="preserve">s for the FCC’s consideration </w:t>
      </w:r>
      <w:r w:rsidR="00784623">
        <w:t xml:space="preserve">of the appellant’s claim of </w:t>
      </w:r>
      <w:r w:rsidR="00B462DB">
        <w:t>denial of procedural fairness</w:t>
      </w:r>
      <w:r w:rsidR="00413468">
        <w:t xml:space="preserve">. </w:t>
      </w:r>
      <w:r w:rsidR="00D33523">
        <w:t xml:space="preserve"> </w:t>
      </w:r>
      <w:r w:rsidR="000A2415">
        <w:t xml:space="preserve">By way of </w:t>
      </w:r>
      <w:r w:rsidR="005373D7">
        <w:t xml:space="preserve">summary, the appellant’s case was </w:t>
      </w:r>
      <w:r w:rsidR="004B1E43">
        <w:t>that:</w:t>
      </w:r>
    </w:p>
    <w:p w14:paraId="5FBDC6E7" w14:textId="77777777" w:rsidR="00A42149" w:rsidRDefault="00C7786A" w:rsidP="0055304D">
      <w:pPr>
        <w:pStyle w:val="ListNo2"/>
        <w:numPr>
          <w:ilvl w:val="1"/>
          <w:numId w:val="42"/>
        </w:numPr>
      </w:pPr>
      <w:r>
        <w:lastRenderedPageBreak/>
        <w:t xml:space="preserve">the </w:t>
      </w:r>
      <w:r w:rsidR="00FE2035">
        <w:t xml:space="preserve">country information </w:t>
      </w:r>
      <w:r w:rsidR="00A727E8">
        <w:t xml:space="preserve">taken from </w:t>
      </w:r>
      <w:r w:rsidR="0010560F">
        <w:t>the documents</w:t>
      </w:r>
      <w:r w:rsidR="00A42149">
        <w:t xml:space="preserve"> </w:t>
      </w:r>
      <w:r w:rsidR="00C67CC4">
        <w:t xml:space="preserve">cited </w:t>
      </w:r>
      <w:r w:rsidR="00E66FE0">
        <w:t xml:space="preserve">at footnotes </w:t>
      </w:r>
      <w:r w:rsidR="00A42149">
        <w:t xml:space="preserve">80 </w:t>
      </w:r>
      <w:r w:rsidR="00044413">
        <w:t xml:space="preserve">and 97 </w:t>
      </w:r>
      <w:r w:rsidR="00A42149">
        <w:t>was not put to the appellant;</w:t>
      </w:r>
    </w:p>
    <w:p w14:paraId="0E84774B" w14:textId="77777777" w:rsidR="00DE02CE" w:rsidRPr="00DE02CE" w:rsidRDefault="00C7786A" w:rsidP="00B575B1">
      <w:pPr>
        <w:pStyle w:val="ListNo2"/>
        <w:numPr>
          <w:ilvl w:val="1"/>
          <w:numId w:val="42"/>
        </w:numPr>
      </w:pPr>
      <w:r>
        <w:t xml:space="preserve">the </w:t>
      </w:r>
      <w:r w:rsidR="00FE2035" w:rsidRPr="00DE02CE">
        <w:t xml:space="preserve">country information </w:t>
      </w:r>
      <w:r w:rsidR="00A727E8">
        <w:t xml:space="preserve">taken from </w:t>
      </w:r>
      <w:r w:rsidR="00DE02CE" w:rsidRPr="00DE02CE">
        <w:t xml:space="preserve">the documents </w:t>
      </w:r>
      <w:r w:rsidR="00C67CC4">
        <w:t xml:space="preserve">cited </w:t>
      </w:r>
      <w:r w:rsidR="00DE02CE" w:rsidRPr="00DE02CE">
        <w:t xml:space="preserve">at footnotes 81, 82, 83, 85 and 86 was adverse to the appellant’s interests </w:t>
      </w:r>
      <w:r w:rsidR="00703B26">
        <w:t xml:space="preserve">and should have been put to the appellant but </w:t>
      </w:r>
      <w:r w:rsidR="005373D7">
        <w:t xml:space="preserve">was </w:t>
      </w:r>
      <w:r w:rsidR="00FE2035">
        <w:t>not put to him</w:t>
      </w:r>
      <w:r w:rsidR="00DE02CE" w:rsidRPr="00DE02CE">
        <w:t>;</w:t>
      </w:r>
    </w:p>
    <w:p w14:paraId="0AE136E4" w14:textId="53FF2FA9" w:rsidR="00DE02CE" w:rsidRDefault="003632FB" w:rsidP="00B575B1">
      <w:pPr>
        <w:pStyle w:val="ListNo2"/>
        <w:numPr>
          <w:ilvl w:val="1"/>
          <w:numId w:val="42"/>
        </w:numPr>
      </w:pPr>
      <w:r>
        <w:t>the</w:t>
      </w:r>
      <w:r w:rsidR="00E6591E">
        <w:t xml:space="preserve"> </w:t>
      </w:r>
      <w:r w:rsidR="00570CEB">
        <w:t>sources footnoted at</w:t>
      </w:r>
      <w:r w:rsidR="00570CEB" w:rsidRPr="00DE02CE">
        <w:t xml:space="preserve"> </w:t>
      </w:r>
      <w:r w:rsidR="00703B26">
        <w:t>81,</w:t>
      </w:r>
      <w:r w:rsidR="00570CEB">
        <w:t xml:space="preserve"> </w:t>
      </w:r>
      <w:r w:rsidR="006050D4">
        <w:t xml:space="preserve">85 and 86 </w:t>
      </w:r>
      <w:r w:rsidR="00E6591E">
        <w:t xml:space="preserve">were not disclosed to the appellant but </w:t>
      </w:r>
      <w:r w:rsidR="00DE02CE" w:rsidRPr="00DE02CE">
        <w:t xml:space="preserve">should have </w:t>
      </w:r>
      <w:r w:rsidR="005373D7">
        <w:t xml:space="preserve">been disclosed to </w:t>
      </w:r>
      <w:r w:rsidR="00E6591E">
        <w:t xml:space="preserve">him </w:t>
      </w:r>
      <w:r w:rsidR="00DE02CE" w:rsidRPr="00DE02CE">
        <w:t xml:space="preserve">to enable </w:t>
      </w:r>
      <w:r w:rsidR="00703B26">
        <w:t xml:space="preserve">him </w:t>
      </w:r>
      <w:r w:rsidR="00DE02CE" w:rsidRPr="00DE02CE">
        <w:t xml:space="preserve">to comment on the reliability of those sources; </w:t>
      </w:r>
      <w:r w:rsidR="00B650C9" w:rsidRPr="00B50C27">
        <w:t>and</w:t>
      </w:r>
    </w:p>
    <w:p w14:paraId="7D03769B" w14:textId="77777777" w:rsidR="000550F8" w:rsidRDefault="00297145" w:rsidP="00B575B1">
      <w:pPr>
        <w:pStyle w:val="ListNo2"/>
        <w:numPr>
          <w:ilvl w:val="1"/>
          <w:numId w:val="42"/>
        </w:numPr>
      </w:pPr>
      <w:r w:rsidRPr="00DE02CE">
        <w:t xml:space="preserve">the </w:t>
      </w:r>
      <w:r w:rsidR="003B01AB">
        <w:t xml:space="preserve">country information </w:t>
      </w:r>
      <w:r w:rsidR="00BA4055">
        <w:t xml:space="preserve">supported by </w:t>
      </w:r>
      <w:r w:rsidR="003B01AB">
        <w:t xml:space="preserve">the </w:t>
      </w:r>
      <w:r w:rsidRPr="00DE02CE">
        <w:t>document</w:t>
      </w:r>
      <w:r w:rsidR="00DE02CE" w:rsidRPr="00DE02CE">
        <w:t xml:space="preserve"> </w:t>
      </w:r>
      <w:r w:rsidRPr="00DE02CE">
        <w:t xml:space="preserve">at </w:t>
      </w:r>
      <w:r w:rsidR="00DE02CE" w:rsidRPr="00DE02CE">
        <w:t>footnote 89 was put to the appellant but the source was not and</w:t>
      </w:r>
      <w:r w:rsidRPr="00DE02CE">
        <w:t xml:space="preserve"> the appellant should have been </w:t>
      </w:r>
      <w:r w:rsidR="00DE02CE" w:rsidRPr="00DE02CE">
        <w:t>given an opportunit</w:t>
      </w:r>
      <w:r w:rsidRPr="00DE02CE">
        <w:t xml:space="preserve">y to </w:t>
      </w:r>
      <w:r w:rsidR="00B650C9">
        <w:t xml:space="preserve">comment on its reliability. </w:t>
      </w:r>
    </w:p>
    <w:p w14:paraId="08EA17D7" w14:textId="3EAAAD3D" w:rsidR="00A42149" w:rsidRDefault="004079C2" w:rsidP="00B650C9">
      <w:pPr>
        <w:pStyle w:val="ParaNumbering"/>
      </w:pPr>
      <w:r>
        <w:t xml:space="preserve">No contention was advanced by the appellant concerning the passages supported </w:t>
      </w:r>
      <w:r w:rsidR="00BA4055">
        <w:t xml:space="preserve">by </w:t>
      </w:r>
      <w:r>
        <w:t>footnotes 84, 87 and 88</w:t>
      </w:r>
      <w:r w:rsidR="00EF73C2">
        <w:t xml:space="preserve">. </w:t>
      </w:r>
      <w:r w:rsidR="00B50C27">
        <w:t xml:space="preserve"> </w:t>
      </w:r>
      <w:r w:rsidR="00EF73C2">
        <w:t xml:space="preserve">The table set out that </w:t>
      </w:r>
      <w:r w:rsidR="00C21819">
        <w:t>th</w:t>
      </w:r>
      <w:r w:rsidR="00EF73C2">
        <w:t>is</w:t>
      </w:r>
      <w:r w:rsidR="00C21819">
        <w:t xml:space="preserve"> </w:t>
      </w:r>
      <w:r>
        <w:t xml:space="preserve">country information </w:t>
      </w:r>
      <w:r w:rsidR="000D0D31">
        <w:t>was put “in a general sense”</w:t>
      </w:r>
      <w:r w:rsidR="00EF73C2">
        <w:t>.</w:t>
      </w:r>
    </w:p>
    <w:p w14:paraId="17A14C94" w14:textId="77777777" w:rsidR="0016310F" w:rsidRDefault="0016310F" w:rsidP="0016310F">
      <w:pPr>
        <w:pStyle w:val="Heading2"/>
      </w:pPr>
      <w:r>
        <w:t>Footnote 80</w:t>
      </w:r>
    </w:p>
    <w:p w14:paraId="22038975" w14:textId="2623CE2F" w:rsidR="008A367C" w:rsidRDefault="00C2523D" w:rsidP="00C2523D">
      <w:pPr>
        <w:pStyle w:val="ParaNumbering"/>
      </w:pPr>
      <w:r>
        <w:t xml:space="preserve">The primary judge held that </w:t>
      </w:r>
      <w:r w:rsidR="00682BAE">
        <w:t xml:space="preserve">the </w:t>
      </w:r>
      <w:r w:rsidR="00090D95">
        <w:t>failure to put the</w:t>
      </w:r>
      <w:r>
        <w:t xml:space="preserve"> </w:t>
      </w:r>
      <w:r w:rsidR="00682BAE">
        <w:t xml:space="preserve">country information </w:t>
      </w:r>
      <w:r w:rsidR="00090D95">
        <w:t xml:space="preserve">to the appellant that was taken from the document cited at </w:t>
      </w:r>
      <w:proofErr w:type="spellStart"/>
      <w:r w:rsidR="00090D95">
        <w:t>fn</w:t>
      </w:r>
      <w:proofErr w:type="spellEnd"/>
      <w:r w:rsidR="00090D95">
        <w:t xml:space="preserve"> 80 </w:t>
      </w:r>
      <w:r w:rsidR="005008FA">
        <w:t xml:space="preserve">did not constitute a denial of procedural fairness because the information </w:t>
      </w:r>
      <w:r w:rsidR="00160FDD">
        <w:t>was not shown</w:t>
      </w:r>
      <w:r w:rsidR="005008FA">
        <w:t xml:space="preserve">, and did not appear to be, </w:t>
      </w:r>
      <w:r w:rsidR="0096114C">
        <w:t>adverse to the appellant’</w:t>
      </w:r>
      <w:r w:rsidR="002202E6">
        <w:t>s interests</w:t>
      </w:r>
      <w:r w:rsidR="0016310F">
        <w:t>;</w:t>
      </w:r>
      <w:r w:rsidR="002202E6">
        <w:t xml:space="preserve"> </w:t>
      </w:r>
      <w:r w:rsidR="00090D95">
        <w:t xml:space="preserve">the FCC stated </w:t>
      </w:r>
      <w:r w:rsidR="0096114C">
        <w:t xml:space="preserve">“if </w:t>
      </w:r>
      <w:r w:rsidR="008A367C">
        <w:t>anything</w:t>
      </w:r>
      <w:r w:rsidR="0096114C">
        <w:t xml:space="preserve">” </w:t>
      </w:r>
      <w:r w:rsidR="002202E6">
        <w:t>the</w:t>
      </w:r>
      <w:r w:rsidR="00160FDD">
        <w:t xml:space="preserve"> information </w:t>
      </w:r>
      <w:r w:rsidR="0096114C">
        <w:t xml:space="preserve">was </w:t>
      </w:r>
      <w:r w:rsidR="008A367C">
        <w:t>supportive of his claims to fear perse</w:t>
      </w:r>
      <w:r w:rsidR="0096114C">
        <w:t>cution because of his ethnicity</w:t>
      </w:r>
      <w:r w:rsidR="0016310F">
        <w:t>.</w:t>
      </w:r>
    </w:p>
    <w:p w14:paraId="7CBD101D" w14:textId="77777777" w:rsidR="00090D95" w:rsidRDefault="006E0A4C" w:rsidP="00090D95">
      <w:pPr>
        <w:pStyle w:val="Heading2"/>
      </w:pPr>
      <w:r>
        <w:t>Footnote 81</w:t>
      </w:r>
    </w:p>
    <w:p w14:paraId="7C2014BA" w14:textId="2013B5EF" w:rsidR="000D6E13" w:rsidRPr="000D6E13" w:rsidRDefault="0016310F" w:rsidP="005D3DDA">
      <w:pPr>
        <w:pStyle w:val="ParaNumbering"/>
      </w:pPr>
      <w:r>
        <w:t xml:space="preserve">The primary judge held that </w:t>
      </w:r>
      <w:r w:rsidR="00F96BB7">
        <w:t xml:space="preserve">procedural fairness did not require the assessor to disclose </w:t>
      </w:r>
      <w:r w:rsidR="006E0A4C">
        <w:t>the country</w:t>
      </w:r>
      <w:r w:rsidR="00F96BB7">
        <w:t xml:space="preserve"> information </w:t>
      </w:r>
      <w:r w:rsidR="006E0A4C">
        <w:t xml:space="preserve">taken from the document cited at </w:t>
      </w:r>
      <w:proofErr w:type="spellStart"/>
      <w:r w:rsidR="006E0A4C">
        <w:t>fn</w:t>
      </w:r>
      <w:proofErr w:type="spellEnd"/>
      <w:r w:rsidR="006E0A4C">
        <w:t xml:space="preserve"> 81 </w:t>
      </w:r>
      <w:r>
        <w:t>to the appellant</w:t>
      </w:r>
      <w:r w:rsidR="00702610">
        <w:t>.</w:t>
      </w:r>
      <w:r w:rsidR="005C49C9">
        <w:t xml:space="preserve"> </w:t>
      </w:r>
      <w:r w:rsidR="00702610">
        <w:t xml:space="preserve"> The primary </w:t>
      </w:r>
      <w:r w:rsidR="006E0A4C">
        <w:t xml:space="preserve">judge </w:t>
      </w:r>
      <w:r w:rsidR="00702610">
        <w:t xml:space="preserve">reasoned that the issue </w:t>
      </w:r>
      <w:r w:rsidR="006E0A4C">
        <w:t xml:space="preserve">there </w:t>
      </w:r>
      <w:r w:rsidR="00702610">
        <w:t xml:space="preserve">under consideration </w:t>
      </w:r>
      <w:r w:rsidR="00595AB8">
        <w:t xml:space="preserve">was whether </w:t>
      </w:r>
      <w:proofErr w:type="spellStart"/>
      <w:r w:rsidR="00595AB8">
        <w:t>Hazara</w:t>
      </w:r>
      <w:proofErr w:type="spellEnd"/>
      <w:r w:rsidR="00595AB8">
        <w:t xml:space="preserve"> ethnicity was sufficient on its own to attract a risk of harm that would engage Australia’s non-</w:t>
      </w:r>
      <w:proofErr w:type="spellStart"/>
      <w:r w:rsidR="00595AB8">
        <w:t>refoulement</w:t>
      </w:r>
      <w:proofErr w:type="spellEnd"/>
      <w:r w:rsidR="00595AB8">
        <w:t xml:space="preserve"> obligations and </w:t>
      </w:r>
      <w:r w:rsidR="000D6E13">
        <w:t xml:space="preserve">that </w:t>
      </w:r>
      <w:r w:rsidR="005D3DDA">
        <w:t>“t</w:t>
      </w:r>
      <w:r w:rsidR="005D3DDA" w:rsidRPr="005D3DDA">
        <w:rPr>
          <w:color w:val="000000"/>
          <w:szCs w:val="24"/>
          <w:shd w:val="clear" w:color="auto" w:fill="FFFFFF"/>
        </w:rPr>
        <w:t xml:space="preserve">he passage supported by footnote 81 served only to identify the issue relevantly under consideration, and was not relied on by the Assessor in reaching his conclusion on that </w:t>
      </w:r>
      <w:r w:rsidR="005D3DDA" w:rsidRPr="00D47B76">
        <w:rPr>
          <w:color w:val="000000"/>
          <w:szCs w:val="24"/>
          <w:shd w:val="clear" w:color="auto" w:fill="FFFFFF"/>
        </w:rPr>
        <w:t>issue”</w:t>
      </w:r>
      <w:r w:rsidR="005C49C9" w:rsidRPr="00D47B76">
        <w:rPr>
          <w:color w:val="000000"/>
          <w:szCs w:val="24"/>
          <w:shd w:val="clear" w:color="auto" w:fill="FFFFFF"/>
        </w:rPr>
        <w:t xml:space="preserve"> (</w:t>
      </w:r>
      <w:fldSimple w:instr=" DOCPROPERTY  AppealFrom  \* MERGEFORMAT ">
        <w:r w:rsidR="005C49C9" w:rsidRPr="00D47B76">
          <w:rPr>
            <w:i/>
          </w:rPr>
          <w:t>SZQKE v Minister for Immigration and Anor</w:t>
        </w:r>
        <w:r w:rsidR="005C49C9" w:rsidRPr="00D47B76">
          <w:t xml:space="preserve"> [2020] FCCA 278</w:t>
        </w:r>
      </w:fldSimple>
      <w:r w:rsidR="005C49C9" w:rsidRPr="00D47B76">
        <w:t xml:space="preserve"> (</w:t>
      </w:r>
      <w:r w:rsidR="005C49C9" w:rsidRPr="00D47B76">
        <w:rPr>
          <w:b/>
        </w:rPr>
        <w:t>FCC Decision</w:t>
      </w:r>
      <w:r w:rsidR="005C49C9" w:rsidRPr="00D47B76">
        <w:t>),</w:t>
      </w:r>
      <w:r w:rsidR="005C49C9" w:rsidRPr="00D47B76">
        <w:rPr>
          <w:color w:val="000000"/>
          <w:szCs w:val="24"/>
          <w:shd w:val="clear" w:color="auto" w:fill="FFFFFF"/>
        </w:rPr>
        <w:t xml:space="preserve"> [23])</w:t>
      </w:r>
      <w:r w:rsidR="005D3DDA" w:rsidRPr="00D47B76">
        <w:rPr>
          <w:color w:val="000000"/>
          <w:szCs w:val="24"/>
          <w:shd w:val="clear" w:color="auto" w:fill="FFFFFF"/>
        </w:rPr>
        <w:t>.</w:t>
      </w:r>
      <w:r w:rsidR="005D3DDA">
        <w:rPr>
          <w:color w:val="000000"/>
          <w:szCs w:val="24"/>
          <w:shd w:val="clear" w:color="auto" w:fill="FFFFFF"/>
        </w:rPr>
        <w:t xml:space="preserve"> </w:t>
      </w:r>
    </w:p>
    <w:p w14:paraId="75C82EDC" w14:textId="7F1F7FDF" w:rsidR="00FA4270" w:rsidRDefault="00FA4270" w:rsidP="00FA4270">
      <w:pPr>
        <w:pStyle w:val="ParaNumbering"/>
        <w:tabs>
          <w:tab w:val="clear" w:pos="720"/>
        </w:tabs>
      </w:pPr>
      <w:r>
        <w:t xml:space="preserve">The primary judge also </w:t>
      </w:r>
      <w:r w:rsidRPr="00A85B13">
        <w:t xml:space="preserve">held that, </w:t>
      </w:r>
      <w:r w:rsidR="00A85B13" w:rsidRPr="00A85B13">
        <w:t>as the information supported by</w:t>
      </w:r>
      <w:r w:rsidR="005C690F" w:rsidRPr="00A85B13">
        <w:t xml:space="preserve"> </w:t>
      </w:r>
      <w:proofErr w:type="spellStart"/>
      <w:r w:rsidR="005C690F" w:rsidRPr="00A85B13">
        <w:t>fn</w:t>
      </w:r>
      <w:proofErr w:type="spellEnd"/>
      <w:r w:rsidRPr="00A85B13">
        <w:t xml:space="preserve"> 81 formed no part of the assessor’s reasoning, “no practical unfairness was suffered by the [appellant] because its detai</w:t>
      </w:r>
      <w:r w:rsidR="00DD7851" w:rsidRPr="00A85B13">
        <w:t>ls were not supplied to him” (</w:t>
      </w:r>
      <w:r w:rsidR="005C690F" w:rsidRPr="00A85B13">
        <w:t xml:space="preserve">FCC Decision, </w:t>
      </w:r>
      <w:r w:rsidRPr="00A85B13">
        <w:t>[27]</w:t>
      </w:r>
      <w:r w:rsidR="00DD7851" w:rsidRPr="00A85B13">
        <w:t>)</w:t>
      </w:r>
      <w:r w:rsidRPr="00A85B13">
        <w:t xml:space="preserve"> and the non-disclosure of the source</w:t>
      </w:r>
      <w:r w:rsidR="00A85B13" w:rsidRPr="00A85B13">
        <w:t xml:space="preserve"> of the document referred to in</w:t>
      </w:r>
      <w:r w:rsidR="005C690F" w:rsidRPr="00A85B13">
        <w:t xml:space="preserve"> </w:t>
      </w:r>
      <w:proofErr w:type="spellStart"/>
      <w:r w:rsidR="005C690F" w:rsidRPr="00A85B13">
        <w:t>fn</w:t>
      </w:r>
      <w:proofErr w:type="spellEnd"/>
      <w:r w:rsidR="005C690F" w:rsidRPr="00A85B13">
        <w:t xml:space="preserve"> </w:t>
      </w:r>
      <w:r w:rsidRPr="00A85B13">
        <w:t>81, therefore</w:t>
      </w:r>
      <w:r>
        <w:t>, did not amount to a denial of procedural fairness</w:t>
      </w:r>
      <w:r w:rsidR="005C690F" w:rsidRPr="0055304D">
        <w:t>.</w:t>
      </w:r>
      <w:r>
        <w:t xml:space="preserve"> </w:t>
      </w:r>
    </w:p>
    <w:p w14:paraId="1BBAA18A" w14:textId="77777777" w:rsidR="000D6E13" w:rsidRPr="009775FB" w:rsidRDefault="009775FB" w:rsidP="009775FB">
      <w:pPr>
        <w:pStyle w:val="Heading2"/>
      </w:pPr>
      <w:r>
        <w:lastRenderedPageBreak/>
        <w:t>Footnotes 82 to 89</w:t>
      </w:r>
    </w:p>
    <w:p w14:paraId="61D3E919" w14:textId="665431E9" w:rsidR="00570C56" w:rsidRDefault="008A367C" w:rsidP="00570C56">
      <w:pPr>
        <w:pStyle w:val="ParaNumbering"/>
      </w:pPr>
      <w:r>
        <w:t xml:space="preserve">The primary judge </w:t>
      </w:r>
      <w:r w:rsidR="00570C56">
        <w:t xml:space="preserve">applied </w:t>
      </w:r>
      <w:r w:rsidR="00DD7851">
        <w:t xml:space="preserve">the same </w:t>
      </w:r>
      <w:r w:rsidR="00835609">
        <w:t xml:space="preserve">reasoning in </w:t>
      </w:r>
      <w:r w:rsidR="00835609" w:rsidRPr="00835609">
        <w:t>respect of</w:t>
      </w:r>
      <w:r w:rsidR="000F0200" w:rsidRPr="00835609">
        <w:t xml:space="preserve"> </w:t>
      </w:r>
      <w:proofErr w:type="spellStart"/>
      <w:r w:rsidR="000F0200" w:rsidRPr="00835609">
        <w:t>fn</w:t>
      </w:r>
      <w:proofErr w:type="spellEnd"/>
      <w:r w:rsidR="00570C56" w:rsidRPr="00835609">
        <w:t xml:space="preserve"> 81 to those</w:t>
      </w:r>
      <w:r w:rsidR="00570C56">
        <w:t xml:space="preserve"> items of country information footnoted at 82 to 89 and concluded </w:t>
      </w:r>
      <w:r w:rsidR="00380356">
        <w:t xml:space="preserve">for the </w:t>
      </w:r>
      <w:r w:rsidR="001B086E">
        <w:t xml:space="preserve">same </w:t>
      </w:r>
      <w:r w:rsidR="00380356">
        <w:t xml:space="preserve">reasons </w:t>
      </w:r>
      <w:r w:rsidR="00570C56">
        <w:t xml:space="preserve">that no denial of procedural fairness </w:t>
      </w:r>
      <w:r w:rsidR="001B086E">
        <w:t xml:space="preserve">attached to the fact that </w:t>
      </w:r>
      <w:r w:rsidR="000F0200" w:rsidRPr="00835609">
        <w:t>“</w:t>
      </w:r>
      <w:r w:rsidR="00F05768" w:rsidRPr="00835609">
        <w:t xml:space="preserve">the </w:t>
      </w:r>
      <w:r w:rsidR="000F0200" w:rsidRPr="00835609">
        <w:t>A</w:t>
      </w:r>
      <w:r w:rsidR="00F05768" w:rsidRPr="00835609">
        <w:t>ssessor did not put</w:t>
      </w:r>
      <w:r w:rsidR="000F0200" w:rsidRPr="00835609">
        <w:t xml:space="preserve"> to the [appellant]</w:t>
      </w:r>
      <w:r w:rsidR="00F05768" w:rsidRPr="00835609">
        <w:t xml:space="preserve"> </w:t>
      </w:r>
      <w:r w:rsidR="00570C56" w:rsidRPr="00835609">
        <w:t>the details</w:t>
      </w:r>
      <w:r w:rsidR="00570C56">
        <w:t xml:space="preserve"> of the documents cited in footnotes 82 to 89 or so much of the information they contained as was </w:t>
      </w:r>
      <w:r w:rsidR="00570C56" w:rsidRPr="00835609">
        <w:t>referred to in the Scott Schedule”</w:t>
      </w:r>
      <w:r w:rsidR="00835609" w:rsidRPr="00835609">
        <w:t xml:space="preserve"> </w:t>
      </w:r>
      <w:r w:rsidR="000F0200" w:rsidRPr="00835609">
        <w:t>(FCC Decision, [</w:t>
      </w:r>
      <w:r w:rsidR="00F05768" w:rsidRPr="00835609">
        <w:t>30]</w:t>
      </w:r>
      <w:r w:rsidR="000F0200" w:rsidRPr="00835609">
        <w:t>)</w:t>
      </w:r>
      <w:r w:rsidR="00F05768" w:rsidRPr="00835609">
        <w:t>.</w:t>
      </w:r>
      <w:r w:rsidR="00F05768">
        <w:t xml:space="preserve"> </w:t>
      </w:r>
    </w:p>
    <w:p w14:paraId="19A2463E" w14:textId="77777777" w:rsidR="00570C56" w:rsidRDefault="00F05768" w:rsidP="00F05768">
      <w:pPr>
        <w:pStyle w:val="Heading2"/>
      </w:pPr>
      <w:r>
        <w:t>Footnote 97</w:t>
      </w:r>
    </w:p>
    <w:p w14:paraId="016D6A0E" w14:textId="37E3C023" w:rsidR="00DD7851" w:rsidRDefault="006E0A4C" w:rsidP="00DD7851">
      <w:pPr>
        <w:pStyle w:val="ParaNumbering"/>
      </w:pPr>
      <w:r>
        <w:rPr>
          <w:shd w:val="clear" w:color="auto" w:fill="FFFFFF"/>
          <w:lang w:eastAsia="en-AU"/>
        </w:rPr>
        <w:t xml:space="preserve">In respect of the passage supported by </w:t>
      </w:r>
      <w:proofErr w:type="spellStart"/>
      <w:r>
        <w:rPr>
          <w:shd w:val="clear" w:color="auto" w:fill="FFFFFF"/>
          <w:lang w:eastAsia="en-AU"/>
        </w:rPr>
        <w:t>fn</w:t>
      </w:r>
      <w:proofErr w:type="spellEnd"/>
      <w:r>
        <w:rPr>
          <w:shd w:val="clear" w:color="auto" w:fill="FFFFFF"/>
          <w:lang w:eastAsia="en-AU"/>
        </w:rPr>
        <w:t xml:space="preserve"> 97, </w:t>
      </w:r>
      <w:r>
        <w:t>t</w:t>
      </w:r>
      <w:r w:rsidR="00DD7851">
        <w:t xml:space="preserve">he appellant had </w:t>
      </w:r>
      <w:r w:rsidR="00DD7851" w:rsidRPr="00B05ADF">
        <w:t>submitted</w:t>
      </w:r>
      <w:r w:rsidR="003E49B7" w:rsidRPr="00B05ADF">
        <w:t xml:space="preserve"> (FCC Decision, [32])</w:t>
      </w:r>
      <w:r w:rsidR="00DD7851">
        <w:t xml:space="preserve"> that:</w:t>
      </w:r>
    </w:p>
    <w:p w14:paraId="5D8A5108" w14:textId="756BDF4A" w:rsidR="00DD7851" w:rsidRDefault="00DD7851" w:rsidP="00DD7851">
      <w:pPr>
        <w:pStyle w:val="Quote1"/>
        <w:rPr>
          <w:shd w:val="clear" w:color="auto" w:fill="FFFFFF"/>
        </w:rPr>
      </w:pPr>
      <w:r>
        <w:rPr>
          <w:shd w:val="clear" w:color="auto" w:fill="FFFFFF"/>
        </w:rPr>
        <w:t>The Assessor referred to this report …stating that the report talked about some economic challenges facing some returnees, as well as issues for returnees who had left Afghanistan at a very young age or had been born outside of Afghanistan. The Assessor stated that the report made no mention of adult returnees who departed Afghanistan as adults facing harm. The Assessor concluded that since such a person was not mentioned in the report meant that there was no harm to such a person. This country information was not put to the applicant for comment.</w:t>
      </w:r>
    </w:p>
    <w:p w14:paraId="1E5397B8" w14:textId="4AEFE7B0" w:rsidR="002E391F" w:rsidRPr="00E6787D" w:rsidRDefault="00DD7851" w:rsidP="00C65D83">
      <w:pPr>
        <w:pStyle w:val="ParaNumbering"/>
      </w:pPr>
      <w:r w:rsidRPr="00A75816">
        <w:t xml:space="preserve">The primary judge held that </w:t>
      </w:r>
      <w:r w:rsidR="004119EC" w:rsidRPr="00A75816">
        <w:t>“</w:t>
      </w:r>
      <w:r w:rsidRPr="00A75816">
        <w:t xml:space="preserve">procedural fairness did not require the </w:t>
      </w:r>
      <w:r w:rsidR="004119EC" w:rsidRPr="00A75816">
        <w:t>A</w:t>
      </w:r>
      <w:r w:rsidRPr="00A75816">
        <w:t xml:space="preserve">ssessor to give to the </w:t>
      </w:r>
      <w:r w:rsidR="004119EC" w:rsidRPr="00A75816">
        <w:t>[</w:t>
      </w:r>
      <w:r w:rsidRPr="00A75816">
        <w:t>appellant</w:t>
      </w:r>
      <w:r w:rsidR="004119EC" w:rsidRPr="00A75816">
        <w:t>]</w:t>
      </w:r>
      <w:r w:rsidRPr="00A75816">
        <w:t xml:space="preserve"> notice of any conclusion he might draw from the absence from the [UK Home Office Report] of evidence concerning persons such as him” </w:t>
      </w:r>
      <w:r w:rsidR="004119EC" w:rsidRPr="00A75816">
        <w:t xml:space="preserve">(FCC Decision, </w:t>
      </w:r>
      <w:r w:rsidRPr="00A75816">
        <w:t>[35]</w:t>
      </w:r>
      <w:r w:rsidR="004119EC" w:rsidRPr="00A75816">
        <w:t>)</w:t>
      </w:r>
      <w:r w:rsidRPr="00A75816">
        <w:t>.</w:t>
      </w:r>
      <w:r w:rsidR="004119EC" w:rsidRPr="00A75816">
        <w:t xml:space="preserve">  His</w:t>
      </w:r>
      <w:r w:rsidR="004119EC">
        <w:t> </w:t>
      </w:r>
      <w:r>
        <w:t xml:space="preserve">Honour stated at [36] that the assessor’s comment “was no more than an observation on the absence of evidence of a sort, which, if </w:t>
      </w:r>
      <w:r w:rsidRPr="00A75816">
        <w:t xml:space="preserve">presented, would clearly have been relevant to the </w:t>
      </w:r>
      <w:r w:rsidR="004119EC" w:rsidRPr="00A75816">
        <w:t>[</w:t>
      </w:r>
      <w:r w:rsidRPr="00A75816">
        <w:t>ITOA</w:t>
      </w:r>
      <w:r w:rsidR="004119EC" w:rsidRPr="00A75816">
        <w:t>]</w:t>
      </w:r>
      <w:r w:rsidRPr="00A75816">
        <w:t>” and it was not the task of the ITOA assessor “to prompt or elicit from the [appellant] an elaboration of his claim which he chose not to make himself”</w:t>
      </w:r>
      <w:r w:rsidR="00BF7A49" w:rsidRPr="00A75816">
        <w:t xml:space="preserve"> (FCC Decision, [36])</w:t>
      </w:r>
      <w:r w:rsidRPr="00A75816">
        <w:t xml:space="preserve">. </w:t>
      </w:r>
      <w:r w:rsidR="00BF7A49" w:rsidRPr="00A75816">
        <w:t xml:space="preserve"> </w:t>
      </w:r>
      <w:r w:rsidR="002E391F" w:rsidRPr="00A75816">
        <w:rPr>
          <w:szCs w:val="24"/>
        </w:rPr>
        <w:t>Fi</w:t>
      </w:r>
      <w:r w:rsidR="00C65D83" w:rsidRPr="00A75816">
        <w:rPr>
          <w:szCs w:val="24"/>
        </w:rPr>
        <w:t>nally</w:t>
      </w:r>
      <w:r w:rsidR="00C65D83">
        <w:rPr>
          <w:szCs w:val="24"/>
        </w:rPr>
        <w:t>, the primary judge found at [37] that this</w:t>
      </w:r>
      <w:r w:rsidR="002E391F" w:rsidRPr="00C65D83">
        <w:rPr>
          <w:szCs w:val="24"/>
        </w:rPr>
        <w:t xml:space="preserve"> </w:t>
      </w:r>
      <w:r w:rsidR="00C65D83">
        <w:rPr>
          <w:szCs w:val="24"/>
        </w:rPr>
        <w:t>r</w:t>
      </w:r>
      <w:r w:rsidR="002E391F" w:rsidRPr="00C65D83">
        <w:rPr>
          <w:szCs w:val="24"/>
        </w:rPr>
        <w:t xml:space="preserve">eport played no part in the </w:t>
      </w:r>
      <w:r w:rsidR="00C65D83">
        <w:rPr>
          <w:szCs w:val="24"/>
        </w:rPr>
        <w:t>assessor’s conclusion that the appellant’s</w:t>
      </w:r>
      <w:r w:rsidR="00C65D83" w:rsidRPr="00C65D83">
        <w:rPr>
          <w:szCs w:val="24"/>
        </w:rPr>
        <w:t xml:space="preserve"> ability to subsist would not be threatened on return </w:t>
      </w:r>
      <w:r w:rsidR="002E391F" w:rsidRPr="00C65D83">
        <w:rPr>
          <w:szCs w:val="24"/>
        </w:rPr>
        <w:t>“[c]</w:t>
      </w:r>
      <w:proofErr w:type="spellStart"/>
      <w:r w:rsidR="002E391F" w:rsidRPr="00C65D83">
        <w:rPr>
          <w:szCs w:val="24"/>
        </w:rPr>
        <w:t>onsidering</w:t>
      </w:r>
      <w:proofErr w:type="spellEnd"/>
      <w:r w:rsidR="002E391F" w:rsidRPr="00C65D83">
        <w:rPr>
          <w:szCs w:val="24"/>
        </w:rPr>
        <w:t xml:space="preserve"> [the appellant’s] skills, assets and commun</w:t>
      </w:r>
      <w:r w:rsidR="00E6787D">
        <w:rPr>
          <w:szCs w:val="24"/>
        </w:rPr>
        <w:t xml:space="preserve">ity ties to </w:t>
      </w:r>
      <w:proofErr w:type="spellStart"/>
      <w:r w:rsidR="00E6787D">
        <w:rPr>
          <w:szCs w:val="24"/>
        </w:rPr>
        <w:t>Bamiyan</w:t>
      </w:r>
      <w:proofErr w:type="spellEnd"/>
      <w:r w:rsidR="00E6787D">
        <w:rPr>
          <w:szCs w:val="24"/>
        </w:rPr>
        <w:t xml:space="preserve">”. </w:t>
      </w:r>
    </w:p>
    <w:p w14:paraId="07F03DCC" w14:textId="77777777" w:rsidR="006D1FC3" w:rsidRDefault="006D1FC3" w:rsidP="006D1FC3">
      <w:pPr>
        <w:pStyle w:val="Heading1"/>
      </w:pPr>
      <w:r>
        <w:t>the appeal</w:t>
      </w:r>
    </w:p>
    <w:p w14:paraId="267F6752" w14:textId="665EA4DA" w:rsidR="00B84946" w:rsidRDefault="00BD02DE" w:rsidP="00E6787D">
      <w:pPr>
        <w:pStyle w:val="ParaNumbering"/>
      </w:pPr>
      <w:r>
        <w:t>The Notice of Appeal raised</w:t>
      </w:r>
      <w:r w:rsidR="00B84946">
        <w:t xml:space="preserve"> one ground of appeal as follows:</w:t>
      </w:r>
    </w:p>
    <w:p w14:paraId="00AB6EB6" w14:textId="77777777" w:rsidR="00B84946" w:rsidRDefault="00B84946" w:rsidP="00B84946">
      <w:pPr>
        <w:pStyle w:val="Quote1"/>
      </w:pPr>
      <w:r>
        <w:t xml:space="preserve">The Federal Circuit Court of Australia erred in finding there was no denial of procedural fairness in failing to put country information to the appellant for comment during an ITOA interview under the non-statutory processing regime.  </w:t>
      </w:r>
    </w:p>
    <w:p w14:paraId="4BC2FF41" w14:textId="77777777" w:rsidR="00B84946" w:rsidRPr="00586035" w:rsidRDefault="00B84946" w:rsidP="00B84946">
      <w:pPr>
        <w:pStyle w:val="Quote1"/>
        <w:jc w:val="center"/>
        <w:rPr>
          <w:b/>
        </w:rPr>
      </w:pPr>
      <w:r w:rsidRPr="00586035">
        <w:rPr>
          <w:b/>
        </w:rPr>
        <w:t>Particulars</w:t>
      </w:r>
    </w:p>
    <w:p w14:paraId="12C730DE" w14:textId="77777777" w:rsidR="00B84946" w:rsidRDefault="00B84946" w:rsidP="00B84946">
      <w:pPr>
        <w:pStyle w:val="Quote1"/>
        <w:ind w:left="1440" w:hanging="703"/>
      </w:pPr>
      <w:r>
        <w:t xml:space="preserve">a.  </w:t>
      </w:r>
      <w:r>
        <w:tab/>
        <w:t>The Federal Circuit Court of Australia applied the wrong test in [16] requiring the undisclosed information in the ITOA process to be adverse to the appellant's interests; and</w:t>
      </w:r>
    </w:p>
    <w:p w14:paraId="7EAA61D4" w14:textId="77777777" w:rsidR="00B84946" w:rsidRDefault="00B84946" w:rsidP="00B84946">
      <w:pPr>
        <w:pStyle w:val="Quote1"/>
        <w:ind w:left="1440" w:hanging="703"/>
      </w:pPr>
      <w:r>
        <w:lastRenderedPageBreak/>
        <w:t>b.</w:t>
      </w:r>
      <w:r>
        <w:tab/>
        <w:t>The Federal Circuit Court of Australia erred in finding there was no practical unfairness in not disclosing country information referred to in ITOA decision record:</w:t>
      </w:r>
    </w:p>
    <w:p w14:paraId="6977F028" w14:textId="77777777" w:rsidR="00B84946" w:rsidRDefault="00B84946" w:rsidP="00B84946">
      <w:pPr>
        <w:pStyle w:val="Quote2"/>
        <w:ind w:left="2160" w:hanging="720"/>
      </w:pPr>
      <w:proofErr w:type="spellStart"/>
      <w:r>
        <w:t>i</w:t>
      </w:r>
      <w:proofErr w:type="spellEnd"/>
      <w:r>
        <w:t xml:space="preserve">.  </w:t>
      </w:r>
      <w:r>
        <w:tab/>
        <w:t>The country information was material to the decision as it was cited and referred to in the decision record;</w:t>
      </w:r>
    </w:p>
    <w:p w14:paraId="39452F55" w14:textId="77777777" w:rsidR="00B84946" w:rsidRDefault="00B84946" w:rsidP="00B84946">
      <w:pPr>
        <w:pStyle w:val="Quote2"/>
        <w:ind w:left="2160" w:hanging="720"/>
      </w:pPr>
      <w:r>
        <w:t xml:space="preserve">ii.  </w:t>
      </w:r>
      <w:r>
        <w:tab/>
        <w:t>The country information was not disclosed to the appellant and kept in isolation from the evidence discussed at the ITOA interview;</w:t>
      </w:r>
    </w:p>
    <w:p w14:paraId="2E35B2EF" w14:textId="77777777" w:rsidR="00B84946" w:rsidRDefault="00B84946" w:rsidP="00B84946">
      <w:pPr>
        <w:pStyle w:val="Quote2"/>
        <w:ind w:left="2160" w:hanging="720"/>
      </w:pPr>
      <w:r>
        <w:t xml:space="preserve">iii.  </w:t>
      </w:r>
      <w:r>
        <w:tab/>
        <w:t>In failing to put the country information to comment, the departmental officer has failed to ask the questions necessary to gather the evidence required to perform the task of assessing Australia's non-</w:t>
      </w:r>
      <w:proofErr w:type="spellStart"/>
      <w:r w:rsidRPr="00586035">
        <w:rPr>
          <w:i/>
        </w:rPr>
        <w:t>refoulement</w:t>
      </w:r>
      <w:proofErr w:type="spellEnd"/>
      <w:r>
        <w:t xml:space="preserve"> obligations with respect to the appellant.</w:t>
      </w:r>
    </w:p>
    <w:p w14:paraId="5D1E599B" w14:textId="19E62AA2" w:rsidR="00B379C8" w:rsidRDefault="008D6AEF" w:rsidP="00E6787D">
      <w:pPr>
        <w:pStyle w:val="ParaNumbering"/>
        <w:rPr>
          <w:szCs w:val="24"/>
          <w:lang w:eastAsia="en-AU"/>
        </w:rPr>
      </w:pPr>
      <w:r>
        <w:t>T</w:t>
      </w:r>
      <w:r w:rsidR="00B84946">
        <w:t xml:space="preserve">he appellant also sought leave to adduce fresh evidence pursuant to s 27 of the </w:t>
      </w:r>
      <w:r w:rsidR="00B84946" w:rsidRPr="00EE7CA0">
        <w:rPr>
          <w:i/>
        </w:rPr>
        <w:t xml:space="preserve">Federal Court of </w:t>
      </w:r>
      <w:r w:rsidR="00B84946" w:rsidRPr="00B33B54">
        <w:rPr>
          <w:i/>
        </w:rPr>
        <w:t xml:space="preserve">Australia Act 1976 </w:t>
      </w:r>
      <w:r w:rsidR="00B84946" w:rsidRPr="00B33B54">
        <w:t>(</w:t>
      </w:r>
      <w:proofErr w:type="spellStart"/>
      <w:r w:rsidR="00B84946" w:rsidRPr="00B33B54">
        <w:t>Cth</w:t>
      </w:r>
      <w:proofErr w:type="spellEnd"/>
      <w:r w:rsidR="00B84946" w:rsidRPr="00B33B54">
        <w:t>)</w:t>
      </w:r>
      <w:r w:rsidR="009445B0" w:rsidRPr="00B33B54">
        <w:t xml:space="preserve"> (</w:t>
      </w:r>
      <w:r w:rsidR="009445B0" w:rsidRPr="00B33B54">
        <w:rPr>
          <w:b/>
          <w:i/>
        </w:rPr>
        <w:t>Federal Court Act</w:t>
      </w:r>
      <w:r w:rsidR="009445B0" w:rsidRPr="00B33B54">
        <w:t>)</w:t>
      </w:r>
      <w:r w:rsidR="00695424" w:rsidRPr="00B33B54">
        <w:t xml:space="preserve"> and r 36.57 of the </w:t>
      </w:r>
      <w:r w:rsidR="00695424" w:rsidRPr="00B33B54">
        <w:rPr>
          <w:i/>
        </w:rPr>
        <w:t>Federal Court Rules</w:t>
      </w:r>
      <w:r w:rsidR="009445B0" w:rsidRPr="00B33B54">
        <w:rPr>
          <w:i/>
        </w:rPr>
        <w:t xml:space="preserve"> 2011</w:t>
      </w:r>
      <w:r w:rsidR="009445B0" w:rsidRPr="00B33B54">
        <w:t xml:space="preserve"> (</w:t>
      </w:r>
      <w:proofErr w:type="spellStart"/>
      <w:r w:rsidR="009445B0" w:rsidRPr="00B33B54">
        <w:t>Cth</w:t>
      </w:r>
      <w:proofErr w:type="spellEnd"/>
      <w:r w:rsidR="009445B0" w:rsidRPr="00B33B54">
        <w:t>)</w:t>
      </w:r>
      <w:r w:rsidR="00B84946" w:rsidRPr="00B33B54">
        <w:t xml:space="preserve">.  The fresh evidence comprises </w:t>
      </w:r>
      <w:r w:rsidR="00650D39" w:rsidRPr="00B33B54">
        <w:t xml:space="preserve">the </w:t>
      </w:r>
      <w:r w:rsidR="003A0E29" w:rsidRPr="00B33B54">
        <w:t xml:space="preserve">documents </w:t>
      </w:r>
      <w:r w:rsidR="00B84946" w:rsidRPr="00B33B54">
        <w:t xml:space="preserve">referred to in footnotes 80–89 and 97 of the </w:t>
      </w:r>
      <w:r w:rsidR="00B33B54" w:rsidRPr="00B33B54">
        <w:t>ITOA</w:t>
      </w:r>
      <w:r w:rsidRPr="00B33B54">
        <w:t xml:space="preserve"> report </w:t>
      </w:r>
      <w:r w:rsidR="00B84946" w:rsidRPr="00B33B54">
        <w:t>and an email</w:t>
      </w:r>
      <w:r w:rsidRPr="00B33B54">
        <w:t xml:space="preserve"> exchange between Prof</w:t>
      </w:r>
      <w:r w:rsidR="00045431" w:rsidRPr="00B33B54">
        <w:t>essor</w:t>
      </w:r>
      <w:r w:rsidRPr="00B33B54">
        <w:t xml:space="preserve"> William </w:t>
      </w:r>
      <w:proofErr w:type="spellStart"/>
      <w:r w:rsidRPr="00B33B54">
        <w:t>Maley</w:t>
      </w:r>
      <w:proofErr w:type="spellEnd"/>
      <w:r w:rsidR="00215A79" w:rsidRPr="00B33B54">
        <w:t xml:space="preserve"> and the appellant’s solicitor</w:t>
      </w:r>
      <w:r w:rsidR="00B84946" w:rsidRPr="00B33B54">
        <w:t xml:space="preserve"> on </w:t>
      </w:r>
      <w:r w:rsidR="00045431" w:rsidRPr="00B33B54">
        <w:t>24</w:t>
      </w:r>
      <w:r w:rsidR="00637C2D">
        <w:t>–</w:t>
      </w:r>
      <w:r w:rsidR="00045431" w:rsidRPr="00B33B54">
        <w:t>25</w:t>
      </w:r>
      <w:r w:rsidR="00B84946" w:rsidRPr="00B33B54">
        <w:t> September 2020</w:t>
      </w:r>
      <w:r w:rsidR="00045431" w:rsidRPr="00B33B54">
        <w:t>,</w:t>
      </w:r>
      <w:r w:rsidR="00B84946" w:rsidRPr="00B33B54">
        <w:t xml:space="preserve"> forwarding</w:t>
      </w:r>
      <w:r w:rsidR="00B84946">
        <w:t xml:space="preserve"> an email from </w:t>
      </w:r>
      <w:proofErr w:type="spellStart"/>
      <w:r w:rsidR="00B84946">
        <w:t>Qayoom</w:t>
      </w:r>
      <w:proofErr w:type="spellEnd"/>
      <w:r w:rsidR="00B84946">
        <w:t xml:space="preserve"> </w:t>
      </w:r>
      <w:proofErr w:type="spellStart"/>
      <w:r w:rsidR="00B84946">
        <w:t>Suroush</w:t>
      </w:r>
      <w:proofErr w:type="spellEnd"/>
      <w:r w:rsidR="00B84946">
        <w:t xml:space="preserve"> to Timor </w:t>
      </w:r>
      <w:proofErr w:type="spellStart"/>
      <w:r w:rsidR="00B84946">
        <w:t>Sharan</w:t>
      </w:r>
      <w:proofErr w:type="spellEnd"/>
      <w:r w:rsidR="00B84946">
        <w:t xml:space="preserve"> dated 5 May 2015</w:t>
      </w:r>
      <w:r w:rsidR="00727B75">
        <w:t xml:space="preserve"> (</w:t>
      </w:r>
      <w:proofErr w:type="spellStart"/>
      <w:r w:rsidR="00727B75" w:rsidRPr="00EE7CA0">
        <w:rPr>
          <w:b/>
        </w:rPr>
        <w:t>Suroush</w:t>
      </w:r>
      <w:proofErr w:type="spellEnd"/>
      <w:r w:rsidR="00727B75" w:rsidRPr="00EE7CA0">
        <w:rPr>
          <w:b/>
        </w:rPr>
        <w:t xml:space="preserve"> email</w:t>
      </w:r>
      <w:r w:rsidR="00536574">
        <w:rPr>
          <w:b/>
        </w:rPr>
        <w:t xml:space="preserve"> chain</w:t>
      </w:r>
      <w:r w:rsidR="00727B75">
        <w:t>)</w:t>
      </w:r>
      <w:r w:rsidR="00695424">
        <w:t xml:space="preserve">.  </w:t>
      </w:r>
      <w:r w:rsidR="00C54782">
        <w:t xml:space="preserve">The </w:t>
      </w:r>
      <w:r w:rsidR="00695424">
        <w:t>appellant’s solicitor</w:t>
      </w:r>
      <w:r w:rsidR="005A01A2">
        <w:t>, Michaela</w:t>
      </w:r>
      <w:r w:rsidR="00C54782">
        <w:t xml:space="preserve"> Byers, explained</w:t>
      </w:r>
      <w:r w:rsidR="00CF0698">
        <w:t xml:space="preserve"> in an affidavit </w:t>
      </w:r>
      <w:r w:rsidR="00C54782">
        <w:t xml:space="preserve">in support of the application </w:t>
      </w:r>
      <w:r w:rsidR="00CF0698">
        <w:t xml:space="preserve">that </w:t>
      </w:r>
      <w:r w:rsidR="0073089B">
        <w:t xml:space="preserve">the FCC </w:t>
      </w:r>
      <w:r w:rsidR="00046024">
        <w:t xml:space="preserve">hearing </w:t>
      </w:r>
      <w:r w:rsidR="00E73F6E">
        <w:t xml:space="preserve">had </w:t>
      </w:r>
      <w:r w:rsidR="00046024">
        <w:t xml:space="preserve">preceded the </w:t>
      </w:r>
      <w:r w:rsidR="00713F6C">
        <w:t>High Court</w:t>
      </w:r>
      <w:r w:rsidR="00046024">
        <w:t xml:space="preserve">’s </w:t>
      </w:r>
      <w:r w:rsidR="008B4D21">
        <w:t xml:space="preserve">decision </w:t>
      </w:r>
      <w:r w:rsidR="00713F6C">
        <w:t xml:space="preserve">in </w:t>
      </w:r>
      <w:r w:rsidR="00713F6C" w:rsidRPr="00EE7CA0">
        <w:rPr>
          <w:i/>
        </w:rPr>
        <w:t xml:space="preserve">Minister for Immigration and Border Protection v SZMTA </w:t>
      </w:r>
      <w:r w:rsidR="00713F6C">
        <w:t>[2019] HCA 3; (2019) 264 CLR 421 (</w:t>
      </w:r>
      <w:r w:rsidR="00713F6C" w:rsidRPr="00EE7CA0">
        <w:rPr>
          <w:b/>
          <w:i/>
        </w:rPr>
        <w:t>SZMTA</w:t>
      </w:r>
      <w:r w:rsidR="00713F6C" w:rsidRPr="007563AC">
        <w:t>)</w:t>
      </w:r>
      <w:r w:rsidR="0073089B" w:rsidRPr="007563AC">
        <w:t>,</w:t>
      </w:r>
      <w:r w:rsidR="00713F6C" w:rsidRPr="007563AC">
        <w:t xml:space="preserve"> and</w:t>
      </w:r>
      <w:r w:rsidR="00046024" w:rsidRPr="007563AC">
        <w:t xml:space="preserve"> the</w:t>
      </w:r>
      <w:r w:rsidR="00046024">
        <w:t xml:space="preserve"> documents were not put into evidence</w:t>
      </w:r>
      <w:r w:rsidR="00713F6C">
        <w:t xml:space="preserve"> </w:t>
      </w:r>
      <w:r w:rsidR="00046024">
        <w:t xml:space="preserve">because </w:t>
      </w:r>
      <w:r w:rsidR="008B4D21">
        <w:t xml:space="preserve">the </w:t>
      </w:r>
      <w:r w:rsidR="00964322">
        <w:t xml:space="preserve">view had been </w:t>
      </w:r>
      <w:r w:rsidR="006965F2">
        <w:t>taken</w:t>
      </w:r>
      <w:r w:rsidR="00713F6C">
        <w:t xml:space="preserve"> at the time </w:t>
      </w:r>
      <w:r w:rsidR="00215F6F">
        <w:t xml:space="preserve">that </w:t>
      </w:r>
      <w:r w:rsidR="006965F2">
        <w:t xml:space="preserve">“it was not appropriate to explore </w:t>
      </w:r>
      <w:r w:rsidR="00215F6F">
        <w:t xml:space="preserve">the merits </w:t>
      </w:r>
      <w:r w:rsidR="006965F2">
        <w:t xml:space="preserve">of the case”. </w:t>
      </w:r>
      <w:r w:rsidR="00045431">
        <w:t xml:space="preserve"> </w:t>
      </w:r>
      <w:r w:rsidR="00964322" w:rsidRPr="00EE7CA0">
        <w:rPr>
          <w:i/>
          <w:szCs w:val="24"/>
        </w:rPr>
        <w:t xml:space="preserve">SZMTA </w:t>
      </w:r>
      <w:r w:rsidR="00964322" w:rsidRPr="00EE7CA0">
        <w:rPr>
          <w:szCs w:val="24"/>
        </w:rPr>
        <w:t xml:space="preserve">has since </w:t>
      </w:r>
      <w:r w:rsidR="00F549E2" w:rsidRPr="00EE7CA0">
        <w:rPr>
          <w:szCs w:val="24"/>
        </w:rPr>
        <w:t xml:space="preserve">established </w:t>
      </w:r>
      <w:r w:rsidR="00964322" w:rsidRPr="00EE7CA0">
        <w:rPr>
          <w:szCs w:val="24"/>
        </w:rPr>
        <w:t xml:space="preserve">that </w:t>
      </w:r>
      <w:r w:rsidR="00F549E2" w:rsidRPr="00EE7CA0">
        <w:rPr>
          <w:color w:val="000000"/>
          <w:szCs w:val="24"/>
          <w:shd w:val="clear" w:color="auto" w:fill="FFFFFF"/>
        </w:rPr>
        <w:t xml:space="preserve">where materiality is in issue in an application for </w:t>
      </w:r>
      <w:r w:rsidR="00F549E2" w:rsidRPr="00B33B54">
        <w:rPr>
          <w:color w:val="000000"/>
          <w:szCs w:val="24"/>
          <w:shd w:val="clear" w:color="auto" w:fill="FFFFFF"/>
        </w:rPr>
        <w:t>judicial review</w:t>
      </w:r>
      <w:r w:rsidR="00F1364C" w:rsidRPr="00B33B54">
        <w:rPr>
          <w:color w:val="000000"/>
          <w:szCs w:val="24"/>
          <w:shd w:val="clear" w:color="auto" w:fill="FFFFFF"/>
        </w:rPr>
        <w:t>,</w:t>
      </w:r>
      <w:r w:rsidR="00F549E2" w:rsidRPr="00B33B54">
        <w:rPr>
          <w:szCs w:val="24"/>
        </w:rPr>
        <w:t xml:space="preserve"> t</w:t>
      </w:r>
      <w:r w:rsidR="00F549E2" w:rsidRPr="00B33B54">
        <w:rPr>
          <w:color w:val="000000"/>
          <w:szCs w:val="24"/>
          <w:shd w:val="clear" w:color="auto" w:fill="FFFFFF"/>
        </w:rPr>
        <w:t>he question</w:t>
      </w:r>
      <w:r w:rsidR="00F549E2" w:rsidRPr="00EE7CA0">
        <w:rPr>
          <w:color w:val="000000"/>
          <w:szCs w:val="24"/>
          <w:shd w:val="clear" w:color="auto" w:fill="FFFFFF"/>
        </w:rPr>
        <w:t xml:space="preserve"> of the materiality of the breach is an ordinary question of fact in respect of which the </w:t>
      </w:r>
      <w:r w:rsidR="00F549E2" w:rsidRPr="006D6375">
        <w:rPr>
          <w:color w:val="000000"/>
          <w:szCs w:val="24"/>
          <w:shd w:val="clear" w:color="auto" w:fill="FFFFFF"/>
        </w:rPr>
        <w:t>applicant</w:t>
      </w:r>
      <w:r w:rsidR="00F549E2" w:rsidRPr="00EE7CA0">
        <w:rPr>
          <w:color w:val="000000"/>
          <w:szCs w:val="24"/>
          <w:shd w:val="clear" w:color="auto" w:fill="FFFFFF"/>
        </w:rPr>
        <w:t xml:space="preserve"> bears the onus of proof and </w:t>
      </w:r>
      <w:r w:rsidR="00EB16FF" w:rsidRPr="00EE7CA0">
        <w:rPr>
          <w:color w:val="000000"/>
          <w:szCs w:val="24"/>
          <w:shd w:val="clear" w:color="auto" w:fill="FFFFFF"/>
        </w:rPr>
        <w:t xml:space="preserve">in order </w:t>
      </w:r>
      <w:r w:rsidR="00F549E2" w:rsidRPr="00EE7CA0">
        <w:rPr>
          <w:color w:val="000000"/>
          <w:szCs w:val="24"/>
          <w:shd w:val="clear" w:color="auto" w:fill="FFFFFF"/>
        </w:rPr>
        <w:t xml:space="preserve">to inform </w:t>
      </w:r>
      <w:r w:rsidR="00EB16FF" w:rsidRPr="00EE7CA0">
        <w:rPr>
          <w:color w:val="000000"/>
          <w:szCs w:val="24"/>
          <w:shd w:val="clear" w:color="auto" w:fill="FFFFFF"/>
        </w:rPr>
        <w:t xml:space="preserve">curial determination both of how the </w:t>
      </w:r>
      <w:r w:rsidR="00AF7DA8" w:rsidRPr="00EE7CA0">
        <w:rPr>
          <w:color w:val="000000"/>
          <w:szCs w:val="24"/>
          <w:shd w:val="clear" w:color="auto" w:fill="FFFFFF"/>
        </w:rPr>
        <w:t xml:space="preserve">decision maker </w:t>
      </w:r>
      <w:r w:rsidR="006F4E29" w:rsidRPr="00EE7CA0">
        <w:rPr>
          <w:color w:val="000000"/>
          <w:szCs w:val="24"/>
          <w:shd w:val="clear" w:color="auto" w:fill="FFFFFF"/>
        </w:rPr>
        <w:t xml:space="preserve">“in fact acted” and as to whether a breach is material (in the sense that </w:t>
      </w:r>
      <w:r w:rsidR="0030128D" w:rsidRPr="00EE7CA0">
        <w:rPr>
          <w:color w:val="000000"/>
          <w:szCs w:val="24"/>
          <w:shd w:val="clear" w:color="auto" w:fill="FFFFFF"/>
        </w:rPr>
        <w:t>compliance could realistically have resulted in a different decision)</w:t>
      </w:r>
      <w:r w:rsidR="006F4E29" w:rsidRPr="00EE7CA0">
        <w:rPr>
          <w:color w:val="000000"/>
          <w:szCs w:val="24"/>
          <w:shd w:val="clear" w:color="auto" w:fill="FFFFFF"/>
        </w:rPr>
        <w:t xml:space="preserve">, </w:t>
      </w:r>
      <w:r w:rsidR="00F549E2" w:rsidRPr="00EE7CA0">
        <w:rPr>
          <w:color w:val="000000"/>
          <w:szCs w:val="24"/>
          <w:shd w:val="clear" w:color="auto" w:fill="FFFFFF"/>
        </w:rPr>
        <w:t>evidence of the content of the document or information is relevant and admissible</w:t>
      </w:r>
      <w:r w:rsidR="00EE5460" w:rsidRPr="00EE7CA0">
        <w:rPr>
          <w:color w:val="000000"/>
          <w:szCs w:val="24"/>
          <w:shd w:val="clear" w:color="auto" w:fill="FFFFFF"/>
        </w:rPr>
        <w:t xml:space="preserve">. </w:t>
      </w:r>
      <w:r w:rsidR="00F549E2" w:rsidRPr="00EE7CA0">
        <w:rPr>
          <w:color w:val="000000"/>
          <w:szCs w:val="24"/>
          <w:shd w:val="clear" w:color="auto" w:fill="FFFFFF"/>
        </w:rPr>
        <w:t xml:space="preserve"> </w:t>
      </w:r>
      <w:r w:rsidR="00EE5460" w:rsidRPr="00EE7CA0">
        <w:rPr>
          <w:color w:val="000000"/>
          <w:szCs w:val="24"/>
          <w:shd w:val="clear" w:color="auto" w:fill="FFFFFF"/>
        </w:rPr>
        <w:t xml:space="preserve">It was argued that </w:t>
      </w:r>
      <w:r w:rsidR="00297880" w:rsidRPr="00EE7CA0">
        <w:rPr>
          <w:szCs w:val="24"/>
          <w:lang w:eastAsia="en-AU"/>
        </w:rPr>
        <w:t xml:space="preserve">the evidence now sought to be adduced is relevant and admissible and had those documents </w:t>
      </w:r>
      <w:r w:rsidR="00EE5460" w:rsidRPr="00EE7CA0">
        <w:rPr>
          <w:szCs w:val="24"/>
          <w:lang w:eastAsia="en-AU"/>
        </w:rPr>
        <w:t xml:space="preserve">been before </w:t>
      </w:r>
      <w:r w:rsidR="0023275C">
        <w:rPr>
          <w:szCs w:val="24"/>
          <w:lang w:eastAsia="en-AU"/>
        </w:rPr>
        <w:t>the primary judge, the out</w:t>
      </w:r>
      <w:r w:rsidR="00693AE9">
        <w:rPr>
          <w:szCs w:val="24"/>
          <w:lang w:eastAsia="en-AU"/>
        </w:rPr>
        <w:t>come w</w:t>
      </w:r>
      <w:r w:rsidR="00EE5460" w:rsidRPr="00EE7CA0">
        <w:rPr>
          <w:szCs w:val="24"/>
          <w:lang w:eastAsia="en-AU"/>
        </w:rPr>
        <w:t xml:space="preserve">ould </w:t>
      </w:r>
      <w:r w:rsidR="00693AE9">
        <w:rPr>
          <w:szCs w:val="24"/>
          <w:lang w:eastAsia="en-AU"/>
        </w:rPr>
        <w:t xml:space="preserve">likely have produced a </w:t>
      </w:r>
      <w:r w:rsidR="00EE5460" w:rsidRPr="00EE7CA0">
        <w:rPr>
          <w:szCs w:val="24"/>
          <w:lang w:eastAsia="en-AU"/>
        </w:rPr>
        <w:t>different</w:t>
      </w:r>
      <w:r w:rsidR="00693AE9">
        <w:rPr>
          <w:szCs w:val="24"/>
          <w:lang w:eastAsia="en-AU"/>
        </w:rPr>
        <w:t xml:space="preserve"> result</w:t>
      </w:r>
      <w:r w:rsidR="005F3CC0" w:rsidRPr="00EE7CA0">
        <w:rPr>
          <w:szCs w:val="24"/>
          <w:lang w:eastAsia="en-AU"/>
        </w:rPr>
        <w:t xml:space="preserve">. </w:t>
      </w:r>
    </w:p>
    <w:p w14:paraId="706086E4" w14:textId="422A9332" w:rsidR="000542F0" w:rsidRPr="000542F0" w:rsidRDefault="00EE7CA0" w:rsidP="009909E9">
      <w:pPr>
        <w:pStyle w:val="ParaNumbering"/>
        <w:rPr>
          <w:szCs w:val="24"/>
          <w:lang w:eastAsia="en-AU"/>
        </w:rPr>
      </w:pPr>
      <w:r>
        <w:t xml:space="preserve">The </w:t>
      </w:r>
      <w:r w:rsidR="00345F69">
        <w:t xml:space="preserve">Minister </w:t>
      </w:r>
      <w:r w:rsidR="00F37FF0">
        <w:t>opposed the application to adduce fresh evidence</w:t>
      </w:r>
      <w:r w:rsidR="00D36F49">
        <w:t xml:space="preserve"> and</w:t>
      </w:r>
      <w:r w:rsidR="00D55943">
        <w:t xml:space="preserve"> </w:t>
      </w:r>
      <w:r w:rsidR="00D36F49">
        <w:t>contended</w:t>
      </w:r>
      <w:r>
        <w:t xml:space="preserve"> that the appellant’s </w:t>
      </w:r>
      <w:r w:rsidR="00D55943">
        <w:t>case on appeal was broader than the case advanced below</w:t>
      </w:r>
      <w:r w:rsidR="0023275C">
        <w:t xml:space="preserve"> </w:t>
      </w:r>
      <w:r w:rsidR="007B6BF8">
        <w:t xml:space="preserve">as </w:t>
      </w:r>
      <w:r w:rsidR="000542F0">
        <w:t>the appellant now seeks to argue:</w:t>
      </w:r>
    </w:p>
    <w:p w14:paraId="4223D522" w14:textId="411CD076" w:rsidR="007C7DDE" w:rsidRPr="001B6DB0" w:rsidRDefault="006D1FC3" w:rsidP="001B6DB0">
      <w:pPr>
        <w:pStyle w:val="ListNo2"/>
        <w:numPr>
          <w:ilvl w:val="1"/>
          <w:numId w:val="43"/>
        </w:numPr>
        <w:rPr>
          <w:szCs w:val="24"/>
          <w:lang w:eastAsia="en-AU"/>
        </w:rPr>
      </w:pPr>
      <w:r>
        <w:t xml:space="preserve">that </w:t>
      </w:r>
      <w:r w:rsidR="00FB1889">
        <w:t xml:space="preserve">procedural fairness required the assessor to disclose </w:t>
      </w:r>
      <w:r w:rsidR="00D55943">
        <w:t xml:space="preserve">the </w:t>
      </w:r>
      <w:r w:rsidR="00FB1889">
        <w:t xml:space="preserve">identity of each of the sources of the country information </w:t>
      </w:r>
      <w:r w:rsidR="00D55943">
        <w:t xml:space="preserve">cited at </w:t>
      </w:r>
      <w:proofErr w:type="spellStart"/>
      <w:r w:rsidR="00CA3746">
        <w:t>fn</w:t>
      </w:r>
      <w:proofErr w:type="spellEnd"/>
      <w:r w:rsidR="00CA3746">
        <w:t xml:space="preserve"> </w:t>
      </w:r>
      <w:r w:rsidR="00D55943">
        <w:t>80-89</w:t>
      </w:r>
      <w:r w:rsidR="007B6BF8">
        <w:t>,</w:t>
      </w:r>
      <w:r w:rsidR="000542F0">
        <w:t xml:space="preserve"> whereas in the </w:t>
      </w:r>
      <w:r w:rsidR="003D3BB4" w:rsidRPr="00B33B54">
        <w:t>C</w:t>
      </w:r>
      <w:r w:rsidR="000542F0" w:rsidRPr="00B33B54">
        <w:t>ou</w:t>
      </w:r>
      <w:r w:rsidR="000542F0">
        <w:t xml:space="preserve">rt </w:t>
      </w:r>
      <w:r w:rsidR="000542F0">
        <w:lastRenderedPageBreak/>
        <w:t xml:space="preserve">below that claim was not pressed in relation to the reports listed at </w:t>
      </w:r>
      <w:proofErr w:type="spellStart"/>
      <w:r w:rsidR="00CA3746">
        <w:t>fn</w:t>
      </w:r>
      <w:proofErr w:type="spellEnd"/>
      <w:r w:rsidR="00CA3746">
        <w:t xml:space="preserve"> </w:t>
      </w:r>
      <w:r w:rsidR="000542F0">
        <w:t>80, 83, 84, 87 and 88;</w:t>
      </w:r>
    </w:p>
    <w:p w14:paraId="73B46060" w14:textId="4AA0234D" w:rsidR="000542F0" w:rsidRPr="00B575B1" w:rsidRDefault="006D1FC3" w:rsidP="00B575B1">
      <w:pPr>
        <w:pStyle w:val="ListNo2"/>
        <w:numPr>
          <w:ilvl w:val="1"/>
          <w:numId w:val="43"/>
        </w:numPr>
        <w:rPr>
          <w:szCs w:val="24"/>
          <w:lang w:eastAsia="en-AU"/>
        </w:rPr>
      </w:pPr>
      <w:r>
        <w:t xml:space="preserve">that </w:t>
      </w:r>
      <w:r w:rsidR="00544828">
        <w:t>the substance of the country information referred to in the documents cited at</w:t>
      </w:r>
      <w:r w:rsidR="00CA3746">
        <w:t xml:space="preserve"> </w:t>
      </w:r>
      <w:proofErr w:type="spellStart"/>
      <w:r w:rsidR="00CA3746">
        <w:t>fn</w:t>
      </w:r>
      <w:proofErr w:type="spellEnd"/>
      <w:r w:rsidR="00544828">
        <w:t xml:space="preserve"> 84, 87 and </w:t>
      </w:r>
      <w:r w:rsidR="007B6BF8">
        <w:t xml:space="preserve">88 was not put to the </w:t>
      </w:r>
      <w:r w:rsidR="007B6BF8" w:rsidRPr="00B33B54">
        <w:t xml:space="preserve">appellant, </w:t>
      </w:r>
      <w:r w:rsidR="00544828" w:rsidRPr="00B33B54">
        <w:t xml:space="preserve">whereas in the </w:t>
      </w:r>
      <w:r w:rsidR="0026106B" w:rsidRPr="00B33B54">
        <w:t>C</w:t>
      </w:r>
      <w:r w:rsidR="00544828" w:rsidRPr="00B33B54">
        <w:t>ourt below</w:t>
      </w:r>
      <w:r w:rsidR="00322C28" w:rsidRPr="00B33B54">
        <w:t xml:space="preserve"> </w:t>
      </w:r>
      <w:r w:rsidR="00544828" w:rsidRPr="00B33B54">
        <w:t xml:space="preserve">the appellant conceded that </w:t>
      </w:r>
      <w:r w:rsidR="0023275C" w:rsidRPr="00B33B54">
        <w:t>the country information</w:t>
      </w:r>
      <w:r w:rsidR="0023275C">
        <w:t xml:space="preserve"> was </w:t>
      </w:r>
      <w:r w:rsidR="00544828">
        <w:t>put</w:t>
      </w:r>
      <w:r w:rsidR="0023275C">
        <w:t xml:space="preserve"> in a general sense</w:t>
      </w:r>
      <w:r w:rsidR="00544828">
        <w:t>;</w:t>
      </w:r>
      <w:r w:rsidR="008D1CE1">
        <w:t xml:space="preserve"> and</w:t>
      </w:r>
    </w:p>
    <w:p w14:paraId="69E239B6" w14:textId="3AFA856F" w:rsidR="007B6BF8" w:rsidRPr="007B6BF8" w:rsidRDefault="008D1CE1" w:rsidP="00B575B1">
      <w:pPr>
        <w:pStyle w:val="ListNo2"/>
        <w:numPr>
          <w:ilvl w:val="1"/>
          <w:numId w:val="43"/>
        </w:numPr>
        <w:rPr>
          <w:szCs w:val="24"/>
          <w:lang w:eastAsia="en-AU"/>
        </w:rPr>
      </w:pPr>
      <w:r>
        <w:t xml:space="preserve">that </w:t>
      </w:r>
      <w:r w:rsidR="007B6BF8">
        <w:t xml:space="preserve">the </w:t>
      </w:r>
      <w:r>
        <w:t xml:space="preserve">assessor presented a one-sided view of the </w:t>
      </w:r>
      <w:r w:rsidR="007B6BF8">
        <w:t>article referred to in</w:t>
      </w:r>
      <w:r w:rsidR="00CA3746">
        <w:t xml:space="preserve"> </w:t>
      </w:r>
      <w:proofErr w:type="spellStart"/>
      <w:r w:rsidR="00CA3746">
        <w:t>fn</w:t>
      </w:r>
      <w:proofErr w:type="spellEnd"/>
      <w:r w:rsidR="007B6BF8">
        <w:t xml:space="preserve"> 84 and 88</w:t>
      </w:r>
      <w:r w:rsidR="00FB1C6F" w:rsidRPr="00FB1C6F">
        <w:t xml:space="preserve"> </w:t>
      </w:r>
      <w:r w:rsidR="00FB1C6F">
        <w:t>entitled “</w:t>
      </w:r>
      <w:proofErr w:type="spellStart"/>
      <w:r w:rsidR="00FB1C6F">
        <w:t>Hazaras</w:t>
      </w:r>
      <w:proofErr w:type="spellEnd"/>
      <w:r w:rsidR="00FB1C6F">
        <w:t xml:space="preserve"> in the Crosshairs?  </w:t>
      </w:r>
      <w:r w:rsidR="00FB1C6F" w:rsidRPr="00ED0A5A">
        <w:t>A scrutiny of recent incidents</w:t>
      </w:r>
      <w:r w:rsidR="00FB1C6F">
        <w:t xml:space="preserve">” </w:t>
      </w:r>
      <w:r w:rsidR="007B6BF8">
        <w:t xml:space="preserve">published by the Afghanistan Analysts Network </w:t>
      </w:r>
      <w:r w:rsidR="007B6BF8" w:rsidRPr="00B33B54">
        <w:t>dated 24 April 2015</w:t>
      </w:r>
      <w:r w:rsidR="00FB1C6F" w:rsidRPr="00B33B54">
        <w:t xml:space="preserve"> (</w:t>
      </w:r>
      <w:r w:rsidR="008D4BE8">
        <w:rPr>
          <w:b/>
        </w:rPr>
        <w:t>AAN </w:t>
      </w:r>
      <w:r w:rsidR="00FB1C6F" w:rsidRPr="00B33B54">
        <w:rPr>
          <w:b/>
        </w:rPr>
        <w:t>Article</w:t>
      </w:r>
      <w:r w:rsidR="00FB1C6F" w:rsidRPr="00B33B54">
        <w:t xml:space="preserve">)  </w:t>
      </w:r>
      <w:r w:rsidRPr="00B33B54">
        <w:t>and did not fairly present the information</w:t>
      </w:r>
      <w:r w:rsidR="00FB1C6F" w:rsidRPr="00B33B54">
        <w:t>,</w:t>
      </w:r>
      <w:r w:rsidRPr="00B33B54">
        <w:t xml:space="preserve"> </w:t>
      </w:r>
      <w:r w:rsidR="00FB1C6F" w:rsidRPr="00B33B54">
        <w:t xml:space="preserve">whereas in the </w:t>
      </w:r>
      <w:r w:rsidR="000A57C5" w:rsidRPr="00B33B54">
        <w:t>C</w:t>
      </w:r>
      <w:r w:rsidR="00FB1C6F" w:rsidRPr="00B33B54">
        <w:t>ourt</w:t>
      </w:r>
      <w:r w:rsidR="00FB1C6F">
        <w:t xml:space="preserve"> below the appellant conceded that the substance of that article had been put and no argument was advanced that it was not put fairly. </w:t>
      </w:r>
    </w:p>
    <w:p w14:paraId="26CCD841" w14:textId="2FF03FC5" w:rsidR="007E4FFC" w:rsidRDefault="00693AE9" w:rsidP="006B44F9">
      <w:pPr>
        <w:pStyle w:val="ParaNumbering"/>
        <w:rPr>
          <w:shd w:val="clear" w:color="auto" w:fill="FFFFFF"/>
        </w:rPr>
      </w:pPr>
      <w:r w:rsidRPr="00D74201">
        <w:rPr>
          <w:shd w:val="clear" w:color="auto" w:fill="FFFFFF"/>
        </w:rPr>
        <w:t>Section 27 of the </w:t>
      </w:r>
      <w:r w:rsidRPr="00D74201">
        <w:rPr>
          <w:i/>
          <w:iCs/>
          <w:shd w:val="clear" w:color="auto" w:fill="FFFFFF"/>
        </w:rPr>
        <w:t>Federal Court Act</w:t>
      </w:r>
      <w:r w:rsidRPr="00D74201">
        <w:rPr>
          <w:shd w:val="clear" w:color="auto" w:fill="FFFFFF"/>
        </w:rPr>
        <w:t> </w:t>
      </w:r>
      <w:r w:rsidR="00D74201">
        <w:rPr>
          <w:shd w:val="clear" w:color="auto" w:fill="FFFFFF"/>
        </w:rPr>
        <w:t>confers a discretion to receive</w:t>
      </w:r>
      <w:r w:rsidR="00D74201">
        <w:rPr>
          <w:b/>
          <w:bCs/>
          <w:shd w:val="clear" w:color="auto" w:fill="FFFFFF"/>
        </w:rPr>
        <w:t> </w:t>
      </w:r>
      <w:r w:rsidR="00D74201" w:rsidRPr="00D74201">
        <w:rPr>
          <w:bCs/>
          <w:shd w:val="clear" w:color="auto" w:fill="FFFFFF"/>
        </w:rPr>
        <w:t>fresh evidence</w:t>
      </w:r>
      <w:r w:rsidR="00A6189D">
        <w:rPr>
          <w:shd w:val="clear" w:color="auto" w:fill="FFFFFF"/>
        </w:rPr>
        <w:t xml:space="preserve"> on appeal.  </w:t>
      </w:r>
      <w:r w:rsidRPr="00D74201">
        <w:rPr>
          <w:shd w:val="clear" w:color="auto" w:fill="FFFFFF"/>
        </w:rPr>
        <w:t xml:space="preserve">There are no fixed rules governing the exercise of such </w:t>
      </w:r>
      <w:r w:rsidRPr="0087551C">
        <w:rPr>
          <w:shd w:val="clear" w:color="auto" w:fill="FFFFFF"/>
        </w:rPr>
        <w:t xml:space="preserve">discretion, </w:t>
      </w:r>
      <w:r w:rsidR="00A6189D" w:rsidRPr="0087551C">
        <w:rPr>
          <w:shd w:val="clear" w:color="auto" w:fill="FFFFFF"/>
        </w:rPr>
        <w:t>however</w:t>
      </w:r>
      <w:r w:rsidRPr="0087551C">
        <w:rPr>
          <w:shd w:val="clear" w:color="auto" w:fill="FFFFFF"/>
        </w:rPr>
        <w:t xml:space="preserve"> it will generally</w:t>
      </w:r>
      <w:r w:rsidRPr="00D74201">
        <w:rPr>
          <w:shd w:val="clear" w:color="auto" w:fill="FFFFFF"/>
        </w:rPr>
        <w:t xml:space="preserve"> be exercised favourably to the party seeking to adduce it if, first, it could not have been adduced below by the exercise of reasonable diligence and, secondly, had it been adduced, the evidence would be likely to have produced a different result: </w:t>
      </w:r>
      <w:r w:rsidRPr="00D74201">
        <w:rPr>
          <w:i/>
          <w:iCs/>
          <w:shd w:val="clear" w:color="auto" w:fill="FFFFFF"/>
        </w:rPr>
        <w:t xml:space="preserve">Moore v Minister for Immigration and </w:t>
      </w:r>
      <w:r w:rsidRPr="0087551C">
        <w:rPr>
          <w:i/>
          <w:iCs/>
          <w:shd w:val="clear" w:color="auto" w:fill="FFFFFF"/>
        </w:rPr>
        <w:t>Citizenship</w:t>
      </w:r>
      <w:r w:rsidRPr="0087551C">
        <w:rPr>
          <w:shd w:val="clear" w:color="auto" w:fill="FFFFFF"/>
        </w:rPr>
        <w:t> [2007] FCAFC 134; (2007) 161 FCR 236</w:t>
      </w:r>
      <w:r w:rsidR="00A6189D" w:rsidRPr="0087551C">
        <w:rPr>
          <w:shd w:val="clear" w:color="auto" w:fill="FFFFFF"/>
        </w:rPr>
        <w:t>,</w:t>
      </w:r>
      <w:r w:rsidRPr="0087551C">
        <w:rPr>
          <w:shd w:val="clear" w:color="auto" w:fill="FFFFFF"/>
        </w:rPr>
        <w:t> </w:t>
      </w:r>
      <w:r w:rsidR="00D72711" w:rsidRPr="0087551C">
        <w:rPr>
          <w:shd w:val="clear" w:color="auto" w:fill="FFFFFF"/>
        </w:rPr>
        <w:t>238</w:t>
      </w:r>
      <w:r w:rsidR="00637C2D">
        <w:rPr>
          <w:shd w:val="clear" w:color="auto" w:fill="FFFFFF"/>
        </w:rPr>
        <w:t>–</w:t>
      </w:r>
      <w:r w:rsidR="00D72711" w:rsidRPr="0087551C">
        <w:rPr>
          <w:shd w:val="clear" w:color="auto" w:fill="FFFFFF"/>
        </w:rPr>
        <w:t xml:space="preserve">240 </w:t>
      </w:r>
      <w:r w:rsidR="00A6189D" w:rsidRPr="0087551C">
        <w:rPr>
          <w:shd w:val="clear" w:color="auto" w:fill="FFFFFF"/>
        </w:rPr>
        <w:t>[4]</w:t>
      </w:r>
      <w:r w:rsidR="00637C2D">
        <w:rPr>
          <w:shd w:val="clear" w:color="auto" w:fill="FFFFFF"/>
        </w:rPr>
        <w:t>–</w:t>
      </w:r>
      <w:r w:rsidR="00A6189D" w:rsidRPr="0087551C">
        <w:rPr>
          <w:shd w:val="clear" w:color="auto" w:fill="FFFFFF"/>
        </w:rPr>
        <w:t>[7] (</w:t>
      </w:r>
      <w:proofErr w:type="spellStart"/>
      <w:r w:rsidRPr="0087551C">
        <w:rPr>
          <w:shd w:val="clear" w:color="auto" w:fill="FFFFFF"/>
        </w:rPr>
        <w:t>Gyle</w:t>
      </w:r>
      <w:r w:rsidR="009A6070" w:rsidRPr="0087551C">
        <w:rPr>
          <w:shd w:val="clear" w:color="auto" w:fill="FFFFFF"/>
        </w:rPr>
        <w:t>s</w:t>
      </w:r>
      <w:proofErr w:type="spellEnd"/>
      <w:r w:rsidR="009A6070" w:rsidRPr="0087551C">
        <w:rPr>
          <w:shd w:val="clear" w:color="auto" w:fill="FFFFFF"/>
        </w:rPr>
        <w:t>, Graham and Tracey JJ</w:t>
      </w:r>
      <w:r w:rsidR="00A6189D" w:rsidRPr="0087551C">
        <w:rPr>
          <w:shd w:val="clear" w:color="auto" w:fill="FFFFFF"/>
        </w:rPr>
        <w:t>);</w:t>
      </w:r>
      <w:r w:rsidRPr="0087551C">
        <w:rPr>
          <w:shd w:val="clear" w:color="auto" w:fill="FFFFFF"/>
        </w:rPr>
        <w:t> </w:t>
      </w:r>
      <w:r w:rsidRPr="0087551C">
        <w:rPr>
          <w:i/>
          <w:iCs/>
          <w:shd w:val="clear" w:color="auto" w:fill="FFFFFF"/>
        </w:rPr>
        <w:t xml:space="preserve">Sami v Minister for Immigration and </w:t>
      </w:r>
      <w:r w:rsidRPr="0087551C">
        <w:rPr>
          <w:i/>
          <w:shd w:val="clear" w:color="auto" w:fill="FFFFFF"/>
        </w:rPr>
        <w:t>Citizenship</w:t>
      </w:r>
      <w:r w:rsidRPr="0087551C">
        <w:rPr>
          <w:shd w:val="clear" w:color="auto" w:fill="FFFFFF"/>
        </w:rPr>
        <w:t> [2013] FCAFC 128; (2013) 139 ALD</w:t>
      </w:r>
      <w:r w:rsidR="00B92077" w:rsidRPr="0087551C">
        <w:rPr>
          <w:shd w:val="clear" w:color="auto" w:fill="FFFFFF"/>
        </w:rPr>
        <w:t xml:space="preserve"> </w:t>
      </w:r>
      <w:r w:rsidRPr="0087551C">
        <w:rPr>
          <w:shd w:val="clear" w:color="auto" w:fill="FFFFFF"/>
        </w:rPr>
        <w:t>1</w:t>
      </w:r>
      <w:r w:rsidR="00D72711" w:rsidRPr="0087551C">
        <w:rPr>
          <w:shd w:val="clear" w:color="auto" w:fill="FFFFFF"/>
        </w:rPr>
        <w:t>,</w:t>
      </w:r>
      <w:r w:rsidRPr="0087551C">
        <w:rPr>
          <w:shd w:val="clear" w:color="auto" w:fill="FFFFFF"/>
        </w:rPr>
        <w:t xml:space="preserve"> </w:t>
      </w:r>
      <w:r w:rsidR="00D72711" w:rsidRPr="0087551C">
        <w:rPr>
          <w:shd w:val="clear" w:color="auto" w:fill="FFFFFF"/>
        </w:rPr>
        <w:t>3 [7] (</w:t>
      </w:r>
      <w:r w:rsidRPr="0087551C">
        <w:rPr>
          <w:shd w:val="clear" w:color="auto" w:fill="FFFFFF"/>
        </w:rPr>
        <w:t>Jagot, Barker and Perry JJ</w:t>
      </w:r>
      <w:r w:rsidR="00D72711" w:rsidRPr="0087551C">
        <w:rPr>
          <w:shd w:val="clear" w:color="auto" w:fill="FFFFFF"/>
        </w:rPr>
        <w:t>).</w:t>
      </w:r>
    </w:p>
    <w:p w14:paraId="1B9106FD" w14:textId="3881E169" w:rsidR="005C0FD5" w:rsidRPr="005C0FD5" w:rsidRDefault="007C0BBC" w:rsidP="00BA2DBA">
      <w:pPr>
        <w:pStyle w:val="ParaNumbering"/>
        <w:rPr>
          <w:shd w:val="clear" w:color="auto" w:fill="FFFFFF"/>
        </w:rPr>
      </w:pPr>
      <w:r>
        <w:rPr>
          <w:shd w:val="clear" w:color="auto" w:fill="FFFFFF"/>
        </w:rPr>
        <w:t xml:space="preserve">The evidence now </w:t>
      </w:r>
      <w:r w:rsidRPr="00D661E4">
        <w:rPr>
          <w:shd w:val="clear" w:color="auto" w:fill="FFFFFF"/>
        </w:rPr>
        <w:t xml:space="preserve">sought to be relied on </w:t>
      </w:r>
      <w:r w:rsidR="00D728CF" w:rsidRPr="00D661E4">
        <w:rPr>
          <w:shd w:val="clear" w:color="auto" w:fill="FFFFFF"/>
        </w:rPr>
        <w:t>could have been</w:t>
      </w:r>
      <w:r w:rsidRPr="00D661E4">
        <w:rPr>
          <w:shd w:val="clear" w:color="auto" w:fill="FFFFFF"/>
        </w:rPr>
        <w:t xml:space="preserve"> adduced below</w:t>
      </w:r>
      <w:r w:rsidR="00A41BBB" w:rsidRPr="00D661E4">
        <w:rPr>
          <w:shd w:val="clear" w:color="auto" w:fill="FFFFFF"/>
        </w:rPr>
        <w:t>,</w:t>
      </w:r>
      <w:r w:rsidR="0016709F" w:rsidRPr="00D661E4">
        <w:rPr>
          <w:shd w:val="clear" w:color="auto" w:fill="FFFFFF"/>
        </w:rPr>
        <w:t xml:space="preserve"> </w:t>
      </w:r>
      <w:r w:rsidR="00A41BBB" w:rsidRPr="00D661E4">
        <w:rPr>
          <w:shd w:val="clear" w:color="auto" w:fill="FFFFFF"/>
        </w:rPr>
        <w:t>however</w:t>
      </w:r>
      <w:r w:rsidR="0016709F" w:rsidRPr="00D661E4">
        <w:rPr>
          <w:shd w:val="clear" w:color="auto" w:fill="FFFFFF"/>
        </w:rPr>
        <w:t xml:space="preserve"> in view</w:t>
      </w:r>
      <w:r w:rsidR="0016709F" w:rsidRPr="00D661E4">
        <w:t xml:space="preserve"> of the developing authority subsequent to the FCC </w:t>
      </w:r>
      <w:r w:rsidR="00A41BBB" w:rsidRPr="00D661E4">
        <w:t>D</w:t>
      </w:r>
      <w:r w:rsidR="0016709F" w:rsidRPr="00D661E4">
        <w:t>ecision in this matter</w:t>
      </w:r>
      <w:r w:rsidR="00A41BBB" w:rsidRPr="00D661E4">
        <w:t>,</w:t>
      </w:r>
      <w:r w:rsidRPr="00D661E4">
        <w:rPr>
          <w:shd w:val="clear" w:color="auto" w:fill="FFFFFF"/>
        </w:rPr>
        <w:t xml:space="preserve"> </w:t>
      </w:r>
      <w:r w:rsidR="00E738B2" w:rsidRPr="00D661E4">
        <w:rPr>
          <w:shd w:val="clear" w:color="auto" w:fill="FFFFFF"/>
        </w:rPr>
        <w:t xml:space="preserve">I </w:t>
      </w:r>
      <w:r w:rsidR="00E738B2" w:rsidRPr="00D661E4">
        <w:t>am prepared to accept that Ms Byer</w:t>
      </w:r>
      <w:r w:rsidR="00A41BBB" w:rsidRPr="00D661E4">
        <w:t>s</w:t>
      </w:r>
      <w:r w:rsidR="00E738B2" w:rsidRPr="00D661E4">
        <w:t xml:space="preserve"> </w:t>
      </w:r>
      <w:r w:rsidR="00B254D7" w:rsidRPr="00D661E4">
        <w:t>gave a satisfactory explanation</w:t>
      </w:r>
      <w:r w:rsidR="00A41BBB" w:rsidRPr="00D661E4">
        <w:t xml:space="preserve"> as</w:t>
      </w:r>
      <w:r w:rsidR="00B254D7" w:rsidRPr="00D661E4">
        <w:t xml:space="preserve"> </w:t>
      </w:r>
      <w:r w:rsidR="00E738B2" w:rsidRPr="00D661E4">
        <w:t>to why</w:t>
      </w:r>
      <w:r w:rsidR="00E738B2">
        <w:t xml:space="preserve"> the footnoted documents were not put into evidence by the appellant in the FCC proceeding</w:t>
      </w:r>
      <w:r w:rsidR="0016709F">
        <w:rPr>
          <w:shd w:val="clear" w:color="auto" w:fill="FFFFFF"/>
        </w:rPr>
        <w:t>.</w:t>
      </w:r>
      <w:r w:rsidR="00B254D7">
        <w:t xml:space="preserve"> </w:t>
      </w:r>
      <w:r w:rsidR="00A41BBB">
        <w:t xml:space="preserve"> </w:t>
      </w:r>
      <w:r w:rsidR="002D18B0">
        <w:rPr>
          <w:shd w:val="clear" w:color="auto" w:fill="FFFFFF"/>
        </w:rPr>
        <w:t xml:space="preserve">Whilst it </w:t>
      </w:r>
      <w:r w:rsidR="00B61E1B">
        <w:rPr>
          <w:shd w:val="clear" w:color="auto" w:fill="FFFFFF"/>
        </w:rPr>
        <w:t xml:space="preserve">is now well established that non-compliance with the requirement for procedural fairness does not constitute jurisdictional error </w:t>
      </w:r>
      <w:r w:rsidR="002D18B0">
        <w:rPr>
          <w:shd w:val="clear" w:color="auto" w:fill="FFFFFF"/>
        </w:rPr>
        <w:t xml:space="preserve">unless the breach is material to the decision, the </w:t>
      </w:r>
      <w:r w:rsidR="00BA2DBA">
        <w:rPr>
          <w:shd w:val="clear" w:color="auto" w:fill="FFFFFF"/>
        </w:rPr>
        <w:t>jurisprudence on the content of materiality and the onus of proof had not developed at the time of the FCC hearing.</w:t>
      </w:r>
      <w:r w:rsidR="00D12B54">
        <w:rPr>
          <w:shd w:val="clear" w:color="auto" w:fill="FFFFFF"/>
        </w:rPr>
        <w:t xml:space="preserve">  </w:t>
      </w:r>
      <w:r w:rsidR="00B14B07" w:rsidRPr="00BA2DBA">
        <w:rPr>
          <w:i/>
          <w:shd w:val="clear" w:color="auto" w:fill="FFFFFF"/>
        </w:rPr>
        <w:t xml:space="preserve">Hossain v Minister for Immigration and Border Protection </w:t>
      </w:r>
      <w:r w:rsidR="00B14B07" w:rsidRPr="00BA2DBA">
        <w:rPr>
          <w:shd w:val="clear" w:color="auto" w:fill="FFFFFF"/>
        </w:rPr>
        <w:t xml:space="preserve">[2018] HCA </w:t>
      </w:r>
      <w:r w:rsidR="00B14B07" w:rsidRPr="00D661E4">
        <w:rPr>
          <w:shd w:val="clear" w:color="auto" w:fill="FFFFFF"/>
        </w:rPr>
        <w:t>34</w:t>
      </w:r>
      <w:r w:rsidR="00D12B54" w:rsidRPr="00D661E4">
        <w:rPr>
          <w:shd w:val="clear" w:color="auto" w:fill="FFFFFF"/>
        </w:rPr>
        <w:t xml:space="preserve">; </w:t>
      </w:r>
      <w:r w:rsidR="001F4681" w:rsidRPr="00D661E4">
        <w:rPr>
          <w:shd w:val="clear" w:color="auto" w:fill="FFFFFF"/>
        </w:rPr>
        <w:t>(2018) CLR 123</w:t>
      </w:r>
      <w:r w:rsidR="00D661E4">
        <w:rPr>
          <w:shd w:val="clear" w:color="auto" w:fill="FFFFFF"/>
        </w:rPr>
        <w:t xml:space="preserve"> </w:t>
      </w:r>
      <w:r w:rsidR="00B14B07" w:rsidRPr="00BA2DBA">
        <w:rPr>
          <w:shd w:val="clear" w:color="auto" w:fill="FFFFFF"/>
        </w:rPr>
        <w:t>(</w:t>
      </w:r>
      <w:r w:rsidR="00B14B07" w:rsidRPr="00BA2DBA">
        <w:rPr>
          <w:b/>
          <w:i/>
          <w:shd w:val="clear" w:color="auto" w:fill="FFFFFF"/>
        </w:rPr>
        <w:t>Hossain</w:t>
      </w:r>
      <w:r w:rsidR="00BA2DBA">
        <w:rPr>
          <w:shd w:val="clear" w:color="auto" w:fill="FFFFFF"/>
        </w:rPr>
        <w:t xml:space="preserve">) </w:t>
      </w:r>
      <w:r w:rsidR="0016709F">
        <w:rPr>
          <w:shd w:val="clear" w:color="auto" w:fill="FFFFFF"/>
        </w:rPr>
        <w:t xml:space="preserve">was </w:t>
      </w:r>
      <w:r w:rsidR="00BA2DBA">
        <w:rPr>
          <w:shd w:val="clear" w:color="auto" w:fill="FFFFFF"/>
        </w:rPr>
        <w:t xml:space="preserve">handed down 6 days after the </w:t>
      </w:r>
      <w:r w:rsidR="00322C28">
        <w:rPr>
          <w:shd w:val="clear" w:color="auto" w:fill="FFFFFF"/>
        </w:rPr>
        <w:t xml:space="preserve">FCC </w:t>
      </w:r>
      <w:r w:rsidR="00BA2DBA" w:rsidRPr="00B136A0">
        <w:rPr>
          <w:shd w:val="clear" w:color="auto" w:fill="FFFFFF"/>
        </w:rPr>
        <w:t>hearing</w:t>
      </w:r>
      <w:r w:rsidR="00D661E4" w:rsidRPr="00B136A0">
        <w:rPr>
          <w:shd w:val="clear" w:color="auto" w:fill="FFFFFF"/>
        </w:rPr>
        <w:t>,</w:t>
      </w:r>
      <w:r w:rsidR="00BA2DBA" w:rsidRPr="00B136A0">
        <w:rPr>
          <w:shd w:val="clear" w:color="auto" w:fill="FFFFFF"/>
        </w:rPr>
        <w:t xml:space="preserve"> </w:t>
      </w:r>
      <w:r w:rsidR="006F3DDB" w:rsidRPr="00B136A0">
        <w:rPr>
          <w:shd w:val="clear" w:color="auto" w:fill="FFFFFF"/>
        </w:rPr>
        <w:t xml:space="preserve">but </w:t>
      </w:r>
      <w:r w:rsidR="00BA2DBA" w:rsidRPr="00B136A0">
        <w:rPr>
          <w:shd w:val="clear" w:color="auto" w:fill="FFFFFF"/>
        </w:rPr>
        <w:t>neither</w:t>
      </w:r>
      <w:r w:rsidR="00BA2DBA">
        <w:rPr>
          <w:shd w:val="clear" w:color="auto" w:fill="FFFFFF"/>
        </w:rPr>
        <w:t xml:space="preserve"> party sought to </w:t>
      </w:r>
      <w:r w:rsidR="00024677" w:rsidRPr="00BA2DBA">
        <w:rPr>
          <w:shd w:val="clear" w:color="auto" w:fill="FFFFFF"/>
        </w:rPr>
        <w:t xml:space="preserve">bring </w:t>
      </w:r>
      <w:r w:rsidR="00024677" w:rsidRPr="00BA2DBA">
        <w:rPr>
          <w:i/>
          <w:shd w:val="clear" w:color="auto" w:fill="FFFFFF"/>
        </w:rPr>
        <w:t>Hossain</w:t>
      </w:r>
      <w:r w:rsidR="00BA2DBA">
        <w:rPr>
          <w:shd w:val="clear" w:color="auto" w:fill="FFFFFF"/>
        </w:rPr>
        <w:t xml:space="preserve"> to the attention of the FCC</w:t>
      </w:r>
      <w:r w:rsidR="006F3DDB">
        <w:rPr>
          <w:shd w:val="clear" w:color="auto" w:fill="FFFFFF"/>
        </w:rPr>
        <w:t>.</w:t>
      </w:r>
      <w:r w:rsidR="00D661E4">
        <w:rPr>
          <w:shd w:val="clear" w:color="auto" w:fill="FFFFFF"/>
        </w:rPr>
        <w:t xml:space="preserve"> </w:t>
      </w:r>
      <w:r w:rsidR="00BA2DBA">
        <w:rPr>
          <w:shd w:val="clear" w:color="auto" w:fill="FFFFFF"/>
        </w:rPr>
        <w:t xml:space="preserve"> </w:t>
      </w:r>
      <w:r w:rsidR="006F3DDB">
        <w:rPr>
          <w:shd w:val="clear" w:color="auto" w:fill="FFFFFF"/>
        </w:rPr>
        <w:t xml:space="preserve">In any event, as </w:t>
      </w:r>
      <w:r w:rsidR="00024677" w:rsidRPr="00BA2DBA">
        <w:rPr>
          <w:shd w:val="clear" w:color="auto" w:fill="FFFFFF"/>
        </w:rPr>
        <w:t xml:space="preserve">the High Court </w:t>
      </w:r>
      <w:r w:rsidR="006B44F9" w:rsidRPr="00BA2DBA">
        <w:rPr>
          <w:shd w:val="clear" w:color="auto" w:fill="FFFFFF"/>
        </w:rPr>
        <w:t xml:space="preserve">stated </w:t>
      </w:r>
      <w:r w:rsidR="00024677" w:rsidRPr="00BA2DBA">
        <w:rPr>
          <w:shd w:val="clear" w:color="auto" w:fill="FFFFFF"/>
        </w:rPr>
        <w:t>in</w:t>
      </w:r>
      <w:r w:rsidR="00024677" w:rsidRPr="00BA2DBA">
        <w:rPr>
          <w:i/>
          <w:shd w:val="clear" w:color="auto" w:fill="FFFFFF"/>
        </w:rPr>
        <w:t xml:space="preserve"> MZAPC v Minister for Immigration and Border Protection </w:t>
      </w:r>
      <w:r w:rsidR="006B44F9" w:rsidRPr="00BA2DBA">
        <w:rPr>
          <w:shd w:val="clear" w:color="auto" w:fill="FFFFFF"/>
        </w:rPr>
        <w:t xml:space="preserve">[2021] </w:t>
      </w:r>
      <w:r w:rsidR="006B44F9" w:rsidRPr="00D661E4">
        <w:rPr>
          <w:shd w:val="clear" w:color="auto" w:fill="FFFFFF"/>
        </w:rPr>
        <w:t>HCA 17</w:t>
      </w:r>
      <w:r w:rsidR="008D2B16" w:rsidRPr="00D661E4">
        <w:rPr>
          <w:shd w:val="clear" w:color="auto" w:fill="FFFFFF"/>
        </w:rPr>
        <w:t xml:space="preserve"> (</w:t>
      </w:r>
      <w:r w:rsidR="008D2B16" w:rsidRPr="00D661E4">
        <w:rPr>
          <w:b/>
          <w:i/>
          <w:shd w:val="clear" w:color="auto" w:fill="FFFFFF"/>
        </w:rPr>
        <w:t>MZAPC</w:t>
      </w:r>
      <w:r w:rsidR="008D2B16" w:rsidRPr="00D661E4">
        <w:rPr>
          <w:shd w:val="clear" w:color="auto" w:fill="FFFFFF"/>
        </w:rPr>
        <w:t>)</w:t>
      </w:r>
      <w:r w:rsidR="006B44F9" w:rsidRPr="00D661E4">
        <w:rPr>
          <w:shd w:val="clear" w:color="auto" w:fill="FFFFFF"/>
        </w:rPr>
        <w:t xml:space="preserve"> at [34]</w:t>
      </w:r>
      <w:r w:rsidR="00BE45B3">
        <w:rPr>
          <w:shd w:val="clear" w:color="auto" w:fill="FFFFFF"/>
        </w:rPr>
        <w:t>–</w:t>
      </w:r>
      <w:r w:rsidR="006B44F9" w:rsidRPr="00D661E4">
        <w:rPr>
          <w:shd w:val="clear" w:color="auto" w:fill="FFFFFF"/>
        </w:rPr>
        <w:t>[35],</w:t>
      </w:r>
      <w:r w:rsidR="006B44F9" w:rsidRPr="00BA2DBA">
        <w:rPr>
          <w:shd w:val="clear" w:color="auto" w:fill="FFFFFF"/>
        </w:rPr>
        <w:t xml:space="preserve"> </w:t>
      </w:r>
      <w:r w:rsidR="00024677" w:rsidRPr="00BA2DBA">
        <w:rPr>
          <w:i/>
          <w:iCs/>
          <w:lang w:eastAsia="en-AU"/>
        </w:rPr>
        <w:t xml:space="preserve">Hossain </w:t>
      </w:r>
      <w:r w:rsidR="00024677" w:rsidRPr="00024677">
        <w:rPr>
          <w:lang w:eastAsia="en-AU"/>
        </w:rPr>
        <w:t xml:space="preserve">did not </w:t>
      </w:r>
      <w:r w:rsidR="009909E9">
        <w:rPr>
          <w:lang w:eastAsia="en-AU"/>
        </w:rPr>
        <w:t>examine the onus of proof of mat</w:t>
      </w:r>
      <w:r w:rsidR="00024677" w:rsidRPr="00024677">
        <w:rPr>
          <w:lang w:eastAsia="en-AU"/>
        </w:rPr>
        <w:t>eriality</w:t>
      </w:r>
      <w:r w:rsidR="009909E9">
        <w:rPr>
          <w:lang w:eastAsia="en-AU"/>
        </w:rPr>
        <w:t xml:space="preserve"> in an application for judicial review of an administrative decision.</w:t>
      </w:r>
      <w:r w:rsidR="008D2B16">
        <w:rPr>
          <w:lang w:eastAsia="en-AU"/>
        </w:rPr>
        <w:t xml:space="preserve">  </w:t>
      </w:r>
      <w:r w:rsidR="009909E9">
        <w:rPr>
          <w:lang w:eastAsia="en-AU"/>
        </w:rPr>
        <w:t>O</w:t>
      </w:r>
      <w:r w:rsidR="00024677" w:rsidRPr="00024677">
        <w:rPr>
          <w:lang w:eastAsia="en-AU"/>
        </w:rPr>
        <w:t xml:space="preserve">ccasion both to examine the content of materiality and to consider </w:t>
      </w:r>
      <w:r w:rsidR="00024677" w:rsidRPr="00024677">
        <w:rPr>
          <w:lang w:eastAsia="en-AU"/>
        </w:rPr>
        <w:lastRenderedPageBreak/>
        <w:t xml:space="preserve">the onus of proof </w:t>
      </w:r>
      <w:r w:rsidR="009909E9">
        <w:rPr>
          <w:lang w:eastAsia="en-AU"/>
        </w:rPr>
        <w:t xml:space="preserve">first arose for consideration by the High Court in </w:t>
      </w:r>
      <w:r w:rsidR="00024677" w:rsidRPr="00BA2DBA">
        <w:rPr>
          <w:i/>
          <w:iCs/>
          <w:lang w:eastAsia="en-AU"/>
        </w:rPr>
        <w:t>SZMTA</w:t>
      </w:r>
      <w:r w:rsidR="00F563ED">
        <w:rPr>
          <w:lang w:eastAsia="en-AU"/>
        </w:rPr>
        <w:t xml:space="preserve">, which was </w:t>
      </w:r>
      <w:r w:rsidR="006F3DDB">
        <w:rPr>
          <w:lang w:eastAsia="en-AU"/>
        </w:rPr>
        <w:t xml:space="preserve">not </w:t>
      </w:r>
      <w:r w:rsidR="00F563ED">
        <w:rPr>
          <w:lang w:eastAsia="en-AU"/>
        </w:rPr>
        <w:t xml:space="preserve">handed </w:t>
      </w:r>
      <w:r w:rsidR="00F563ED" w:rsidRPr="00D661E4">
        <w:rPr>
          <w:lang w:eastAsia="en-AU"/>
        </w:rPr>
        <w:t xml:space="preserve">down </w:t>
      </w:r>
      <w:r w:rsidR="006F3DDB" w:rsidRPr="00D661E4">
        <w:rPr>
          <w:lang w:eastAsia="en-AU"/>
        </w:rPr>
        <w:t xml:space="preserve">until </w:t>
      </w:r>
      <w:r w:rsidR="00F563ED" w:rsidRPr="00D661E4">
        <w:rPr>
          <w:lang w:eastAsia="en-AU"/>
        </w:rPr>
        <w:t>after the FCC decision</w:t>
      </w:r>
      <w:r w:rsidR="006F3DDB" w:rsidRPr="00D661E4">
        <w:rPr>
          <w:lang w:eastAsia="en-AU"/>
        </w:rPr>
        <w:t xml:space="preserve">. </w:t>
      </w:r>
      <w:r w:rsidR="00D661E4" w:rsidRPr="00D661E4">
        <w:rPr>
          <w:lang w:eastAsia="en-AU"/>
        </w:rPr>
        <w:t xml:space="preserve"> </w:t>
      </w:r>
      <w:r w:rsidR="006F3DDB" w:rsidRPr="00D661E4">
        <w:rPr>
          <w:lang w:eastAsia="en-AU"/>
        </w:rPr>
        <w:t>S</w:t>
      </w:r>
      <w:r w:rsidR="005C0FD5" w:rsidRPr="00D661E4">
        <w:rPr>
          <w:lang w:eastAsia="en-AU"/>
        </w:rPr>
        <w:t xml:space="preserve">ince </w:t>
      </w:r>
      <w:r w:rsidR="005C0FD5" w:rsidRPr="00D661E4">
        <w:rPr>
          <w:i/>
          <w:iCs/>
          <w:lang w:eastAsia="en-AU"/>
        </w:rPr>
        <w:t>SZMTA</w:t>
      </w:r>
      <w:r w:rsidR="008D2B16" w:rsidRPr="00D661E4">
        <w:rPr>
          <w:iCs/>
          <w:lang w:eastAsia="en-AU"/>
        </w:rPr>
        <w:t>,</w:t>
      </w:r>
      <w:r w:rsidR="005C0FD5" w:rsidRPr="00D661E4">
        <w:rPr>
          <w:lang w:eastAsia="en-AU"/>
        </w:rPr>
        <w:t xml:space="preserve"> there have been two more High Court cases that have considered </w:t>
      </w:r>
      <w:r w:rsidR="00B254D7" w:rsidRPr="00D661E4">
        <w:rPr>
          <w:lang w:eastAsia="en-AU"/>
        </w:rPr>
        <w:t xml:space="preserve">that issue: </w:t>
      </w:r>
      <w:r w:rsidR="00B254D7" w:rsidRPr="00D661E4">
        <w:rPr>
          <w:i/>
          <w:lang w:eastAsia="en-AU"/>
        </w:rPr>
        <w:t xml:space="preserve">CNY17 v Minister for Immigration and Border Protection </w:t>
      </w:r>
      <w:r w:rsidR="008D2B16" w:rsidRPr="00D661E4">
        <w:rPr>
          <w:lang w:eastAsia="en-AU"/>
        </w:rPr>
        <w:t xml:space="preserve">[2019] HCA 50; </w:t>
      </w:r>
      <w:r w:rsidR="00B254D7" w:rsidRPr="00D661E4">
        <w:rPr>
          <w:lang w:eastAsia="en-AU"/>
        </w:rPr>
        <w:t>(2019)</w:t>
      </w:r>
      <w:r w:rsidR="008D2B16" w:rsidRPr="00D661E4">
        <w:rPr>
          <w:lang w:eastAsia="en-AU"/>
        </w:rPr>
        <w:t xml:space="preserve"> 375 ALR 47</w:t>
      </w:r>
      <w:r w:rsidR="00BC6DB7" w:rsidRPr="00D661E4">
        <w:rPr>
          <w:lang w:eastAsia="en-AU"/>
        </w:rPr>
        <w:t xml:space="preserve"> (</w:t>
      </w:r>
      <w:r w:rsidR="00BC6DB7" w:rsidRPr="00D661E4">
        <w:rPr>
          <w:b/>
          <w:i/>
          <w:lang w:eastAsia="en-AU"/>
        </w:rPr>
        <w:t>CNY17</w:t>
      </w:r>
      <w:r w:rsidR="00BC6DB7" w:rsidRPr="00D661E4">
        <w:rPr>
          <w:lang w:eastAsia="en-AU"/>
        </w:rPr>
        <w:t>)</w:t>
      </w:r>
      <w:r w:rsidR="00B254D7" w:rsidRPr="00D661E4">
        <w:rPr>
          <w:lang w:eastAsia="en-AU"/>
        </w:rPr>
        <w:t xml:space="preserve"> and </w:t>
      </w:r>
      <w:r w:rsidR="00B254D7" w:rsidRPr="00D661E4">
        <w:rPr>
          <w:i/>
          <w:lang w:eastAsia="en-AU"/>
        </w:rPr>
        <w:t>MZAPC</w:t>
      </w:r>
      <w:r w:rsidR="00B254D7">
        <w:rPr>
          <w:i/>
          <w:lang w:eastAsia="en-AU"/>
        </w:rPr>
        <w:t xml:space="preserve">. </w:t>
      </w:r>
    </w:p>
    <w:p w14:paraId="25C5D56E" w14:textId="5671343A" w:rsidR="00F87048" w:rsidRDefault="00F563ED" w:rsidP="00F87048">
      <w:pPr>
        <w:pStyle w:val="ParaNumbering"/>
        <w:rPr>
          <w:shd w:val="clear" w:color="auto" w:fill="FFFFFF"/>
        </w:rPr>
      </w:pPr>
      <w:r>
        <w:rPr>
          <w:lang w:eastAsia="en-AU"/>
        </w:rPr>
        <w:t xml:space="preserve">In </w:t>
      </w:r>
      <w:r w:rsidR="00AF2919" w:rsidRPr="001F2A28">
        <w:rPr>
          <w:i/>
          <w:lang w:eastAsia="en-AU"/>
        </w:rPr>
        <w:t>SZMTA</w:t>
      </w:r>
      <w:r w:rsidR="008073AD" w:rsidRPr="001F2A28">
        <w:rPr>
          <w:lang w:eastAsia="en-AU"/>
        </w:rPr>
        <w:t>,</w:t>
      </w:r>
      <w:r w:rsidR="00AF2919" w:rsidRPr="001F2A28">
        <w:rPr>
          <w:i/>
          <w:lang w:eastAsia="en-AU"/>
        </w:rPr>
        <w:t xml:space="preserve"> </w:t>
      </w:r>
      <w:r w:rsidR="00AF2919" w:rsidRPr="001F2A28">
        <w:rPr>
          <w:lang w:eastAsia="en-AU"/>
        </w:rPr>
        <w:t xml:space="preserve">the </w:t>
      </w:r>
      <w:r w:rsidRPr="001F2A28">
        <w:rPr>
          <w:lang w:eastAsia="en-AU"/>
        </w:rPr>
        <w:t xml:space="preserve">majority held that a breach is material to a decision only if compliance could realistically resulted in a different decision and that </w:t>
      </w:r>
      <w:r w:rsidR="00AF2919" w:rsidRPr="001F2A28">
        <w:rPr>
          <w:lang w:eastAsia="en-AU"/>
        </w:rPr>
        <w:t>the question of materiality of the breach is an ordinary question of fact</w:t>
      </w:r>
      <w:r w:rsidR="00AC7D6F" w:rsidRPr="001F2A28">
        <w:rPr>
          <w:lang w:eastAsia="en-AU"/>
        </w:rPr>
        <w:t>,</w:t>
      </w:r>
      <w:r w:rsidR="00AF2919" w:rsidRPr="001F2A28">
        <w:rPr>
          <w:lang w:eastAsia="en-AU"/>
        </w:rPr>
        <w:t xml:space="preserve"> in respect</w:t>
      </w:r>
      <w:r w:rsidR="00AF2919">
        <w:rPr>
          <w:lang w:eastAsia="en-AU"/>
        </w:rPr>
        <w:t xml:space="preserve"> of which the </w:t>
      </w:r>
      <w:r w:rsidR="00AF2919" w:rsidRPr="006D6375">
        <w:rPr>
          <w:lang w:eastAsia="en-AU"/>
        </w:rPr>
        <w:t>applicant</w:t>
      </w:r>
      <w:r w:rsidR="00AF2919">
        <w:rPr>
          <w:lang w:eastAsia="en-AU"/>
        </w:rPr>
        <w:t xml:space="preserve"> for judicial review bears the onus of proof. </w:t>
      </w:r>
      <w:r w:rsidR="008073AD">
        <w:rPr>
          <w:lang w:eastAsia="en-AU"/>
        </w:rPr>
        <w:t xml:space="preserve"> </w:t>
      </w:r>
      <w:r w:rsidR="009909E9">
        <w:rPr>
          <w:lang w:eastAsia="en-AU"/>
        </w:rPr>
        <w:t xml:space="preserve">Subsequently </w:t>
      </w:r>
      <w:r w:rsidR="009909E9" w:rsidRPr="001F2A28">
        <w:rPr>
          <w:lang w:eastAsia="en-AU"/>
        </w:rPr>
        <w:t xml:space="preserve">in </w:t>
      </w:r>
      <w:r w:rsidR="009909E9" w:rsidRPr="001F2A28">
        <w:rPr>
          <w:i/>
          <w:lang w:eastAsia="en-AU"/>
        </w:rPr>
        <w:t xml:space="preserve">CNY17 </w:t>
      </w:r>
      <w:r w:rsidR="001F2A28" w:rsidRPr="001F2A28">
        <w:rPr>
          <w:lang w:eastAsia="en-AU"/>
        </w:rPr>
        <w:t>(</w:t>
      </w:r>
      <w:r w:rsidR="00BC6DB7" w:rsidRPr="001F2A28">
        <w:rPr>
          <w:lang w:eastAsia="en-AU"/>
        </w:rPr>
        <w:t>59</w:t>
      </w:r>
      <w:r w:rsidR="001F2A28" w:rsidRPr="001F2A28">
        <w:rPr>
          <w:lang w:eastAsia="en-AU"/>
        </w:rPr>
        <w:t>,</w:t>
      </w:r>
      <w:r w:rsidR="009909E9" w:rsidRPr="001F2A28">
        <w:rPr>
          <w:lang w:eastAsia="en-AU"/>
        </w:rPr>
        <w:t xml:space="preserve"> [47]</w:t>
      </w:r>
      <w:r w:rsidR="00BC6DB7" w:rsidRPr="001F2A28">
        <w:rPr>
          <w:lang w:eastAsia="en-AU"/>
        </w:rPr>
        <w:t>)</w:t>
      </w:r>
      <w:r w:rsidR="009909E9" w:rsidRPr="001F2A28">
        <w:rPr>
          <w:lang w:eastAsia="en-AU"/>
        </w:rPr>
        <w:t>,</w:t>
      </w:r>
      <w:r w:rsidR="009909E9">
        <w:rPr>
          <w:lang w:eastAsia="en-AU"/>
        </w:rPr>
        <w:t xml:space="preserve"> </w:t>
      </w:r>
      <w:proofErr w:type="spellStart"/>
      <w:r w:rsidR="009909E9">
        <w:rPr>
          <w:lang w:eastAsia="en-AU"/>
        </w:rPr>
        <w:t>Kiefel</w:t>
      </w:r>
      <w:proofErr w:type="spellEnd"/>
      <w:r w:rsidR="009909E9">
        <w:rPr>
          <w:lang w:eastAsia="en-AU"/>
        </w:rPr>
        <w:t xml:space="preserve"> CJ and </w:t>
      </w:r>
      <w:proofErr w:type="spellStart"/>
      <w:r w:rsidR="009909E9">
        <w:rPr>
          <w:lang w:eastAsia="en-AU"/>
        </w:rPr>
        <w:t>Gageler</w:t>
      </w:r>
      <w:proofErr w:type="spellEnd"/>
      <w:r w:rsidR="009909E9">
        <w:rPr>
          <w:lang w:eastAsia="en-AU"/>
        </w:rPr>
        <w:t xml:space="preserve"> J referred to the determination and materiality by </w:t>
      </w:r>
      <w:r w:rsidR="009909E9" w:rsidRPr="001F2A28">
        <w:rPr>
          <w:lang w:eastAsia="en-AU"/>
        </w:rPr>
        <w:t xml:space="preserve">a </w:t>
      </w:r>
      <w:r w:rsidR="00341980" w:rsidRPr="001F2A28">
        <w:rPr>
          <w:lang w:eastAsia="en-AU"/>
        </w:rPr>
        <w:t>C</w:t>
      </w:r>
      <w:r w:rsidR="009909E9" w:rsidRPr="001F2A28">
        <w:rPr>
          <w:lang w:eastAsia="en-AU"/>
        </w:rPr>
        <w:t>ourt</w:t>
      </w:r>
      <w:r w:rsidR="009909E9">
        <w:rPr>
          <w:lang w:eastAsia="en-AU"/>
        </w:rPr>
        <w:t xml:space="preserve"> as involving “a question of counter</w:t>
      </w:r>
      <w:r w:rsidR="009909E9">
        <w:rPr>
          <w:lang w:eastAsia="en-AU"/>
        </w:rPr>
        <w:noBreakHyphen/>
        <w:t xml:space="preserve">factual analysis to be determined by the court as a matter of objective possibility as an </w:t>
      </w:r>
      <w:r w:rsidR="00A23224">
        <w:rPr>
          <w:lang w:eastAsia="en-AU"/>
        </w:rPr>
        <w:t xml:space="preserve">aspect of determining whether an identified failure to comply with a statutory condition has resulted in a decision that has in fact been made being a decision that is wanting in statutory authorisation”.  </w:t>
      </w:r>
      <w:r w:rsidR="00A23224" w:rsidRPr="00644334">
        <w:rPr>
          <w:lang w:eastAsia="en-AU"/>
        </w:rPr>
        <w:t xml:space="preserve">In </w:t>
      </w:r>
      <w:r w:rsidR="00A23224" w:rsidRPr="00644334">
        <w:rPr>
          <w:i/>
          <w:lang w:eastAsia="en-AU"/>
        </w:rPr>
        <w:t>MZAPC</w:t>
      </w:r>
      <w:r w:rsidR="00A23224" w:rsidRPr="00644334">
        <w:t xml:space="preserve">, the High Court stated </w:t>
      </w:r>
      <w:r w:rsidR="00A23224" w:rsidRPr="001F2A28">
        <w:t xml:space="preserve">that </w:t>
      </w:r>
      <w:r w:rsidR="00644334" w:rsidRPr="001F2A28">
        <w:t>“</w:t>
      </w:r>
      <w:r w:rsidR="00A23224" w:rsidRPr="001F2A28">
        <w:t xml:space="preserve">the counterfactual question of whether the decision that was in fact made could have been </w:t>
      </w:r>
      <w:r w:rsidR="00D072A7" w:rsidRPr="001F2A28">
        <w:t>different</w:t>
      </w:r>
      <w:r w:rsidR="00D17639" w:rsidRPr="001F2A28">
        <w:t xml:space="preserve"> </w:t>
      </w:r>
      <w:r w:rsidR="00A23224" w:rsidRPr="001F2A28">
        <w:t xml:space="preserve">had there been compliance with </w:t>
      </w:r>
      <w:r w:rsidR="00644334" w:rsidRPr="001F2A28">
        <w:t xml:space="preserve">the </w:t>
      </w:r>
      <w:r w:rsidR="00A23224" w:rsidRPr="001F2A28">
        <w:t>condition</w:t>
      </w:r>
      <w:r w:rsidR="00A23224" w:rsidRPr="00644334">
        <w:t xml:space="preserve"> that was in fact breached cannot be answered without determining the basal factual question of how the decision that was in fact made was in fact </w:t>
      </w:r>
      <w:r w:rsidR="00A23224" w:rsidRPr="001F2A28">
        <w:t>made</w:t>
      </w:r>
      <w:r w:rsidR="00644334" w:rsidRPr="001F2A28">
        <w:t>” ([38])</w:t>
      </w:r>
      <w:r w:rsidR="00A23224" w:rsidRPr="001F2A28">
        <w:t>.  Their</w:t>
      </w:r>
      <w:r w:rsidR="00A23224">
        <w:t xml:space="preserve"> Honours continued that like other counterfactual questions in civil </w:t>
      </w:r>
      <w:r w:rsidR="00D072A7">
        <w:t>proceedings</w:t>
      </w:r>
      <w:r w:rsidR="00A23224">
        <w:t xml:space="preserve"> as to what </w:t>
      </w:r>
      <w:r w:rsidR="00D072A7">
        <w:t>could</w:t>
      </w:r>
      <w:r w:rsidR="00A23224">
        <w:t xml:space="preserve"> have occurred – as distinct from </w:t>
      </w:r>
      <w:r w:rsidR="00D072A7">
        <w:t>what</w:t>
      </w:r>
      <w:r w:rsidR="00A23224">
        <w:t xml:space="preserve"> would have occurred – had there been compliance with a legal obligation that was in fact breached, whether the decision that was in fact made could have been different had the condition been complied with falls to be </w:t>
      </w:r>
      <w:r w:rsidR="00D072A7">
        <w:t>determined</w:t>
      </w:r>
      <w:r w:rsidR="00A23224">
        <w:t xml:space="preserve"> as a matter of reasonable conjecture within the </w:t>
      </w:r>
      <w:r w:rsidR="00D072A7">
        <w:t>parameters</w:t>
      </w:r>
      <w:r w:rsidR="00A23224">
        <w:t xml:space="preserve"> set by the historical facts that have been determined on the balance of probabilities.  That onus requires the plaintiff in an application for judicial review to prove on the balance of </w:t>
      </w:r>
      <w:r w:rsidR="00A23224" w:rsidRPr="001F2A28">
        <w:t xml:space="preserve">probabilities all </w:t>
      </w:r>
      <w:r w:rsidR="00D17639" w:rsidRPr="001F2A28">
        <w:t xml:space="preserve">of </w:t>
      </w:r>
      <w:r w:rsidR="00A23224" w:rsidRPr="001F2A28">
        <w:t xml:space="preserve">the historical facts necessary to enable the </w:t>
      </w:r>
      <w:r w:rsidR="00D17639" w:rsidRPr="001F2A28">
        <w:t>C</w:t>
      </w:r>
      <w:r w:rsidR="00A23224" w:rsidRPr="001F2A28">
        <w:t>ourt to be</w:t>
      </w:r>
      <w:r w:rsidR="00A23224">
        <w:t xml:space="preserve"> </w:t>
      </w:r>
      <w:r w:rsidR="00D072A7">
        <w:t>satisfied</w:t>
      </w:r>
      <w:r w:rsidR="00A23224">
        <w:t xml:space="preserve"> of the realistic possibility that a different decision could have been made had there been compliance with that condition.  </w:t>
      </w:r>
    </w:p>
    <w:p w14:paraId="3199954F" w14:textId="03287B43" w:rsidR="008D52DE" w:rsidRPr="00F87048" w:rsidRDefault="00897143" w:rsidP="00F87048">
      <w:pPr>
        <w:pStyle w:val="ParaNumbering"/>
        <w:rPr>
          <w:shd w:val="clear" w:color="auto" w:fill="FFFFFF"/>
        </w:rPr>
      </w:pPr>
      <w:r>
        <w:t xml:space="preserve">Having regard to the law as it now stands, the documents which the appellant now seeks to put into evidence would be </w:t>
      </w:r>
      <w:r w:rsidRPr="00EE7CA0">
        <w:rPr>
          <w:szCs w:val="24"/>
          <w:lang w:eastAsia="en-AU"/>
        </w:rPr>
        <w:t>admissible</w:t>
      </w:r>
      <w:r w:rsidR="001D72A1">
        <w:rPr>
          <w:szCs w:val="24"/>
          <w:lang w:eastAsia="en-AU"/>
        </w:rPr>
        <w:t xml:space="preserve">. Moreover, </w:t>
      </w:r>
      <w:r w:rsidR="001D72A1">
        <w:t>t</w:t>
      </w:r>
      <w:r w:rsidR="009833B9">
        <w:t>he development of the law subsequent to the FCC decision</w:t>
      </w:r>
      <w:r w:rsidR="008D52DE">
        <w:t xml:space="preserve"> is a point in favour of the r</w:t>
      </w:r>
      <w:r w:rsidR="001D72A1">
        <w:t>eception of the fresh evidence. H</w:t>
      </w:r>
      <w:r w:rsidR="009833B9">
        <w:t xml:space="preserve">owever </w:t>
      </w:r>
      <w:r w:rsidR="008D52DE">
        <w:t>the</w:t>
      </w:r>
      <w:r w:rsidR="00D71ECA">
        <w:t>re are three reasons why the application to adduce the fresh evidence should be refused.</w:t>
      </w:r>
    </w:p>
    <w:p w14:paraId="6C01C1F3" w14:textId="0C4C368D" w:rsidR="00D71ECA" w:rsidRDefault="00D71ECA" w:rsidP="009909E9">
      <w:pPr>
        <w:pStyle w:val="ParaNumbering"/>
        <w:rPr>
          <w:lang w:eastAsia="en-AU"/>
        </w:rPr>
      </w:pPr>
      <w:r w:rsidRPr="005C6967">
        <w:t xml:space="preserve">The first reason concerns the documents other than the AAN </w:t>
      </w:r>
      <w:r w:rsidR="009F59F0" w:rsidRPr="005C6967">
        <w:t>A</w:t>
      </w:r>
      <w:r w:rsidRPr="005C6967">
        <w:t xml:space="preserve">rticle (footnoted at </w:t>
      </w:r>
      <w:proofErr w:type="spellStart"/>
      <w:r w:rsidRPr="005C6967">
        <w:t>fn</w:t>
      </w:r>
      <w:proofErr w:type="spellEnd"/>
      <w:r w:rsidRPr="005C6967">
        <w:t xml:space="preserve"> 84 and 88) and the UK </w:t>
      </w:r>
      <w:r w:rsidR="009F59F0" w:rsidRPr="005C6967">
        <w:t>H</w:t>
      </w:r>
      <w:r w:rsidRPr="005C6967">
        <w:t xml:space="preserve">ome </w:t>
      </w:r>
      <w:r w:rsidR="009F59F0" w:rsidRPr="005C6967">
        <w:t>O</w:t>
      </w:r>
      <w:r w:rsidRPr="005C6967">
        <w:t xml:space="preserve">ffice </w:t>
      </w:r>
      <w:r w:rsidR="009F59F0" w:rsidRPr="005C6967">
        <w:t>R</w:t>
      </w:r>
      <w:r w:rsidRPr="005C6967">
        <w:t xml:space="preserve">eport (footnoted at </w:t>
      </w:r>
      <w:proofErr w:type="spellStart"/>
      <w:r w:rsidRPr="005C6967">
        <w:t>fn</w:t>
      </w:r>
      <w:proofErr w:type="spellEnd"/>
      <w:r w:rsidRPr="005C6967">
        <w:t xml:space="preserve"> 97).  Aside from those two documents, the Court was not taken to </w:t>
      </w:r>
      <w:r w:rsidR="00A52B41" w:rsidRPr="005C6967">
        <w:t xml:space="preserve">any of </w:t>
      </w:r>
      <w:r w:rsidRPr="005C6967">
        <w:t>the other document</w:t>
      </w:r>
      <w:r>
        <w:t xml:space="preserve">s to show how those documents, if they </w:t>
      </w:r>
      <w:r>
        <w:lastRenderedPageBreak/>
        <w:t>had been before the FCC, were likely to have led to a different decision by the FCC</w:t>
      </w:r>
      <w:r w:rsidR="002F70B1">
        <w:t xml:space="preserve"> and</w:t>
      </w:r>
      <w:r w:rsidR="00A52B41">
        <w:t xml:space="preserve"> such a conclusion </w:t>
      </w:r>
      <w:r w:rsidR="002F70B1">
        <w:t xml:space="preserve">is not evident just on the face of </w:t>
      </w:r>
      <w:r w:rsidR="00A52B41">
        <w:t>the documents themselves</w:t>
      </w:r>
      <w:r w:rsidR="002F70B1">
        <w:t>.</w:t>
      </w:r>
      <w:r w:rsidR="00A52B41">
        <w:t xml:space="preserve"> </w:t>
      </w:r>
      <w:r w:rsidR="009F59F0">
        <w:t xml:space="preserve"> </w:t>
      </w:r>
      <w:r w:rsidR="002F70B1">
        <w:t>A</w:t>
      </w:r>
      <w:r>
        <w:t>bsent being taken to any part of those documents to</w:t>
      </w:r>
      <w:r w:rsidR="00A52B41">
        <w:t xml:space="preserve"> demonstrate why </w:t>
      </w:r>
      <w:r w:rsidR="00481FAF">
        <w:t xml:space="preserve">it </w:t>
      </w:r>
      <w:r w:rsidR="00A52B41">
        <w:t xml:space="preserve">may be so, the appellant has failed to satisfy me that </w:t>
      </w:r>
      <w:r w:rsidR="00A53E76">
        <w:rPr>
          <w:shd w:val="clear" w:color="auto" w:fill="FFFFFF"/>
        </w:rPr>
        <w:t xml:space="preserve">those documents, had they been adduced, </w:t>
      </w:r>
      <w:r w:rsidR="00A52B41" w:rsidRPr="00D74201">
        <w:rPr>
          <w:shd w:val="clear" w:color="auto" w:fill="FFFFFF"/>
        </w:rPr>
        <w:t>would be likely to have produced a different result</w:t>
      </w:r>
      <w:r w:rsidR="002F70B1">
        <w:rPr>
          <w:shd w:val="clear" w:color="auto" w:fill="FFFFFF"/>
        </w:rPr>
        <w:t>.</w:t>
      </w:r>
      <w:r>
        <w:t xml:space="preserve">  </w:t>
      </w:r>
    </w:p>
    <w:p w14:paraId="1A7A87B5" w14:textId="6D82437B" w:rsidR="00D76303" w:rsidRPr="00D76303" w:rsidRDefault="00D71ECA" w:rsidP="0058466F">
      <w:pPr>
        <w:pStyle w:val="ParaNumbering"/>
        <w:rPr>
          <w:shd w:val="clear" w:color="auto" w:fill="FFFFFF"/>
        </w:rPr>
      </w:pPr>
      <w:r>
        <w:t xml:space="preserve">The second reason </w:t>
      </w:r>
      <w:r w:rsidRPr="00D65166">
        <w:t xml:space="preserve">concerns the AAN </w:t>
      </w:r>
      <w:r w:rsidR="00A71917" w:rsidRPr="00D65166">
        <w:t>A</w:t>
      </w:r>
      <w:r w:rsidRPr="00D65166">
        <w:t>rticle.  The</w:t>
      </w:r>
      <w:r>
        <w:t xml:space="preserve"> Court was taken to that article </w:t>
      </w:r>
      <w:r w:rsidR="002F70B1">
        <w:t xml:space="preserve">in detail </w:t>
      </w:r>
      <w:r>
        <w:t xml:space="preserve">and the submission was made that the country information used by the assessor from that article was taken out of context and the information was not fairly presented.  It was submitted that had the information been fairly presented with an opportunity to know what information was to be relied on at the hearing, the appellant could have undertaken enquiries including getting information from the author himself </w:t>
      </w:r>
      <w:r w:rsidR="00D072A7">
        <w:t>about</w:t>
      </w:r>
      <w:r>
        <w:t xml:space="preserve"> the way in which his research had been misunderstood by the decision-maker.  It is in this context that the </w:t>
      </w:r>
      <w:proofErr w:type="spellStart"/>
      <w:r w:rsidR="00106222" w:rsidRPr="00106222">
        <w:t>Suroush</w:t>
      </w:r>
      <w:proofErr w:type="spellEnd"/>
      <w:r w:rsidR="00106222" w:rsidRPr="00106222">
        <w:t xml:space="preserve"> email</w:t>
      </w:r>
      <w:r w:rsidR="00106222">
        <w:t xml:space="preserve"> </w:t>
      </w:r>
      <w:r w:rsidR="00536574">
        <w:t xml:space="preserve">chain </w:t>
      </w:r>
      <w:r w:rsidR="000E312A">
        <w:t xml:space="preserve">is </w:t>
      </w:r>
      <w:r w:rsidR="00106222" w:rsidRPr="00D65166">
        <w:t>sought to be received into evidence</w:t>
      </w:r>
      <w:r w:rsidR="005F5A90" w:rsidRPr="00D65166">
        <w:t>,</w:t>
      </w:r>
      <w:r w:rsidR="000E312A" w:rsidRPr="00D65166">
        <w:t xml:space="preserve"> as </w:t>
      </w:r>
      <w:r w:rsidR="00106222" w:rsidRPr="00D65166">
        <w:t>the</w:t>
      </w:r>
      <w:r w:rsidR="00D72C91" w:rsidRPr="00D65166">
        <w:t xml:space="preserve"> </w:t>
      </w:r>
      <w:proofErr w:type="spellStart"/>
      <w:r w:rsidR="00D72C91" w:rsidRPr="00D65166">
        <w:t>Suroush</w:t>
      </w:r>
      <w:proofErr w:type="spellEnd"/>
      <w:r w:rsidR="00D72C91" w:rsidRPr="00D65166">
        <w:t xml:space="preserve"> email</w:t>
      </w:r>
      <w:r w:rsidR="00106222" w:rsidRPr="00D65166">
        <w:t xml:space="preserve"> </w:t>
      </w:r>
      <w:r w:rsidR="00464940" w:rsidRPr="00D65166">
        <w:t xml:space="preserve">chain includes an email </w:t>
      </w:r>
      <w:r w:rsidR="00536574" w:rsidRPr="00D65166">
        <w:t xml:space="preserve">from </w:t>
      </w:r>
      <w:r w:rsidR="00464940" w:rsidRPr="00D65166">
        <w:t xml:space="preserve">the author </w:t>
      </w:r>
      <w:r w:rsidR="00A203BD" w:rsidRPr="00D65166">
        <w:t xml:space="preserve">explaining his article </w:t>
      </w:r>
      <w:r w:rsidR="00464940" w:rsidRPr="00D65166">
        <w:t>to an Afghan academic.</w:t>
      </w:r>
      <w:r w:rsidR="006A1764" w:rsidRPr="00D65166">
        <w:rPr>
          <w:shd w:val="clear" w:color="auto" w:fill="FFFFFF"/>
        </w:rPr>
        <w:t xml:space="preserve"> </w:t>
      </w:r>
      <w:r w:rsidR="005F5A90" w:rsidRPr="00D65166">
        <w:rPr>
          <w:shd w:val="clear" w:color="auto" w:fill="FFFFFF"/>
        </w:rPr>
        <w:t xml:space="preserve"> </w:t>
      </w:r>
      <w:r w:rsidR="000E312A" w:rsidRPr="00D65166">
        <w:t>However, n</w:t>
      </w:r>
      <w:r w:rsidR="00106222" w:rsidRPr="00D65166">
        <w:t xml:space="preserve">ot only was it not argued below that the assessor did not fairly present the information from that report, the appellant accepted that the information contained in that report was put to the appellant “in a general sense”.  The argument </w:t>
      </w:r>
      <w:r w:rsidR="006A1764" w:rsidRPr="00D65166">
        <w:t xml:space="preserve">sought to be </w:t>
      </w:r>
      <w:r w:rsidR="00106222" w:rsidRPr="00D65166">
        <w:t>advanced requires th</w:t>
      </w:r>
      <w:r w:rsidR="006A1764" w:rsidRPr="00D65166">
        <w:t xml:space="preserve">e leave of the Court to advance because it is </w:t>
      </w:r>
      <w:r w:rsidR="002D7E46" w:rsidRPr="00D65166">
        <w:t>a new argument</w:t>
      </w:r>
      <w:r w:rsidR="005F5A90" w:rsidRPr="00D65166">
        <w:t>,</w:t>
      </w:r>
      <w:r w:rsidR="002D7E46" w:rsidRPr="00D65166">
        <w:t xml:space="preserve"> but to </w:t>
      </w:r>
      <w:r w:rsidR="00106222" w:rsidRPr="00D65166">
        <w:t xml:space="preserve">grant leave to the appellant to run this new point on appeal would be to permit him to </w:t>
      </w:r>
      <w:r w:rsidR="00657B0D" w:rsidRPr="00D65166">
        <w:t>de</w:t>
      </w:r>
      <w:r w:rsidR="00106222" w:rsidRPr="00D65166">
        <w:t xml:space="preserve">part from his case below that the substance of the AAN </w:t>
      </w:r>
      <w:r w:rsidR="00554A5C" w:rsidRPr="00D65166">
        <w:t>A</w:t>
      </w:r>
      <w:r w:rsidR="00106222" w:rsidRPr="00D65166">
        <w:t>rticle was put to him.  The change of position was left unexplained, though it may be inferred it was because of a change of counsel.  However that is no</w:t>
      </w:r>
      <w:r w:rsidR="002D7E46" w:rsidRPr="00D65166">
        <w:t>t</w:t>
      </w:r>
      <w:r w:rsidR="00106222" w:rsidRPr="00D65166">
        <w:t xml:space="preserve"> cogent reason in itself to warrant the admission of the document into </w:t>
      </w:r>
      <w:r w:rsidR="00D072A7" w:rsidRPr="00D65166">
        <w:t>evidence</w:t>
      </w:r>
      <w:r w:rsidR="00106222" w:rsidRPr="00D65166">
        <w:t xml:space="preserve"> now to </w:t>
      </w:r>
      <w:r w:rsidR="00D072A7" w:rsidRPr="00D65166">
        <w:t>enable</w:t>
      </w:r>
      <w:r w:rsidR="00106222" w:rsidRPr="00D65166">
        <w:t xml:space="preserve"> the appellant to put an argument that flies in the face of the submissions made below concerning that document.  Also</w:t>
      </w:r>
      <w:r w:rsidR="00944A8E" w:rsidRPr="00D65166">
        <w:t>,</w:t>
      </w:r>
      <w:r w:rsidR="00106222" w:rsidRPr="00D65166">
        <w:t xml:space="preserve"> to permit the point to </w:t>
      </w:r>
      <w:r w:rsidR="002D7E46" w:rsidRPr="00D65166">
        <w:t xml:space="preserve">be agitated </w:t>
      </w:r>
      <w:r w:rsidR="00106222" w:rsidRPr="00D65166">
        <w:t xml:space="preserve">for the first time on appeal would subvert the evident purpose of s 476A of the </w:t>
      </w:r>
      <w:r w:rsidR="00106222" w:rsidRPr="00D65166">
        <w:rPr>
          <w:i/>
        </w:rPr>
        <w:t>Migration Act</w:t>
      </w:r>
      <w:r w:rsidR="00077A43" w:rsidRPr="00D65166">
        <w:rPr>
          <w:i/>
        </w:rPr>
        <w:t xml:space="preserve"> 1958 </w:t>
      </w:r>
      <w:r w:rsidR="00077A43" w:rsidRPr="00D65166">
        <w:t>(</w:t>
      </w:r>
      <w:proofErr w:type="spellStart"/>
      <w:r w:rsidR="00077A43" w:rsidRPr="00D65166">
        <w:t>Cth</w:t>
      </w:r>
      <w:proofErr w:type="spellEnd"/>
      <w:r w:rsidR="00077A43" w:rsidRPr="00D65166">
        <w:t>) (</w:t>
      </w:r>
      <w:r w:rsidR="00077A43" w:rsidRPr="00D65166">
        <w:rPr>
          <w:b/>
          <w:i/>
        </w:rPr>
        <w:t>Migration Act</w:t>
      </w:r>
      <w:r w:rsidR="00077A43" w:rsidRPr="00D65166">
        <w:t>)</w:t>
      </w:r>
      <w:r w:rsidR="00106222" w:rsidRPr="00D65166">
        <w:t xml:space="preserve">, which circumscribes this Court’s original jurisdiction to review migration decisions: </w:t>
      </w:r>
      <w:r w:rsidR="00106222" w:rsidRPr="00D65166">
        <w:rPr>
          <w:i/>
        </w:rPr>
        <w:t xml:space="preserve">AAM15 v Minister for Immigration and Border Protection </w:t>
      </w:r>
      <w:r w:rsidR="000F2F74" w:rsidRPr="00D65166">
        <w:t>[2015] FCA 804;</w:t>
      </w:r>
      <w:r w:rsidR="00106222" w:rsidRPr="00D65166">
        <w:t>(2015) 231 FCR 452</w:t>
      </w:r>
      <w:r w:rsidR="000F2F74" w:rsidRPr="00D65166">
        <w:t>,</w:t>
      </w:r>
      <w:r w:rsidR="00106222" w:rsidRPr="00D65166">
        <w:t xml:space="preserve"> [14]; </w:t>
      </w:r>
      <w:r w:rsidR="00106222" w:rsidRPr="00D65166">
        <w:rPr>
          <w:i/>
        </w:rPr>
        <w:t xml:space="preserve">Han v Minister for Home Affairs </w:t>
      </w:r>
      <w:r w:rsidR="00964D5F" w:rsidRPr="00D65166">
        <w:t xml:space="preserve">[2019] FCA 331 at [20(4)]. </w:t>
      </w:r>
      <w:r w:rsidR="00944A8E" w:rsidRPr="00D65166">
        <w:t xml:space="preserve"> </w:t>
      </w:r>
      <w:r w:rsidR="00CC7630" w:rsidRPr="00D65166">
        <w:t xml:space="preserve">I do not </w:t>
      </w:r>
      <w:r w:rsidR="0045218A" w:rsidRPr="00D65166">
        <w:t xml:space="preserve">think it is </w:t>
      </w:r>
      <w:r w:rsidR="00CC7630" w:rsidRPr="00D65166">
        <w:t xml:space="preserve">in the interests of justice to permit the new argument to be advanced in the circumstance where the </w:t>
      </w:r>
      <w:r w:rsidR="00703CB1" w:rsidRPr="00D65166">
        <w:t xml:space="preserve">appellant was represented below and </w:t>
      </w:r>
      <w:r w:rsidR="00964D5F" w:rsidRPr="00D65166">
        <w:t>the point</w:t>
      </w:r>
      <w:r w:rsidR="00B50CD0" w:rsidRPr="00D65166">
        <w:t xml:space="preserve"> now sought to be raised is contrary to the </w:t>
      </w:r>
      <w:r w:rsidR="00CC7630" w:rsidRPr="00D65166">
        <w:t xml:space="preserve">case put below: </w:t>
      </w:r>
      <w:proofErr w:type="spellStart"/>
      <w:r w:rsidR="00CC7630" w:rsidRPr="00D65166">
        <w:rPr>
          <w:i/>
        </w:rPr>
        <w:t>Coulton</w:t>
      </w:r>
      <w:proofErr w:type="spellEnd"/>
      <w:r w:rsidR="00CC7630" w:rsidRPr="00D65166">
        <w:rPr>
          <w:i/>
        </w:rPr>
        <w:t xml:space="preserve"> v Holcombe</w:t>
      </w:r>
      <w:r w:rsidR="0066333B" w:rsidRPr="00D65166">
        <w:t xml:space="preserve"> [1986] HCA 33;</w:t>
      </w:r>
      <w:r w:rsidR="00CC7630" w:rsidRPr="00D65166">
        <w:rPr>
          <w:i/>
        </w:rPr>
        <w:t xml:space="preserve"> </w:t>
      </w:r>
      <w:r w:rsidR="002615D3" w:rsidRPr="00D65166">
        <w:t xml:space="preserve">(1986) 162 CLR 1; </w:t>
      </w:r>
      <w:r w:rsidR="002615D3" w:rsidRPr="00D65166">
        <w:rPr>
          <w:i/>
        </w:rPr>
        <w:t>VUAX v Minister for Immigration and Multicultural and Indigenous Affairs</w:t>
      </w:r>
      <w:r w:rsidR="002615D3" w:rsidRPr="00D65166">
        <w:t xml:space="preserve"> </w:t>
      </w:r>
      <w:r w:rsidR="0066333B" w:rsidRPr="00D65166">
        <w:t xml:space="preserve">[2004] FCAFC 158; </w:t>
      </w:r>
      <w:r w:rsidR="002615D3" w:rsidRPr="00D65166">
        <w:t>(2004) 238 FCR 588</w:t>
      </w:r>
      <w:r w:rsidR="0066333B" w:rsidRPr="00D65166">
        <w:t>,</w:t>
      </w:r>
      <w:r w:rsidR="002615D3" w:rsidRPr="00D65166">
        <w:t xml:space="preserve"> </w:t>
      </w:r>
      <w:r w:rsidR="0066333B" w:rsidRPr="00D65166">
        <w:t xml:space="preserve">598 </w:t>
      </w:r>
      <w:r w:rsidR="002615D3" w:rsidRPr="00D65166">
        <w:t>[46] (</w:t>
      </w:r>
      <w:proofErr w:type="spellStart"/>
      <w:r w:rsidR="002615D3" w:rsidRPr="00D65166">
        <w:t>Kiefel</w:t>
      </w:r>
      <w:proofErr w:type="spellEnd"/>
      <w:r w:rsidR="002615D3" w:rsidRPr="00D65166">
        <w:t>, Weinberg and Stone JJ).</w:t>
      </w:r>
      <w:r w:rsidR="001B4F21" w:rsidRPr="00D65166">
        <w:t xml:space="preserve"> </w:t>
      </w:r>
      <w:r w:rsidR="00944A8E" w:rsidRPr="00D65166">
        <w:t xml:space="preserve"> </w:t>
      </w:r>
      <w:r w:rsidR="00590EAE" w:rsidRPr="00D65166">
        <w:t xml:space="preserve">The new argument, </w:t>
      </w:r>
      <w:r w:rsidR="0045218A" w:rsidRPr="00D65166">
        <w:t xml:space="preserve">in any event, </w:t>
      </w:r>
      <w:r w:rsidR="002615D3" w:rsidRPr="00D65166">
        <w:t>is of doubtful merit.</w:t>
      </w:r>
      <w:r w:rsidR="002615D3">
        <w:t xml:space="preserve"> </w:t>
      </w:r>
    </w:p>
    <w:p w14:paraId="69B4EB1D" w14:textId="77777777" w:rsidR="00C909FC" w:rsidRPr="00D76303" w:rsidRDefault="00590EAE" w:rsidP="0058466F">
      <w:pPr>
        <w:pStyle w:val="ParaNumbering"/>
        <w:rPr>
          <w:shd w:val="clear" w:color="auto" w:fill="FFFFFF"/>
        </w:rPr>
      </w:pPr>
      <w:r>
        <w:lastRenderedPageBreak/>
        <w:t xml:space="preserve">The </w:t>
      </w:r>
      <w:r w:rsidR="00360EF4">
        <w:t xml:space="preserve">new </w:t>
      </w:r>
      <w:r>
        <w:t xml:space="preserve">argument fixes upon </w:t>
      </w:r>
      <w:r w:rsidR="0058466F">
        <w:t xml:space="preserve">the section </w:t>
      </w:r>
      <w:r>
        <w:t>of the article headed “Yet the fear is real”</w:t>
      </w:r>
      <w:r w:rsidR="0025681F">
        <w:t>. That section</w:t>
      </w:r>
      <w:r w:rsidR="00D76303">
        <w:t xml:space="preserve"> follows the author’s summation that: </w:t>
      </w:r>
    </w:p>
    <w:p w14:paraId="5CACB8DC" w14:textId="024B8CAC" w:rsidR="00D76303" w:rsidRPr="00D76303" w:rsidRDefault="00D76303" w:rsidP="00D76303">
      <w:pPr>
        <w:pStyle w:val="Quote1"/>
        <w:rPr>
          <w:lang w:eastAsia="en-AU"/>
        </w:rPr>
      </w:pPr>
      <w:r>
        <w:rPr>
          <w:lang w:eastAsia="en-AU"/>
        </w:rPr>
        <w:t xml:space="preserve">Scrutinising the individual incidents which activists and media are citing, there seems to be, for now, no evidence that </w:t>
      </w:r>
      <w:proofErr w:type="spellStart"/>
      <w:r>
        <w:rPr>
          <w:lang w:eastAsia="en-AU"/>
        </w:rPr>
        <w:t>Hazara</w:t>
      </w:r>
      <w:proofErr w:type="spellEnd"/>
      <w:r>
        <w:rPr>
          <w:lang w:eastAsia="en-AU"/>
        </w:rPr>
        <w:t xml:space="preserve"> are being systematically </w:t>
      </w:r>
      <w:r w:rsidRPr="00235468">
        <w:rPr>
          <w:lang w:eastAsia="en-AU"/>
        </w:rPr>
        <w:t>targeted</w:t>
      </w:r>
      <w:r w:rsidR="00407C66" w:rsidRPr="00235468">
        <w:rPr>
          <w:lang w:eastAsia="en-AU"/>
        </w:rPr>
        <w:t xml:space="preserve"> …</w:t>
      </w:r>
    </w:p>
    <w:p w14:paraId="693CBD64" w14:textId="77777777" w:rsidR="00D76303" w:rsidRPr="00D76303" w:rsidRDefault="00852C5C" w:rsidP="006F0837">
      <w:pPr>
        <w:pStyle w:val="NoNum"/>
        <w:rPr>
          <w:shd w:val="clear" w:color="auto" w:fill="FFFFFF"/>
        </w:rPr>
      </w:pPr>
      <w:r>
        <w:t xml:space="preserve">The </w:t>
      </w:r>
      <w:r w:rsidR="004D02B7">
        <w:t xml:space="preserve">author </w:t>
      </w:r>
      <w:r>
        <w:t xml:space="preserve">continues </w:t>
      </w:r>
      <w:r w:rsidR="00D76303">
        <w:t>that</w:t>
      </w:r>
      <w:r w:rsidR="0098664D">
        <w:t>:</w:t>
      </w:r>
      <w:r w:rsidR="00D76303">
        <w:t xml:space="preserve"> </w:t>
      </w:r>
    </w:p>
    <w:p w14:paraId="5A3A8DA1" w14:textId="77777777" w:rsidR="0098664D" w:rsidRDefault="00D76303" w:rsidP="0098664D">
      <w:pPr>
        <w:pStyle w:val="Quote1"/>
      </w:pPr>
      <w:r>
        <w:rPr>
          <w:lang w:eastAsia="en-AU"/>
        </w:rPr>
        <w:t>However, the reaction to the reporting – and sometimes the reporting itself – clearly shows</w:t>
      </w:r>
      <w:r w:rsidR="0098664D">
        <w:rPr>
          <w:lang w:eastAsia="en-AU"/>
        </w:rPr>
        <w:t xml:space="preserve"> t</w:t>
      </w:r>
      <w:r w:rsidR="0058466F">
        <w:t xml:space="preserve">hat </w:t>
      </w:r>
      <w:proofErr w:type="spellStart"/>
      <w:r w:rsidR="00360EF4">
        <w:t>Hazaras</w:t>
      </w:r>
      <w:proofErr w:type="spellEnd"/>
      <w:r w:rsidR="00360EF4">
        <w:t xml:space="preserve"> </w:t>
      </w:r>
      <w:r w:rsidR="0098664D">
        <w:t>f</w:t>
      </w:r>
      <w:r w:rsidR="00360EF4">
        <w:t>eel very vulnerable</w:t>
      </w:r>
      <w:r w:rsidR="0098664D">
        <w:t xml:space="preserve"> </w:t>
      </w:r>
      <w:r w:rsidR="008B577B">
        <w:t>…</w:t>
      </w:r>
    </w:p>
    <w:p w14:paraId="13582D56" w14:textId="77777777" w:rsidR="0098664D" w:rsidRPr="0098664D" w:rsidRDefault="00852C5C" w:rsidP="006F0837">
      <w:pPr>
        <w:pStyle w:val="NoNum"/>
      </w:pPr>
      <w:r>
        <w:t>The balance of the</w:t>
      </w:r>
      <w:r w:rsidR="00343E4B">
        <w:t xml:space="preserve"> article </w:t>
      </w:r>
      <w:r w:rsidR="005D0CA0">
        <w:t xml:space="preserve">considers </w:t>
      </w:r>
      <w:r w:rsidR="00343E4B">
        <w:t>why</w:t>
      </w:r>
      <w:r w:rsidR="005D0CA0">
        <w:t>, in the author’s view,</w:t>
      </w:r>
      <w:r w:rsidR="00343E4B">
        <w:t xml:space="preserve"> </w:t>
      </w:r>
      <w:proofErr w:type="spellStart"/>
      <w:r w:rsidR="00343E4B">
        <w:t>Hazaras</w:t>
      </w:r>
      <w:proofErr w:type="spellEnd"/>
      <w:r w:rsidR="00343E4B">
        <w:t xml:space="preserve"> feel vulnerable about their </w:t>
      </w:r>
      <w:r w:rsidR="005D0CA0">
        <w:t>safety</w:t>
      </w:r>
      <w:r w:rsidR="00343E4B">
        <w:t>.</w:t>
      </w:r>
    </w:p>
    <w:p w14:paraId="38CFF989" w14:textId="0C8DFFB3" w:rsidR="00657B0D" w:rsidRPr="00706FD5" w:rsidRDefault="00F338A3" w:rsidP="00706FD5">
      <w:pPr>
        <w:pStyle w:val="ParaNumbering"/>
        <w:rPr>
          <w:szCs w:val="24"/>
        </w:rPr>
      </w:pPr>
      <w:r>
        <w:t xml:space="preserve">It was submitted that </w:t>
      </w:r>
      <w:r w:rsidR="00610FFA">
        <w:rPr>
          <w:shd w:val="clear" w:color="auto" w:fill="FFFFFF"/>
        </w:rPr>
        <w:t xml:space="preserve">the </w:t>
      </w:r>
      <w:r w:rsidR="00544381" w:rsidRPr="00F338A3">
        <w:t xml:space="preserve">credence </w:t>
      </w:r>
      <w:r w:rsidR="00544381">
        <w:t xml:space="preserve">which </w:t>
      </w:r>
      <w:r w:rsidR="00544381" w:rsidRPr="00F338A3">
        <w:t xml:space="preserve">the author </w:t>
      </w:r>
      <w:r w:rsidR="00544381">
        <w:t xml:space="preserve">gave </w:t>
      </w:r>
      <w:r w:rsidR="00544381" w:rsidRPr="00F338A3">
        <w:t xml:space="preserve">to the genuineness of the fear that </w:t>
      </w:r>
      <w:proofErr w:type="spellStart"/>
      <w:r w:rsidR="00544381" w:rsidRPr="00F338A3">
        <w:t>Hazaras</w:t>
      </w:r>
      <w:proofErr w:type="spellEnd"/>
      <w:r w:rsidR="00544381" w:rsidRPr="00F338A3">
        <w:t xml:space="preserve"> feel as to what will happen in the future</w:t>
      </w:r>
      <w:r w:rsidR="00610FFA">
        <w:t xml:space="preserve"> was </w:t>
      </w:r>
      <w:r w:rsidR="00303D04">
        <w:t>a serious caveat to the author’s observations and if the article had been put fairly to the appellant</w:t>
      </w:r>
      <w:r w:rsidR="009203B3">
        <w:t>, with an opportunity to know what information was to be relied on at the hearing,</w:t>
      </w:r>
      <w:r w:rsidR="004D11A7">
        <w:t xml:space="preserve"> the appellant could have undertaken </w:t>
      </w:r>
      <w:r w:rsidR="004D11A7" w:rsidRPr="00EE7600">
        <w:t>inquiries</w:t>
      </w:r>
      <w:r w:rsidR="008F075D" w:rsidRPr="00EE7600">
        <w:t>,</w:t>
      </w:r>
      <w:r w:rsidR="004D11A7" w:rsidRPr="00EE7600">
        <w:t xml:space="preserve"> including</w:t>
      </w:r>
      <w:r w:rsidR="004D11A7">
        <w:t xml:space="preserve"> getting information from the</w:t>
      </w:r>
      <w:r w:rsidR="00A82910">
        <w:t xml:space="preserve"> author which, </w:t>
      </w:r>
      <w:r w:rsidR="001E4DF2">
        <w:t>it was submitted</w:t>
      </w:r>
      <w:r w:rsidR="00B264CD">
        <w:t>,</w:t>
      </w:r>
      <w:r w:rsidR="001E4DF2">
        <w:t xml:space="preserve"> as </w:t>
      </w:r>
      <w:r w:rsidR="00A82910">
        <w:t xml:space="preserve">the </w:t>
      </w:r>
      <w:proofErr w:type="spellStart"/>
      <w:r w:rsidR="00A82910">
        <w:t>Suroush</w:t>
      </w:r>
      <w:proofErr w:type="spellEnd"/>
      <w:r w:rsidR="00A82910">
        <w:t xml:space="preserve"> email chain evidenced, </w:t>
      </w:r>
      <w:r w:rsidR="00E43054">
        <w:t xml:space="preserve">would be in support of the appellant’s application. </w:t>
      </w:r>
      <w:r w:rsidR="008F075D">
        <w:t xml:space="preserve"> </w:t>
      </w:r>
      <w:r w:rsidR="00795E16">
        <w:t>There are two</w:t>
      </w:r>
      <w:r w:rsidR="00BB74DC">
        <w:t xml:space="preserve"> responses. </w:t>
      </w:r>
      <w:r w:rsidR="008F075D">
        <w:t xml:space="preserve"> </w:t>
      </w:r>
      <w:r w:rsidR="00BB74DC">
        <w:t xml:space="preserve">First, </w:t>
      </w:r>
      <w:r w:rsidR="00795E16">
        <w:t>it does not appear that the assessor mischaracterised or misunderstood the article.</w:t>
      </w:r>
      <w:r w:rsidR="008F075D">
        <w:t xml:space="preserve"> </w:t>
      </w:r>
      <w:r w:rsidR="00795E16">
        <w:t xml:space="preserve"> </w:t>
      </w:r>
      <w:r w:rsidR="00AE7E38">
        <w:t xml:space="preserve">The </w:t>
      </w:r>
      <w:r w:rsidR="006F670A">
        <w:t xml:space="preserve">article expressly </w:t>
      </w:r>
      <w:r w:rsidR="00610FF9">
        <w:t>stated that the author had</w:t>
      </w:r>
      <w:r w:rsidR="006F670A">
        <w:t xml:space="preserve"> examined</w:t>
      </w:r>
      <w:r w:rsidR="00610FF9">
        <w:t xml:space="preserve"> the incidents in </w:t>
      </w:r>
      <w:r w:rsidR="006F670A">
        <w:t xml:space="preserve">detail to see if there was a new trend of targeting </w:t>
      </w:r>
      <w:proofErr w:type="spellStart"/>
      <w:r w:rsidR="006F670A">
        <w:t>Hazaras</w:t>
      </w:r>
      <w:proofErr w:type="spellEnd"/>
      <w:r w:rsidR="006F670A">
        <w:t xml:space="preserve"> </w:t>
      </w:r>
      <w:r w:rsidR="00610FF9">
        <w:t xml:space="preserve">and </w:t>
      </w:r>
      <w:r w:rsidR="006F670A">
        <w:t xml:space="preserve">found “little to back up a notion of a new trend of ethnic </w:t>
      </w:r>
      <w:r w:rsidR="006F670A" w:rsidRPr="00EE7600">
        <w:t>targeting</w:t>
      </w:r>
      <w:r w:rsidR="00610FF9" w:rsidRPr="00EE7600">
        <w:t xml:space="preserve">” but did say “the reporting points to how vulnerable many </w:t>
      </w:r>
      <w:proofErr w:type="spellStart"/>
      <w:r w:rsidR="00610FF9" w:rsidRPr="00EE7600">
        <w:t>Hazaras</w:t>
      </w:r>
      <w:proofErr w:type="spellEnd"/>
      <w:r w:rsidR="00610FF9" w:rsidRPr="00EE7600">
        <w:t xml:space="preserve"> feel”. </w:t>
      </w:r>
      <w:r w:rsidR="008F075D" w:rsidRPr="00EE7600">
        <w:t xml:space="preserve"> </w:t>
      </w:r>
      <w:r w:rsidR="00610FF9" w:rsidRPr="00EE7600">
        <w:t>In the</w:t>
      </w:r>
      <w:r w:rsidR="009C6769" w:rsidRPr="00EE7600">
        <w:t xml:space="preserve"> ITOA</w:t>
      </w:r>
      <w:r w:rsidR="00610FF9" w:rsidRPr="00EE7600">
        <w:t xml:space="preserve">, the assessor stated that the AAN </w:t>
      </w:r>
      <w:r w:rsidR="008F075D" w:rsidRPr="00EE7600">
        <w:t>A</w:t>
      </w:r>
      <w:r w:rsidR="00610FF9" w:rsidRPr="00EE7600">
        <w:t>rticle</w:t>
      </w:r>
      <w:r w:rsidR="00610FF9">
        <w:t xml:space="preserve"> contained an analysis of “recent claims</w:t>
      </w:r>
      <w:r w:rsidR="00D930FF">
        <w:t xml:space="preserve"> of killings and/or abductions of </w:t>
      </w:r>
      <w:proofErr w:type="spellStart"/>
      <w:r w:rsidR="00D930FF" w:rsidRPr="00EE7600">
        <w:t>Hazaras</w:t>
      </w:r>
      <w:proofErr w:type="spellEnd"/>
      <w:r w:rsidR="00EE7600" w:rsidRPr="00EE7600">
        <w:t xml:space="preserve"> </w:t>
      </w:r>
      <w:r w:rsidR="009C6769" w:rsidRPr="00EE7600">
        <w:t>…</w:t>
      </w:r>
      <w:r w:rsidR="00D930FF" w:rsidRPr="00EE7600">
        <w:t xml:space="preserve"> showed</w:t>
      </w:r>
      <w:r w:rsidR="00D930FF">
        <w:t xml:space="preserve"> in </w:t>
      </w:r>
      <w:r w:rsidR="009C6769">
        <w:t>m</w:t>
      </w:r>
      <w:r w:rsidR="00D930FF">
        <w:t xml:space="preserve">ost cases the reasons people were killed or </w:t>
      </w:r>
      <w:r w:rsidR="00D930FF" w:rsidRPr="00E371AD">
        <w:t xml:space="preserve">kidnapped were for reasons other than simply being </w:t>
      </w:r>
      <w:proofErr w:type="spellStart"/>
      <w:r w:rsidR="00D930FF" w:rsidRPr="00E371AD">
        <w:t>Hazara</w:t>
      </w:r>
      <w:proofErr w:type="spellEnd"/>
      <w:r w:rsidR="00E371AD" w:rsidRPr="00E371AD">
        <w:t xml:space="preserve"> </w:t>
      </w:r>
      <w:r w:rsidR="009C6769" w:rsidRPr="00E371AD">
        <w:t>…</w:t>
      </w:r>
      <w:r w:rsidR="008F075D" w:rsidRPr="00E371AD">
        <w:t>”</w:t>
      </w:r>
      <w:r w:rsidR="00D930FF" w:rsidRPr="00E371AD">
        <w:t xml:space="preserve"> but, consistently with the </w:t>
      </w:r>
      <w:r w:rsidR="00883961" w:rsidRPr="00E371AD">
        <w:t xml:space="preserve">substance of the </w:t>
      </w:r>
      <w:r w:rsidR="00D930FF" w:rsidRPr="00E371AD">
        <w:t xml:space="preserve">AAN </w:t>
      </w:r>
      <w:r w:rsidR="008F075D" w:rsidRPr="00E371AD">
        <w:t>A</w:t>
      </w:r>
      <w:r w:rsidR="00D930FF" w:rsidRPr="00E371AD">
        <w:t>rt</w:t>
      </w:r>
      <w:r w:rsidR="00E371AD" w:rsidRPr="00E371AD">
        <w:t>icle, went on to say that “this</w:t>
      </w:r>
      <w:r w:rsidR="00D930FF" w:rsidRPr="00E371AD">
        <w:t xml:space="preserve"> </w:t>
      </w:r>
      <w:r w:rsidR="008F075D" w:rsidRPr="00E371AD">
        <w:t xml:space="preserve">is </w:t>
      </w:r>
      <w:r w:rsidR="00D930FF" w:rsidRPr="00E371AD">
        <w:t>not to say</w:t>
      </w:r>
      <w:r w:rsidR="00D930FF">
        <w:t xml:space="preserve"> that </w:t>
      </w:r>
      <w:proofErr w:type="spellStart"/>
      <w:r w:rsidR="00D930FF">
        <w:t>Hazaras</w:t>
      </w:r>
      <w:proofErr w:type="spellEnd"/>
      <w:r w:rsidR="00D930FF">
        <w:t xml:space="preserve"> face no risk of harm on account of their religion or race </w:t>
      </w:r>
      <w:r w:rsidR="00883961">
        <w:t>while travelling through insurgent or insecure areas”.</w:t>
      </w:r>
      <w:r w:rsidR="00610FF9">
        <w:t xml:space="preserve"> </w:t>
      </w:r>
      <w:r w:rsidR="008F075D">
        <w:t xml:space="preserve"> </w:t>
      </w:r>
      <w:r w:rsidR="00883961">
        <w:t xml:space="preserve">Secondly, </w:t>
      </w:r>
      <w:r w:rsidR="00D168AA">
        <w:t xml:space="preserve">the </w:t>
      </w:r>
      <w:r w:rsidR="008A021F">
        <w:t xml:space="preserve">transcript of the assessor’s interview with the appellant recorded that the </w:t>
      </w:r>
      <w:r w:rsidR="00334BF9">
        <w:t xml:space="preserve">assessor put to the appellant, for his consideration and comment, </w:t>
      </w:r>
      <w:r w:rsidR="007E4BD0">
        <w:t xml:space="preserve">that an </w:t>
      </w:r>
      <w:r w:rsidR="007E4BD0">
        <w:rPr>
          <w:szCs w:val="24"/>
        </w:rPr>
        <w:t xml:space="preserve">AAN </w:t>
      </w:r>
      <w:r w:rsidR="007E4BD0" w:rsidRPr="006678FC">
        <w:rPr>
          <w:szCs w:val="24"/>
        </w:rPr>
        <w:t xml:space="preserve">analysis of the </w:t>
      </w:r>
      <w:r w:rsidR="007E4BD0">
        <w:rPr>
          <w:szCs w:val="24"/>
        </w:rPr>
        <w:t xml:space="preserve">reported </w:t>
      </w:r>
      <w:r w:rsidR="007E4BD0" w:rsidRPr="006678FC">
        <w:rPr>
          <w:szCs w:val="24"/>
        </w:rPr>
        <w:t xml:space="preserve">claims of </w:t>
      </w:r>
      <w:proofErr w:type="spellStart"/>
      <w:r w:rsidR="007E4BD0" w:rsidRPr="006678FC">
        <w:rPr>
          <w:szCs w:val="24"/>
        </w:rPr>
        <w:t>Hazaras</w:t>
      </w:r>
      <w:proofErr w:type="spellEnd"/>
      <w:r w:rsidR="007E4BD0" w:rsidRPr="006678FC">
        <w:rPr>
          <w:szCs w:val="24"/>
        </w:rPr>
        <w:t xml:space="preserve"> being targeted and killed or kidnapped on the roads in Afghanistan showed that in nearly </w:t>
      </w:r>
      <w:r w:rsidR="007E4BD0" w:rsidRPr="00E371AD">
        <w:rPr>
          <w:szCs w:val="24"/>
        </w:rPr>
        <w:t>all cases</w:t>
      </w:r>
      <w:r w:rsidR="003A0DDC" w:rsidRPr="00E371AD">
        <w:rPr>
          <w:szCs w:val="24"/>
        </w:rPr>
        <w:t>,</w:t>
      </w:r>
      <w:r w:rsidR="007E4BD0" w:rsidRPr="00E371AD">
        <w:rPr>
          <w:szCs w:val="24"/>
        </w:rPr>
        <w:t xml:space="preserve"> people were</w:t>
      </w:r>
      <w:r w:rsidR="007E4BD0" w:rsidRPr="006678FC">
        <w:rPr>
          <w:szCs w:val="24"/>
        </w:rPr>
        <w:t xml:space="preserve"> killed or kidnapped for reasons other than because they were </w:t>
      </w:r>
      <w:proofErr w:type="spellStart"/>
      <w:r w:rsidR="007E4BD0" w:rsidRPr="006678FC">
        <w:rPr>
          <w:szCs w:val="24"/>
        </w:rPr>
        <w:t>Hazaras</w:t>
      </w:r>
      <w:proofErr w:type="spellEnd"/>
      <w:r w:rsidR="007E4BD0" w:rsidRPr="006678FC">
        <w:rPr>
          <w:szCs w:val="24"/>
        </w:rPr>
        <w:t xml:space="preserve"> or Shi</w:t>
      </w:r>
      <w:r w:rsidR="007E4BD0">
        <w:rPr>
          <w:szCs w:val="24"/>
        </w:rPr>
        <w:t>a</w:t>
      </w:r>
      <w:r w:rsidR="007E4BD0">
        <w:t xml:space="preserve">. </w:t>
      </w:r>
      <w:r w:rsidR="004A27B3">
        <w:t xml:space="preserve"> </w:t>
      </w:r>
      <w:r w:rsidR="005F55AE">
        <w:t>That summary accorded with</w:t>
      </w:r>
      <w:r w:rsidR="003F7270">
        <w:t>,</w:t>
      </w:r>
      <w:r w:rsidR="005F55AE">
        <w:t xml:space="preserve"> </w:t>
      </w:r>
      <w:r w:rsidR="003F7270">
        <w:t xml:space="preserve">and did not take out of context, </w:t>
      </w:r>
      <w:r w:rsidR="005F55AE" w:rsidRPr="00E371AD">
        <w:t>what the</w:t>
      </w:r>
      <w:r w:rsidR="003F7270" w:rsidRPr="00E371AD">
        <w:t xml:space="preserve"> article said. </w:t>
      </w:r>
      <w:r w:rsidR="008F0822" w:rsidRPr="00E371AD">
        <w:t xml:space="preserve"> </w:t>
      </w:r>
      <w:r w:rsidR="00586A25" w:rsidRPr="00E371AD">
        <w:t>Accordingly</w:t>
      </w:r>
      <w:r w:rsidR="008F0822" w:rsidRPr="00E371AD">
        <w:t>,</w:t>
      </w:r>
      <w:r w:rsidR="00586A25" w:rsidRPr="00E371AD">
        <w:t xml:space="preserve"> </w:t>
      </w:r>
      <w:r w:rsidR="00706FD5" w:rsidRPr="00E371AD">
        <w:t>I do not think the claim that the assessor did not fairly present the information from that report has substance.</w:t>
      </w:r>
      <w:r w:rsidR="008F0822" w:rsidRPr="00E371AD">
        <w:t xml:space="preserve"> </w:t>
      </w:r>
      <w:r w:rsidR="00706FD5" w:rsidRPr="00E371AD">
        <w:t xml:space="preserve"> </w:t>
      </w:r>
      <w:r w:rsidR="006F51F5" w:rsidRPr="00E371AD">
        <w:t xml:space="preserve">It follows that the application to adduce the AAN </w:t>
      </w:r>
      <w:r w:rsidR="008F0822" w:rsidRPr="00E371AD">
        <w:t>A</w:t>
      </w:r>
      <w:r w:rsidR="006F51F5" w:rsidRPr="00E371AD">
        <w:t xml:space="preserve">rticle and the </w:t>
      </w:r>
      <w:proofErr w:type="spellStart"/>
      <w:r w:rsidR="006F51F5" w:rsidRPr="00E371AD">
        <w:t>Suroush</w:t>
      </w:r>
      <w:proofErr w:type="spellEnd"/>
      <w:r w:rsidR="006F51F5" w:rsidRPr="00E371AD">
        <w:t xml:space="preserve"> email chain as evidence supporting that argument is also refused</w:t>
      </w:r>
      <w:r w:rsidR="008F0822" w:rsidRPr="00E371AD">
        <w:t>.</w:t>
      </w:r>
      <w:r w:rsidR="006F51F5">
        <w:t xml:space="preserve"> </w:t>
      </w:r>
    </w:p>
    <w:p w14:paraId="1DA4C694" w14:textId="0008CF7E" w:rsidR="003F622E" w:rsidRDefault="00964D5F" w:rsidP="00A416A1">
      <w:pPr>
        <w:pStyle w:val="ParaNumbering"/>
        <w:rPr>
          <w:shd w:val="clear" w:color="auto" w:fill="FFFFFF"/>
        </w:rPr>
      </w:pPr>
      <w:r>
        <w:lastRenderedPageBreak/>
        <w:t xml:space="preserve">The third reason </w:t>
      </w:r>
      <w:r w:rsidR="00AD4F98">
        <w:t xml:space="preserve">concerns </w:t>
      </w:r>
      <w:r>
        <w:t xml:space="preserve">the </w:t>
      </w:r>
      <w:r w:rsidRPr="002A0180">
        <w:t xml:space="preserve">UK </w:t>
      </w:r>
      <w:r w:rsidR="005424D5" w:rsidRPr="002A0180">
        <w:t>H</w:t>
      </w:r>
      <w:r w:rsidRPr="002A0180">
        <w:t xml:space="preserve">ome </w:t>
      </w:r>
      <w:r w:rsidR="005424D5" w:rsidRPr="002A0180">
        <w:t>O</w:t>
      </w:r>
      <w:r w:rsidRPr="002A0180">
        <w:t xml:space="preserve">ffice </w:t>
      </w:r>
      <w:r w:rsidR="005424D5" w:rsidRPr="002A0180">
        <w:t>R</w:t>
      </w:r>
      <w:r w:rsidRPr="002A0180">
        <w:t>eport</w:t>
      </w:r>
      <w:r w:rsidR="00AC6283" w:rsidRPr="002A0180">
        <w:t xml:space="preserve">. </w:t>
      </w:r>
      <w:r w:rsidR="005424D5" w:rsidRPr="002A0180">
        <w:t xml:space="preserve"> </w:t>
      </w:r>
      <w:r w:rsidR="00346CF7" w:rsidRPr="002A0180">
        <w:t>The</w:t>
      </w:r>
      <w:r w:rsidR="00346CF7">
        <w:t xml:space="preserve"> document that the appellant seeks to put into evidence is not the document footnoted at </w:t>
      </w:r>
      <w:proofErr w:type="spellStart"/>
      <w:r w:rsidR="00346CF7">
        <w:t>fn</w:t>
      </w:r>
      <w:proofErr w:type="spellEnd"/>
      <w:r w:rsidR="00346CF7">
        <w:t xml:space="preserve"> 97</w:t>
      </w:r>
      <w:r w:rsidR="00637C2D">
        <w:t xml:space="preserve"> </w:t>
      </w:r>
      <w:r w:rsidR="00637C2D">
        <w:rPr>
          <w:shd w:val="clear" w:color="auto" w:fill="FFFFFF"/>
        </w:rPr>
        <w:t>–</w:t>
      </w:r>
      <w:r w:rsidR="00346CF7">
        <w:t xml:space="preserve"> referred to as a United Kingdom Home Office report dated 21 October 2014. </w:t>
      </w:r>
      <w:r w:rsidR="00386BE9">
        <w:t xml:space="preserve"> </w:t>
      </w:r>
      <w:r w:rsidR="00346CF7">
        <w:t xml:space="preserve">It is common ground that such a document does </w:t>
      </w:r>
      <w:r w:rsidR="00346CF7" w:rsidRPr="00097C02">
        <w:t xml:space="preserve">not exist. </w:t>
      </w:r>
      <w:r w:rsidR="00386BE9" w:rsidRPr="00097C02">
        <w:t xml:space="preserve"> </w:t>
      </w:r>
      <w:r w:rsidR="003E4693" w:rsidRPr="00097C02">
        <w:t>There</w:t>
      </w:r>
      <w:r w:rsidR="003E4693">
        <w:t xml:space="preserve"> is </w:t>
      </w:r>
      <w:r w:rsidR="003E4693" w:rsidRPr="002A0180">
        <w:t xml:space="preserve">however a </w:t>
      </w:r>
      <w:r w:rsidR="00915503" w:rsidRPr="002A0180">
        <w:t xml:space="preserve">UK Home Office </w:t>
      </w:r>
      <w:r w:rsidR="003E4693" w:rsidRPr="002A0180">
        <w:t xml:space="preserve">2013 </w:t>
      </w:r>
      <w:r w:rsidR="00386BE9" w:rsidRPr="002A0180">
        <w:t>r</w:t>
      </w:r>
      <w:r w:rsidR="003E4693" w:rsidRPr="002A0180">
        <w:t>eport</w:t>
      </w:r>
      <w:r w:rsidR="00915503" w:rsidRPr="002A0180">
        <w:t xml:space="preserve"> (</w:t>
      </w:r>
      <w:r w:rsidR="00915503" w:rsidRPr="002A0180">
        <w:rPr>
          <w:b/>
        </w:rPr>
        <w:t>2013 Report</w:t>
      </w:r>
      <w:r w:rsidR="00915503" w:rsidRPr="002A0180">
        <w:t>)</w:t>
      </w:r>
      <w:r w:rsidR="00386BE9" w:rsidRPr="002A0180">
        <w:t>,</w:t>
      </w:r>
      <w:r w:rsidR="003E4693" w:rsidRPr="002A0180">
        <w:t xml:space="preserve"> </w:t>
      </w:r>
      <w:r w:rsidR="00DF71AA" w:rsidRPr="002A0180">
        <w:t>which</w:t>
      </w:r>
      <w:r w:rsidR="00DF71AA">
        <w:t xml:space="preserve"> </w:t>
      </w:r>
      <w:r w:rsidR="003E4693">
        <w:t>the appellant seeks to</w:t>
      </w:r>
      <w:r w:rsidR="001F51E8">
        <w:t xml:space="preserve"> adduce</w:t>
      </w:r>
      <w:r w:rsidR="00DF71AA">
        <w:t xml:space="preserve"> in evidence to support </w:t>
      </w:r>
      <w:r w:rsidR="001F51E8">
        <w:t>the</w:t>
      </w:r>
      <w:r w:rsidR="003E4693">
        <w:t xml:space="preserve"> submission </w:t>
      </w:r>
      <w:r w:rsidR="00DF71AA">
        <w:t xml:space="preserve">that </w:t>
      </w:r>
      <w:r w:rsidR="00B160D6">
        <w:t xml:space="preserve">the report </w:t>
      </w:r>
      <w:r w:rsidR="00E84C27">
        <w:t xml:space="preserve">contained material that was highly probative for the complementary portion of the appellant’s claim </w:t>
      </w:r>
      <w:r w:rsidR="00BD4A57" w:rsidRPr="00B160D6">
        <w:rPr>
          <w:szCs w:val="24"/>
        </w:rPr>
        <w:t>and</w:t>
      </w:r>
      <w:r w:rsidR="00B160D6">
        <w:rPr>
          <w:szCs w:val="24"/>
        </w:rPr>
        <w:t xml:space="preserve"> </w:t>
      </w:r>
      <w:r w:rsidR="00BD4A57" w:rsidRPr="00B160D6">
        <w:rPr>
          <w:szCs w:val="24"/>
        </w:rPr>
        <w:t>a misleading and selective representation of the true nature of the report</w:t>
      </w:r>
      <w:r w:rsidR="00B160D6">
        <w:rPr>
          <w:szCs w:val="24"/>
        </w:rPr>
        <w:t xml:space="preserve"> was relied on by the assessor</w:t>
      </w:r>
      <w:r w:rsidR="00BD4A57" w:rsidRPr="00B160D6">
        <w:rPr>
          <w:szCs w:val="24"/>
        </w:rPr>
        <w:t xml:space="preserve">. </w:t>
      </w:r>
      <w:r w:rsidR="00480B06">
        <w:rPr>
          <w:shd w:val="clear" w:color="auto" w:fill="FFFFFF"/>
        </w:rPr>
        <w:t xml:space="preserve"> </w:t>
      </w:r>
      <w:r w:rsidR="003F622E">
        <w:rPr>
          <w:shd w:val="clear" w:color="auto" w:fill="FFFFFF"/>
        </w:rPr>
        <w:t xml:space="preserve">There are </w:t>
      </w:r>
      <w:r w:rsidR="001303FD">
        <w:rPr>
          <w:shd w:val="clear" w:color="auto" w:fill="FFFFFF"/>
        </w:rPr>
        <w:t xml:space="preserve">four </w:t>
      </w:r>
      <w:r w:rsidR="003F622E">
        <w:rPr>
          <w:shd w:val="clear" w:color="auto" w:fill="FFFFFF"/>
        </w:rPr>
        <w:t>responses to this argument.</w:t>
      </w:r>
    </w:p>
    <w:p w14:paraId="5562CC05" w14:textId="49FA0D09" w:rsidR="001303FD" w:rsidRDefault="003F622E" w:rsidP="00A416A1">
      <w:pPr>
        <w:pStyle w:val="ParaNumbering"/>
        <w:rPr>
          <w:shd w:val="clear" w:color="auto" w:fill="FFFFFF"/>
        </w:rPr>
      </w:pPr>
      <w:r>
        <w:rPr>
          <w:shd w:val="clear" w:color="auto" w:fill="FFFFFF"/>
        </w:rPr>
        <w:t>First</w:t>
      </w:r>
      <w:r w:rsidR="001303FD">
        <w:rPr>
          <w:shd w:val="clear" w:color="auto" w:fill="FFFFFF"/>
        </w:rPr>
        <w:t xml:space="preserve">, it does not appear that </w:t>
      </w:r>
      <w:r w:rsidR="00707836">
        <w:rPr>
          <w:shd w:val="clear" w:color="auto" w:fill="FFFFFF"/>
        </w:rPr>
        <w:t xml:space="preserve">the appellant </w:t>
      </w:r>
      <w:r w:rsidR="00707836" w:rsidRPr="0042346B">
        <w:rPr>
          <w:shd w:val="clear" w:color="auto" w:fill="FFFFFF"/>
        </w:rPr>
        <w:t xml:space="preserve">raised in the </w:t>
      </w:r>
      <w:r w:rsidR="00633A66" w:rsidRPr="0042346B">
        <w:rPr>
          <w:shd w:val="clear" w:color="auto" w:fill="FFFFFF"/>
        </w:rPr>
        <w:t>C</w:t>
      </w:r>
      <w:r w:rsidR="00707836" w:rsidRPr="0042346B">
        <w:rPr>
          <w:shd w:val="clear" w:color="auto" w:fill="FFFFFF"/>
        </w:rPr>
        <w:t xml:space="preserve">ourt below that </w:t>
      </w:r>
      <w:r w:rsidR="00707836" w:rsidRPr="0042346B">
        <w:t>the</w:t>
      </w:r>
      <w:r w:rsidR="00707836">
        <w:t xml:space="preserve"> document footnoted at </w:t>
      </w:r>
      <w:proofErr w:type="spellStart"/>
      <w:r w:rsidR="00707836">
        <w:t>fn</w:t>
      </w:r>
      <w:proofErr w:type="spellEnd"/>
      <w:r w:rsidR="00707836">
        <w:t xml:space="preserve"> 97 does not exist. </w:t>
      </w:r>
      <w:r w:rsidR="00D2596D">
        <w:t xml:space="preserve"> </w:t>
      </w:r>
      <w:r w:rsidR="00707836">
        <w:t xml:space="preserve">The appellant now seeks to argue that given that reference is wrong, there is no way of knowing what document or report was ultimately relied on by the assessor and “such a state of affairs is clearly unsafe”. </w:t>
      </w:r>
      <w:r w:rsidR="00D2596D">
        <w:t xml:space="preserve"> </w:t>
      </w:r>
      <w:r w:rsidR="00707836">
        <w:t xml:space="preserve">That argument is new and requires leave.  </w:t>
      </w:r>
    </w:p>
    <w:p w14:paraId="4A39B4C2" w14:textId="023F2C0E" w:rsidR="00D7250E" w:rsidRPr="00A416A1" w:rsidRDefault="001303FD" w:rsidP="00A416A1">
      <w:pPr>
        <w:pStyle w:val="ParaNumbering"/>
        <w:rPr>
          <w:shd w:val="clear" w:color="auto" w:fill="FFFFFF"/>
        </w:rPr>
      </w:pPr>
      <w:r>
        <w:rPr>
          <w:shd w:val="clear" w:color="auto" w:fill="FFFFFF"/>
        </w:rPr>
        <w:t xml:space="preserve">Secondly, </w:t>
      </w:r>
      <w:r w:rsidR="003F622E">
        <w:rPr>
          <w:shd w:val="clear" w:color="auto" w:fill="FFFFFF"/>
        </w:rPr>
        <w:t xml:space="preserve">the argument now sought to be advanced </w:t>
      </w:r>
      <w:r w:rsidR="00916C9D">
        <w:rPr>
          <w:shd w:val="clear" w:color="auto" w:fill="FFFFFF"/>
        </w:rPr>
        <w:t xml:space="preserve">that </w:t>
      </w:r>
      <w:r w:rsidR="00916C9D" w:rsidRPr="00B160D6">
        <w:rPr>
          <w:szCs w:val="24"/>
        </w:rPr>
        <w:t>a misleading and selective representation of the true nature of the report</w:t>
      </w:r>
      <w:r w:rsidR="00916C9D">
        <w:rPr>
          <w:szCs w:val="24"/>
        </w:rPr>
        <w:t xml:space="preserve"> was relied on by the assessor</w:t>
      </w:r>
      <w:r w:rsidR="00916C9D">
        <w:t xml:space="preserve"> </w:t>
      </w:r>
      <w:r w:rsidR="00964D5F">
        <w:t>is</w:t>
      </w:r>
      <w:r w:rsidR="003F622E">
        <w:t xml:space="preserve"> </w:t>
      </w:r>
      <w:r w:rsidR="00916C9D">
        <w:t xml:space="preserve">also a </w:t>
      </w:r>
      <w:r w:rsidR="00480B06">
        <w:t xml:space="preserve">completely </w:t>
      </w:r>
      <w:r w:rsidR="00964D5F">
        <w:t xml:space="preserve">new </w:t>
      </w:r>
      <w:r w:rsidR="00964D5F" w:rsidRPr="00C2632C">
        <w:t>argument</w:t>
      </w:r>
      <w:r w:rsidR="008E07FA" w:rsidRPr="00C2632C">
        <w:t>,</w:t>
      </w:r>
      <w:r w:rsidR="00964D5F" w:rsidRPr="00C2632C">
        <w:t xml:space="preserve"> which r</w:t>
      </w:r>
      <w:r w:rsidR="00820E14" w:rsidRPr="00C2632C">
        <w:t>equires th</w:t>
      </w:r>
      <w:r w:rsidR="00A416A1" w:rsidRPr="00C2632C">
        <w:t>e leave of the Court to advance</w:t>
      </w:r>
      <w:r w:rsidR="003F622E" w:rsidRPr="00C2632C">
        <w:t>.</w:t>
      </w:r>
      <w:r w:rsidR="00A416A1" w:rsidRPr="00C2632C">
        <w:t xml:space="preserve"> </w:t>
      </w:r>
      <w:r w:rsidR="00B8706F" w:rsidRPr="00C2632C">
        <w:t xml:space="preserve"> </w:t>
      </w:r>
      <w:r w:rsidR="003F622E" w:rsidRPr="00C2632C">
        <w:t xml:space="preserve">The </w:t>
      </w:r>
      <w:r w:rsidR="00820E14" w:rsidRPr="00C2632C">
        <w:t xml:space="preserve">contention </w:t>
      </w:r>
      <w:r w:rsidR="00916C9D" w:rsidRPr="00C2632C">
        <w:t xml:space="preserve">which was </w:t>
      </w:r>
      <w:r w:rsidR="00820E14" w:rsidRPr="00C2632C">
        <w:t>put by the appellant below</w:t>
      </w:r>
      <w:r w:rsidR="003E49B7" w:rsidRPr="00C2632C">
        <w:rPr>
          <w:szCs w:val="24"/>
          <w:lang w:eastAsia="en-AU"/>
        </w:rPr>
        <w:t xml:space="preserve"> (FCC Decision, [32])</w:t>
      </w:r>
      <w:r w:rsidR="00820E14" w:rsidRPr="00C2632C">
        <w:t xml:space="preserve"> was</w:t>
      </w:r>
      <w:r w:rsidR="00A416A1" w:rsidRPr="00C2632C">
        <w:t xml:space="preserve"> that</w:t>
      </w:r>
      <w:r w:rsidR="00D7250E">
        <w:t>:</w:t>
      </w:r>
    </w:p>
    <w:p w14:paraId="22D84142" w14:textId="665E5C39" w:rsidR="00480B06" w:rsidRDefault="00D7250E" w:rsidP="00D7250E">
      <w:pPr>
        <w:pStyle w:val="Quote1"/>
        <w:rPr>
          <w:lang w:eastAsia="en-AU"/>
        </w:rPr>
      </w:pPr>
      <w:r>
        <w:t xml:space="preserve">The </w:t>
      </w:r>
      <w:r w:rsidR="00FF757A" w:rsidRPr="00613827">
        <w:t>A</w:t>
      </w:r>
      <w:r w:rsidR="00820E14" w:rsidRPr="00613827">
        <w:t xml:space="preserve">ssessor stated that the report made </w:t>
      </w:r>
      <w:r w:rsidR="00820E14" w:rsidRPr="00613827">
        <w:rPr>
          <w:lang w:eastAsia="en-AU"/>
        </w:rPr>
        <w:t>no mention of adult returnees who departed Afghanistan as adults facing harm</w:t>
      </w:r>
      <w:r w:rsidR="00FF757A" w:rsidRPr="00613827">
        <w:rPr>
          <w:lang w:eastAsia="en-AU"/>
        </w:rPr>
        <w:t>.</w:t>
      </w:r>
      <w:r w:rsidR="00613827" w:rsidRPr="00613827">
        <w:rPr>
          <w:lang w:eastAsia="en-AU"/>
        </w:rPr>
        <w:t xml:space="preserve"> </w:t>
      </w:r>
      <w:r w:rsidR="00FF757A" w:rsidRPr="00613827">
        <w:rPr>
          <w:lang w:eastAsia="en-AU"/>
        </w:rPr>
        <w:t xml:space="preserve">The Assessor </w:t>
      </w:r>
      <w:r w:rsidR="00820E14" w:rsidRPr="00613827">
        <w:rPr>
          <w:lang w:eastAsia="en-AU"/>
        </w:rPr>
        <w:t>concluded that since such a person was not mentioned in the report meant that there was</w:t>
      </w:r>
      <w:r w:rsidR="00820E14">
        <w:rPr>
          <w:lang w:eastAsia="en-AU"/>
        </w:rPr>
        <w:t xml:space="preserve"> no harm to such a person. </w:t>
      </w:r>
      <w:r>
        <w:rPr>
          <w:lang w:eastAsia="en-AU"/>
        </w:rPr>
        <w:t xml:space="preserve">This country information was not put to </w:t>
      </w:r>
      <w:r w:rsidRPr="006D6375">
        <w:rPr>
          <w:lang w:eastAsia="en-AU"/>
        </w:rPr>
        <w:t>the applicant</w:t>
      </w:r>
      <w:r>
        <w:rPr>
          <w:lang w:eastAsia="en-AU"/>
        </w:rPr>
        <w:t xml:space="preserve"> for comment. </w:t>
      </w:r>
    </w:p>
    <w:p w14:paraId="5D4C3F17" w14:textId="26219D97" w:rsidR="00E22D2C" w:rsidRDefault="00E22D2C" w:rsidP="006F0837">
      <w:pPr>
        <w:pStyle w:val="NoNum"/>
      </w:pPr>
      <w:r>
        <w:t xml:space="preserve">No explanation was given as to why the argument now </w:t>
      </w:r>
      <w:r w:rsidR="00F26C0F">
        <w:t xml:space="preserve">sought to be </w:t>
      </w:r>
      <w:r>
        <w:t xml:space="preserve">raised was not below, though again it may reasonably be inferred that new counsel has thought up a new point. </w:t>
      </w:r>
    </w:p>
    <w:p w14:paraId="511D4573" w14:textId="338B4631" w:rsidR="00916C9D" w:rsidRPr="003F377C" w:rsidRDefault="00916C9D" w:rsidP="006159DB">
      <w:pPr>
        <w:pStyle w:val="ParaNumbering"/>
        <w:rPr>
          <w:shd w:val="clear" w:color="auto" w:fill="FFFFFF"/>
        </w:rPr>
      </w:pPr>
      <w:r>
        <w:t>Thirdly</w:t>
      </w:r>
      <w:r w:rsidR="003F622E">
        <w:t xml:space="preserve">, the proposed new argument </w:t>
      </w:r>
      <w:r w:rsidR="0074763D">
        <w:t xml:space="preserve">fails to engage with </w:t>
      </w:r>
      <w:r w:rsidR="00EB62FA">
        <w:t xml:space="preserve">what in fact the assessor </w:t>
      </w:r>
      <w:r w:rsidR="0074763D">
        <w:t xml:space="preserve">said </w:t>
      </w:r>
      <w:r w:rsidR="00EB62FA">
        <w:t xml:space="preserve">which was </w:t>
      </w:r>
      <w:r w:rsidR="00EB62FA" w:rsidRPr="00884BDF">
        <w:t xml:space="preserve">that the </w:t>
      </w:r>
      <w:r w:rsidR="00915503" w:rsidRPr="00884BDF">
        <w:t xml:space="preserve">ITOA </w:t>
      </w:r>
      <w:r w:rsidR="00EB62FA" w:rsidRPr="00884BDF">
        <w:t xml:space="preserve">report “[made] no mention of adult </w:t>
      </w:r>
      <w:r w:rsidR="00C84B10" w:rsidRPr="00884BDF">
        <w:t>returnees</w:t>
      </w:r>
      <w:r w:rsidR="00EB62FA" w:rsidRPr="00884BDF">
        <w:t xml:space="preserve"> who departed</w:t>
      </w:r>
      <w:r w:rsidR="00C84B10" w:rsidRPr="00884BDF">
        <w:rPr>
          <w:lang w:eastAsia="en-AU"/>
        </w:rPr>
        <w:t xml:space="preserve"> Afghanistan</w:t>
      </w:r>
      <w:r w:rsidR="00EB62FA" w:rsidRPr="00884BDF">
        <w:t xml:space="preserve"> as adults </w:t>
      </w:r>
      <w:r w:rsidR="00C84B10" w:rsidRPr="00884BDF">
        <w:t xml:space="preserve">facing harm </w:t>
      </w:r>
      <w:r w:rsidR="00C84B10" w:rsidRPr="00884BDF">
        <w:rPr>
          <w:i/>
        </w:rPr>
        <w:t>because they are imputed with certain religious or political opinions due to their residence aboard”</w:t>
      </w:r>
      <w:r w:rsidR="00915503" w:rsidRPr="00884BDF">
        <w:t xml:space="preserve"> (emphasis added) (ITOA report, p 32).  </w:t>
      </w:r>
      <w:r w:rsidR="00C84B10" w:rsidRPr="00884BDF">
        <w:rPr>
          <w:szCs w:val="24"/>
        </w:rPr>
        <w:t>The assertion</w:t>
      </w:r>
      <w:r w:rsidR="00C84B10" w:rsidRPr="00C84B10">
        <w:rPr>
          <w:szCs w:val="24"/>
        </w:rPr>
        <w:t xml:space="preserve"> of misleading and selective representation</w:t>
      </w:r>
      <w:r w:rsidR="00C84B10">
        <w:rPr>
          <w:szCs w:val="24"/>
        </w:rPr>
        <w:t xml:space="preserve"> does not</w:t>
      </w:r>
      <w:r w:rsidR="00EA0FF7" w:rsidRPr="00884BDF">
        <w:rPr>
          <w:szCs w:val="24"/>
        </w:rPr>
        <w:t>,</w:t>
      </w:r>
      <w:r w:rsidR="00C84B10" w:rsidRPr="00884BDF">
        <w:rPr>
          <w:szCs w:val="24"/>
        </w:rPr>
        <w:t xml:space="preserve"> </w:t>
      </w:r>
      <w:r w:rsidR="006159DB" w:rsidRPr="00884BDF">
        <w:rPr>
          <w:szCs w:val="24"/>
        </w:rPr>
        <w:t>however</w:t>
      </w:r>
      <w:r w:rsidR="00915503" w:rsidRPr="00884BDF">
        <w:rPr>
          <w:szCs w:val="24"/>
        </w:rPr>
        <w:t>,</w:t>
      </w:r>
      <w:r w:rsidR="006159DB" w:rsidRPr="00884BDF">
        <w:rPr>
          <w:szCs w:val="24"/>
        </w:rPr>
        <w:t xml:space="preserve"> </w:t>
      </w:r>
      <w:r w:rsidR="00C84B10" w:rsidRPr="00884BDF">
        <w:rPr>
          <w:szCs w:val="24"/>
        </w:rPr>
        <w:t xml:space="preserve">relate to </w:t>
      </w:r>
      <w:r w:rsidR="00DD663A" w:rsidRPr="00884BDF">
        <w:rPr>
          <w:szCs w:val="24"/>
        </w:rPr>
        <w:t>anything</w:t>
      </w:r>
      <w:r w:rsidR="00DD663A">
        <w:rPr>
          <w:szCs w:val="24"/>
        </w:rPr>
        <w:t xml:space="preserve"> contained in the report related to </w:t>
      </w:r>
      <w:r w:rsidR="00DD663A">
        <w:t>returnees who departed</w:t>
      </w:r>
      <w:r w:rsidR="00DD663A" w:rsidRPr="00C84B10">
        <w:rPr>
          <w:lang w:eastAsia="en-AU"/>
        </w:rPr>
        <w:t xml:space="preserve"> </w:t>
      </w:r>
      <w:r w:rsidR="00DD663A" w:rsidRPr="00F02591">
        <w:rPr>
          <w:lang w:eastAsia="en-AU"/>
        </w:rPr>
        <w:t>Afghanistan</w:t>
      </w:r>
      <w:r w:rsidR="00DD663A">
        <w:t xml:space="preserve"> as adults facing harm </w:t>
      </w:r>
      <w:r w:rsidR="007C0AFA">
        <w:t>“</w:t>
      </w:r>
      <w:r w:rsidR="00DD663A" w:rsidRPr="00DD663A">
        <w:t>because they are imputed with certain religious or political opinions due to their residence aboard</w:t>
      </w:r>
      <w:r w:rsidR="007C0AFA">
        <w:t>”</w:t>
      </w:r>
      <w:r w:rsidR="00DD663A">
        <w:t xml:space="preserve">. </w:t>
      </w:r>
      <w:r w:rsidR="00915503">
        <w:t xml:space="preserve"> </w:t>
      </w:r>
      <w:r w:rsidR="0074763D">
        <w:t xml:space="preserve">Senior counsel sought to address this by arguing that a fair reading of the material in the </w:t>
      </w:r>
      <w:r w:rsidR="0074763D" w:rsidRPr="00B65D47">
        <w:t xml:space="preserve">2013 </w:t>
      </w:r>
      <w:r w:rsidR="00915503" w:rsidRPr="00B65D47">
        <w:t>R</w:t>
      </w:r>
      <w:r w:rsidR="0074763D" w:rsidRPr="00B65D47">
        <w:t xml:space="preserve">eport “paints a different picture to the picture that has been taken from it”. </w:t>
      </w:r>
      <w:r w:rsidR="00915503" w:rsidRPr="00B65D47">
        <w:t xml:space="preserve"> </w:t>
      </w:r>
      <w:r w:rsidR="0076610C" w:rsidRPr="00B65D47">
        <w:t>However</w:t>
      </w:r>
      <w:r w:rsidR="006159DB" w:rsidRPr="00B65D47">
        <w:t>,</w:t>
      </w:r>
      <w:r w:rsidR="0076610C" w:rsidRPr="00B65D47">
        <w:t xml:space="preserve"> it is difficult to see how a claim of denial of procedural fairness can be made out without </w:t>
      </w:r>
      <w:r w:rsidR="00EA0FF7" w:rsidRPr="00B65D47">
        <w:t xml:space="preserve">first </w:t>
      </w:r>
      <w:r w:rsidR="0076610C" w:rsidRPr="00B65D47">
        <w:t xml:space="preserve">establishing that the 2013 </w:t>
      </w:r>
      <w:r w:rsidR="00915503" w:rsidRPr="00B65D47">
        <w:t>R</w:t>
      </w:r>
      <w:r w:rsidR="0076610C" w:rsidRPr="00B65D47">
        <w:t>eport</w:t>
      </w:r>
      <w:r w:rsidR="0076610C">
        <w:t xml:space="preserve"> was in fact </w:t>
      </w:r>
      <w:r w:rsidR="006159DB">
        <w:t xml:space="preserve">the source relied on </w:t>
      </w:r>
      <w:r w:rsidR="0076610C">
        <w:t xml:space="preserve">by </w:t>
      </w:r>
      <w:r w:rsidR="0076610C" w:rsidRPr="003F377C">
        <w:t>the assessor,</w:t>
      </w:r>
      <w:r w:rsidR="006159DB" w:rsidRPr="003F377C">
        <w:t xml:space="preserve"> which was not done. </w:t>
      </w:r>
    </w:p>
    <w:p w14:paraId="610CA70B" w14:textId="65E05D85" w:rsidR="007C0AFA" w:rsidRPr="007C0AFA" w:rsidRDefault="00916C9D" w:rsidP="007C0AFA">
      <w:pPr>
        <w:pStyle w:val="ParaNumbering"/>
        <w:rPr>
          <w:shd w:val="clear" w:color="auto" w:fill="FFFFFF"/>
        </w:rPr>
      </w:pPr>
      <w:r w:rsidRPr="003F377C">
        <w:lastRenderedPageBreak/>
        <w:t>Fourthly</w:t>
      </w:r>
      <w:r w:rsidR="006159DB" w:rsidRPr="003F377C">
        <w:t xml:space="preserve">, </w:t>
      </w:r>
      <w:r w:rsidR="009B025B" w:rsidRPr="003F377C">
        <w:t xml:space="preserve">it was not </w:t>
      </w:r>
      <w:r w:rsidR="00110714" w:rsidRPr="003F377C">
        <w:t xml:space="preserve">put </w:t>
      </w:r>
      <w:r w:rsidR="009B025B" w:rsidRPr="003F377C">
        <w:t xml:space="preserve">that </w:t>
      </w:r>
      <w:r w:rsidR="002364E3" w:rsidRPr="003F377C">
        <w:t xml:space="preserve">the </w:t>
      </w:r>
      <w:r w:rsidR="006159DB" w:rsidRPr="003F377C">
        <w:t xml:space="preserve">2013 </w:t>
      </w:r>
      <w:r w:rsidR="003F377C" w:rsidRPr="003F377C">
        <w:t>Report</w:t>
      </w:r>
      <w:r w:rsidR="00964D5F" w:rsidRPr="003F377C">
        <w:t xml:space="preserve"> </w:t>
      </w:r>
      <w:r w:rsidR="00110714" w:rsidRPr="003F377C">
        <w:t xml:space="preserve">did </w:t>
      </w:r>
      <w:r w:rsidR="007C0AFA">
        <w:t xml:space="preserve">actually </w:t>
      </w:r>
      <w:r w:rsidR="00110714" w:rsidRPr="003F377C">
        <w:t xml:space="preserve">mention anything </w:t>
      </w:r>
      <w:r w:rsidR="009B025B" w:rsidRPr="003F377C">
        <w:t>about returnees who departed</w:t>
      </w:r>
      <w:r w:rsidR="009B025B" w:rsidRPr="003F377C">
        <w:rPr>
          <w:lang w:eastAsia="en-AU"/>
        </w:rPr>
        <w:t xml:space="preserve"> Afghanistan</w:t>
      </w:r>
      <w:r w:rsidR="009B025B" w:rsidRPr="003F377C">
        <w:t xml:space="preserve"> as adults facing harm </w:t>
      </w:r>
      <w:r w:rsidR="007C0AFA">
        <w:t>“</w:t>
      </w:r>
      <w:r w:rsidR="009B025B" w:rsidRPr="003F377C">
        <w:t>because they are imputed with certain religious or political opinions</w:t>
      </w:r>
      <w:r w:rsidR="007C0AFA">
        <w:t>”</w:t>
      </w:r>
      <w:r w:rsidR="009B025B" w:rsidRPr="003F377C">
        <w:t xml:space="preserve"> and accordingly</w:t>
      </w:r>
      <w:r w:rsidRPr="003F377C">
        <w:t>,</w:t>
      </w:r>
      <w:r w:rsidR="009B025B" w:rsidRPr="003F377C">
        <w:t xml:space="preserve"> the 2013 </w:t>
      </w:r>
      <w:r w:rsidR="00C76E60" w:rsidRPr="003F377C">
        <w:t>R</w:t>
      </w:r>
      <w:r w:rsidR="009B025B" w:rsidRPr="003F377C">
        <w:t>eport</w:t>
      </w:r>
      <w:r w:rsidR="009B025B">
        <w:t xml:space="preserve"> </w:t>
      </w:r>
      <w:r w:rsidR="006159DB">
        <w:t xml:space="preserve">does not </w:t>
      </w:r>
      <w:r w:rsidR="00964D5F">
        <w:t xml:space="preserve">need to be in evidence in order to </w:t>
      </w:r>
      <w:r w:rsidR="009B025B">
        <w:t xml:space="preserve">support the argument that was put below. </w:t>
      </w:r>
    </w:p>
    <w:p w14:paraId="31955EA9" w14:textId="10A50F59" w:rsidR="00687FB5" w:rsidRPr="00392F07" w:rsidRDefault="002333E4" w:rsidP="00754EE9">
      <w:pPr>
        <w:pStyle w:val="ParaNumbering"/>
        <w:rPr>
          <w:shd w:val="clear" w:color="auto" w:fill="FFFFFF"/>
        </w:rPr>
      </w:pPr>
      <w:r w:rsidRPr="00392F07">
        <w:t>That leaves the appeal itself</w:t>
      </w:r>
      <w:r w:rsidR="007C0AFA">
        <w:t xml:space="preserve"> for consideration</w:t>
      </w:r>
      <w:r w:rsidRPr="00392F07">
        <w:t>.  It was contended by the appellant that the FCC erred by finding that the country information that was not provided to the appellant for comment did not involve a breach of the duty to accord procedural fairness because</w:t>
      </w:r>
      <w:r w:rsidR="00C031BE" w:rsidRPr="00392F07">
        <w:t>, as the FCC reasoned,</w:t>
      </w:r>
      <w:r w:rsidRPr="00392F07">
        <w:t xml:space="preserve"> the relevant information “served only to identify the issue relevantly under consideration, and was not relied on by the Assessor in reaching his conclusion on that issue…”</w:t>
      </w:r>
      <w:r w:rsidR="005271CA" w:rsidRPr="00392F07">
        <w:t xml:space="preserve"> (FCC Decision, [24])</w:t>
      </w:r>
      <w:r w:rsidR="005F63A0" w:rsidRPr="00392F07">
        <w:t>.  It was submitted</w:t>
      </w:r>
      <w:r w:rsidR="005271CA" w:rsidRPr="00392F07">
        <w:t xml:space="preserve"> that</w:t>
      </w:r>
      <w:r w:rsidR="005F63A0" w:rsidRPr="00392F07">
        <w:t xml:space="preserve"> the same error continued to his Honour’s conclusion that “because the information</w:t>
      </w:r>
      <w:r w:rsidR="00470EFB" w:rsidRPr="00392F07">
        <w:t xml:space="preserve"> </w:t>
      </w:r>
      <w:r w:rsidR="005271CA" w:rsidRPr="00392F07">
        <w:t>…</w:t>
      </w:r>
      <w:r w:rsidR="00BE45B3">
        <w:t xml:space="preserve"> </w:t>
      </w:r>
      <w:r w:rsidR="005F63A0" w:rsidRPr="00392F07">
        <w:t>played no part in the Assessor’s reasoning, no practical unfairness was suffered</w:t>
      </w:r>
      <w:r w:rsidR="00470EFB" w:rsidRPr="00392F07">
        <w:t> </w:t>
      </w:r>
      <w:r w:rsidR="005271CA" w:rsidRPr="00392F07">
        <w:t>…</w:t>
      </w:r>
      <w:r w:rsidR="00470EFB" w:rsidRPr="00392F07">
        <w:t xml:space="preserve"> </w:t>
      </w:r>
      <w:r w:rsidR="005F63A0" w:rsidRPr="00392F07">
        <w:t>because its details were not supplied to him”</w:t>
      </w:r>
      <w:r w:rsidR="005271CA" w:rsidRPr="00392F07">
        <w:t xml:space="preserve"> (FCC Decision, [27])</w:t>
      </w:r>
      <w:r w:rsidR="005F63A0" w:rsidRPr="00392F07">
        <w:t>.  There is substance in the submission as put because</w:t>
      </w:r>
      <w:r w:rsidR="00C031BE" w:rsidRPr="00392F07">
        <w:t xml:space="preserve">, contrary to </w:t>
      </w:r>
      <w:r w:rsidR="00CC444C" w:rsidRPr="00392F07">
        <w:t xml:space="preserve">what </w:t>
      </w:r>
      <w:r w:rsidR="00C031BE" w:rsidRPr="00392F07">
        <w:t>the FCC</w:t>
      </w:r>
      <w:r w:rsidR="00CC444C" w:rsidRPr="00392F07">
        <w:t xml:space="preserve"> held,</w:t>
      </w:r>
      <w:r w:rsidR="00C031BE" w:rsidRPr="00392F07">
        <w:t xml:space="preserve"> </w:t>
      </w:r>
      <w:r w:rsidR="005F63A0" w:rsidRPr="00392F07">
        <w:t xml:space="preserve">it was </w:t>
      </w:r>
      <w:r w:rsidR="00CC444C" w:rsidRPr="00392F07">
        <w:t xml:space="preserve">in fact </w:t>
      </w:r>
      <w:r w:rsidR="005F63A0" w:rsidRPr="00392F07">
        <w:t xml:space="preserve">expressly stated by the assessor in his report that he based his adverse assessment having considered “the country information discussed above” which included the passages supported by the documents footnoted at </w:t>
      </w:r>
      <w:proofErr w:type="spellStart"/>
      <w:r w:rsidR="005F63A0" w:rsidRPr="00392F07">
        <w:t>fn</w:t>
      </w:r>
      <w:proofErr w:type="spellEnd"/>
      <w:r w:rsidR="005F63A0" w:rsidRPr="00392F07">
        <w:t xml:space="preserve"> 80–89.  However, that is not the appeal ground.  Rather the appeal ground is</w:t>
      </w:r>
      <w:r w:rsidR="003F15D9" w:rsidRPr="00392F07">
        <w:t xml:space="preserve"> that</w:t>
      </w:r>
      <w:r w:rsidR="005F63A0" w:rsidRPr="00392F07">
        <w:t xml:space="preserve"> the FCC applied the wrong test in requiring the undisclosed information in the </w:t>
      </w:r>
      <w:r w:rsidR="00C8584E" w:rsidRPr="00392F07">
        <w:t>ITOA</w:t>
      </w:r>
      <w:r w:rsidR="005F63A0" w:rsidRPr="00392F07">
        <w:t xml:space="preserve"> process to be adverse to the appellant’s interests and erred in finding that there was “no practical unfairness” in not disclosing that country information.  In written submissions</w:t>
      </w:r>
      <w:r w:rsidR="00C8584E" w:rsidRPr="00392F07">
        <w:t>,</w:t>
      </w:r>
      <w:r w:rsidR="005F63A0" w:rsidRPr="00392F07">
        <w:t xml:space="preserve"> it was contended that the items of country information that were not put to the appellant was set out in </w:t>
      </w:r>
      <w:proofErr w:type="spellStart"/>
      <w:r w:rsidR="005F63A0" w:rsidRPr="00392F07">
        <w:t>fn</w:t>
      </w:r>
      <w:proofErr w:type="spellEnd"/>
      <w:r w:rsidR="005F63A0" w:rsidRPr="00392F07">
        <w:t xml:space="preserve"> 80–89</w:t>
      </w:r>
      <w:r w:rsidR="00C8584E" w:rsidRPr="00392F07">
        <w:t xml:space="preserve"> and 97</w:t>
      </w:r>
      <w:r w:rsidR="005F63A0" w:rsidRPr="00392F07">
        <w:t xml:space="preserve"> – that is, the identity of the sources of the country information, not the country information itself.  The appellant did not elaborate as to why procedural fairness required the assessor to identify the source of the country information, not just the country information itself, other than to argue that the sources of the information were principally from news sources and, as such, the appellant should have been provided with the opportunity to make submissions on the reliability of those sources.  </w:t>
      </w:r>
      <w:r w:rsidR="00A92CEC" w:rsidRPr="00392F07">
        <w:t>I reject that submission</w:t>
      </w:r>
      <w:r w:rsidR="009505A4" w:rsidRPr="00392F07">
        <w:t xml:space="preserve">. </w:t>
      </w:r>
      <w:r w:rsidR="00470EFB" w:rsidRPr="00392F07">
        <w:t xml:space="preserve"> </w:t>
      </w:r>
      <w:r w:rsidR="009505A4" w:rsidRPr="00392F07">
        <w:t xml:space="preserve">No submission was put </w:t>
      </w:r>
      <w:r w:rsidR="005F63A0" w:rsidRPr="00B2795F">
        <w:t xml:space="preserve">below that any of the </w:t>
      </w:r>
      <w:r w:rsidR="000A7D09" w:rsidRPr="00B2795F">
        <w:t xml:space="preserve">sources </w:t>
      </w:r>
      <w:r w:rsidR="005F63A0" w:rsidRPr="00B2795F">
        <w:t xml:space="preserve">of country information referred to in </w:t>
      </w:r>
      <w:proofErr w:type="spellStart"/>
      <w:r w:rsidR="00AB0E9F" w:rsidRPr="00B2795F">
        <w:t>fn</w:t>
      </w:r>
      <w:proofErr w:type="spellEnd"/>
      <w:r w:rsidR="00AB0E9F" w:rsidRPr="00B2795F">
        <w:t xml:space="preserve"> </w:t>
      </w:r>
      <w:r w:rsidR="00687FB5" w:rsidRPr="00B2795F">
        <w:t>80–89</w:t>
      </w:r>
      <w:r w:rsidR="00C8584E" w:rsidRPr="00B2795F">
        <w:t xml:space="preserve"> and 97</w:t>
      </w:r>
      <w:r w:rsidR="00BC455E" w:rsidRPr="00B2795F">
        <w:t xml:space="preserve"> was unreliable </w:t>
      </w:r>
      <w:r w:rsidR="0009495C" w:rsidRPr="00B2795F">
        <w:t xml:space="preserve">nor has </w:t>
      </w:r>
      <w:r w:rsidR="00BC455E" w:rsidRPr="00B2795F">
        <w:t xml:space="preserve">the appellant </w:t>
      </w:r>
      <w:r w:rsidR="00A52D2A" w:rsidRPr="00B2795F">
        <w:t xml:space="preserve">identified </w:t>
      </w:r>
      <w:r w:rsidR="00687FB5" w:rsidRPr="00B2795F">
        <w:t xml:space="preserve">anything </w:t>
      </w:r>
      <w:r w:rsidR="00A52D2A" w:rsidRPr="00B2795F">
        <w:t xml:space="preserve">about </w:t>
      </w:r>
      <w:r w:rsidR="00E05991" w:rsidRPr="00B2795F">
        <w:t xml:space="preserve">the credibility or the reliability of the </w:t>
      </w:r>
      <w:r w:rsidR="00687FB5" w:rsidRPr="00B2795F">
        <w:t>information</w:t>
      </w:r>
      <w:r w:rsidR="00E05991" w:rsidRPr="00B2795F">
        <w:t xml:space="preserve"> taken from those sources</w:t>
      </w:r>
      <w:r w:rsidR="000A7D09" w:rsidRPr="00B2795F">
        <w:t>,</w:t>
      </w:r>
      <w:r w:rsidR="00F925F2" w:rsidRPr="00B2795F">
        <w:t xml:space="preserve"> </w:t>
      </w:r>
      <w:r w:rsidR="000A7D09" w:rsidRPr="00B2795F">
        <w:t xml:space="preserve">such </w:t>
      </w:r>
      <w:r w:rsidR="00754EE9" w:rsidRPr="00B2795F">
        <w:t xml:space="preserve">that procedural fairness required the assessor </w:t>
      </w:r>
      <w:r w:rsidR="00687FB5" w:rsidRPr="00B2795F">
        <w:t>to have identified where the information came from.</w:t>
      </w:r>
    </w:p>
    <w:p w14:paraId="4A5D43F3" w14:textId="43DA261A" w:rsidR="009B025B" w:rsidRPr="00392F07" w:rsidRDefault="00687FB5" w:rsidP="00964D5F">
      <w:pPr>
        <w:pStyle w:val="ParaNumbering"/>
        <w:rPr>
          <w:shd w:val="clear" w:color="auto" w:fill="FFFFFF"/>
        </w:rPr>
      </w:pPr>
      <w:r w:rsidRPr="00392F07">
        <w:t xml:space="preserve">There is also no </w:t>
      </w:r>
      <w:r w:rsidR="009F5B68" w:rsidRPr="00392F07">
        <w:t>substance</w:t>
      </w:r>
      <w:r w:rsidRPr="00392F07">
        <w:t xml:space="preserve"> to the </w:t>
      </w:r>
      <w:r w:rsidR="009B3BF7" w:rsidRPr="00392F07">
        <w:t xml:space="preserve">ground </w:t>
      </w:r>
      <w:r w:rsidRPr="00392F07">
        <w:t>that the FCC was in error in finding “no practical injustice” from the non</w:t>
      </w:r>
      <w:r w:rsidRPr="00392F07">
        <w:noBreakHyphen/>
        <w:t xml:space="preserve">disclosure of information.  True it is that the FCC so held on the basis that the passages to which the appellant referred in connection with the subject footnotes “did </w:t>
      </w:r>
      <w:r w:rsidRPr="00392F07">
        <w:lastRenderedPageBreak/>
        <w:t>not form part of the Assessor’s reasoning on that question”, wh</w:t>
      </w:r>
      <w:r w:rsidR="008A01EF" w:rsidRPr="00392F07">
        <w:t>ich, with respect, was in error.</w:t>
      </w:r>
      <w:r w:rsidRPr="00392F07">
        <w:t xml:space="preserve"> </w:t>
      </w:r>
      <w:r w:rsidR="002C361F" w:rsidRPr="00392F07">
        <w:t xml:space="preserve">However, </w:t>
      </w:r>
      <w:r w:rsidR="007759F2">
        <w:t xml:space="preserve">in support of the ground the appellant </w:t>
      </w:r>
      <w:r w:rsidRPr="00392F07">
        <w:t>only</w:t>
      </w:r>
      <w:r w:rsidR="00CB0886">
        <w:t xml:space="preserve"> made submissions in relation to the non-disclosure of </w:t>
      </w:r>
      <w:r w:rsidRPr="00392F07">
        <w:t xml:space="preserve">two </w:t>
      </w:r>
      <w:r w:rsidRPr="00B2795F">
        <w:t>items of country information, both of which are dealt with above, na</w:t>
      </w:r>
      <w:r w:rsidR="00B2795F" w:rsidRPr="00B2795F">
        <w:t xml:space="preserve">mely the author’s caveat in the </w:t>
      </w:r>
      <w:r w:rsidR="00CA6C5B" w:rsidRPr="00B2795F">
        <w:t>AAN</w:t>
      </w:r>
      <w:r w:rsidRPr="00B2795F">
        <w:t xml:space="preserve"> </w:t>
      </w:r>
      <w:r w:rsidR="007F57A2" w:rsidRPr="00B2795F">
        <w:t>A</w:t>
      </w:r>
      <w:r w:rsidRPr="00B2795F">
        <w:t xml:space="preserve">rticle and extracts from the 2013 </w:t>
      </w:r>
      <w:r w:rsidR="007F57A2" w:rsidRPr="00B2795F">
        <w:t>R</w:t>
      </w:r>
      <w:r w:rsidRPr="00B2795F">
        <w:t xml:space="preserve">eport.  It does appear </w:t>
      </w:r>
      <w:r w:rsidR="00B2795F" w:rsidRPr="00B2795F">
        <w:t xml:space="preserve">that the author’s caveat in the </w:t>
      </w:r>
      <w:r w:rsidR="00CA6C5B" w:rsidRPr="00B2795F">
        <w:t xml:space="preserve">AAN </w:t>
      </w:r>
      <w:r w:rsidR="007F57A2" w:rsidRPr="00B2795F">
        <w:t>A</w:t>
      </w:r>
      <w:r w:rsidRPr="00B2795F">
        <w:t>rticle</w:t>
      </w:r>
      <w:r w:rsidRPr="00392F07">
        <w:t xml:space="preserve"> was not disclosed to the appellant as such.  However, the non</w:t>
      </w:r>
      <w:r w:rsidRPr="00392F07">
        <w:noBreakHyphen/>
        <w:t xml:space="preserve">disclosure of the author’s caveat would amount to jurisdictional error only if the information had the potential to have borne on the decision in a manner helpful to the applicant: </w:t>
      </w:r>
      <w:r w:rsidR="001434B2" w:rsidRPr="00392F07">
        <w:rPr>
          <w:i/>
        </w:rPr>
        <w:t>MZACP</w:t>
      </w:r>
      <w:r w:rsidR="001434B2" w:rsidRPr="00392F07">
        <w:t>,</w:t>
      </w:r>
      <w:r w:rsidRPr="00392F07">
        <w:t xml:space="preserve"> [64].  It has not been demonstrated how that might be so.  Critically, there was nothing in the author’s </w:t>
      </w:r>
      <w:r w:rsidR="009F5B68" w:rsidRPr="00392F07">
        <w:t>caveat</w:t>
      </w:r>
      <w:r w:rsidR="004021FD" w:rsidRPr="00392F07">
        <w:t xml:space="preserve"> that would indicate that the appellant faces a real risk or real chance of harm as a result of his </w:t>
      </w:r>
      <w:proofErr w:type="spellStart"/>
      <w:r w:rsidR="004021FD" w:rsidRPr="00392F07">
        <w:t>Hazara</w:t>
      </w:r>
      <w:proofErr w:type="spellEnd"/>
      <w:r w:rsidR="004021FD" w:rsidRPr="00392F07">
        <w:t xml:space="preserve"> ethnicity.  As to the information referred to in the 2013 </w:t>
      </w:r>
      <w:r w:rsidR="00797875" w:rsidRPr="00392F07">
        <w:t>R</w:t>
      </w:r>
      <w:r w:rsidR="004021FD" w:rsidRPr="00392F07">
        <w:t xml:space="preserve">eport upon which the appellant now relies, the difficulty </w:t>
      </w:r>
      <w:r w:rsidR="009F5B68" w:rsidRPr="00392F07">
        <w:t>facing</w:t>
      </w:r>
      <w:r w:rsidR="004021FD" w:rsidRPr="00392F07">
        <w:t xml:space="preserve"> the appellant is that it has not been established that this report was</w:t>
      </w:r>
      <w:r w:rsidR="007759F2">
        <w:t>,</w:t>
      </w:r>
      <w:r w:rsidR="004021FD" w:rsidRPr="00392F07">
        <w:t xml:space="preserve"> </w:t>
      </w:r>
      <w:r w:rsidR="002C361F" w:rsidRPr="00392F07">
        <w:t>in fact</w:t>
      </w:r>
      <w:r w:rsidR="007759F2">
        <w:t>,</w:t>
      </w:r>
      <w:r w:rsidR="002C361F" w:rsidRPr="00392F07">
        <w:t xml:space="preserve"> relied on</w:t>
      </w:r>
      <w:r w:rsidR="004021FD" w:rsidRPr="00392F07">
        <w:t xml:space="preserve"> by the assessor.  Unless it was relied on by the assessor, a breach of procedural fairness cannot arise for not putting information to the appellant that was not information before the assessor.</w:t>
      </w:r>
    </w:p>
    <w:p w14:paraId="770490D9" w14:textId="77777777" w:rsidR="004021FD" w:rsidRPr="009B025B" w:rsidRDefault="004021FD" w:rsidP="00964D5F">
      <w:pPr>
        <w:pStyle w:val="ParaNumbering"/>
        <w:rPr>
          <w:shd w:val="clear" w:color="auto" w:fill="FFFFFF"/>
        </w:rPr>
      </w:pPr>
      <w:r>
        <w:t>There will be an order that the application to adduce fresh evidence be refused and an order that the appeal be dismissed.</w:t>
      </w:r>
    </w:p>
    <w:p w14:paraId="3C1DE882" w14:textId="77777777" w:rsidR="00392F07" w:rsidRDefault="00392F07" w:rsidP="00815065">
      <w:pPr>
        <w:pStyle w:val="BodyText"/>
      </w:pPr>
      <w:bookmarkStart w:id="21" w:name="Certification"/>
    </w:p>
    <w:tbl>
      <w:tblPr>
        <w:tblW w:w="0" w:type="auto"/>
        <w:tblLook w:val="04A0" w:firstRow="1" w:lastRow="0" w:firstColumn="1" w:lastColumn="0" w:noHBand="0" w:noVBand="1"/>
      </w:tblPr>
      <w:tblGrid>
        <w:gridCol w:w="3794"/>
      </w:tblGrid>
      <w:tr w:rsidR="00392F07" w:rsidRPr="00392F07" w14:paraId="1F32C940" w14:textId="77777777">
        <w:tc>
          <w:tcPr>
            <w:tcW w:w="3794" w:type="dxa"/>
            <w:shd w:val="clear" w:color="auto" w:fill="auto"/>
          </w:tcPr>
          <w:p w14:paraId="626D8922" w14:textId="323C55DE" w:rsidR="00392F07" w:rsidRPr="00392F07" w:rsidRDefault="00392F07" w:rsidP="00392F07">
            <w:pPr>
              <w:pStyle w:val="Normal1linespace"/>
            </w:pPr>
            <w:r w:rsidRPr="00392F07">
              <w:t xml:space="preserve">I certify that the preceding </w:t>
            </w:r>
            <w:bookmarkStart w:id="22" w:name="NumberWord"/>
            <w:r>
              <w:t>thirty-five</w:t>
            </w:r>
            <w:bookmarkEnd w:id="22"/>
            <w:r w:rsidRPr="00392F07">
              <w:t xml:space="preserve"> (</w:t>
            </w:r>
            <w:bookmarkStart w:id="23" w:name="NumberNumeral"/>
            <w:r>
              <w:t>35</w:t>
            </w:r>
            <w:bookmarkEnd w:id="23"/>
            <w:r w:rsidRPr="00392F07">
              <w:t xml:space="preserve">) numbered </w:t>
            </w:r>
            <w:bookmarkStart w:id="24" w:name="CertPara"/>
            <w:r>
              <w:t>paragraphs are</w:t>
            </w:r>
            <w:bookmarkEnd w:id="24"/>
            <w:r w:rsidRPr="00392F07">
              <w:t xml:space="preserve"> a true copy of the Reasons for Judgment of </w:t>
            </w:r>
            <w:bookmarkStart w:id="25" w:name="bkHonourable"/>
            <w:r w:rsidRPr="00392F07">
              <w:t xml:space="preserve">the Honourable </w:t>
            </w:r>
            <w:bookmarkStart w:id="26" w:name="Justice"/>
            <w:bookmarkEnd w:id="25"/>
            <w:r>
              <w:t>Justice Davies</w:t>
            </w:r>
            <w:bookmarkEnd w:id="26"/>
            <w:r w:rsidRPr="00392F07">
              <w:t>.</w:t>
            </w:r>
          </w:p>
        </w:tc>
      </w:tr>
    </w:tbl>
    <w:p w14:paraId="7A5F654D" w14:textId="77777777" w:rsidR="00392F07" w:rsidRDefault="00392F07" w:rsidP="00815065">
      <w:pPr>
        <w:pStyle w:val="BodyText"/>
      </w:pPr>
    </w:p>
    <w:p w14:paraId="75839892" w14:textId="74E95D80" w:rsidR="00392F07" w:rsidRDefault="00392F07" w:rsidP="00815065">
      <w:pPr>
        <w:pStyle w:val="BodyText"/>
      </w:pPr>
      <w:bookmarkStart w:id="27" w:name="_GoBack"/>
      <w:bookmarkEnd w:id="27"/>
    </w:p>
    <w:p w14:paraId="5481145F" w14:textId="29A81614" w:rsidR="00392F07" w:rsidRDefault="00392F07" w:rsidP="00815065">
      <w:pPr>
        <w:pStyle w:val="BodyText"/>
      </w:pPr>
      <w:r>
        <w:t>Associate:</w:t>
      </w:r>
    </w:p>
    <w:p w14:paraId="76F759C0" w14:textId="2994EA90" w:rsidR="00392F07" w:rsidRDefault="00392F07" w:rsidP="00815065">
      <w:pPr>
        <w:pStyle w:val="BodyText"/>
      </w:pPr>
    </w:p>
    <w:p w14:paraId="0A3B0168" w14:textId="04DC4632" w:rsidR="00392F07" w:rsidRDefault="00392F07" w:rsidP="00815065">
      <w:pPr>
        <w:pStyle w:val="BodyText"/>
        <w:tabs>
          <w:tab w:val="left" w:pos="1134"/>
        </w:tabs>
      </w:pPr>
      <w:r>
        <w:t>Dated:</w:t>
      </w:r>
      <w:r>
        <w:tab/>
      </w:r>
      <w:bookmarkStart w:id="28" w:name="CertifyDated"/>
      <w:r>
        <w:t>26 July 2021</w:t>
      </w:r>
      <w:bookmarkEnd w:id="28"/>
    </w:p>
    <w:p w14:paraId="14B1A091" w14:textId="77777777" w:rsidR="00392F07" w:rsidRDefault="00392F07" w:rsidP="00815065">
      <w:pPr>
        <w:pStyle w:val="BodyText"/>
      </w:pPr>
    </w:p>
    <w:bookmarkEnd w:id="21"/>
    <w:p w14:paraId="0535D14B" w14:textId="668D542F" w:rsidR="007D34D3" w:rsidRPr="00D74201" w:rsidRDefault="007D34D3" w:rsidP="00392F07">
      <w:pPr>
        <w:pStyle w:val="BodyText"/>
      </w:pPr>
    </w:p>
    <w:sectPr w:rsidR="007D34D3" w:rsidRPr="00D74201"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E97ED" w14:textId="77777777" w:rsidR="00703CB1" w:rsidRDefault="00703CB1">
      <w:pPr>
        <w:spacing w:line="20" w:lineRule="exact"/>
      </w:pPr>
    </w:p>
    <w:p w14:paraId="00273F03" w14:textId="77777777" w:rsidR="00703CB1" w:rsidRDefault="00703CB1"/>
    <w:p w14:paraId="7CA8F661" w14:textId="77777777" w:rsidR="00703CB1" w:rsidRDefault="00703CB1"/>
  </w:endnote>
  <w:endnote w:type="continuationSeparator" w:id="0">
    <w:p w14:paraId="34624719" w14:textId="77777777" w:rsidR="00703CB1" w:rsidRDefault="00703CB1">
      <w:r>
        <w:t xml:space="preserve"> </w:t>
      </w:r>
    </w:p>
    <w:p w14:paraId="394E66C5" w14:textId="77777777" w:rsidR="00703CB1" w:rsidRDefault="00703CB1"/>
    <w:p w14:paraId="0FC9617F" w14:textId="77777777" w:rsidR="00703CB1" w:rsidRDefault="00703CB1"/>
  </w:endnote>
  <w:endnote w:type="continuationNotice" w:id="1">
    <w:p w14:paraId="1B9D76EB" w14:textId="77777777" w:rsidR="00703CB1" w:rsidRDefault="00703CB1">
      <w:r>
        <w:t xml:space="preserve"> </w:t>
      </w:r>
    </w:p>
    <w:p w14:paraId="02E7CE65" w14:textId="77777777" w:rsidR="00703CB1" w:rsidRDefault="00703CB1"/>
    <w:p w14:paraId="11E5B4F0" w14:textId="77777777" w:rsidR="00703CB1" w:rsidRDefault="00703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5077" w14:textId="118F48C4" w:rsidR="00703CB1" w:rsidRPr="00B2795F" w:rsidRDefault="00703CB1" w:rsidP="00B2795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CB69605" wp14:editId="53A5FA48">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0901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F1A31">
          <w:rPr>
            <w:bCs/>
            <w:sz w:val="18"/>
            <w:szCs w:val="18"/>
          </w:rPr>
          <w:t xml:space="preserve">SZQKE v Minister for Immigration and Border Protection [2021] FCA 833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C0B0" w14:textId="7622A0A3" w:rsidR="00703CB1" w:rsidRPr="00C47B9D" w:rsidRDefault="00703CB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17F8C67" wp14:editId="353A02A4">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7DFE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07097DF5BB1A4C68991D0103F99C2EFC"/>
        </w:placeholder>
        <w:dataBinding w:prefixMappings="xmlns:ns0='http://schemas.globalmacros.com/FCA'" w:xpath="/ns0:root[1]/ns0:Name[1]" w:storeItemID="{687E7CCB-4AA5-44E7-B148-17BA2B6F57C0}"/>
        <w:text w:multiLine="1"/>
      </w:sdtPr>
      <w:sdtEndPr/>
      <w:sdtContent>
        <w:r w:rsidR="001F1A31">
          <w:rPr>
            <w:bCs/>
            <w:sz w:val="18"/>
            <w:szCs w:val="18"/>
          </w:rPr>
          <w:t xml:space="preserve">SZQKE v Minister for Immigration and Border Protection [2021] FCA 833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46C7F">
      <w:rPr>
        <w:bCs/>
        <w:noProof/>
        <w:sz w:val="20"/>
      </w:rPr>
      <w:t>1</w:t>
    </w:r>
    <w:r w:rsidRPr="00EA7F6D">
      <w:rPr>
        <w:bCs/>
        <w:noProof/>
        <w:sz w:val="20"/>
      </w:rPr>
      <w:fldChar w:fldCharType="end"/>
    </w:r>
  </w:p>
  <w:p w14:paraId="4EAAFB20" w14:textId="40CAC082" w:rsidR="00703CB1" w:rsidRPr="00A84FD0" w:rsidRDefault="00703CB1" w:rsidP="00A84FD0">
    <w:pPr>
      <w:pStyle w:val="Footer"/>
      <w:jc w:val="center"/>
      <w:rPr>
        <w:sz w:val="28"/>
      </w:rPr>
    </w:pPr>
    <w:r>
      <w:rPr>
        <w:b/>
        <w:sz w:val="28"/>
      </w:rPr>
      <w:t xml:space="preserve">DRAFT - Judgment Template v.1.1 - </w:t>
    </w:r>
    <w:r>
      <w:rPr>
        <w:b/>
        <w:sz w:val="28"/>
      </w:rPr>
      <w:fldChar w:fldCharType="begin"/>
    </w:r>
    <w:r>
      <w:rPr>
        <w:b/>
        <w:sz w:val="28"/>
      </w:rPr>
      <w:instrText xml:space="preserve"> DATE  \@ "d MMMM yyyy"  \* MERGEFORMAT </w:instrText>
    </w:r>
    <w:r>
      <w:rPr>
        <w:b/>
        <w:sz w:val="28"/>
      </w:rPr>
      <w:fldChar w:fldCharType="separate"/>
    </w:r>
    <w:r w:rsidR="00B575B1">
      <w:rPr>
        <w:b/>
        <w:noProof/>
        <w:sz w:val="28"/>
      </w:rPr>
      <w:t>26 July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B575B1">
      <w:rPr>
        <w:b/>
        <w:noProof/>
        <w:sz w:val="28"/>
      </w:rPr>
      <w:t>9:38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A8E" w14:textId="4BC1FC5A" w:rsidR="00703CB1" w:rsidRPr="00B2795F" w:rsidRDefault="00703CB1" w:rsidP="00B2795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D842266" wp14:editId="21286E36">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1239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670A7ADD06949EB85848BB51140F253"/>
        </w:placeholder>
        <w:dataBinding w:prefixMappings="xmlns:ns0='http://schemas.globalmacros.com/FCA'" w:xpath="/ns0:root[1]/ns0:Name[1]" w:storeItemID="{687E7CCB-4AA5-44E7-B148-17BA2B6F57C0}"/>
        <w:text w:multiLine="1"/>
      </w:sdtPr>
      <w:sdtEndPr/>
      <w:sdtContent>
        <w:r w:rsidR="001F1A31">
          <w:rPr>
            <w:bCs/>
            <w:sz w:val="18"/>
            <w:szCs w:val="18"/>
          </w:rPr>
          <w:t xml:space="preserve">SZQKE v Minister for Immigration and Border Protection [2021] FCA 833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575B1">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6F37" w14:textId="435668F2" w:rsidR="00703CB1" w:rsidRPr="00B2795F" w:rsidRDefault="00703CB1" w:rsidP="00B2795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718C837" wp14:editId="7CC59B1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F13B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A112675BA2F4146BB56A65B125DCED1"/>
        </w:placeholder>
        <w:dataBinding w:prefixMappings="xmlns:ns0='http://schemas.globalmacros.com/FCA'" w:xpath="/ns0:root[1]/ns0:Name[1]" w:storeItemID="{687E7CCB-4AA5-44E7-B148-17BA2B6F57C0}"/>
        <w:text w:multiLine="1"/>
      </w:sdtPr>
      <w:sdtEndPr/>
      <w:sdtContent>
        <w:r w:rsidR="001F1A31">
          <w:rPr>
            <w:bCs/>
            <w:sz w:val="18"/>
            <w:szCs w:val="18"/>
          </w:rPr>
          <w:t xml:space="preserve">SZQKE v Minister for Immigration and Border Protection [2021] FCA 833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575B1">
      <w:rPr>
        <w:bCs/>
        <w:noProof/>
        <w:sz w:val="20"/>
      </w:rPr>
      <w:t>14</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DD80" w14:textId="11E89DEB" w:rsidR="00703CB1" w:rsidRPr="00B2795F" w:rsidRDefault="00703CB1" w:rsidP="00B2795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3DC2C55" wp14:editId="709D845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C731C"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6C46DE9672C4E28B3BC94D38506180D"/>
        </w:placeholder>
        <w:dataBinding w:prefixMappings="xmlns:ns0='http://schemas.globalmacros.com/FCA'" w:xpath="/ns0:root[1]/ns0:Name[1]" w:storeItemID="{687E7CCB-4AA5-44E7-B148-17BA2B6F57C0}"/>
        <w:text w:multiLine="1"/>
      </w:sdtPr>
      <w:sdtEndPr/>
      <w:sdtContent>
        <w:r w:rsidR="001F1A31">
          <w:rPr>
            <w:bCs/>
            <w:sz w:val="18"/>
            <w:szCs w:val="18"/>
          </w:rPr>
          <w:t xml:space="preserve">SZQKE v Minister for Immigration and Border Protection [2021] FCA 833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575B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C8BAE" w14:textId="77777777" w:rsidR="00703CB1" w:rsidRDefault="00703CB1"/>
    <w:p w14:paraId="34075725" w14:textId="77777777" w:rsidR="00703CB1" w:rsidRDefault="00703CB1"/>
    <w:p w14:paraId="18A7047B" w14:textId="77777777" w:rsidR="00703CB1" w:rsidRDefault="00703CB1"/>
  </w:footnote>
  <w:footnote w:type="continuationSeparator" w:id="0">
    <w:p w14:paraId="39481748" w14:textId="77777777" w:rsidR="00703CB1" w:rsidRDefault="00703CB1">
      <w:r>
        <w:continuationSeparator/>
      </w:r>
    </w:p>
    <w:p w14:paraId="1DB2085D" w14:textId="77777777" w:rsidR="00703CB1" w:rsidRDefault="00703CB1"/>
    <w:p w14:paraId="51F79E24" w14:textId="77777777" w:rsidR="00703CB1" w:rsidRDefault="00703C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D637" w14:textId="77777777" w:rsidR="00703CB1" w:rsidRDefault="00703CB1">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0727" w14:textId="77777777" w:rsidR="00703CB1" w:rsidRDefault="00703CB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3C59" w14:textId="77777777" w:rsidR="00703CB1" w:rsidRDefault="00703CB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D368" w14:textId="77777777" w:rsidR="00703CB1" w:rsidRDefault="00703CB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0E4A" w14:textId="77777777" w:rsidR="00703CB1" w:rsidRDefault="00703CB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51861"/>
    <w:multiLevelType w:val="hybridMultilevel"/>
    <w:tmpl w:val="CF045132"/>
    <w:lvl w:ilvl="0" w:tplc="8E26D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92305"/>
    <w:multiLevelType w:val="hybridMultilevel"/>
    <w:tmpl w:val="D292BBCA"/>
    <w:lvl w:ilvl="0" w:tplc="78105C0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BBDC7E00"/>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2E7D331C"/>
    <w:multiLevelType w:val="multilevel"/>
    <w:tmpl w:val="EA30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9C5EDC"/>
    <w:multiLevelType w:val="multilevel"/>
    <w:tmpl w:val="BF22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59B3C85"/>
    <w:multiLevelType w:val="multilevel"/>
    <w:tmpl w:val="D806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434AE7"/>
    <w:multiLevelType w:val="hybridMultilevel"/>
    <w:tmpl w:val="67383BCE"/>
    <w:lvl w:ilvl="0" w:tplc="72D61E1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FE19E6"/>
    <w:multiLevelType w:val="multilevel"/>
    <w:tmpl w:val="673E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302DC"/>
    <w:multiLevelType w:val="hybridMultilevel"/>
    <w:tmpl w:val="FDB0E0E4"/>
    <w:lvl w:ilvl="0" w:tplc="4BA45B98">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494817A7"/>
    <w:multiLevelType w:val="multilevel"/>
    <w:tmpl w:val="0F0EC90E"/>
    <w:numStyleLink w:val="FCListNo"/>
  </w:abstractNum>
  <w:abstractNum w:abstractNumId="2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53055AF"/>
    <w:multiLevelType w:val="hybridMultilevel"/>
    <w:tmpl w:val="8DE61290"/>
    <w:lvl w:ilvl="0" w:tplc="D7E891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6B313C"/>
    <w:multiLevelType w:val="hybridMultilevel"/>
    <w:tmpl w:val="A9B405EC"/>
    <w:lvl w:ilvl="0" w:tplc="B7C2124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988578D"/>
    <w:multiLevelType w:val="hybridMultilevel"/>
    <w:tmpl w:val="27125810"/>
    <w:lvl w:ilvl="0" w:tplc="4476E0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7"/>
  </w:num>
  <w:num w:numId="15">
    <w:abstractNumId w:val="28"/>
  </w:num>
  <w:num w:numId="16">
    <w:abstractNumId w:val="34"/>
  </w:num>
  <w:num w:numId="17">
    <w:abstractNumId w:val="15"/>
  </w:num>
  <w:num w:numId="18">
    <w:abstractNumId w:val="33"/>
  </w:num>
  <w:num w:numId="19">
    <w:abstractNumId w:val="11"/>
  </w:num>
  <w:num w:numId="20">
    <w:abstractNumId w:val="21"/>
  </w:num>
  <w:num w:numId="21">
    <w:abstractNumId w:val="17"/>
  </w:num>
  <w:num w:numId="22">
    <w:abstractNumId w:val="18"/>
  </w:num>
  <w:num w:numId="23">
    <w:abstractNumId w:val="26"/>
  </w:num>
  <w:num w:numId="24">
    <w:abstractNumId w:val="10"/>
  </w:num>
  <w:num w:numId="25">
    <w:abstractNumId w:val="10"/>
  </w:num>
  <w:num w:numId="26">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num>
  <w:num w:numId="29">
    <w:abstractNumId w:val="17"/>
    <w:lvlOverride w:ilvl="0">
      <w:startOverride w:val="1"/>
    </w:lvlOverride>
    <w:lvlOverride w:ilvl="1">
      <w:startOverride w:val="1"/>
    </w:lvlOverride>
  </w:num>
  <w:num w:numId="30">
    <w:abstractNumId w:val="25"/>
  </w:num>
  <w:num w:numId="31">
    <w:abstractNumId w:val="13"/>
  </w:num>
  <w:num w:numId="32">
    <w:abstractNumId w:val="19"/>
  </w:num>
  <w:num w:numId="33">
    <w:abstractNumId w:val="22"/>
    <w:lvlOverride w:ilvl="0">
      <w:startOverride w:val="35"/>
    </w:lvlOverride>
  </w:num>
  <w:num w:numId="34">
    <w:abstractNumId w:val="22"/>
    <w:lvlOverride w:ilvl="0">
      <w:startOverride w:val="36"/>
    </w:lvlOverride>
  </w:num>
  <w:num w:numId="35">
    <w:abstractNumId w:val="29"/>
  </w:num>
  <w:num w:numId="36">
    <w:abstractNumId w:val="32"/>
  </w:num>
  <w:num w:numId="37">
    <w:abstractNumId w:val="20"/>
  </w:num>
  <w:num w:numId="38">
    <w:abstractNumId w:val="24"/>
  </w:num>
  <w:num w:numId="39">
    <w:abstractNumId w:val="23"/>
  </w:num>
  <w:num w:numId="40">
    <w:abstractNumId w:val="16"/>
  </w:num>
  <w:num w:numId="41">
    <w:abstractNumId w:val="16"/>
  </w:num>
  <w:num w:numId="42">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SZQKE v Minister for Immigration and Anor [2020] FCCA 278"/>
    <w:docVar w:name="Appellant" w:val="SZQKE"/>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Appeal Division of the FCoA"/>
    <w:docVar w:name="DocCreated" w:val="True"/>
    <w:docVar w:name="FileNumbers" w:val="NSD 265 of 2020"/>
    <w:docVar w:name="grpRadioJudges" w:val="Justice"/>
    <w:docVar w:name="Initiators" w:val="(and another named in the Schedule)"/>
    <w:docVar w:name="Judgdate" w:val="26 July 2021"/>
    <w:docVar w:name="Judge" w:val="Davies"/>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Immigration And Border Protection|SECRETARY OF THE DEPARTMENT OF IMMIGRATION AND BORDER PROTECTION"/>
    <w:docVar w:name="ResState" w:val="New South Wales"/>
    <w:docVar w:name="SubArea" w:val="[none]"/>
  </w:docVars>
  <w:rsids>
    <w:rsidRoot w:val="00D96FE4"/>
    <w:rsid w:val="00000747"/>
    <w:rsid w:val="00002E75"/>
    <w:rsid w:val="00005E7B"/>
    <w:rsid w:val="000115C5"/>
    <w:rsid w:val="0001469E"/>
    <w:rsid w:val="00015993"/>
    <w:rsid w:val="00021CCB"/>
    <w:rsid w:val="00022289"/>
    <w:rsid w:val="00024677"/>
    <w:rsid w:val="00027398"/>
    <w:rsid w:val="000274A6"/>
    <w:rsid w:val="0003201A"/>
    <w:rsid w:val="0003207A"/>
    <w:rsid w:val="00032F9F"/>
    <w:rsid w:val="000347DF"/>
    <w:rsid w:val="00035C43"/>
    <w:rsid w:val="000411B1"/>
    <w:rsid w:val="00041C07"/>
    <w:rsid w:val="00042080"/>
    <w:rsid w:val="00044413"/>
    <w:rsid w:val="00045431"/>
    <w:rsid w:val="00045BB7"/>
    <w:rsid w:val="00046024"/>
    <w:rsid w:val="00047CE9"/>
    <w:rsid w:val="00050631"/>
    <w:rsid w:val="00051579"/>
    <w:rsid w:val="00053915"/>
    <w:rsid w:val="000542F0"/>
    <w:rsid w:val="0005432F"/>
    <w:rsid w:val="000550F8"/>
    <w:rsid w:val="00055719"/>
    <w:rsid w:val="0005641B"/>
    <w:rsid w:val="0006196A"/>
    <w:rsid w:val="000624F0"/>
    <w:rsid w:val="000746D6"/>
    <w:rsid w:val="00074703"/>
    <w:rsid w:val="00074C5A"/>
    <w:rsid w:val="00076F8B"/>
    <w:rsid w:val="00077A43"/>
    <w:rsid w:val="00081497"/>
    <w:rsid w:val="000834A7"/>
    <w:rsid w:val="00085255"/>
    <w:rsid w:val="00090D95"/>
    <w:rsid w:val="0009495C"/>
    <w:rsid w:val="00097C02"/>
    <w:rsid w:val="000A2415"/>
    <w:rsid w:val="000A2E76"/>
    <w:rsid w:val="000A346C"/>
    <w:rsid w:val="000A4090"/>
    <w:rsid w:val="000A4807"/>
    <w:rsid w:val="000A4BE4"/>
    <w:rsid w:val="000A57C5"/>
    <w:rsid w:val="000A7D09"/>
    <w:rsid w:val="000B264B"/>
    <w:rsid w:val="000C023E"/>
    <w:rsid w:val="000C3148"/>
    <w:rsid w:val="000C5195"/>
    <w:rsid w:val="000C62EF"/>
    <w:rsid w:val="000D0D31"/>
    <w:rsid w:val="000D20F4"/>
    <w:rsid w:val="000D2137"/>
    <w:rsid w:val="000D2853"/>
    <w:rsid w:val="000D3FD2"/>
    <w:rsid w:val="000D4B2E"/>
    <w:rsid w:val="000D6A4D"/>
    <w:rsid w:val="000D6E13"/>
    <w:rsid w:val="000E1875"/>
    <w:rsid w:val="000E312A"/>
    <w:rsid w:val="000E3FC8"/>
    <w:rsid w:val="000E5B1A"/>
    <w:rsid w:val="000E680F"/>
    <w:rsid w:val="000E6C87"/>
    <w:rsid w:val="000E7BAE"/>
    <w:rsid w:val="000F0200"/>
    <w:rsid w:val="000F133D"/>
    <w:rsid w:val="000F2F74"/>
    <w:rsid w:val="000F5F4C"/>
    <w:rsid w:val="000F6A2D"/>
    <w:rsid w:val="0010085B"/>
    <w:rsid w:val="00104812"/>
    <w:rsid w:val="00104A91"/>
    <w:rsid w:val="0010536B"/>
    <w:rsid w:val="0010560F"/>
    <w:rsid w:val="00106222"/>
    <w:rsid w:val="00106D48"/>
    <w:rsid w:val="00110714"/>
    <w:rsid w:val="001109D6"/>
    <w:rsid w:val="0011145C"/>
    <w:rsid w:val="00112486"/>
    <w:rsid w:val="001127E3"/>
    <w:rsid w:val="001128BD"/>
    <w:rsid w:val="0011419D"/>
    <w:rsid w:val="00114B02"/>
    <w:rsid w:val="00116C57"/>
    <w:rsid w:val="00120659"/>
    <w:rsid w:val="001226C0"/>
    <w:rsid w:val="001237F2"/>
    <w:rsid w:val="00126EC6"/>
    <w:rsid w:val="00126EC8"/>
    <w:rsid w:val="0012731C"/>
    <w:rsid w:val="001303FD"/>
    <w:rsid w:val="00130A1C"/>
    <w:rsid w:val="00130CD8"/>
    <w:rsid w:val="00132054"/>
    <w:rsid w:val="00133D96"/>
    <w:rsid w:val="00134964"/>
    <w:rsid w:val="001351B9"/>
    <w:rsid w:val="001378E3"/>
    <w:rsid w:val="001434B2"/>
    <w:rsid w:val="00143603"/>
    <w:rsid w:val="00155CD2"/>
    <w:rsid w:val="00160FDD"/>
    <w:rsid w:val="0016310F"/>
    <w:rsid w:val="00165918"/>
    <w:rsid w:val="00166E33"/>
    <w:rsid w:val="0016709F"/>
    <w:rsid w:val="001714BA"/>
    <w:rsid w:val="001727A4"/>
    <w:rsid w:val="0017376C"/>
    <w:rsid w:val="001738AB"/>
    <w:rsid w:val="00175E7D"/>
    <w:rsid w:val="001765E0"/>
    <w:rsid w:val="00177759"/>
    <w:rsid w:val="00180BB3"/>
    <w:rsid w:val="00183455"/>
    <w:rsid w:val="00185E6B"/>
    <w:rsid w:val="00187BBC"/>
    <w:rsid w:val="001932F3"/>
    <w:rsid w:val="001944C9"/>
    <w:rsid w:val="001A2037"/>
    <w:rsid w:val="001A2B40"/>
    <w:rsid w:val="001A4309"/>
    <w:rsid w:val="001A46AE"/>
    <w:rsid w:val="001A6553"/>
    <w:rsid w:val="001A69E8"/>
    <w:rsid w:val="001A6C52"/>
    <w:rsid w:val="001B03D5"/>
    <w:rsid w:val="001B07DE"/>
    <w:rsid w:val="001B086E"/>
    <w:rsid w:val="001B1053"/>
    <w:rsid w:val="001B14AC"/>
    <w:rsid w:val="001B21B2"/>
    <w:rsid w:val="001B4F1C"/>
    <w:rsid w:val="001B4F21"/>
    <w:rsid w:val="001B54CE"/>
    <w:rsid w:val="001B6DB0"/>
    <w:rsid w:val="001B7940"/>
    <w:rsid w:val="001C171A"/>
    <w:rsid w:val="001C281D"/>
    <w:rsid w:val="001C33EF"/>
    <w:rsid w:val="001C37CA"/>
    <w:rsid w:val="001C3915"/>
    <w:rsid w:val="001C4085"/>
    <w:rsid w:val="001D4303"/>
    <w:rsid w:val="001D6746"/>
    <w:rsid w:val="001D72A1"/>
    <w:rsid w:val="001E33D8"/>
    <w:rsid w:val="001E3B49"/>
    <w:rsid w:val="001E4A05"/>
    <w:rsid w:val="001E4DF2"/>
    <w:rsid w:val="001E4F24"/>
    <w:rsid w:val="001E7388"/>
    <w:rsid w:val="001E74B0"/>
    <w:rsid w:val="001F13DD"/>
    <w:rsid w:val="001F1A31"/>
    <w:rsid w:val="001F2473"/>
    <w:rsid w:val="001F2A28"/>
    <w:rsid w:val="001F2DBC"/>
    <w:rsid w:val="001F4681"/>
    <w:rsid w:val="001F51E8"/>
    <w:rsid w:val="001F73E8"/>
    <w:rsid w:val="00200839"/>
    <w:rsid w:val="00201BD1"/>
    <w:rsid w:val="0020262C"/>
    <w:rsid w:val="00202723"/>
    <w:rsid w:val="00202EB4"/>
    <w:rsid w:val="00211A3E"/>
    <w:rsid w:val="00215125"/>
    <w:rsid w:val="00215A79"/>
    <w:rsid w:val="00215BCA"/>
    <w:rsid w:val="00215F6F"/>
    <w:rsid w:val="002177B2"/>
    <w:rsid w:val="00217AC4"/>
    <w:rsid w:val="002202E6"/>
    <w:rsid w:val="00221461"/>
    <w:rsid w:val="00224537"/>
    <w:rsid w:val="00225BC0"/>
    <w:rsid w:val="0023275C"/>
    <w:rsid w:val="002333E4"/>
    <w:rsid w:val="00234F9C"/>
    <w:rsid w:val="00235468"/>
    <w:rsid w:val="00235956"/>
    <w:rsid w:val="00235EFE"/>
    <w:rsid w:val="002364E3"/>
    <w:rsid w:val="002407AB"/>
    <w:rsid w:val="00243E5E"/>
    <w:rsid w:val="002473B8"/>
    <w:rsid w:val="00247C9A"/>
    <w:rsid w:val="0025160C"/>
    <w:rsid w:val="002535D0"/>
    <w:rsid w:val="002539B3"/>
    <w:rsid w:val="00256336"/>
    <w:rsid w:val="0025680E"/>
    <w:rsid w:val="0025681F"/>
    <w:rsid w:val="00257C3E"/>
    <w:rsid w:val="002602C2"/>
    <w:rsid w:val="0026106B"/>
    <w:rsid w:val="002615D3"/>
    <w:rsid w:val="002657EC"/>
    <w:rsid w:val="00265E65"/>
    <w:rsid w:val="00265F1D"/>
    <w:rsid w:val="002666C9"/>
    <w:rsid w:val="00270136"/>
    <w:rsid w:val="00270FD7"/>
    <w:rsid w:val="00274F5B"/>
    <w:rsid w:val="00275F2A"/>
    <w:rsid w:val="00275F47"/>
    <w:rsid w:val="00280836"/>
    <w:rsid w:val="00282E1A"/>
    <w:rsid w:val="002840F1"/>
    <w:rsid w:val="0028470C"/>
    <w:rsid w:val="0029113B"/>
    <w:rsid w:val="00291269"/>
    <w:rsid w:val="00291CF2"/>
    <w:rsid w:val="002934C0"/>
    <w:rsid w:val="00294812"/>
    <w:rsid w:val="00297145"/>
    <w:rsid w:val="0029764C"/>
    <w:rsid w:val="00297880"/>
    <w:rsid w:val="002A0180"/>
    <w:rsid w:val="002A1B50"/>
    <w:rsid w:val="002A2C93"/>
    <w:rsid w:val="002A34CB"/>
    <w:rsid w:val="002A4771"/>
    <w:rsid w:val="002A612E"/>
    <w:rsid w:val="002A6708"/>
    <w:rsid w:val="002A6CA9"/>
    <w:rsid w:val="002B0E91"/>
    <w:rsid w:val="002B132C"/>
    <w:rsid w:val="002B3F23"/>
    <w:rsid w:val="002B4EB5"/>
    <w:rsid w:val="002B5AF5"/>
    <w:rsid w:val="002B6779"/>
    <w:rsid w:val="002B71C0"/>
    <w:rsid w:val="002B7A34"/>
    <w:rsid w:val="002C0049"/>
    <w:rsid w:val="002C31AD"/>
    <w:rsid w:val="002C361F"/>
    <w:rsid w:val="002C7385"/>
    <w:rsid w:val="002D168E"/>
    <w:rsid w:val="002D18B0"/>
    <w:rsid w:val="002D2DBB"/>
    <w:rsid w:val="002D37D8"/>
    <w:rsid w:val="002D54A6"/>
    <w:rsid w:val="002D7C0A"/>
    <w:rsid w:val="002D7E46"/>
    <w:rsid w:val="002E004A"/>
    <w:rsid w:val="002E0770"/>
    <w:rsid w:val="002E391F"/>
    <w:rsid w:val="002E5BF9"/>
    <w:rsid w:val="002E6A7A"/>
    <w:rsid w:val="002E6E22"/>
    <w:rsid w:val="002F1E49"/>
    <w:rsid w:val="002F30AC"/>
    <w:rsid w:val="002F4E9C"/>
    <w:rsid w:val="002F70B1"/>
    <w:rsid w:val="00300090"/>
    <w:rsid w:val="003006D2"/>
    <w:rsid w:val="0030128D"/>
    <w:rsid w:val="00302F4E"/>
    <w:rsid w:val="00303D04"/>
    <w:rsid w:val="0030492B"/>
    <w:rsid w:val="0031256C"/>
    <w:rsid w:val="00313EEC"/>
    <w:rsid w:val="00314D6C"/>
    <w:rsid w:val="00316391"/>
    <w:rsid w:val="00316D2A"/>
    <w:rsid w:val="00322357"/>
    <w:rsid w:val="00322881"/>
    <w:rsid w:val="00322A7C"/>
    <w:rsid w:val="00322C28"/>
    <w:rsid w:val="00322EEC"/>
    <w:rsid w:val="00323061"/>
    <w:rsid w:val="0033226C"/>
    <w:rsid w:val="00332547"/>
    <w:rsid w:val="0033408E"/>
    <w:rsid w:val="00334BF9"/>
    <w:rsid w:val="003402D3"/>
    <w:rsid w:val="00341980"/>
    <w:rsid w:val="00343ABC"/>
    <w:rsid w:val="00343E4B"/>
    <w:rsid w:val="00344065"/>
    <w:rsid w:val="00344571"/>
    <w:rsid w:val="00345F69"/>
    <w:rsid w:val="003463FE"/>
    <w:rsid w:val="00346C7F"/>
    <w:rsid w:val="00346CF7"/>
    <w:rsid w:val="00346D5B"/>
    <w:rsid w:val="00347D41"/>
    <w:rsid w:val="003531DE"/>
    <w:rsid w:val="003554B3"/>
    <w:rsid w:val="0035651B"/>
    <w:rsid w:val="00356632"/>
    <w:rsid w:val="00357C7E"/>
    <w:rsid w:val="00360EF4"/>
    <w:rsid w:val="003632FB"/>
    <w:rsid w:val="003653B6"/>
    <w:rsid w:val="003664D3"/>
    <w:rsid w:val="0036696B"/>
    <w:rsid w:val="00374CC4"/>
    <w:rsid w:val="003763C9"/>
    <w:rsid w:val="003774B2"/>
    <w:rsid w:val="00380356"/>
    <w:rsid w:val="00380F2D"/>
    <w:rsid w:val="003845A9"/>
    <w:rsid w:val="003850C9"/>
    <w:rsid w:val="00385523"/>
    <w:rsid w:val="00386BE9"/>
    <w:rsid w:val="00390883"/>
    <w:rsid w:val="003910B9"/>
    <w:rsid w:val="003922F8"/>
    <w:rsid w:val="00392F07"/>
    <w:rsid w:val="00394169"/>
    <w:rsid w:val="00395B24"/>
    <w:rsid w:val="00397DBB"/>
    <w:rsid w:val="003A0DDC"/>
    <w:rsid w:val="003A0E29"/>
    <w:rsid w:val="003A2D38"/>
    <w:rsid w:val="003A478D"/>
    <w:rsid w:val="003A7ECC"/>
    <w:rsid w:val="003B01AB"/>
    <w:rsid w:val="003B0BAE"/>
    <w:rsid w:val="003B176F"/>
    <w:rsid w:val="003B2344"/>
    <w:rsid w:val="003B2C72"/>
    <w:rsid w:val="003B51A3"/>
    <w:rsid w:val="003B58B4"/>
    <w:rsid w:val="003B6E56"/>
    <w:rsid w:val="003C1333"/>
    <w:rsid w:val="003C20FF"/>
    <w:rsid w:val="003C550A"/>
    <w:rsid w:val="003C6055"/>
    <w:rsid w:val="003D2650"/>
    <w:rsid w:val="003D32CF"/>
    <w:rsid w:val="003D3BB4"/>
    <w:rsid w:val="003D560C"/>
    <w:rsid w:val="003D5C00"/>
    <w:rsid w:val="003E3154"/>
    <w:rsid w:val="003E4693"/>
    <w:rsid w:val="003E49B7"/>
    <w:rsid w:val="003E5874"/>
    <w:rsid w:val="003E69A0"/>
    <w:rsid w:val="003E72D3"/>
    <w:rsid w:val="003E7355"/>
    <w:rsid w:val="003F0B02"/>
    <w:rsid w:val="003F15D9"/>
    <w:rsid w:val="003F193E"/>
    <w:rsid w:val="003F242C"/>
    <w:rsid w:val="003F29BD"/>
    <w:rsid w:val="003F34F1"/>
    <w:rsid w:val="003F377C"/>
    <w:rsid w:val="003F622E"/>
    <w:rsid w:val="003F7270"/>
    <w:rsid w:val="003F7C01"/>
    <w:rsid w:val="004008A8"/>
    <w:rsid w:val="00400A74"/>
    <w:rsid w:val="004021FD"/>
    <w:rsid w:val="004079C2"/>
    <w:rsid w:val="00407C66"/>
    <w:rsid w:val="004104B6"/>
    <w:rsid w:val="004119EC"/>
    <w:rsid w:val="00411AE8"/>
    <w:rsid w:val="00412416"/>
    <w:rsid w:val="00413468"/>
    <w:rsid w:val="00413B74"/>
    <w:rsid w:val="00416633"/>
    <w:rsid w:val="0042346B"/>
    <w:rsid w:val="004305EC"/>
    <w:rsid w:val="004342F3"/>
    <w:rsid w:val="00435879"/>
    <w:rsid w:val="00435C5F"/>
    <w:rsid w:val="00436155"/>
    <w:rsid w:val="00441E98"/>
    <w:rsid w:val="004506E7"/>
    <w:rsid w:val="00450B43"/>
    <w:rsid w:val="00450F3A"/>
    <w:rsid w:val="0045218A"/>
    <w:rsid w:val="004532F7"/>
    <w:rsid w:val="00464940"/>
    <w:rsid w:val="00464D51"/>
    <w:rsid w:val="00466F1C"/>
    <w:rsid w:val="00470EFB"/>
    <w:rsid w:val="00472027"/>
    <w:rsid w:val="00473782"/>
    <w:rsid w:val="004804CF"/>
    <w:rsid w:val="00480B06"/>
    <w:rsid w:val="00481FAF"/>
    <w:rsid w:val="00484962"/>
    <w:rsid w:val="00484F6D"/>
    <w:rsid w:val="00484FB7"/>
    <w:rsid w:val="0048554D"/>
    <w:rsid w:val="00486F71"/>
    <w:rsid w:val="0049190B"/>
    <w:rsid w:val="00492CDC"/>
    <w:rsid w:val="0049338A"/>
    <w:rsid w:val="0049417F"/>
    <w:rsid w:val="00494295"/>
    <w:rsid w:val="00496D41"/>
    <w:rsid w:val="004A27B3"/>
    <w:rsid w:val="004A28B4"/>
    <w:rsid w:val="004A6602"/>
    <w:rsid w:val="004B1E43"/>
    <w:rsid w:val="004B3EFA"/>
    <w:rsid w:val="004C2A87"/>
    <w:rsid w:val="004C453C"/>
    <w:rsid w:val="004C4D7B"/>
    <w:rsid w:val="004C4ED3"/>
    <w:rsid w:val="004C667B"/>
    <w:rsid w:val="004C7ECD"/>
    <w:rsid w:val="004D02B7"/>
    <w:rsid w:val="004D11A7"/>
    <w:rsid w:val="004D2EA5"/>
    <w:rsid w:val="004D32A6"/>
    <w:rsid w:val="004D53E5"/>
    <w:rsid w:val="004E510C"/>
    <w:rsid w:val="004E566D"/>
    <w:rsid w:val="004E5899"/>
    <w:rsid w:val="004E6DC4"/>
    <w:rsid w:val="004F21C1"/>
    <w:rsid w:val="004F22CF"/>
    <w:rsid w:val="005008FA"/>
    <w:rsid w:val="00501A12"/>
    <w:rsid w:val="0050309C"/>
    <w:rsid w:val="00504546"/>
    <w:rsid w:val="005056CB"/>
    <w:rsid w:val="00507175"/>
    <w:rsid w:val="00510C2A"/>
    <w:rsid w:val="0051327C"/>
    <w:rsid w:val="0051346D"/>
    <w:rsid w:val="00513EAE"/>
    <w:rsid w:val="0051434F"/>
    <w:rsid w:val="00516806"/>
    <w:rsid w:val="00517429"/>
    <w:rsid w:val="0052098C"/>
    <w:rsid w:val="00520FF3"/>
    <w:rsid w:val="00525A49"/>
    <w:rsid w:val="005262D1"/>
    <w:rsid w:val="005271CA"/>
    <w:rsid w:val="00530876"/>
    <w:rsid w:val="005351F2"/>
    <w:rsid w:val="00535613"/>
    <w:rsid w:val="005359EB"/>
    <w:rsid w:val="00536574"/>
    <w:rsid w:val="005373D7"/>
    <w:rsid w:val="0054013A"/>
    <w:rsid w:val="005409F3"/>
    <w:rsid w:val="005424D5"/>
    <w:rsid w:val="0054254A"/>
    <w:rsid w:val="00544381"/>
    <w:rsid w:val="00544828"/>
    <w:rsid w:val="0054500B"/>
    <w:rsid w:val="005466B5"/>
    <w:rsid w:val="0055304D"/>
    <w:rsid w:val="00554314"/>
    <w:rsid w:val="00554A5C"/>
    <w:rsid w:val="00554B16"/>
    <w:rsid w:val="0055583A"/>
    <w:rsid w:val="0055673B"/>
    <w:rsid w:val="0056071A"/>
    <w:rsid w:val="00562829"/>
    <w:rsid w:val="005629B3"/>
    <w:rsid w:val="00570C56"/>
    <w:rsid w:val="00570CEB"/>
    <w:rsid w:val="005724F6"/>
    <w:rsid w:val="00573AC4"/>
    <w:rsid w:val="005775C9"/>
    <w:rsid w:val="005801FC"/>
    <w:rsid w:val="0058466F"/>
    <w:rsid w:val="00585BA9"/>
    <w:rsid w:val="00586035"/>
    <w:rsid w:val="00586A25"/>
    <w:rsid w:val="00587359"/>
    <w:rsid w:val="00590EAE"/>
    <w:rsid w:val="0059119C"/>
    <w:rsid w:val="00595016"/>
    <w:rsid w:val="00595AB8"/>
    <w:rsid w:val="00597AAE"/>
    <w:rsid w:val="005A01A2"/>
    <w:rsid w:val="005A222C"/>
    <w:rsid w:val="005A4DF8"/>
    <w:rsid w:val="005A78C8"/>
    <w:rsid w:val="005B1426"/>
    <w:rsid w:val="005B1B34"/>
    <w:rsid w:val="005B3A42"/>
    <w:rsid w:val="005C0A8E"/>
    <w:rsid w:val="005C0FD5"/>
    <w:rsid w:val="005C1767"/>
    <w:rsid w:val="005C185C"/>
    <w:rsid w:val="005C1FF6"/>
    <w:rsid w:val="005C2932"/>
    <w:rsid w:val="005C42EF"/>
    <w:rsid w:val="005C483A"/>
    <w:rsid w:val="005C49C9"/>
    <w:rsid w:val="005C690F"/>
    <w:rsid w:val="005C6967"/>
    <w:rsid w:val="005D0CA0"/>
    <w:rsid w:val="005D3DDA"/>
    <w:rsid w:val="005D669A"/>
    <w:rsid w:val="005E02F5"/>
    <w:rsid w:val="005E0494"/>
    <w:rsid w:val="005E0510"/>
    <w:rsid w:val="005E176E"/>
    <w:rsid w:val="005E218E"/>
    <w:rsid w:val="005E35A0"/>
    <w:rsid w:val="005E373E"/>
    <w:rsid w:val="005E5E06"/>
    <w:rsid w:val="005F0D1B"/>
    <w:rsid w:val="005F1865"/>
    <w:rsid w:val="005F2A55"/>
    <w:rsid w:val="005F3CC0"/>
    <w:rsid w:val="005F47E8"/>
    <w:rsid w:val="005F55AE"/>
    <w:rsid w:val="005F59E6"/>
    <w:rsid w:val="005F5A90"/>
    <w:rsid w:val="005F63A0"/>
    <w:rsid w:val="006007BD"/>
    <w:rsid w:val="006013C8"/>
    <w:rsid w:val="006023C9"/>
    <w:rsid w:val="0060270D"/>
    <w:rsid w:val="00604611"/>
    <w:rsid w:val="006050D4"/>
    <w:rsid w:val="00610359"/>
    <w:rsid w:val="00610FF9"/>
    <w:rsid w:val="00610FFA"/>
    <w:rsid w:val="00611586"/>
    <w:rsid w:val="00612D26"/>
    <w:rsid w:val="00613827"/>
    <w:rsid w:val="0061496F"/>
    <w:rsid w:val="00615855"/>
    <w:rsid w:val="006159DB"/>
    <w:rsid w:val="00620DA8"/>
    <w:rsid w:val="00621887"/>
    <w:rsid w:val="00624520"/>
    <w:rsid w:val="006271F5"/>
    <w:rsid w:val="00627E82"/>
    <w:rsid w:val="006308E8"/>
    <w:rsid w:val="00632300"/>
    <w:rsid w:val="006329BE"/>
    <w:rsid w:val="00632BB7"/>
    <w:rsid w:val="00633A66"/>
    <w:rsid w:val="00635B36"/>
    <w:rsid w:val="006362FD"/>
    <w:rsid w:val="00636871"/>
    <w:rsid w:val="00637C2D"/>
    <w:rsid w:val="00640EE1"/>
    <w:rsid w:val="00640F4E"/>
    <w:rsid w:val="00640FD2"/>
    <w:rsid w:val="00643DE0"/>
    <w:rsid w:val="00644334"/>
    <w:rsid w:val="0064437D"/>
    <w:rsid w:val="00644E85"/>
    <w:rsid w:val="00645650"/>
    <w:rsid w:val="00650D39"/>
    <w:rsid w:val="00650F33"/>
    <w:rsid w:val="00652C52"/>
    <w:rsid w:val="00654CD6"/>
    <w:rsid w:val="00657B0D"/>
    <w:rsid w:val="0066063F"/>
    <w:rsid w:val="00662BB0"/>
    <w:rsid w:val="0066333B"/>
    <w:rsid w:val="00663878"/>
    <w:rsid w:val="00667773"/>
    <w:rsid w:val="006678FC"/>
    <w:rsid w:val="00670743"/>
    <w:rsid w:val="00680A85"/>
    <w:rsid w:val="00681ADF"/>
    <w:rsid w:val="00682BAE"/>
    <w:rsid w:val="00685C95"/>
    <w:rsid w:val="00687FB5"/>
    <w:rsid w:val="00690EE2"/>
    <w:rsid w:val="00693854"/>
    <w:rsid w:val="00693AE9"/>
    <w:rsid w:val="00694BEB"/>
    <w:rsid w:val="00695424"/>
    <w:rsid w:val="00695549"/>
    <w:rsid w:val="006965F2"/>
    <w:rsid w:val="006A0E20"/>
    <w:rsid w:val="006A1764"/>
    <w:rsid w:val="006A1DF9"/>
    <w:rsid w:val="006A24E3"/>
    <w:rsid w:val="006A5695"/>
    <w:rsid w:val="006B0439"/>
    <w:rsid w:val="006B3904"/>
    <w:rsid w:val="006B44F9"/>
    <w:rsid w:val="006B5B7D"/>
    <w:rsid w:val="006C3A26"/>
    <w:rsid w:val="006C438F"/>
    <w:rsid w:val="006C4428"/>
    <w:rsid w:val="006C5B46"/>
    <w:rsid w:val="006C6E39"/>
    <w:rsid w:val="006D0ECF"/>
    <w:rsid w:val="006D1FC3"/>
    <w:rsid w:val="006D3D5B"/>
    <w:rsid w:val="006D3F68"/>
    <w:rsid w:val="006D4C92"/>
    <w:rsid w:val="006D4EB6"/>
    <w:rsid w:val="006D6375"/>
    <w:rsid w:val="006E0A4C"/>
    <w:rsid w:val="006E35BF"/>
    <w:rsid w:val="006E5649"/>
    <w:rsid w:val="006E7850"/>
    <w:rsid w:val="006F0837"/>
    <w:rsid w:val="006F3DDB"/>
    <w:rsid w:val="006F46D6"/>
    <w:rsid w:val="006F4E29"/>
    <w:rsid w:val="006F51F5"/>
    <w:rsid w:val="006F670A"/>
    <w:rsid w:val="00702610"/>
    <w:rsid w:val="007028D9"/>
    <w:rsid w:val="00703646"/>
    <w:rsid w:val="00703B26"/>
    <w:rsid w:val="00703CB1"/>
    <w:rsid w:val="00706FD5"/>
    <w:rsid w:val="00707218"/>
    <w:rsid w:val="00707836"/>
    <w:rsid w:val="00710AAC"/>
    <w:rsid w:val="00710D04"/>
    <w:rsid w:val="00712B1D"/>
    <w:rsid w:val="00713F6C"/>
    <w:rsid w:val="00715751"/>
    <w:rsid w:val="00715F84"/>
    <w:rsid w:val="007171BA"/>
    <w:rsid w:val="00717616"/>
    <w:rsid w:val="007236B4"/>
    <w:rsid w:val="00725EE9"/>
    <w:rsid w:val="00727B75"/>
    <w:rsid w:val="0073023D"/>
    <w:rsid w:val="00730461"/>
    <w:rsid w:val="0073085F"/>
    <w:rsid w:val="0073089B"/>
    <w:rsid w:val="007325D9"/>
    <w:rsid w:val="0073583B"/>
    <w:rsid w:val="007360CA"/>
    <w:rsid w:val="007378E2"/>
    <w:rsid w:val="0074667B"/>
    <w:rsid w:val="007470BD"/>
    <w:rsid w:val="007471B4"/>
    <w:rsid w:val="0074763D"/>
    <w:rsid w:val="00754EE9"/>
    <w:rsid w:val="007563AC"/>
    <w:rsid w:val="00757F28"/>
    <w:rsid w:val="007608BB"/>
    <w:rsid w:val="00760EC0"/>
    <w:rsid w:val="007614BC"/>
    <w:rsid w:val="0076309D"/>
    <w:rsid w:val="0076610C"/>
    <w:rsid w:val="007711BD"/>
    <w:rsid w:val="0077165A"/>
    <w:rsid w:val="007759F2"/>
    <w:rsid w:val="0077651F"/>
    <w:rsid w:val="0078003A"/>
    <w:rsid w:val="0078043C"/>
    <w:rsid w:val="00780771"/>
    <w:rsid w:val="00781010"/>
    <w:rsid w:val="00784623"/>
    <w:rsid w:val="007929CF"/>
    <w:rsid w:val="00795570"/>
    <w:rsid w:val="00795E16"/>
    <w:rsid w:val="00797875"/>
    <w:rsid w:val="007A1F32"/>
    <w:rsid w:val="007A49E7"/>
    <w:rsid w:val="007A6F28"/>
    <w:rsid w:val="007A75C0"/>
    <w:rsid w:val="007B03C6"/>
    <w:rsid w:val="007B0DB1"/>
    <w:rsid w:val="007B443A"/>
    <w:rsid w:val="007B4475"/>
    <w:rsid w:val="007B5673"/>
    <w:rsid w:val="007B6BF8"/>
    <w:rsid w:val="007B7238"/>
    <w:rsid w:val="007B76FF"/>
    <w:rsid w:val="007B7E32"/>
    <w:rsid w:val="007C0AFA"/>
    <w:rsid w:val="007C0BBC"/>
    <w:rsid w:val="007C310E"/>
    <w:rsid w:val="007C3BF6"/>
    <w:rsid w:val="007C67B3"/>
    <w:rsid w:val="007C7DDE"/>
    <w:rsid w:val="007D0834"/>
    <w:rsid w:val="007D0FD2"/>
    <w:rsid w:val="007D207B"/>
    <w:rsid w:val="007D2EF8"/>
    <w:rsid w:val="007D34D3"/>
    <w:rsid w:val="007D3EE1"/>
    <w:rsid w:val="007D55E0"/>
    <w:rsid w:val="007D561F"/>
    <w:rsid w:val="007D5BB2"/>
    <w:rsid w:val="007D7FD2"/>
    <w:rsid w:val="007E0DA1"/>
    <w:rsid w:val="007E13D9"/>
    <w:rsid w:val="007E2AEC"/>
    <w:rsid w:val="007E41BE"/>
    <w:rsid w:val="007E489F"/>
    <w:rsid w:val="007E4BD0"/>
    <w:rsid w:val="007E4DB6"/>
    <w:rsid w:val="007E4FFC"/>
    <w:rsid w:val="007E568A"/>
    <w:rsid w:val="007E6733"/>
    <w:rsid w:val="007E68F9"/>
    <w:rsid w:val="007E7A5E"/>
    <w:rsid w:val="007E7CD4"/>
    <w:rsid w:val="007F12AC"/>
    <w:rsid w:val="007F12E3"/>
    <w:rsid w:val="007F20B6"/>
    <w:rsid w:val="007F3A90"/>
    <w:rsid w:val="007F4501"/>
    <w:rsid w:val="007F5432"/>
    <w:rsid w:val="007F57A2"/>
    <w:rsid w:val="007F60DF"/>
    <w:rsid w:val="00801800"/>
    <w:rsid w:val="00801861"/>
    <w:rsid w:val="00801B5B"/>
    <w:rsid w:val="0080643C"/>
    <w:rsid w:val="008073AD"/>
    <w:rsid w:val="00820E14"/>
    <w:rsid w:val="008216E7"/>
    <w:rsid w:val="00824777"/>
    <w:rsid w:val="00825BE6"/>
    <w:rsid w:val="00827060"/>
    <w:rsid w:val="0082737C"/>
    <w:rsid w:val="008276B4"/>
    <w:rsid w:val="00831927"/>
    <w:rsid w:val="00835609"/>
    <w:rsid w:val="00837288"/>
    <w:rsid w:val="0084189C"/>
    <w:rsid w:val="00841BD3"/>
    <w:rsid w:val="0084273D"/>
    <w:rsid w:val="00844A09"/>
    <w:rsid w:val="00844E3F"/>
    <w:rsid w:val="00845A83"/>
    <w:rsid w:val="00846BB9"/>
    <w:rsid w:val="00852C5C"/>
    <w:rsid w:val="00854C97"/>
    <w:rsid w:val="0086152D"/>
    <w:rsid w:val="008644A4"/>
    <w:rsid w:val="008649D5"/>
    <w:rsid w:val="008650D2"/>
    <w:rsid w:val="00867D5E"/>
    <w:rsid w:val="008704FE"/>
    <w:rsid w:val="008712BB"/>
    <w:rsid w:val="0087551C"/>
    <w:rsid w:val="0087669C"/>
    <w:rsid w:val="008768D1"/>
    <w:rsid w:val="008830E7"/>
    <w:rsid w:val="0088364B"/>
    <w:rsid w:val="0088393C"/>
    <w:rsid w:val="00883961"/>
    <w:rsid w:val="00884770"/>
    <w:rsid w:val="00884BDF"/>
    <w:rsid w:val="00890EDE"/>
    <w:rsid w:val="00892B38"/>
    <w:rsid w:val="00893E7E"/>
    <w:rsid w:val="00894255"/>
    <w:rsid w:val="00895D96"/>
    <w:rsid w:val="00897143"/>
    <w:rsid w:val="008A01EF"/>
    <w:rsid w:val="008A021F"/>
    <w:rsid w:val="008A1741"/>
    <w:rsid w:val="008A1A4A"/>
    <w:rsid w:val="008A2484"/>
    <w:rsid w:val="008A367C"/>
    <w:rsid w:val="008A5222"/>
    <w:rsid w:val="008A52F3"/>
    <w:rsid w:val="008B090B"/>
    <w:rsid w:val="008B2519"/>
    <w:rsid w:val="008B2E33"/>
    <w:rsid w:val="008B3C97"/>
    <w:rsid w:val="008B4D21"/>
    <w:rsid w:val="008B577B"/>
    <w:rsid w:val="008B7315"/>
    <w:rsid w:val="008C1F13"/>
    <w:rsid w:val="008C26D9"/>
    <w:rsid w:val="008C5855"/>
    <w:rsid w:val="008C6D50"/>
    <w:rsid w:val="008C7167"/>
    <w:rsid w:val="008C7503"/>
    <w:rsid w:val="008D1617"/>
    <w:rsid w:val="008D1CE1"/>
    <w:rsid w:val="008D2B16"/>
    <w:rsid w:val="008D330F"/>
    <w:rsid w:val="008D3FC7"/>
    <w:rsid w:val="008D440F"/>
    <w:rsid w:val="008D48C1"/>
    <w:rsid w:val="008D4BE8"/>
    <w:rsid w:val="008D52DE"/>
    <w:rsid w:val="008D5686"/>
    <w:rsid w:val="008D6AEF"/>
    <w:rsid w:val="008E07FA"/>
    <w:rsid w:val="008E149B"/>
    <w:rsid w:val="008E301A"/>
    <w:rsid w:val="008E4DC9"/>
    <w:rsid w:val="008E6315"/>
    <w:rsid w:val="008F075D"/>
    <w:rsid w:val="008F07FC"/>
    <w:rsid w:val="008F0822"/>
    <w:rsid w:val="008F11E0"/>
    <w:rsid w:val="008F2602"/>
    <w:rsid w:val="008F3EA7"/>
    <w:rsid w:val="008F6363"/>
    <w:rsid w:val="008F78BC"/>
    <w:rsid w:val="008F7B63"/>
    <w:rsid w:val="008F7D6A"/>
    <w:rsid w:val="00901C86"/>
    <w:rsid w:val="00903603"/>
    <w:rsid w:val="009054CB"/>
    <w:rsid w:val="00910C1F"/>
    <w:rsid w:val="00911F8D"/>
    <w:rsid w:val="00912F94"/>
    <w:rsid w:val="00915503"/>
    <w:rsid w:val="00916C9D"/>
    <w:rsid w:val="009171BC"/>
    <w:rsid w:val="009203B3"/>
    <w:rsid w:val="0092497E"/>
    <w:rsid w:val="0092590B"/>
    <w:rsid w:val="00925BF3"/>
    <w:rsid w:val="00925E60"/>
    <w:rsid w:val="009264B3"/>
    <w:rsid w:val="009365E0"/>
    <w:rsid w:val="00936750"/>
    <w:rsid w:val="00937DD8"/>
    <w:rsid w:val="00940E94"/>
    <w:rsid w:val="00942BA2"/>
    <w:rsid w:val="009432B7"/>
    <w:rsid w:val="00944104"/>
    <w:rsid w:val="009445B0"/>
    <w:rsid w:val="00944A8E"/>
    <w:rsid w:val="00944C86"/>
    <w:rsid w:val="00945D13"/>
    <w:rsid w:val="00947C02"/>
    <w:rsid w:val="009505A4"/>
    <w:rsid w:val="00950BE6"/>
    <w:rsid w:val="00957DE8"/>
    <w:rsid w:val="00960ECB"/>
    <w:rsid w:val="0096114C"/>
    <w:rsid w:val="009615D6"/>
    <w:rsid w:val="00964322"/>
    <w:rsid w:val="00964D5F"/>
    <w:rsid w:val="009657F8"/>
    <w:rsid w:val="00967855"/>
    <w:rsid w:val="00972AD1"/>
    <w:rsid w:val="00974709"/>
    <w:rsid w:val="009775FB"/>
    <w:rsid w:val="00977FA7"/>
    <w:rsid w:val="00980736"/>
    <w:rsid w:val="00981A39"/>
    <w:rsid w:val="00982D56"/>
    <w:rsid w:val="00982EF2"/>
    <w:rsid w:val="009833B9"/>
    <w:rsid w:val="00983DBF"/>
    <w:rsid w:val="009853FE"/>
    <w:rsid w:val="0098664D"/>
    <w:rsid w:val="00987097"/>
    <w:rsid w:val="009908F0"/>
    <w:rsid w:val="009909E9"/>
    <w:rsid w:val="00991123"/>
    <w:rsid w:val="00991659"/>
    <w:rsid w:val="00991CAB"/>
    <w:rsid w:val="009A1736"/>
    <w:rsid w:val="009A2489"/>
    <w:rsid w:val="009A290A"/>
    <w:rsid w:val="009A30B9"/>
    <w:rsid w:val="009A3A9C"/>
    <w:rsid w:val="009A5BFB"/>
    <w:rsid w:val="009A6070"/>
    <w:rsid w:val="009B025B"/>
    <w:rsid w:val="009B046C"/>
    <w:rsid w:val="009B13FA"/>
    <w:rsid w:val="009B1E2D"/>
    <w:rsid w:val="009B3BF7"/>
    <w:rsid w:val="009C59FB"/>
    <w:rsid w:val="009C6769"/>
    <w:rsid w:val="009C6F3B"/>
    <w:rsid w:val="009D1467"/>
    <w:rsid w:val="009D1A08"/>
    <w:rsid w:val="009D328D"/>
    <w:rsid w:val="009D79EC"/>
    <w:rsid w:val="009E3A4D"/>
    <w:rsid w:val="009E4ACE"/>
    <w:rsid w:val="009E4D95"/>
    <w:rsid w:val="009E4FA6"/>
    <w:rsid w:val="009E7D93"/>
    <w:rsid w:val="009F3C34"/>
    <w:rsid w:val="009F462C"/>
    <w:rsid w:val="009F59F0"/>
    <w:rsid w:val="009F5A11"/>
    <w:rsid w:val="009F5B68"/>
    <w:rsid w:val="009F5C33"/>
    <w:rsid w:val="00A026F0"/>
    <w:rsid w:val="00A03EAC"/>
    <w:rsid w:val="00A04600"/>
    <w:rsid w:val="00A04DBB"/>
    <w:rsid w:val="00A04DD8"/>
    <w:rsid w:val="00A06E5F"/>
    <w:rsid w:val="00A07EA0"/>
    <w:rsid w:val="00A11CA6"/>
    <w:rsid w:val="00A140B3"/>
    <w:rsid w:val="00A15E0A"/>
    <w:rsid w:val="00A203BD"/>
    <w:rsid w:val="00A20C49"/>
    <w:rsid w:val="00A22932"/>
    <w:rsid w:val="00A23224"/>
    <w:rsid w:val="00A269CA"/>
    <w:rsid w:val="00A31C8F"/>
    <w:rsid w:val="00A329C2"/>
    <w:rsid w:val="00A336EE"/>
    <w:rsid w:val="00A33F46"/>
    <w:rsid w:val="00A3427E"/>
    <w:rsid w:val="00A359AC"/>
    <w:rsid w:val="00A40F83"/>
    <w:rsid w:val="00A410FB"/>
    <w:rsid w:val="00A41413"/>
    <w:rsid w:val="00A416A1"/>
    <w:rsid w:val="00A41BBB"/>
    <w:rsid w:val="00A42149"/>
    <w:rsid w:val="00A431E6"/>
    <w:rsid w:val="00A436E8"/>
    <w:rsid w:val="00A45262"/>
    <w:rsid w:val="00A45FB1"/>
    <w:rsid w:val="00A46CCC"/>
    <w:rsid w:val="00A47996"/>
    <w:rsid w:val="00A51CFE"/>
    <w:rsid w:val="00A5204D"/>
    <w:rsid w:val="00A52B41"/>
    <w:rsid w:val="00A52D2A"/>
    <w:rsid w:val="00A53E76"/>
    <w:rsid w:val="00A61605"/>
    <w:rsid w:val="00A6189D"/>
    <w:rsid w:val="00A62D4F"/>
    <w:rsid w:val="00A630EA"/>
    <w:rsid w:val="00A65F97"/>
    <w:rsid w:val="00A676AE"/>
    <w:rsid w:val="00A71917"/>
    <w:rsid w:val="00A727E8"/>
    <w:rsid w:val="00A75816"/>
    <w:rsid w:val="00A76C13"/>
    <w:rsid w:val="00A82910"/>
    <w:rsid w:val="00A83224"/>
    <w:rsid w:val="00A84A34"/>
    <w:rsid w:val="00A84FD0"/>
    <w:rsid w:val="00A85B13"/>
    <w:rsid w:val="00A8710C"/>
    <w:rsid w:val="00A92CEC"/>
    <w:rsid w:val="00A92E79"/>
    <w:rsid w:val="00A950B6"/>
    <w:rsid w:val="00A95D45"/>
    <w:rsid w:val="00AA2342"/>
    <w:rsid w:val="00AA538D"/>
    <w:rsid w:val="00AB0E9F"/>
    <w:rsid w:val="00AB3DDB"/>
    <w:rsid w:val="00AB41C1"/>
    <w:rsid w:val="00AB4CF2"/>
    <w:rsid w:val="00AB6CCA"/>
    <w:rsid w:val="00AC223F"/>
    <w:rsid w:val="00AC33B1"/>
    <w:rsid w:val="00AC47FF"/>
    <w:rsid w:val="00AC6283"/>
    <w:rsid w:val="00AC7D6F"/>
    <w:rsid w:val="00AC7DEF"/>
    <w:rsid w:val="00AD0CC6"/>
    <w:rsid w:val="00AD12A8"/>
    <w:rsid w:val="00AD33A1"/>
    <w:rsid w:val="00AD4F98"/>
    <w:rsid w:val="00AE023F"/>
    <w:rsid w:val="00AE78B8"/>
    <w:rsid w:val="00AE7E38"/>
    <w:rsid w:val="00AF183C"/>
    <w:rsid w:val="00AF187C"/>
    <w:rsid w:val="00AF1AE0"/>
    <w:rsid w:val="00AF2810"/>
    <w:rsid w:val="00AF2919"/>
    <w:rsid w:val="00AF3577"/>
    <w:rsid w:val="00AF35F9"/>
    <w:rsid w:val="00AF7DA8"/>
    <w:rsid w:val="00B03D95"/>
    <w:rsid w:val="00B0424C"/>
    <w:rsid w:val="00B05ADF"/>
    <w:rsid w:val="00B05BE2"/>
    <w:rsid w:val="00B05C7D"/>
    <w:rsid w:val="00B136A0"/>
    <w:rsid w:val="00B14B07"/>
    <w:rsid w:val="00B15D57"/>
    <w:rsid w:val="00B160D6"/>
    <w:rsid w:val="00B16347"/>
    <w:rsid w:val="00B17D6E"/>
    <w:rsid w:val="00B2435E"/>
    <w:rsid w:val="00B254D7"/>
    <w:rsid w:val="00B264CD"/>
    <w:rsid w:val="00B26CF7"/>
    <w:rsid w:val="00B26DB7"/>
    <w:rsid w:val="00B2795F"/>
    <w:rsid w:val="00B322D1"/>
    <w:rsid w:val="00B32E17"/>
    <w:rsid w:val="00B33139"/>
    <w:rsid w:val="00B33B54"/>
    <w:rsid w:val="00B346C3"/>
    <w:rsid w:val="00B379C8"/>
    <w:rsid w:val="00B4005C"/>
    <w:rsid w:val="00B4227E"/>
    <w:rsid w:val="00B43DDE"/>
    <w:rsid w:val="00B4471C"/>
    <w:rsid w:val="00B451A6"/>
    <w:rsid w:val="00B462DB"/>
    <w:rsid w:val="00B50C27"/>
    <w:rsid w:val="00B50CD0"/>
    <w:rsid w:val="00B54270"/>
    <w:rsid w:val="00B56D6E"/>
    <w:rsid w:val="00B575B1"/>
    <w:rsid w:val="00B6056C"/>
    <w:rsid w:val="00B61E1B"/>
    <w:rsid w:val="00B64347"/>
    <w:rsid w:val="00B650C9"/>
    <w:rsid w:val="00B65D47"/>
    <w:rsid w:val="00B65DC6"/>
    <w:rsid w:val="00B67AC2"/>
    <w:rsid w:val="00B722DE"/>
    <w:rsid w:val="00B751E3"/>
    <w:rsid w:val="00B75BA6"/>
    <w:rsid w:val="00B76C44"/>
    <w:rsid w:val="00B8184A"/>
    <w:rsid w:val="00B82283"/>
    <w:rsid w:val="00B828D8"/>
    <w:rsid w:val="00B83F87"/>
    <w:rsid w:val="00B84946"/>
    <w:rsid w:val="00B8706F"/>
    <w:rsid w:val="00B87385"/>
    <w:rsid w:val="00B87CDC"/>
    <w:rsid w:val="00B910C1"/>
    <w:rsid w:val="00B92077"/>
    <w:rsid w:val="00B9327C"/>
    <w:rsid w:val="00B93FA9"/>
    <w:rsid w:val="00B94998"/>
    <w:rsid w:val="00B95416"/>
    <w:rsid w:val="00B977E1"/>
    <w:rsid w:val="00BA1B69"/>
    <w:rsid w:val="00BA2CA4"/>
    <w:rsid w:val="00BA2DBA"/>
    <w:rsid w:val="00BA2EFA"/>
    <w:rsid w:val="00BA3DBC"/>
    <w:rsid w:val="00BA4055"/>
    <w:rsid w:val="00BA539C"/>
    <w:rsid w:val="00BA707A"/>
    <w:rsid w:val="00BB1AFB"/>
    <w:rsid w:val="00BB27AE"/>
    <w:rsid w:val="00BB2DA2"/>
    <w:rsid w:val="00BB56DC"/>
    <w:rsid w:val="00BB70BB"/>
    <w:rsid w:val="00BB74DC"/>
    <w:rsid w:val="00BC455E"/>
    <w:rsid w:val="00BC5C0F"/>
    <w:rsid w:val="00BC6DB7"/>
    <w:rsid w:val="00BD02DE"/>
    <w:rsid w:val="00BD34BA"/>
    <w:rsid w:val="00BD4A57"/>
    <w:rsid w:val="00BE183D"/>
    <w:rsid w:val="00BE4177"/>
    <w:rsid w:val="00BE45B3"/>
    <w:rsid w:val="00BF5D7A"/>
    <w:rsid w:val="00BF627B"/>
    <w:rsid w:val="00BF7A49"/>
    <w:rsid w:val="00C01C2E"/>
    <w:rsid w:val="00C02D33"/>
    <w:rsid w:val="00C031BE"/>
    <w:rsid w:val="00C04B53"/>
    <w:rsid w:val="00C07FA6"/>
    <w:rsid w:val="00C1232C"/>
    <w:rsid w:val="00C12350"/>
    <w:rsid w:val="00C21819"/>
    <w:rsid w:val="00C22F46"/>
    <w:rsid w:val="00C241D6"/>
    <w:rsid w:val="00C2523D"/>
    <w:rsid w:val="00C2632C"/>
    <w:rsid w:val="00C27C6B"/>
    <w:rsid w:val="00C328EF"/>
    <w:rsid w:val="00C3594D"/>
    <w:rsid w:val="00C36442"/>
    <w:rsid w:val="00C400CE"/>
    <w:rsid w:val="00C410FD"/>
    <w:rsid w:val="00C4289B"/>
    <w:rsid w:val="00C457DE"/>
    <w:rsid w:val="00C45AD9"/>
    <w:rsid w:val="00C4618F"/>
    <w:rsid w:val="00C47DD3"/>
    <w:rsid w:val="00C53562"/>
    <w:rsid w:val="00C539FB"/>
    <w:rsid w:val="00C54782"/>
    <w:rsid w:val="00C6328A"/>
    <w:rsid w:val="00C63CA5"/>
    <w:rsid w:val="00C65D83"/>
    <w:rsid w:val="00C66149"/>
    <w:rsid w:val="00C66E57"/>
    <w:rsid w:val="00C67CC4"/>
    <w:rsid w:val="00C726BA"/>
    <w:rsid w:val="00C74150"/>
    <w:rsid w:val="00C75594"/>
    <w:rsid w:val="00C76E60"/>
    <w:rsid w:val="00C7786A"/>
    <w:rsid w:val="00C82511"/>
    <w:rsid w:val="00C84B10"/>
    <w:rsid w:val="00C8584E"/>
    <w:rsid w:val="00C85982"/>
    <w:rsid w:val="00C909FC"/>
    <w:rsid w:val="00C92DF1"/>
    <w:rsid w:val="00C931D2"/>
    <w:rsid w:val="00CA0466"/>
    <w:rsid w:val="00CA246D"/>
    <w:rsid w:val="00CA3746"/>
    <w:rsid w:val="00CA3B98"/>
    <w:rsid w:val="00CA50D9"/>
    <w:rsid w:val="00CA6C5B"/>
    <w:rsid w:val="00CA7F44"/>
    <w:rsid w:val="00CB0886"/>
    <w:rsid w:val="00CB3054"/>
    <w:rsid w:val="00CB5636"/>
    <w:rsid w:val="00CC3EE5"/>
    <w:rsid w:val="00CC444C"/>
    <w:rsid w:val="00CC7630"/>
    <w:rsid w:val="00CE425C"/>
    <w:rsid w:val="00CE58AC"/>
    <w:rsid w:val="00CF0698"/>
    <w:rsid w:val="00CF307D"/>
    <w:rsid w:val="00CF5A80"/>
    <w:rsid w:val="00CF71E0"/>
    <w:rsid w:val="00D045EE"/>
    <w:rsid w:val="00D05091"/>
    <w:rsid w:val="00D072A7"/>
    <w:rsid w:val="00D10CA6"/>
    <w:rsid w:val="00D10F21"/>
    <w:rsid w:val="00D12B54"/>
    <w:rsid w:val="00D134CF"/>
    <w:rsid w:val="00D13AC9"/>
    <w:rsid w:val="00D144E6"/>
    <w:rsid w:val="00D1573B"/>
    <w:rsid w:val="00D168AA"/>
    <w:rsid w:val="00D17390"/>
    <w:rsid w:val="00D17639"/>
    <w:rsid w:val="00D24806"/>
    <w:rsid w:val="00D2596D"/>
    <w:rsid w:val="00D31A5B"/>
    <w:rsid w:val="00D33523"/>
    <w:rsid w:val="00D34040"/>
    <w:rsid w:val="00D34E69"/>
    <w:rsid w:val="00D358CF"/>
    <w:rsid w:val="00D35C2D"/>
    <w:rsid w:val="00D36C78"/>
    <w:rsid w:val="00D36F49"/>
    <w:rsid w:val="00D375EE"/>
    <w:rsid w:val="00D4074B"/>
    <w:rsid w:val="00D47B76"/>
    <w:rsid w:val="00D541EF"/>
    <w:rsid w:val="00D55943"/>
    <w:rsid w:val="00D55AE8"/>
    <w:rsid w:val="00D56056"/>
    <w:rsid w:val="00D6085F"/>
    <w:rsid w:val="00D62699"/>
    <w:rsid w:val="00D62E1E"/>
    <w:rsid w:val="00D65166"/>
    <w:rsid w:val="00D661E4"/>
    <w:rsid w:val="00D701C4"/>
    <w:rsid w:val="00D705C8"/>
    <w:rsid w:val="00D71ECA"/>
    <w:rsid w:val="00D7250E"/>
    <w:rsid w:val="00D72711"/>
    <w:rsid w:val="00D728CF"/>
    <w:rsid w:val="00D72C91"/>
    <w:rsid w:val="00D74201"/>
    <w:rsid w:val="00D74609"/>
    <w:rsid w:val="00D74884"/>
    <w:rsid w:val="00D76303"/>
    <w:rsid w:val="00D76E25"/>
    <w:rsid w:val="00D778E9"/>
    <w:rsid w:val="00D812BF"/>
    <w:rsid w:val="00D82620"/>
    <w:rsid w:val="00D85707"/>
    <w:rsid w:val="00D930FF"/>
    <w:rsid w:val="00D94F78"/>
    <w:rsid w:val="00D96FE4"/>
    <w:rsid w:val="00D9725F"/>
    <w:rsid w:val="00DA01B1"/>
    <w:rsid w:val="00DA11A2"/>
    <w:rsid w:val="00DA14ED"/>
    <w:rsid w:val="00DA26D6"/>
    <w:rsid w:val="00DA3206"/>
    <w:rsid w:val="00DA3AB8"/>
    <w:rsid w:val="00DA5AA7"/>
    <w:rsid w:val="00DA6721"/>
    <w:rsid w:val="00DB2EF1"/>
    <w:rsid w:val="00DB3DE1"/>
    <w:rsid w:val="00DB5195"/>
    <w:rsid w:val="00DB5858"/>
    <w:rsid w:val="00DB5DA0"/>
    <w:rsid w:val="00DB716C"/>
    <w:rsid w:val="00DB7B6E"/>
    <w:rsid w:val="00DC02CB"/>
    <w:rsid w:val="00DC0793"/>
    <w:rsid w:val="00DC3BD1"/>
    <w:rsid w:val="00DC578E"/>
    <w:rsid w:val="00DC5C85"/>
    <w:rsid w:val="00DC7C5D"/>
    <w:rsid w:val="00DD1912"/>
    <w:rsid w:val="00DD4236"/>
    <w:rsid w:val="00DD44F1"/>
    <w:rsid w:val="00DD663A"/>
    <w:rsid w:val="00DD6957"/>
    <w:rsid w:val="00DD6E7A"/>
    <w:rsid w:val="00DD7851"/>
    <w:rsid w:val="00DE02CE"/>
    <w:rsid w:val="00DE0CE9"/>
    <w:rsid w:val="00DE3067"/>
    <w:rsid w:val="00DF08B3"/>
    <w:rsid w:val="00DF3EEE"/>
    <w:rsid w:val="00DF4761"/>
    <w:rsid w:val="00DF5A44"/>
    <w:rsid w:val="00DF71AA"/>
    <w:rsid w:val="00DF75E1"/>
    <w:rsid w:val="00E027BC"/>
    <w:rsid w:val="00E056CE"/>
    <w:rsid w:val="00E05991"/>
    <w:rsid w:val="00E10F0D"/>
    <w:rsid w:val="00E14EA5"/>
    <w:rsid w:val="00E2070E"/>
    <w:rsid w:val="00E21133"/>
    <w:rsid w:val="00E22D2C"/>
    <w:rsid w:val="00E22DD0"/>
    <w:rsid w:val="00E2327E"/>
    <w:rsid w:val="00E2334F"/>
    <w:rsid w:val="00E266EF"/>
    <w:rsid w:val="00E326A8"/>
    <w:rsid w:val="00E371AD"/>
    <w:rsid w:val="00E375D5"/>
    <w:rsid w:val="00E43054"/>
    <w:rsid w:val="00E43ED7"/>
    <w:rsid w:val="00E4457C"/>
    <w:rsid w:val="00E47428"/>
    <w:rsid w:val="00E56C8E"/>
    <w:rsid w:val="00E5716B"/>
    <w:rsid w:val="00E57F1F"/>
    <w:rsid w:val="00E62FB1"/>
    <w:rsid w:val="00E65916"/>
    <w:rsid w:val="00E6591E"/>
    <w:rsid w:val="00E66B9F"/>
    <w:rsid w:val="00E66FE0"/>
    <w:rsid w:val="00E6787D"/>
    <w:rsid w:val="00E70A6A"/>
    <w:rsid w:val="00E710D6"/>
    <w:rsid w:val="00E738B2"/>
    <w:rsid w:val="00E73DA4"/>
    <w:rsid w:val="00E73F6E"/>
    <w:rsid w:val="00E76E45"/>
    <w:rsid w:val="00E777C9"/>
    <w:rsid w:val="00E81DA6"/>
    <w:rsid w:val="00E84212"/>
    <w:rsid w:val="00E84C27"/>
    <w:rsid w:val="00E9086C"/>
    <w:rsid w:val="00E90AAA"/>
    <w:rsid w:val="00E91A0F"/>
    <w:rsid w:val="00E94A71"/>
    <w:rsid w:val="00E94CBF"/>
    <w:rsid w:val="00EA03CE"/>
    <w:rsid w:val="00EA0FF7"/>
    <w:rsid w:val="00EA23E5"/>
    <w:rsid w:val="00EA4E2E"/>
    <w:rsid w:val="00EA69C2"/>
    <w:rsid w:val="00EA7F15"/>
    <w:rsid w:val="00EB0D09"/>
    <w:rsid w:val="00EB16FF"/>
    <w:rsid w:val="00EB2417"/>
    <w:rsid w:val="00EB2CCB"/>
    <w:rsid w:val="00EB33E8"/>
    <w:rsid w:val="00EB62FA"/>
    <w:rsid w:val="00EB72C5"/>
    <w:rsid w:val="00EB7A25"/>
    <w:rsid w:val="00EC0F3E"/>
    <w:rsid w:val="00EC3F0E"/>
    <w:rsid w:val="00EC57A7"/>
    <w:rsid w:val="00ED0817"/>
    <w:rsid w:val="00ED0A5A"/>
    <w:rsid w:val="00ED7DD9"/>
    <w:rsid w:val="00EE445B"/>
    <w:rsid w:val="00EE5460"/>
    <w:rsid w:val="00EE6C7D"/>
    <w:rsid w:val="00EE7600"/>
    <w:rsid w:val="00EE7CA0"/>
    <w:rsid w:val="00EF3113"/>
    <w:rsid w:val="00EF3F84"/>
    <w:rsid w:val="00EF73C2"/>
    <w:rsid w:val="00F02591"/>
    <w:rsid w:val="00F05768"/>
    <w:rsid w:val="00F06A4F"/>
    <w:rsid w:val="00F1364C"/>
    <w:rsid w:val="00F16500"/>
    <w:rsid w:val="00F16FC9"/>
    <w:rsid w:val="00F176AC"/>
    <w:rsid w:val="00F26C0F"/>
    <w:rsid w:val="00F26F28"/>
    <w:rsid w:val="00F27714"/>
    <w:rsid w:val="00F3276E"/>
    <w:rsid w:val="00F338A3"/>
    <w:rsid w:val="00F33D3C"/>
    <w:rsid w:val="00F3749D"/>
    <w:rsid w:val="00F37A91"/>
    <w:rsid w:val="00F37FF0"/>
    <w:rsid w:val="00F408A0"/>
    <w:rsid w:val="00F410D7"/>
    <w:rsid w:val="00F41FE1"/>
    <w:rsid w:val="00F45CF5"/>
    <w:rsid w:val="00F47DB0"/>
    <w:rsid w:val="00F50C3F"/>
    <w:rsid w:val="00F50D49"/>
    <w:rsid w:val="00F50E34"/>
    <w:rsid w:val="00F53EF7"/>
    <w:rsid w:val="00F549E2"/>
    <w:rsid w:val="00F54BF2"/>
    <w:rsid w:val="00F5565D"/>
    <w:rsid w:val="00F563ED"/>
    <w:rsid w:val="00F56D63"/>
    <w:rsid w:val="00F5701B"/>
    <w:rsid w:val="00F57214"/>
    <w:rsid w:val="00F64B76"/>
    <w:rsid w:val="00F70923"/>
    <w:rsid w:val="00F7525F"/>
    <w:rsid w:val="00F773E8"/>
    <w:rsid w:val="00F775AC"/>
    <w:rsid w:val="00F8027D"/>
    <w:rsid w:val="00F87048"/>
    <w:rsid w:val="00F92355"/>
    <w:rsid w:val="00F925F2"/>
    <w:rsid w:val="00F938E8"/>
    <w:rsid w:val="00F93963"/>
    <w:rsid w:val="00F94291"/>
    <w:rsid w:val="00F96BB7"/>
    <w:rsid w:val="00FA264C"/>
    <w:rsid w:val="00FA298A"/>
    <w:rsid w:val="00FA2DD4"/>
    <w:rsid w:val="00FA3725"/>
    <w:rsid w:val="00FA4270"/>
    <w:rsid w:val="00FA5B66"/>
    <w:rsid w:val="00FA699E"/>
    <w:rsid w:val="00FA6E06"/>
    <w:rsid w:val="00FB1889"/>
    <w:rsid w:val="00FB1C6F"/>
    <w:rsid w:val="00FB30EB"/>
    <w:rsid w:val="00FB4FD8"/>
    <w:rsid w:val="00FB7511"/>
    <w:rsid w:val="00FB7982"/>
    <w:rsid w:val="00FC063C"/>
    <w:rsid w:val="00FC0734"/>
    <w:rsid w:val="00FC0FC5"/>
    <w:rsid w:val="00FC588F"/>
    <w:rsid w:val="00FC6272"/>
    <w:rsid w:val="00FC6879"/>
    <w:rsid w:val="00FD03C9"/>
    <w:rsid w:val="00FD40C1"/>
    <w:rsid w:val="00FE1B30"/>
    <w:rsid w:val="00FE2035"/>
    <w:rsid w:val="00FE5868"/>
    <w:rsid w:val="00FE6B26"/>
    <w:rsid w:val="00FE7B44"/>
    <w:rsid w:val="00FF7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1572C7C"/>
  <w15:docId w15:val="{BBC3904F-BC3D-4746-BE81-E2D62E63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numbering" w:customStyle="1" w:styleId="FCOrders1">
    <w:name w:val="FCOrders1"/>
    <w:uiPriority w:val="99"/>
    <w:rsid w:val="00DE02CE"/>
  </w:style>
  <w:style w:type="paragraph" w:customStyle="1" w:styleId="Default">
    <w:name w:val="Default"/>
    <w:rsid w:val="008A367C"/>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FB4FD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792">
      <w:bodyDiv w:val="1"/>
      <w:marLeft w:val="0"/>
      <w:marRight w:val="0"/>
      <w:marTop w:val="0"/>
      <w:marBottom w:val="0"/>
      <w:divBdr>
        <w:top w:val="none" w:sz="0" w:space="0" w:color="auto"/>
        <w:left w:val="none" w:sz="0" w:space="0" w:color="auto"/>
        <w:bottom w:val="none" w:sz="0" w:space="0" w:color="auto"/>
        <w:right w:val="none" w:sz="0" w:space="0" w:color="auto"/>
      </w:divBdr>
    </w:div>
    <w:div w:id="564296906">
      <w:bodyDiv w:val="1"/>
      <w:marLeft w:val="0"/>
      <w:marRight w:val="0"/>
      <w:marTop w:val="0"/>
      <w:marBottom w:val="0"/>
      <w:divBdr>
        <w:top w:val="none" w:sz="0" w:space="0" w:color="auto"/>
        <w:left w:val="none" w:sz="0" w:space="0" w:color="auto"/>
        <w:bottom w:val="none" w:sz="0" w:space="0" w:color="auto"/>
        <w:right w:val="none" w:sz="0" w:space="0" w:color="auto"/>
      </w:divBdr>
    </w:div>
    <w:div w:id="739329832">
      <w:bodyDiv w:val="1"/>
      <w:marLeft w:val="0"/>
      <w:marRight w:val="0"/>
      <w:marTop w:val="0"/>
      <w:marBottom w:val="0"/>
      <w:divBdr>
        <w:top w:val="none" w:sz="0" w:space="0" w:color="auto"/>
        <w:left w:val="none" w:sz="0" w:space="0" w:color="auto"/>
        <w:bottom w:val="none" w:sz="0" w:space="0" w:color="auto"/>
        <w:right w:val="none" w:sz="0" w:space="0" w:color="auto"/>
      </w:divBdr>
    </w:div>
    <w:div w:id="799766033">
      <w:bodyDiv w:val="1"/>
      <w:marLeft w:val="0"/>
      <w:marRight w:val="0"/>
      <w:marTop w:val="0"/>
      <w:marBottom w:val="0"/>
      <w:divBdr>
        <w:top w:val="none" w:sz="0" w:space="0" w:color="auto"/>
        <w:left w:val="none" w:sz="0" w:space="0" w:color="auto"/>
        <w:bottom w:val="none" w:sz="0" w:space="0" w:color="auto"/>
        <w:right w:val="none" w:sz="0" w:space="0" w:color="auto"/>
      </w:divBdr>
    </w:div>
    <w:div w:id="1308512968">
      <w:bodyDiv w:val="1"/>
      <w:marLeft w:val="0"/>
      <w:marRight w:val="0"/>
      <w:marTop w:val="0"/>
      <w:marBottom w:val="0"/>
      <w:divBdr>
        <w:top w:val="none" w:sz="0" w:space="0" w:color="auto"/>
        <w:left w:val="none" w:sz="0" w:space="0" w:color="auto"/>
        <w:bottom w:val="none" w:sz="0" w:space="0" w:color="auto"/>
        <w:right w:val="none" w:sz="0" w:space="0" w:color="auto"/>
      </w:divBdr>
    </w:div>
    <w:div w:id="1361005384">
      <w:bodyDiv w:val="1"/>
      <w:marLeft w:val="0"/>
      <w:marRight w:val="0"/>
      <w:marTop w:val="0"/>
      <w:marBottom w:val="0"/>
      <w:divBdr>
        <w:top w:val="none" w:sz="0" w:space="0" w:color="auto"/>
        <w:left w:val="none" w:sz="0" w:space="0" w:color="auto"/>
        <w:bottom w:val="none" w:sz="0" w:space="0" w:color="auto"/>
        <w:right w:val="none" w:sz="0" w:space="0" w:color="auto"/>
      </w:divBdr>
      <w:divsChild>
        <w:div w:id="1611669061">
          <w:marLeft w:val="0"/>
          <w:marRight w:val="0"/>
          <w:marTop w:val="0"/>
          <w:marBottom w:val="0"/>
          <w:divBdr>
            <w:top w:val="none" w:sz="0" w:space="0" w:color="auto"/>
            <w:left w:val="none" w:sz="0" w:space="0" w:color="auto"/>
            <w:bottom w:val="none" w:sz="0" w:space="0" w:color="auto"/>
            <w:right w:val="none" w:sz="0" w:space="0" w:color="auto"/>
          </w:divBdr>
          <w:divsChild>
            <w:div w:id="20710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58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9BEB0DE1474712B238A28BD8760683"/>
        <w:category>
          <w:name w:val="General"/>
          <w:gallery w:val="placeholder"/>
        </w:category>
        <w:types>
          <w:type w:val="bbPlcHdr"/>
        </w:types>
        <w:behaviors>
          <w:behavior w:val="content"/>
        </w:behaviors>
        <w:guid w:val="{DBB3299C-2C46-41BC-8AE1-94BF4BD3D3AC}"/>
      </w:docPartPr>
      <w:docPartBody>
        <w:p w:rsidR="00153051" w:rsidRDefault="00153051">
          <w:pPr>
            <w:pStyle w:val="529BEB0DE1474712B238A28BD8760683"/>
          </w:pPr>
          <w:r>
            <w:rPr>
              <w:rStyle w:val="PlaceholderText"/>
            </w:rPr>
            <w:t>MNC Text</w:t>
          </w:r>
        </w:p>
      </w:docPartBody>
    </w:docPart>
    <w:docPart>
      <w:docPartPr>
        <w:name w:val="07097DF5BB1A4C68991D0103F99C2EFC"/>
        <w:category>
          <w:name w:val="General"/>
          <w:gallery w:val="placeholder"/>
        </w:category>
        <w:types>
          <w:type w:val="bbPlcHdr"/>
        </w:types>
        <w:behaviors>
          <w:behavior w:val="content"/>
        </w:behaviors>
        <w:guid w:val="{E088E28B-1BAC-43D4-A4DF-A8F095E06CC5}"/>
      </w:docPartPr>
      <w:docPartBody>
        <w:p w:rsidR="00153051" w:rsidRDefault="00153051">
          <w:pPr>
            <w:pStyle w:val="07097DF5BB1A4C68991D0103F99C2EFC"/>
          </w:pPr>
          <w:r w:rsidRPr="005C44BE">
            <w:rPr>
              <w:rStyle w:val="PlaceholderText"/>
            </w:rPr>
            <w:t>Click or tap here to enter text.</w:t>
          </w:r>
        </w:p>
      </w:docPartBody>
    </w:docPart>
    <w:docPart>
      <w:docPartPr>
        <w:name w:val="B670A7ADD06949EB85848BB51140F253"/>
        <w:category>
          <w:name w:val="General"/>
          <w:gallery w:val="placeholder"/>
        </w:category>
        <w:types>
          <w:type w:val="bbPlcHdr"/>
        </w:types>
        <w:behaviors>
          <w:behavior w:val="content"/>
        </w:behaviors>
        <w:guid w:val="{72E2B5B4-1E1D-4DF5-863E-522C125925BB}"/>
      </w:docPartPr>
      <w:docPartBody>
        <w:p w:rsidR="00153051" w:rsidRDefault="00153051">
          <w:pPr>
            <w:pStyle w:val="B670A7ADD06949EB85848BB51140F253"/>
          </w:pPr>
          <w:r w:rsidRPr="005C44BE">
            <w:rPr>
              <w:rStyle w:val="PlaceholderText"/>
            </w:rPr>
            <w:t>Click or tap here to enter text.</w:t>
          </w:r>
        </w:p>
      </w:docPartBody>
    </w:docPart>
    <w:docPart>
      <w:docPartPr>
        <w:name w:val="CA112675BA2F4146BB56A65B125DCED1"/>
        <w:category>
          <w:name w:val="General"/>
          <w:gallery w:val="placeholder"/>
        </w:category>
        <w:types>
          <w:type w:val="bbPlcHdr"/>
        </w:types>
        <w:behaviors>
          <w:behavior w:val="content"/>
        </w:behaviors>
        <w:guid w:val="{2227ED3F-5D46-4B1A-8255-2F07601210D9}"/>
      </w:docPartPr>
      <w:docPartBody>
        <w:p w:rsidR="00153051" w:rsidRDefault="00153051">
          <w:pPr>
            <w:pStyle w:val="CA112675BA2F4146BB56A65B125DCED1"/>
          </w:pPr>
          <w:r w:rsidRPr="005C44BE">
            <w:rPr>
              <w:rStyle w:val="PlaceholderText"/>
            </w:rPr>
            <w:t>Click or tap here to enter text.</w:t>
          </w:r>
        </w:p>
      </w:docPartBody>
    </w:docPart>
    <w:docPart>
      <w:docPartPr>
        <w:name w:val="E6C46DE9672C4E28B3BC94D38506180D"/>
        <w:category>
          <w:name w:val="General"/>
          <w:gallery w:val="placeholder"/>
        </w:category>
        <w:types>
          <w:type w:val="bbPlcHdr"/>
        </w:types>
        <w:behaviors>
          <w:behavior w:val="content"/>
        </w:behaviors>
        <w:guid w:val="{D5727777-80B7-4727-9BFD-0CFEF38174DD}"/>
      </w:docPartPr>
      <w:docPartBody>
        <w:p w:rsidR="00153051" w:rsidRDefault="00153051">
          <w:pPr>
            <w:pStyle w:val="E6C46DE9672C4E28B3BC94D38506180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51"/>
    <w:rsid w:val="00153051"/>
    <w:rsid w:val="00BF722F"/>
    <w:rsid w:val="00FB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9BEB0DE1474712B238A28BD8760683">
    <w:name w:val="529BEB0DE1474712B238A28BD8760683"/>
  </w:style>
  <w:style w:type="paragraph" w:customStyle="1" w:styleId="07097DF5BB1A4C68991D0103F99C2EFC">
    <w:name w:val="07097DF5BB1A4C68991D0103F99C2EFC"/>
  </w:style>
  <w:style w:type="paragraph" w:customStyle="1" w:styleId="B670A7ADD06949EB85848BB51140F253">
    <w:name w:val="B670A7ADD06949EB85848BB51140F253"/>
  </w:style>
  <w:style w:type="paragraph" w:customStyle="1" w:styleId="CA112675BA2F4146BB56A65B125DCED1">
    <w:name w:val="CA112675BA2F4146BB56A65B125DCED1"/>
  </w:style>
  <w:style w:type="paragraph" w:customStyle="1" w:styleId="E6C46DE9672C4E28B3BC94D38506180D">
    <w:name w:val="E6C46DE9672C4E28B3BC94D385061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SZQKE v Minister for Immigration and Border Protection [2021] FCA 833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139CF55-D6AB-4FF0-8D55-5FD49881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17</Pages>
  <Words>6719</Words>
  <Characters>33968</Characters>
  <Application>Microsoft Office Word</Application>
  <DocSecurity>0</DocSecurity>
  <Lines>640</Lines>
  <Paragraphs>194</Paragraphs>
  <ScaleCrop>false</ScaleCrop>
  <HeadingPairs>
    <vt:vector size="2" baseType="variant">
      <vt:variant>
        <vt:lpstr>Title</vt:lpstr>
      </vt:variant>
      <vt:variant>
        <vt:i4>1</vt:i4>
      </vt:variant>
    </vt:vector>
  </HeadingPairs>
  <TitlesOfParts>
    <vt:vector size="1" baseType="lpstr">
      <vt:lpstr>SZQKE v Minister for Immigration and Border Protection [2021] FCA 833 </vt:lpstr>
    </vt:vector>
  </TitlesOfParts>
  <Company>Federal Court of Australia</Company>
  <LinksUpToDate>false</LinksUpToDate>
  <CharactersWithSpaces>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SZQKE v Minister for Immigration and Border Protection [2021] FCA 833</dc:title>
  <dc:creator>Federal Court of Australia</dc:creator>
  <cp:lastModifiedBy>Federal Court of Australia</cp:lastModifiedBy>
  <cp:revision>3</cp:revision>
  <cp:lastPrinted>2021-06-29T03:54:00Z</cp:lastPrinted>
  <dcterms:created xsi:type="dcterms:W3CDTF">2021-07-25T23:38:00Z</dcterms:created>
  <dcterms:modified xsi:type="dcterms:W3CDTF">2021-07-25T23:39:00Z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Appeal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SZQKE v Minister for Immigration and Anor [2020] FCCA 278</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