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6F5AD4" w14:textId="77777777" w:rsidR="00395B24" w:rsidRDefault="00C44B55" w:rsidP="00A22932">
      <w:pPr>
        <w:pStyle w:val="CourtTitle"/>
      </w:pPr>
      <w:r>
        <w:fldChar w:fldCharType="begin"/>
      </w:r>
      <w:r>
        <w:instrText xml:space="preserve"> DOCPROPERTY  Court  \* MERGEFORMAT </w:instrText>
      </w:r>
      <w:r>
        <w:fldChar w:fldCharType="separate"/>
      </w:r>
      <w:r w:rsidR="00EB5E77">
        <w:t>Federal Court of Australia</w:t>
      </w:r>
      <w:r>
        <w:fldChar w:fldCharType="end"/>
      </w:r>
    </w:p>
    <w:p w14:paraId="46FC44DE" w14:textId="77777777" w:rsidR="00395B24" w:rsidRDefault="00395B24">
      <w:pPr>
        <w:pStyle w:val="NormalHeadings"/>
        <w:jc w:val="center"/>
        <w:rPr>
          <w:sz w:val="32"/>
        </w:rPr>
      </w:pPr>
    </w:p>
    <w:bookmarkStart w:id="0" w:name="MNC"/>
    <w:p w14:paraId="56EAC7EC" w14:textId="64918837" w:rsidR="00374CC4" w:rsidRDefault="00DB7C9A" w:rsidP="001A2B40">
      <w:pPr>
        <w:pStyle w:val="MNC"/>
      </w:pPr>
      <w:sdt>
        <w:sdtPr>
          <w:alias w:val="MNC"/>
          <w:tag w:val="MNC"/>
          <w:id w:val="343289786"/>
          <w:lock w:val="sdtLocked"/>
          <w:placeholder>
            <w:docPart w:val="1500A58C7B2D4D4D9C6A39C0789C802A"/>
          </w:placeholder>
          <w:dataBinding w:prefixMappings="xmlns:ns0='http://schemas.globalmacros.com/FCA'" w:xpath="/ns0:root[1]/ns0:Name[1]" w:storeItemID="{687E7CCB-4AA5-44E7-B148-17BA2B6F57C0}"/>
          <w:text w:multiLine="1"/>
        </w:sdtPr>
        <w:sdtEndPr/>
        <w:sdtContent>
          <w:r w:rsidR="003401EE">
            <w:t>Whittenbury v Vocation Limite</w:t>
          </w:r>
          <w:r w:rsidR="006421E0">
            <w:t>d (in liquidation) [2021] FCA 829</w:t>
          </w:r>
          <w:r w:rsidR="003401EE">
            <w:t xml:space="preserve"> </w:t>
          </w:r>
        </w:sdtContent>
      </w:sdt>
      <w:bookmarkEnd w:id="0"/>
      <w:r w:rsidR="005C185C">
        <w:t xml:space="preserve"> </w:t>
      </w:r>
    </w:p>
    <w:tbl>
      <w:tblPr>
        <w:tblW w:w="9072" w:type="dxa"/>
        <w:tblLayout w:type="fixed"/>
        <w:tblLook w:val="01E0" w:firstRow="1" w:lastRow="1" w:firstColumn="1" w:lastColumn="1" w:noHBand="0" w:noVBand="0"/>
        <w:tblCaption w:val="Cover Table"/>
        <w:tblDescription w:val="Cover Table"/>
      </w:tblPr>
      <w:tblGrid>
        <w:gridCol w:w="3082"/>
        <w:gridCol w:w="5990"/>
      </w:tblGrid>
      <w:tr w:rsidR="00395B24" w14:paraId="0533D375" w14:textId="77777777" w:rsidTr="00533703">
        <w:tc>
          <w:tcPr>
            <w:tcW w:w="3082" w:type="dxa"/>
            <w:shd w:val="clear" w:color="auto" w:fill="auto"/>
          </w:tcPr>
          <w:p w14:paraId="08048952" w14:textId="77777777" w:rsidR="00395B24" w:rsidRDefault="00ED0C88" w:rsidP="00663878">
            <w:pPr>
              <w:pStyle w:val="Normal1linespace"/>
              <w:widowControl w:val="0"/>
              <w:jc w:val="left"/>
            </w:pPr>
            <w:r>
              <w:t>File number</w:t>
            </w:r>
            <w:r w:rsidR="002C7385">
              <w:t>:</w:t>
            </w:r>
          </w:p>
        </w:tc>
        <w:tc>
          <w:tcPr>
            <w:tcW w:w="5990" w:type="dxa"/>
            <w:shd w:val="clear" w:color="auto" w:fill="auto"/>
          </w:tcPr>
          <w:p w14:paraId="3114C770" w14:textId="77777777" w:rsidR="00395B24" w:rsidRPr="00EB5E77" w:rsidRDefault="00617A54" w:rsidP="00EB5E77">
            <w:pPr>
              <w:pStyle w:val="Normal1linespace"/>
              <w:jc w:val="left"/>
            </w:pPr>
            <w:fldSimple w:instr=" REF  FileNo  \* MERGEFORMAT " w:fldLock="1">
              <w:r w:rsidR="00EB5E77" w:rsidRPr="00EB5E77">
                <w:t>VID 434 of 2015</w:t>
              </w:r>
            </w:fldSimple>
          </w:p>
        </w:tc>
      </w:tr>
      <w:tr w:rsidR="00395B24" w14:paraId="204A50AD" w14:textId="77777777" w:rsidTr="00533703">
        <w:tc>
          <w:tcPr>
            <w:tcW w:w="3082" w:type="dxa"/>
            <w:shd w:val="clear" w:color="auto" w:fill="auto"/>
          </w:tcPr>
          <w:p w14:paraId="3043D2B9" w14:textId="77777777" w:rsidR="00395B24" w:rsidRDefault="00395B24" w:rsidP="00663878">
            <w:pPr>
              <w:pStyle w:val="Normal1linespace"/>
              <w:widowControl w:val="0"/>
              <w:jc w:val="left"/>
            </w:pPr>
          </w:p>
        </w:tc>
        <w:tc>
          <w:tcPr>
            <w:tcW w:w="5990" w:type="dxa"/>
            <w:shd w:val="clear" w:color="auto" w:fill="auto"/>
          </w:tcPr>
          <w:p w14:paraId="34F7C4EC" w14:textId="77777777" w:rsidR="00395B24" w:rsidRDefault="00395B24" w:rsidP="00663878">
            <w:pPr>
              <w:pStyle w:val="Normal1linespace"/>
              <w:widowControl w:val="0"/>
              <w:jc w:val="left"/>
            </w:pPr>
          </w:p>
        </w:tc>
      </w:tr>
      <w:tr w:rsidR="00395B24" w14:paraId="09D0B4AF" w14:textId="77777777" w:rsidTr="00533703">
        <w:tc>
          <w:tcPr>
            <w:tcW w:w="3082" w:type="dxa"/>
            <w:shd w:val="clear" w:color="auto" w:fill="auto"/>
          </w:tcPr>
          <w:p w14:paraId="5E05C680" w14:textId="77777777" w:rsidR="00395B24" w:rsidRDefault="002C7385" w:rsidP="00663878">
            <w:pPr>
              <w:pStyle w:val="Normal1linespace"/>
              <w:widowControl w:val="0"/>
              <w:jc w:val="left"/>
            </w:pPr>
            <w:r>
              <w:t>Judg</w:t>
            </w:r>
            <w:r w:rsidR="005724F6">
              <w:t>ment of</w:t>
            </w:r>
            <w:r>
              <w:t>:</w:t>
            </w:r>
          </w:p>
        </w:tc>
        <w:tc>
          <w:tcPr>
            <w:tcW w:w="5990" w:type="dxa"/>
            <w:shd w:val="clear" w:color="auto" w:fill="auto"/>
          </w:tcPr>
          <w:p w14:paraId="1E9D0B8C" w14:textId="77777777" w:rsidR="00395B24" w:rsidRDefault="002C7385" w:rsidP="00663878">
            <w:pPr>
              <w:pStyle w:val="Normal1linespace"/>
              <w:widowControl w:val="0"/>
              <w:jc w:val="left"/>
              <w:rPr>
                <w:b/>
              </w:rPr>
            </w:pPr>
            <w:r w:rsidRPr="00EB5E77">
              <w:rPr>
                <w:b/>
              </w:rPr>
              <w:fldChar w:fldCharType="begin" w:fldLock="1"/>
            </w:r>
            <w:r w:rsidRPr="00EB5E77">
              <w:rPr>
                <w:b/>
              </w:rPr>
              <w:instrText xml:space="preserve"> REF  Judge  \* MERGEFORMAT </w:instrText>
            </w:r>
            <w:r w:rsidRPr="00EB5E77">
              <w:rPr>
                <w:b/>
              </w:rPr>
              <w:fldChar w:fldCharType="separate"/>
            </w:r>
            <w:r w:rsidR="00EB5E77" w:rsidRPr="00EB5E77">
              <w:rPr>
                <w:b/>
                <w:caps/>
                <w:szCs w:val="24"/>
              </w:rPr>
              <w:t>ANASTASSIOU J</w:t>
            </w:r>
            <w:r w:rsidRPr="00EB5E77">
              <w:rPr>
                <w:b/>
              </w:rPr>
              <w:fldChar w:fldCharType="end"/>
            </w:r>
          </w:p>
        </w:tc>
      </w:tr>
      <w:tr w:rsidR="00395B24" w14:paraId="37C48227" w14:textId="77777777" w:rsidTr="00533703">
        <w:tc>
          <w:tcPr>
            <w:tcW w:w="3082" w:type="dxa"/>
            <w:shd w:val="clear" w:color="auto" w:fill="auto"/>
          </w:tcPr>
          <w:p w14:paraId="26B0413E" w14:textId="77777777" w:rsidR="00395B24" w:rsidRDefault="00395B24" w:rsidP="00663878">
            <w:pPr>
              <w:pStyle w:val="Normal1linespace"/>
              <w:widowControl w:val="0"/>
              <w:jc w:val="left"/>
            </w:pPr>
          </w:p>
        </w:tc>
        <w:tc>
          <w:tcPr>
            <w:tcW w:w="5990" w:type="dxa"/>
            <w:shd w:val="clear" w:color="auto" w:fill="auto"/>
          </w:tcPr>
          <w:p w14:paraId="52C3ACAE" w14:textId="77777777" w:rsidR="00395B24" w:rsidRDefault="00395B24" w:rsidP="00663878">
            <w:pPr>
              <w:pStyle w:val="Normal1linespace"/>
              <w:widowControl w:val="0"/>
              <w:jc w:val="left"/>
            </w:pPr>
          </w:p>
        </w:tc>
      </w:tr>
      <w:tr w:rsidR="00395B24" w14:paraId="61A964C7" w14:textId="77777777" w:rsidTr="00533703">
        <w:tc>
          <w:tcPr>
            <w:tcW w:w="3082" w:type="dxa"/>
            <w:shd w:val="clear" w:color="auto" w:fill="auto"/>
          </w:tcPr>
          <w:p w14:paraId="08C1DE13" w14:textId="77777777" w:rsidR="00395B24" w:rsidRDefault="002C7385" w:rsidP="00663878">
            <w:pPr>
              <w:pStyle w:val="Normal1linespace"/>
              <w:widowControl w:val="0"/>
              <w:jc w:val="left"/>
            </w:pPr>
            <w:r>
              <w:t>Date of judgment:</w:t>
            </w:r>
          </w:p>
        </w:tc>
        <w:tc>
          <w:tcPr>
            <w:tcW w:w="5990" w:type="dxa"/>
            <w:shd w:val="clear" w:color="auto" w:fill="auto"/>
          </w:tcPr>
          <w:p w14:paraId="10713275" w14:textId="23749984" w:rsidR="00395B24" w:rsidRDefault="006421E0" w:rsidP="00663878">
            <w:pPr>
              <w:pStyle w:val="Normal1linespace"/>
              <w:widowControl w:val="0"/>
              <w:jc w:val="left"/>
            </w:pPr>
            <w:bookmarkStart w:id="1" w:name="JudgmentDate"/>
            <w:r>
              <w:t>23 July 2021</w:t>
            </w:r>
            <w:bookmarkEnd w:id="1"/>
          </w:p>
        </w:tc>
      </w:tr>
      <w:tr w:rsidR="00395B24" w14:paraId="33444E42" w14:textId="77777777" w:rsidTr="00533703">
        <w:tc>
          <w:tcPr>
            <w:tcW w:w="3082" w:type="dxa"/>
            <w:shd w:val="clear" w:color="auto" w:fill="auto"/>
          </w:tcPr>
          <w:p w14:paraId="3A8C21ED" w14:textId="77777777" w:rsidR="00395B24" w:rsidRDefault="00395B24" w:rsidP="00663878">
            <w:pPr>
              <w:pStyle w:val="Normal1linespace"/>
              <w:widowControl w:val="0"/>
              <w:jc w:val="left"/>
            </w:pPr>
          </w:p>
        </w:tc>
        <w:tc>
          <w:tcPr>
            <w:tcW w:w="5990" w:type="dxa"/>
            <w:shd w:val="clear" w:color="auto" w:fill="auto"/>
          </w:tcPr>
          <w:p w14:paraId="2CFE4FB3" w14:textId="77777777" w:rsidR="00395B24" w:rsidRDefault="00395B24" w:rsidP="00663878">
            <w:pPr>
              <w:pStyle w:val="Normal1linespace"/>
              <w:widowControl w:val="0"/>
              <w:jc w:val="left"/>
            </w:pPr>
          </w:p>
        </w:tc>
      </w:tr>
      <w:tr w:rsidR="00395B24" w14:paraId="2654EB4A" w14:textId="77777777" w:rsidTr="00533703">
        <w:tc>
          <w:tcPr>
            <w:tcW w:w="3082" w:type="dxa"/>
            <w:shd w:val="clear" w:color="auto" w:fill="auto"/>
          </w:tcPr>
          <w:p w14:paraId="5E7B17B6" w14:textId="77777777" w:rsidR="00395B24" w:rsidRPr="00741F0A" w:rsidRDefault="002C7385" w:rsidP="00663878">
            <w:pPr>
              <w:pStyle w:val="Normal1linespace"/>
              <w:widowControl w:val="0"/>
              <w:jc w:val="left"/>
            </w:pPr>
            <w:r w:rsidRPr="00741F0A">
              <w:t>Catchwords:</w:t>
            </w:r>
          </w:p>
        </w:tc>
        <w:tc>
          <w:tcPr>
            <w:tcW w:w="5990" w:type="dxa"/>
            <w:shd w:val="clear" w:color="auto" w:fill="auto"/>
          </w:tcPr>
          <w:p w14:paraId="334983E0" w14:textId="77AA9D03" w:rsidR="00395B24" w:rsidRPr="00741F0A" w:rsidRDefault="00582D4E" w:rsidP="00543A8D">
            <w:pPr>
              <w:pStyle w:val="Normal1linespace"/>
              <w:widowControl w:val="0"/>
              <w:jc w:val="left"/>
            </w:pPr>
            <w:bookmarkStart w:id="2" w:name="Catchwords"/>
            <w:r w:rsidRPr="00741F0A">
              <w:rPr>
                <w:b/>
              </w:rPr>
              <w:t xml:space="preserve">REPRESENTATIVE PROCEEDINGS – </w:t>
            </w:r>
            <w:r w:rsidRPr="00741F0A">
              <w:t xml:space="preserve">application for approval of settlement </w:t>
            </w:r>
            <w:r w:rsidR="00F37323" w:rsidRPr="00741F0A">
              <w:t xml:space="preserve">of representative proceeding commenced under Pt IVA of the </w:t>
            </w:r>
            <w:r w:rsidR="00F37323" w:rsidRPr="00741F0A">
              <w:rPr>
                <w:i/>
              </w:rPr>
              <w:t xml:space="preserve">Federal Court of Australia </w:t>
            </w:r>
            <w:r w:rsidRPr="00533703">
              <w:rPr>
                <w:i/>
              </w:rPr>
              <w:t>Act</w:t>
            </w:r>
            <w:r w:rsidRPr="00741F0A">
              <w:rPr>
                <w:b/>
                <w:i/>
              </w:rPr>
              <w:t xml:space="preserve"> </w:t>
            </w:r>
            <w:r w:rsidRPr="00741F0A">
              <w:rPr>
                <w:i/>
              </w:rPr>
              <w:t xml:space="preserve">1976 </w:t>
            </w:r>
            <w:r w:rsidRPr="00741F0A">
              <w:t xml:space="preserve">(Cth) </w:t>
            </w:r>
            <w:r w:rsidR="00F37323" w:rsidRPr="00741F0A">
              <w:t>–</w:t>
            </w:r>
            <w:r w:rsidR="00117C70" w:rsidRPr="00741F0A">
              <w:t xml:space="preserve"> </w:t>
            </w:r>
            <w:r w:rsidR="00594EF3">
              <w:t>where there are two law firms and two litigation funders</w:t>
            </w:r>
            <w:r w:rsidR="00594EF3" w:rsidRPr="00741F0A">
              <w:t xml:space="preserve"> </w:t>
            </w:r>
            <w:r w:rsidR="00594EF3">
              <w:t>involved in consolidated proceeding –</w:t>
            </w:r>
            <w:r w:rsidR="00F37323" w:rsidRPr="00741F0A">
              <w:t xml:space="preserve">whether </w:t>
            </w:r>
            <w:r w:rsidR="00075F65" w:rsidRPr="00741F0A">
              <w:t xml:space="preserve">proposed </w:t>
            </w:r>
            <w:r w:rsidR="00F37323" w:rsidRPr="00741F0A">
              <w:t>settlement is fair and reasonable and in interests of group members</w:t>
            </w:r>
            <w:r w:rsidR="00EC0161" w:rsidRPr="00741F0A">
              <w:t xml:space="preserve"> </w:t>
            </w:r>
            <w:r w:rsidR="00F37323" w:rsidRPr="00741F0A">
              <w:t xml:space="preserve">– </w:t>
            </w:r>
            <w:r w:rsidR="00075F65" w:rsidRPr="00741F0A">
              <w:t>whether proposed deductions were fair and reasonable</w:t>
            </w:r>
            <w:r w:rsidR="009B7028" w:rsidRPr="00741F0A">
              <w:t xml:space="preserve"> – whether proposed treatment of unregistered group members is fair and reasonable </w:t>
            </w:r>
            <w:r w:rsidR="0023608E" w:rsidRPr="00741F0A">
              <w:t xml:space="preserve">– </w:t>
            </w:r>
            <w:r w:rsidR="00F37323" w:rsidRPr="00741F0A">
              <w:t>approval granted</w:t>
            </w:r>
            <w:bookmarkEnd w:id="2"/>
            <w:r w:rsidR="009A3E43">
              <w:t xml:space="preserve">  </w:t>
            </w:r>
          </w:p>
        </w:tc>
      </w:tr>
      <w:tr w:rsidR="00395B24" w14:paraId="75AE60A0" w14:textId="77777777" w:rsidTr="00533703">
        <w:tc>
          <w:tcPr>
            <w:tcW w:w="3082" w:type="dxa"/>
            <w:shd w:val="clear" w:color="auto" w:fill="auto"/>
          </w:tcPr>
          <w:p w14:paraId="22D3313A" w14:textId="77777777" w:rsidR="00395B24" w:rsidRDefault="00395B24" w:rsidP="00663878">
            <w:pPr>
              <w:pStyle w:val="Normal1linespace"/>
              <w:widowControl w:val="0"/>
              <w:jc w:val="left"/>
            </w:pPr>
          </w:p>
        </w:tc>
        <w:tc>
          <w:tcPr>
            <w:tcW w:w="5990" w:type="dxa"/>
            <w:shd w:val="clear" w:color="auto" w:fill="auto"/>
          </w:tcPr>
          <w:p w14:paraId="1B145284" w14:textId="77777777" w:rsidR="00395B24" w:rsidRDefault="00395B24" w:rsidP="00663878">
            <w:pPr>
              <w:pStyle w:val="Normal1linespace"/>
              <w:widowControl w:val="0"/>
              <w:jc w:val="left"/>
            </w:pPr>
          </w:p>
        </w:tc>
      </w:tr>
      <w:tr w:rsidR="00395B24" w14:paraId="09747F6E" w14:textId="77777777" w:rsidTr="00533703">
        <w:tc>
          <w:tcPr>
            <w:tcW w:w="3082" w:type="dxa"/>
            <w:shd w:val="clear" w:color="auto" w:fill="auto"/>
          </w:tcPr>
          <w:p w14:paraId="3DBDCFB0" w14:textId="77777777" w:rsidR="00395B24" w:rsidRDefault="002C7385" w:rsidP="00663878">
            <w:pPr>
              <w:pStyle w:val="Normal1linespace"/>
              <w:widowControl w:val="0"/>
              <w:jc w:val="left"/>
            </w:pPr>
            <w:r>
              <w:t>Legislation:</w:t>
            </w:r>
          </w:p>
        </w:tc>
        <w:tc>
          <w:tcPr>
            <w:tcW w:w="5990" w:type="dxa"/>
            <w:shd w:val="clear" w:color="auto" w:fill="auto"/>
          </w:tcPr>
          <w:p w14:paraId="35D56CA1" w14:textId="7D5978D0" w:rsidR="00F37323" w:rsidRDefault="00F37323" w:rsidP="00D82620">
            <w:pPr>
              <w:pStyle w:val="CasesLegislationAppealFrom"/>
              <w:spacing w:after="60"/>
            </w:pPr>
            <w:bookmarkStart w:id="3" w:name="Legislation"/>
            <w:r>
              <w:rPr>
                <w:i/>
              </w:rPr>
              <w:t>Australian Securit</w:t>
            </w:r>
            <w:r w:rsidR="008A2D1B">
              <w:rPr>
                <w:i/>
              </w:rPr>
              <w:t>ies and Investment</w:t>
            </w:r>
            <w:r w:rsidR="00594EF3">
              <w:rPr>
                <w:i/>
              </w:rPr>
              <w:t>s</w:t>
            </w:r>
            <w:r w:rsidR="008A2D1B">
              <w:rPr>
                <w:i/>
              </w:rPr>
              <w:t xml:space="preserve"> Commission A</w:t>
            </w:r>
            <w:r>
              <w:rPr>
                <w:i/>
              </w:rPr>
              <w:t xml:space="preserve">ct 2001 </w:t>
            </w:r>
            <w:r>
              <w:t>(Cth), s 12DA</w:t>
            </w:r>
          </w:p>
          <w:p w14:paraId="57B52039" w14:textId="77777777" w:rsidR="004D4A61" w:rsidRDefault="004E7984" w:rsidP="00D82620">
            <w:pPr>
              <w:pStyle w:val="CasesLegislationAppealFrom"/>
              <w:spacing w:after="60"/>
            </w:pPr>
            <w:r>
              <w:t xml:space="preserve">Australian Consumer Law being Schedule 2 to the </w:t>
            </w:r>
            <w:r>
              <w:rPr>
                <w:i/>
                <w:iCs/>
              </w:rPr>
              <w:t>Competition and Consumer Act 2010</w:t>
            </w:r>
            <w:r>
              <w:t xml:space="preserve"> (Cth)</w:t>
            </w:r>
            <w:r w:rsidR="004D4A61">
              <w:t>, s 18</w:t>
            </w:r>
          </w:p>
          <w:p w14:paraId="5AA20C56" w14:textId="77F03A43" w:rsidR="004D4A61" w:rsidRDefault="004D4A61" w:rsidP="00D82620">
            <w:pPr>
              <w:pStyle w:val="CasesLegislationAppealFrom"/>
              <w:spacing w:after="60"/>
            </w:pPr>
            <w:r>
              <w:rPr>
                <w:i/>
              </w:rPr>
              <w:t xml:space="preserve">Corporations Act 2001 </w:t>
            </w:r>
            <w:r>
              <w:t>(</w:t>
            </w:r>
            <w:proofErr w:type="spellStart"/>
            <w:r>
              <w:t>Cth</w:t>
            </w:r>
            <w:proofErr w:type="spellEnd"/>
            <w:r>
              <w:t xml:space="preserve">), </w:t>
            </w:r>
            <w:proofErr w:type="spellStart"/>
            <w:r>
              <w:t>ss</w:t>
            </w:r>
            <w:proofErr w:type="spellEnd"/>
            <w:r>
              <w:t xml:space="preserve"> 1041E, 1041H</w:t>
            </w:r>
            <w:r w:rsidR="009A3E43">
              <w:rPr>
                <w:i/>
              </w:rPr>
              <w:t xml:space="preserve">   </w:t>
            </w:r>
          </w:p>
          <w:p w14:paraId="15C03316" w14:textId="77777777" w:rsidR="00395B24" w:rsidRDefault="00F37323" w:rsidP="00D82620">
            <w:pPr>
              <w:pStyle w:val="CasesLegislationAppealFrom"/>
              <w:spacing w:after="60"/>
            </w:pPr>
            <w:r>
              <w:rPr>
                <w:i/>
              </w:rPr>
              <w:t xml:space="preserve">Federal Court of </w:t>
            </w:r>
            <w:r w:rsidRPr="00E159EE">
              <w:rPr>
                <w:i/>
              </w:rPr>
              <w:t xml:space="preserve">Australia </w:t>
            </w:r>
            <w:r w:rsidRPr="00533703">
              <w:rPr>
                <w:i/>
              </w:rPr>
              <w:t>Act</w:t>
            </w:r>
            <w:r>
              <w:rPr>
                <w:b/>
                <w:i/>
              </w:rPr>
              <w:t xml:space="preserve"> </w:t>
            </w:r>
            <w:r>
              <w:rPr>
                <w:i/>
              </w:rPr>
              <w:t xml:space="preserve">1976 </w:t>
            </w:r>
            <w:r>
              <w:t>(</w:t>
            </w:r>
            <w:proofErr w:type="spellStart"/>
            <w:r>
              <w:t>Cth</w:t>
            </w:r>
            <w:proofErr w:type="spellEnd"/>
            <w:r>
              <w:t xml:space="preserve">), </w:t>
            </w:r>
            <w:proofErr w:type="spellStart"/>
            <w:r>
              <w:t>ss</w:t>
            </w:r>
            <w:proofErr w:type="spellEnd"/>
            <w:r>
              <w:t xml:space="preserve"> 33V, 33X, 33Y</w:t>
            </w:r>
            <w:bookmarkEnd w:id="3"/>
          </w:p>
        </w:tc>
      </w:tr>
      <w:tr w:rsidR="00395B24" w14:paraId="4D6428E2" w14:textId="77777777" w:rsidTr="00533703">
        <w:tc>
          <w:tcPr>
            <w:tcW w:w="3082" w:type="dxa"/>
            <w:shd w:val="clear" w:color="auto" w:fill="auto"/>
          </w:tcPr>
          <w:p w14:paraId="5549476C" w14:textId="77777777" w:rsidR="00395B24" w:rsidRDefault="00395B24" w:rsidP="00663878">
            <w:pPr>
              <w:pStyle w:val="Normal1linespace"/>
              <w:widowControl w:val="0"/>
              <w:jc w:val="left"/>
            </w:pPr>
          </w:p>
        </w:tc>
        <w:tc>
          <w:tcPr>
            <w:tcW w:w="5990" w:type="dxa"/>
            <w:shd w:val="clear" w:color="auto" w:fill="auto"/>
          </w:tcPr>
          <w:p w14:paraId="7745D75E" w14:textId="77777777" w:rsidR="00395B24" w:rsidRDefault="00395B24" w:rsidP="00663878">
            <w:pPr>
              <w:pStyle w:val="Normal1linespace"/>
              <w:widowControl w:val="0"/>
              <w:jc w:val="left"/>
            </w:pPr>
          </w:p>
        </w:tc>
      </w:tr>
      <w:tr w:rsidR="00395B24" w14:paraId="50CFD021" w14:textId="77777777" w:rsidTr="00533703">
        <w:tc>
          <w:tcPr>
            <w:tcW w:w="3082" w:type="dxa"/>
            <w:shd w:val="clear" w:color="auto" w:fill="auto"/>
          </w:tcPr>
          <w:p w14:paraId="16814A22" w14:textId="77777777" w:rsidR="00395B24" w:rsidRDefault="002C7385" w:rsidP="00663878">
            <w:pPr>
              <w:pStyle w:val="Normal1linespace"/>
              <w:widowControl w:val="0"/>
              <w:jc w:val="left"/>
            </w:pPr>
            <w:r>
              <w:t>Cases cited:</w:t>
            </w:r>
          </w:p>
        </w:tc>
        <w:tc>
          <w:tcPr>
            <w:tcW w:w="5990" w:type="dxa"/>
            <w:shd w:val="clear" w:color="auto" w:fill="auto"/>
          </w:tcPr>
          <w:p w14:paraId="7905C0A2" w14:textId="77777777" w:rsidR="009159FD" w:rsidRPr="005F28DB" w:rsidRDefault="009159FD" w:rsidP="009159FD">
            <w:pPr>
              <w:pStyle w:val="CasesLegislationAppealFrom"/>
              <w:spacing w:after="60"/>
              <w:rPr>
                <w:i/>
              </w:rPr>
            </w:pPr>
            <w:bookmarkStart w:id="4" w:name="Cases_Cited"/>
            <w:r>
              <w:rPr>
                <w:i/>
              </w:rPr>
              <w:t xml:space="preserve">All Options Pty Ltd v </w:t>
            </w:r>
            <w:proofErr w:type="spellStart"/>
            <w:r>
              <w:rPr>
                <w:i/>
              </w:rPr>
              <w:t>Flightdeck</w:t>
            </w:r>
            <w:proofErr w:type="spellEnd"/>
            <w:r>
              <w:rPr>
                <w:i/>
              </w:rPr>
              <w:t xml:space="preserve"> Geelong Pty Ltd </w:t>
            </w:r>
            <w:r w:rsidRPr="00533703">
              <w:t>[2019] FCA 588</w:t>
            </w:r>
          </w:p>
          <w:p w14:paraId="6CBBEF39" w14:textId="77777777" w:rsidR="009159FD" w:rsidRPr="005F28DB" w:rsidRDefault="009159FD" w:rsidP="009159FD">
            <w:pPr>
              <w:pStyle w:val="CasesLegislationAppealFrom"/>
              <w:spacing w:after="60"/>
              <w:rPr>
                <w:i/>
              </w:rPr>
            </w:pPr>
            <w:r w:rsidRPr="005F28DB">
              <w:rPr>
                <w:i/>
              </w:rPr>
              <w:t xml:space="preserve">Andrews v Australia and New Zealand Banking Group Ltd </w:t>
            </w:r>
            <w:r w:rsidRPr="00533703">
              <w:t>[2019] FCA 2216</w:t>
            </w:r>
            <w:r w:rsidRPr="005F28DB">
              <w:rPr>
                <w:i/>
              </w:rPr>
              <w:t xml:space="preserve"> </w:t>
            </w:r>
          </w:p>
          <w:p w14:paraId="00D55EF6" w14:textId="3E41D0E9" w:rsidR="009159FD" w:rsidRPr="005F28DB" w:rsidRDefault="009159FD" w:rsidP="009159FD">
            <w:pPr>
              <w:pStyle w:val="CasesLegislationAppealFrom"/>
              <w:spacing w:after="60"/>
              <w:rPr>
                <w:i/>
              </w:rPr>
            </w:pPr>
            <w:r>
              <w:rPr>
                <w:i/>
              </w:rPr>
              <w:t xml:space="preserve">Australian Securities and Investments Commission v Vocation Ltd (in liquidation) </w:t>
            </w:r>
            <w:r w:rsidRPr="00533703">
              <w:t>[2019] FCA 807</w:t>
            </w:r>
            <w:r w:rsidR="00594EF3">
              <w:t>;</w:t>
            </w:r>
            <w:r w:rsidRPr="00533703">
              <w:t xml:space="preserve"> 371 ALR 155 </w:t>
            </w:r>
          </w:p>
          <w:p w14:paraId="14A8C395" w14:textId="2E4AB8E1" w:rsidR="009159FD" w:rsidRPr="005F28DB" w:rsidRDefault="009159FD" w:rsidP="009159FD">
            <w:pPr>
              <w:pStyle w:val="CasesLegislationAppealFrom"/>
              <w:spacing w:after="60"/>
              <w:rPr>
                <w:i/>
              </w:rPr>
            </w:pPr>
            <w:r w:rsidRPr="005F28DB">
              <w:rPr>
                <w:i/>
              </w:rPr>
              <w:t xml:space="preserve">Blairgowrie Trading Ltd v </w:t>
            </w:r>
            <w:proofErr w:type="spellStart"/>
            <w:r w:rsidRPr="005F28DB">
              <w:rPr>
                <w:i/>
              </w:rPr>
              <w:t>Allco</w:t>
            </w:r>
            <w:proofErr w:type="spellEnd"/>
            <w:r w:rsidRPr="005F28DB">
              <w:rPr>
                <w:i/>
              </w:rPr>
              <w:t xml:space="preserve"> Finance Group Ltd (No 3)</w:t>
            </w:r>
            <w:r w:rsidR="00023BCD">
              <w:rPr>
                <w:i/>
              </w:rPr>
              <w:t xml:space="preserve"> </w:t>
            </w:r>
            <w:r w:rsidRPr="00533703">
              <w:t xml:space="preserve">[2017] FCA 330; 343 ALR 476 </w:t>
            </w:r>
          </w:p>
          <w:p w14:paraId="2963F828" w14:textId="77777777" w:rsidR="009159FD" w:rsidRPr="00533703" w:rsidRDefault="009159FD" w:rsidP="00533703">
            <w:pPr>
              <w:pStyle w:val="CasesLegislationAppealFrom"/>
              <w:spacing w:after="60"/>
              <w:rPr>
                <w:i/>
              </w:rPr>
            </w:pPr>
            <w:proofErr w:type="spellStart"/>
            <w:r w:rsidRPr="00533703">
              <w:rPr>
                <w:i/>
              </w:rPr>
              <w:t>Bradgate</w:t>
            </w:r>
            <w:proofErr w:type="spellEnd"/>
            <w:r>
              <w:rPr>
                <w:i/>
              </w:rPr>
              <w:t xml:space="preserve"> (Trustee) v Ashley Services Group Limited (No 2) </w:t>
            </w:r>
            <w:r w:rsidRPr="00C31862">
              <w:t>[2019] FCA 1210</w:t>
            </w:r>
          </w:p>
          <w:p w14:paraId="7B33F161" w14:textId="53A4EF06" w:rsidR="009159FD" w:rsidRDefault="009159FD" w:rsidP="009159FD">
            <w:pPr>
              <w:pStyle w:val="CasesLegislationAppealFrom"/>
              <w:spacing w:after="60"/>
            </w:pPr>
            <w:proofErr w:type="spellStart"/>
            <w:r w:rsidRPr="005F28DB">
              <w:rPr>
                <w:i/>
              </w:rPr>
              <w:t>Camilleri</w:t>
            </w:r>
            <w:proofErr w:type="spellEnd"/>
            <w:r w:rsidRPr="005F28DB">
              <w:rPr>
                <w:i/>
              </w:rPr>
              <w:t xml:space="preserve"> v The Trust Company (Nominees) Ltd </w:t>
            </w:r>
            <w:r w:rsidRPr="00533703">
              <w:t>[2015] FCA 1468</w:t>
            </w:r>
          </w:p>
          <w:p w14:paraId="7972A393" w14:textId="3DFA3BE8" w:rsidR="000C2335" w:rsidRPr="005F28DB" w:rsidRDefault="000C2335" w:rsidP="009159FD">
            <w:pPr>
              <w:pStyle w:val="CasesLegislationAppealFrom"/>
              <w:spacing w:after="60"/>
              <w:rPr>
                <w:i/>
              </w:rPr>
            </w:pPr>
            <w:proofErr w:type="spellStart"/>
            <w:r>
              <w:rPr>
                <w:i/>
              </w:rPr>
              <w:t>Haeslhurst</w:t>
            </w:r>
            <w:proofErr w:type="spellEnd"/>
            <w:r>
              <w:rPr>
                <w:i/>
              </w:rPr>
              <w:t xml:space="preserve"> v Toyota Motor Corporation Australia Ltd t/as Toyota Australia </w:t>
            </w:r>
            <w:r>
              <w:t>[2020] NSWCA 66; 101 NSWLR 890; 379 ALR 556</w:t>
            </w:r>
          </w:p>
          <w:p w14:paraId="12C00C71" w14:textId="48673E8D" w:rsidR="009159FD" w:rsidRPr="00533703" w:rsidRDefault="009159FD" w:rsidP="00533703">
            <w:pPr>
              <w:pStyle w:val="CasesLegislationAppealFrom"/>
              <w:spacing w:after="60"/>
              <w:rPr>
                <w:i/>
              </w:rPr>
            </w:pPr>
            <w:r>
              <w:rPr>
                <w:i/>
              </w:rPr>
              <w:t xml:space="preserve">Houghton v Arms </w:t>
            </w:r>
            <w:r w:rsidRPr="00C31862">
              <w:t>[2006] HCA 59; 225 CL</w:t>
            </w:r>
            <w:r w:rsidR="00023BCD">
              <w:t>R</w:t>
            </w:r>
            <w:r w:rsidRPr="00C31862">
              <w:t xml:space="preserve"> 553 </w:t>
            </w:r>
          </w:p>
          <w:p w14:paraId="2A7BD7D5" w14:textId="22D4C531" w:rsidR="00395B24" w:rsidRDefault="009159FD" w:rsidP="00D82620">
            <w:pPr>
              <w:pStyle w:val="CasesLegislationAppealFrom"/>
              <w:spacing w:after="60"/>
            </w:pPr>
            <w:r w:rsidRPr="00351CA2">
              <w:rPr>
                <w:i/>
              </w:rPr>
              <w:lastRenderedPageBreak/>
              <w:t xml:space="preserve">Smith v Commonwealth of </w:t>
            </w:r>
            <w:r>
              <w:rPr>
                <w:i/>
              </w:rPr>
              <w:t>Australia (No 2)</w:t>
            </w:r>
            <w:r w:rsidRPr="00533703">
              <w:rPr>
                <w:i/>
              </w:rPr>
              <w:t xml:space="preserve"> </w:t>
            </w:r>
            <w:r w:rsidRPr="00C31862">
              <w:t>[2020] FCA 837</w:t>
            </w:r>
            <w:bookmarkEnd w:id="4"/>
            <w:r w:rsidR="009A3E43">
              <w:t xml:space="preserve">  </w:t>
            </w:r>
          </w:p>
          <w:p w14:paraId="22916AF5" w14:textId="77777777" w:rsidR="000C2335" w:rsidRDefault="000C2335" w:rsidP="00D82620">
            <w:pPr>
              <w:pStyle w:val="CasesLegislationAppealFrom"/>
              <w:spacing w:after="60"/>
            </w:pPr>
            <w:proofErr w:type="spellStart"/>
            <w:r>
              <w:rPr>
                <w:i/>
              </w:rPr>
              <w:t>Wetdal</w:t>
            </w:r>
            <w:proofErr w:type="spellEnd"/>
            <w:r>
              <w:rPr>
                <w:i/>
              </w:rPr>
              <w:t xml:space="preserve"> Pty Ltd as Trustee for the </w:t>
            </w:r>
            <w:proofErr w:type="spellStart"/>
            <w:r>
              <w:rPr>
                <w:i/>
              </w:rPr>
              <w:t>BlueCo</w:t>
            </w:r>
            <w:proofErr w:type="spellEnd"/>
            <w:r>
              <w:rPr>
                <w:i/>
              </w:rPr>
              <w:t xml:space="preserve"> Two Superannuation Fund v </w:t>
            </w:r>
            <w:proofErr w:type="spellStart"/>
            <w:r>
              <w:rPr>
                <w:i/>
              </w:rPr>
              <w:t>Estia</w:t>
            </w:r>
            <w:proofErr w:type="spellEnd"/>
            <w:r>
              <w:rPr>
                <w:i/>
              </w:rPr>
              <w:t xml:space="preserve"> Health Limited </w:t>
            </w:r>
            <w:r>
              <w:t>[2021] FCA 475</w:t>
            </w:r>
          </w:p>
          <w:p w14:paraId="6CAA0006" w14:textId="292599FE" w:rsidR="000C2335" w:rsidRPr="00533703" w:rsidRDefault="000C2335" w:rsidP="00D82620">
            <w:pPr>
              <w:pStyle w:val="CasesLegislationAppealFrom"/>
              <w:spacing w:after="60"/>
              <w:rPr>
                <w:i/>
              </w:rPr>
            </w:pPr>
            <w:proofErr w:type="spellStart"/>
            <w:r>
              <w:rPr>
                <w:i/>
              </w:rPr>
              <w:t>Wigmans</w:t>
            </w:r>
            <w:proofErr w:type="spellEnd"/>
            <w:r>
              <w:rPr>
                <w:i/>
              </w:rPr>
              <w:t xml:space="preserve"> v AMP Ltd </w:t>
            </w:r>
            <w:r>
              <w:t>[2020] NSWCA 104; 102 NSWLR 199; 381 ALR 100</w:t>
            </w:r>
          </w:p>
        </w:tc>
      </w:tr>
      <w:tr w:rsidR="00EB5E77" w14:paraId="5A031313" w14:textId="77777777" w:rsidTr="00533703">
        <w:tc>
          <w:tcPr>
            <w:tcW w:w="3082" w:type="dxa"/>
            <w:shd w:val="clear" w:color="auto" w:fill="auto"/>
          </w:tcPr>
          <w:p w14:paraId="4F7055D5" w14:textId="77777777" w:rsidR="00EB5E77" w:rsidRDefault="00EB5E77" w:rsidP="00184C77">
            <w:pPr>
              <w:pStyle w:val="Normal1linespace"/>
              <w:widowControl w:val="0"/>
            </w:pPr>
          </w:p>
        </w:tc>
        <w:tc>
          <w:tcPr>
            <w:tcW w:w="5990" w:type="dxa"/>
            <w:shd w:val="clear" w:color="auto" w:fill="auto"/>
          </w:tcPr>
          <w:p w14:paraId="2399B009" w14:textId="77777777" w:rsidR="00EB5E77" w:rsidRDefault="00EB5E77" w:rsidP="00184C77">
            <w:pPr>
              <w:pStyle w:val="Normal1linespace"/>
              <w:widowControl w:val="0"/>
              <w:jc w:val="left"/>
            </w:pPr>
          </w:p>
        </w:tc>
      </w:tr>
      <w:tr w:rsidR="00EB5E77" w14:paraId="09F3BFC2" w14:textId="77777777" w:rsidTr="00533703">
        <w:tc>
          <w:tcPr>
            <w:tcW w:w="3082" w:type="dxa"/>
            <w:shd w:val="clear" w:color="auto" w:fill="auto"/>
          </w:tcPr>
          <w:p w14:paraId="42FF9685" w14:textId="77777777" w:rsidR="00EB5E77" w:rsidRDefault="00EB5E77" w:rsidP="00501A12">
            <w:pPr>
              <w:pStyle w:val="Normal1linespace"/>
              <w:widowControl w:val="0"/>
            </w:pPr>
            <w:r>
              <w:t>Division:</w:t>
            </w:r>
          </w:p>
        </w:tc>
        <w:tc>
          <w:tcPr>
            <w:tcW w:w="5990" w:type="dxa"/>
            <w:shd w:val="clear" w:color="auto" w:fill="auto"/>
          </w:tcPr>
          <w:p w14:paraId="623E4541" w14:textId="77777777" w:rsidR="00EB5E77" w:rsidRPr="00F17599" w:rsidRDefault="00617A54" w:rsidP="00501A12">
            <w:pPr>
              <w:pStyle w:val="Normal1linespace"/>
              <w:widowControl w:val="0"/>
              <w:jc w:val="left"/>
            </w:pPr>
            <w:fldSimple w:instr=" DOCPROPERTY  Division ">
              <w:r w:rsidR="00EB5E77">
                <w:t>General Division</w:t>
              </w:r>
            </w:fldSimple>
          </w:p>
        </w:tc>
      </w:tr>
      <w:tr w:rsidR="00EB5E77" w14:paraId="2CDB94ED" w14:textId="77777777" w:rsidTr="00533703">
        <w:tc>
          <w:tcPr>
            <w:tcW w:w="3082" w:type="dxa"/>
            <w:shd w:val="clear" w:color="auto" w:fill="auto"/>
          </w:tcPr>
          <w:p w14:paraId="67103397" w14:textId="77777777" w:rsidR="00EB5E77" w:rsidRDefault="00EB5E77" w:rsidP="00501A12">
            <w:pPr>
              <w:pStyle w:val="Normal1linespace"/>
              <w:widowControl w:val="0"/>
            </w:pPr>
            <w:bookmarkStart w:id="5" w:name="Registry_rows" w:colFirst="0" w:colLast="1"/>
          </w:p>
        </w:tc>
        <w:tc>
          <w:tcPr>
            <w:tcW w:w="5990" w:type="dxa"/>
            <w:shd w:val="clear" w:color="auto" w:fill="auto"/>
          </w:tcPr>
          <w:p w14:paraId="739817F2" w14:textId="77777777" w:rsidR="00EB5E77" w:rsidRDefault="00EB5E77" w:rsidP="00501A12">
            <w:pPr>
              <w:pStyle w:val="Normal1linespace"/>
              <w:widowControl w:val="0"/>
              <w:jc w:val="left"/>
            </w:pPr>
          </w:p>
        </w:tc>
      </w:tr>
      <w:tr w:rsidR="00EB5E77" w14:paraId="063C95A7" w14:textId="77777777" w:rsidTr="00533703">
        <w:tc>
          <w:tcPr>
            <w:tcW w:w="3082" w:type="dxa"/>
            <w:shd w:val="clear" w:color="auto" w:fill="auto"/>
          </w:tcPr>
          <w:p w14:paraId="7EED253B" w14:textId="77777777" w:rsidR="00EB5E77" w:rsidRDefault="00EB5E77" w:rsidP="00501A12">
            <w:pPr>
              <w:pStyle w:val="Normal1linespace"/>
              <w:widowControl w:val="0"/>
            </w:pPr>
            <w:r>
              <w:t>Registry:</w:t>
            </w:r>
          </w:p>
        </w:tc>
        <w:tc>
          <w:tcPr>
            <w:tcW w:w="5990" w:type="dxa"/>
            <w:shd w:val="clear" w:color="auto" w:fill="auto"/>
          </w:tcPr>
          <w:p w14:paraId="6ABA402B" w14:textId="77777777" w:rsidR="00EB5E77" w:rsidRPr="00F17599" w:rsidRDefault="00617A54" w:rsidP="00501A12">
            <w:pPr>
              <w:pStyle w:val="Normal1linespace"/>
              <w:widowControl w:val="0"/>
              <w:jc w:val="left"/>
            </w:pPr>
            <w:fldSimple w:instr=" DOCPROPERTY  Registry ">
              <w:r w:rsidR="00EB5E77">
                <w:t>Victoria</w:t>
              </w:r>
            </w:fldSimple>
          </w:p>
        </w:tc>
      </w:tr>
      <w:tr w:rsidR="00EB5E77" w14:paraId="7D1CC07A" w14:textId="77777777" w:rsidTr="00533703">
        <w:tc>
          <w:tcPr>
            <w:tcW w:w="3082" w:type="dxa"/>
            <w:shd w:val="clear" w:color="auto" w:fill="auto"/>
          </w:tcPr>
          <w:p w14:paraId="5D45EDF3" w14:textId="77777777" w:rsidR="00EB5E77" w:rsidRDefault="00EB5E77" w:rsidP="00501A12">
            <w:pPr>
              <w:pStyle w:val="Normal1linespace"/>
              <w:widowControl w:val="0"/>
            </w:pPr>
            <w:bookmarkStart w:id="6" w:name="NPARow" w:colFirst="0" w:colLast="1"/>
            <w:bookmarkEnd w:id="5"/>
          </w:p>
        </w:tc>
        <w:tc>
          <w:tcPr>
            <w:tcW w:w="5990" w:type="dxa"/>
            <w:shd w:val="clear" w:color="auto" w:fill="auto"/>
          </w:tcPr>
          <w:p w14:paraId="5EC66BA7" w14:textId="77777777" w:rsidR="00EB5E77" w:rsidRPr="00F17599" w:rsidRDefault="00EB5E77" w:rsidP="00501A12">
            <w:pPr>
              <w:pStyle w:val="Normal1linespace"/>
              <w:widowControl w:val="0"/>
              <w:jc w:val="left"/>
              <w:rPr>
                <w:b/>
              </w:rPr>
            </w:pPr>
          </w:p>
        </w:tc>
      </w:tr>
      <w:tr w:rsidR="00EB5E77" w14:paraId="58637BA5" w14:textId="77777777" w:rsidTr="00533703">
        <w:tc>
          <w:tcPr>
            <w:tcW w:w="3082" w:type="dxa"/>
            <w:shd w:val="clear" w:color="auto" w:fill="auto"/>
          </w:tcPr>
          <w:p w14:paraId="53110E37" w14:textId="77777777" w:rsidR="00EB5E77" w:rsidRDefault="00EB5E77" w:rsidP="00501A12">
            <w:pPr>
              <w:pStyle w:val="Normal1linespace"/>
              <w:widowControl w:val="0"/>
            </w:pPr>
            <w:r>
              <w:t>National Practice Area:</w:t>
            </w:r>
          </w:p>
        </w:tc>
        <w:tc>
          <w:tcPr>
            <w:tcW w:w="5990" w:type="dxa"/>
            <w:shd w:val="clear" w:color="auto" w:fill="auto"/>
          </w:tcPr>
          <w:p w14:paraId="505B4499" w14:textId="77777777" w:rsidR="00EB5E77" w:rsidRPr="00F17599" w:rsidRDefault="00617A54" w:rsidP="00184C77">
            <w:pPr>
              <w:pStyle w:val="Normal1linespace"/>
              <w:widowControl w:val="0"/>
              <w:jc w:val="left"/>
              <w:rPr>
                <w:b/>
              </w:rPr>
            </w:pPr>
            <w:fldSimple w:instr=" DOCPROPERTY  &quot;Practice Area&quot;  \* MERGEFORMAT ">
              <w:r w:rsidR="00EB5E77">
                <w:t>Commercial and Corporations</w:t>
              </w:r>
            </w:fldSimple>
          </w:p>
        </w:tc>
      </w:tr>
      <w:tr w:rsidR="00EB5E77" w14:paraId="1C73F552" w14:textId="77777777" w:rsidTr="00533703">
        <w:tc>
          <w:tcPr>
            <w:tcW w:w="3082" w:type="dxa"/>
            <w:shd w:val="clear" w:color="auto" w:fill="auto"/>
          </w:tcPr>
          <w:p w14:paraId="7B8B4F84" w14:textId="77777777" w:rsidR="00EB5E77" w:rsidRDefault="00EB5E77" w:rsidP="00501A12">
            <w:pPr>
              <w:pStyle w:val="Normal1linespace"/>
              <w:widowControl w:val="0"/>
            </w:pPr>
            <w:bookmarkStart w:id="7" w:name="SubAreaRow" w:colFirst="0" w:colLast="1"/>
            <w:bookmarkEnd w:id="6"/>
          </w:p>
        </w:tc>
        <w:tc>
          <w:tcPr>
            <w:tcW w:w="5990" w:type="dxa"/>
            <w:shd w:val="clear" w:color="auto" w:fill="auto"/>
          </w:tcPr>
          <w:p w14:paraId="2A766E58" w14:textId="77777777" w:rsidR="00EB5E77" w:rsidRDefault="00EB5E77" w:rsidP="00184C77">
            <w:pPr>
              <w:pStyle w:val="Normal1linespace"/>
              <w:widowControl w:val="0"/>
              <w:jc w:val="left"/>
            </w:pPr>
          </w:p>
        </w:tc>
      </w:tr>
      <w:tr w:rsidR="00EB5E77" w14:paraId="422C1642" w14:textId="77777777" w:rsidTr="00533703">
        <w:tc>
          <w:tcPr>
            <w:tcW w:w="3082" w:type="dxa"/>
            <w:shd w:val="clear" w:color="auto" w:fill="auto"/>
          </w:tcPr>
          <w:p w14:paraId="27970BFA" w14:textId="77777777" w:rsidR="00EB5E77" w:rsidRDefault="00EB5E77" w:rsidP="00501A12">
            <w:pPr>
              <w:pStyle w:val="Normal1linespace"/>
              <w:widowControl w:val="0"/>
            </w:pPr>
            <w:r>
              <w:t>Sub-area:</w:t>
            </w:r>
          </w:p>
        </w:tc>
        <w:tc>
          <w:tcPr>
            <w:tcW w:w="5990" w:type="dxa"/>
            <w:shd w:val="clear" w:color="auto" w:fill="auto"/>
          </w:tcPr>
          <w:p w14:paraId="68B350B5" w14:textId="77777777" w:rsidR="00EB5E77" w:rsidRPr="00837288" w:rsidRDefault="00617A54" w:rsidP="00184C77">
            <w:pPr>
              <w:pStyle w:val="Normal1linespace"/>
              <w:widowControl w:val="0"/>
              <w:jc w:val="left"/>
            </w:pPr>
            <w:fldSimple w:instr=" DOCPROPERTY  &quot;Sub Area&quot;  \* MERGEFORMAT ">
              <w:r w:rsidR="00EB5E77" w:rsidRPr="00EB5E77">
                <w:rPr>
                  <w:lang w:val="en-US"/>
                </w:rPr>
                <w:t>Corporations and Corporate</w:t>
              </w:r>
              <w:r w:rsidR="00EB5E77">
                <w:t xml:space="preserve"> Insolvency</w:t>
              </w:r>
            </w:fldSimple>
          </w:p>
        </w:tc>
      </w:tr>
      <w:bookmarkEnd w:id="7"/>
      <w:tr w:rsidR="00EB5E77" w14:paraId="3E311DD6" w14:textId="77777777" w:rsidTr="00533703">
        <w:tc>
          <w:tcPr>
            <w:tcW w:w="3082" w:type="dxa"/>
            <w:shd w:val="clear" w:color="auto" w:fill="auto"/>
          </w:tcPr>
          <w:p w14:paraId="305EA809" w14:textId="77777777" w:rsidR="00EB5E77" w:rsidRDefault="00EB5E77" w:rsidP="00501A12">
            <w:pPr>
              <w:pStyle w:val="Normal1linespace"/>
              <w:widowControl w:val="0"/>
            </w:pPr>
          </w:p>
        </w:tc>
        <w:tc>
          <w:tcPr>
            <w:tcW w:w="5990" w:type="dxa"/>
            <w:shd w:val="clear" w:color="auto" w:fill="auto"/>
          </w:tcPr>
          <w:p w14:paraId="3A6134BE" w14:textId="77777777" w:rsidR="00EB5E77" w:rsidRDefault="00EB5E77" w:rsidP="00501A12">
            <w:pPr>
              <w:pStyle w:val="Normal1linespace"/>
              <w:widowControl w:val="0"/>
              <w:jc w:val="left"/>
            </w:pPr>
          </w:p>
        </w:tc>
      </w:tr>
      <w:tr w:rsidR="00EB5E77" w14:paraId="46965244" w14:textId="77777777" w:rsidTr="00533703">
        <w:tc>
          <w:tcPr>
            <w:tcW w:w="3082" w:type="dxa"/>
            <w:shd w:val="clear" w:color="auto" w:fill="auto"/>
          </w:tcPr>
          <w:p w14:paraId="7D527926" w14:textId="77777777" w:rsidR="00EB5E77" w:rsidRDefault="00EB5E77" w:rsidP="00501A12">
            <w:pPr>
              <w:pStyle w:val="Normal1linespace"/>
              <w:widowControl w:val="0"/>
            </w:pPr>
            <w:r>
              <w:t>Number of paragraphs:</w:t>
            </w:r>
          </w:p>
        </w:tc>
        <w:tc>
          <w:tcPr>
            <w:tcW w:w="5990" w:type="dxa"/>
            <w:shd w:val="clear" w:color="auto" w:fill="auto"/>
          </w:tcPr>
          <w:p w14:paraId="5FFEA1E9" w14:textId="1A8D759B" w:rsidR="00EB5E77" w:rsidRDefault="00300549" w:rsidP="00501A12">
            <w:pPr>
              <w:pStyle w:val="Normal1linespace"/>
              <w:widowControl w:val="0"/>
              <w:jc w:val="left"/>
            </w:pPr>
            <w:bookmarkStart w:id="8" w:name="PlaceCategoryParagraphs"/>
            <w:r>
              <w:t>58</w:t>
            </w:r>
            <w:bookmarkEnd w:id="8"/>
          </w:p>
        </w:tc>
      </w:tr>
      <w:tr w:rsidR="00EB5E77" w14:paraId="463F9071" w14:textId="77777777" w:rsidTr="00533703">
        <w:tc>
          <w:tcPr>
            <w:tcW w:w="3082" w:type="dxa"/>
            <w:shd w:val="clear" w:color="auto" w:fill="auto"/>
          </w:tcPr>
          <w:p w14:paraId="0FDEE6C1" w14:textId="77777777" w:rsidR="00EB5E77" w:rsidRDefault="00EB5E77" w:rsidP="00EB5E77">
            <w:pPr>
              <w:pStyle w:val="Normal1linespace"/>
              <w:widowControl w:val="0"/>
              <w:jc w:val="left"/>
            </w:pPr>
          </w:p>
        </w:tc>
        <w:tc>
          <w:tcPr>
            <w:tcW w:w="5990" w:type="dxa"/>
            <w:shd w:val="clear" w:color="auto" w:fill="auto"/>
          </w:tcPr>
          <w:p w14:paraId="75472ABD" w14:textId="77777777" w:rsidR="00EB5E77" w:rsidRDefault="00EB5E77" w:rsidP="00EB5E77">
            <w:pPr>
              <w:pStyle w:val="Normal1linespace"/>
              <w:widowControl w:val="0"/>
              <w:jc w:val="left"/>
            </w:pPr>
          </w:p>
        </w:tc>
      </w:tr>
      <w:tr w:rsidR="00EB5E77" w14:paraId="2D484FF4" w14:textId="77777777" w:rsidTr="00533703">
        <w:tc>
          <w:tcPr>
            <w:tcW w:w="3082" w:type="dxa"/>
            <w:shd w:val="clear" w:color="auto" w:fill="auto"/>
          </w:tcPr>
          <w:p w14:paraId="0F951B97" w14:textId="77777777" w:rsidR="00EB5E77" w:rsidRDefault="00EB5E77" w:rsidP="00EB5E77">
            <w:pPr>
              <w:pStyle w:val="Normal1linespace"/>
              <w:widowControl w:val="0"/>
              <w:jc w:val="left"/>
            </w:pPr>
            <w:bookmarkStart w:id="9" w:name="CounselDate" w:colFirst="0" w:colLast="2"/>
            <w:r w:rsidRPr="006A24E3">
              <w:t>Date of hearing:</w:t>
            </w:r>
          </w:p>
        </w:tc>
        <w:tc>
          <w:tcPr>
            <w:tcW w:w="5990" w:type="dxa"/>
            <w:shd w:val="clear" w:color="auto" w:fill="auto"/>
          </w:tcPr>
          <w:p w14:paraId="66502FD8" w14:textId="77777777" w:rsidR="00EB5E77" w:rsidRDefault="00582D4E" w:rsidP="00EB5E77">
            <w:pPr>
              <w:pStyle w:val="Normal1linespace"/>
              <w:widowControl w:val="0"/>
              <w:jc w:val="left"/>
            </w:pPr>
            <w:bookmarkStart w:id="10" w:name="HearingDate"/>
            <w:r>
              <w:t>19 March 2021</w:t>
            </w:r>
            <w:r w:rsidR="00EB5E77">
              <w:t xml:space="preserve"> </w:t>
            </w:r>
            <w:bookmarkEnd w:id="10"/>
          </w:p>
        </w:tc>
      </w:tr>
      <w:tr w:rsidR="00EB5E77" w14:paraId="4604D8B7" w14:textId="77777777" w:rsidTr="00533703">
        <w:tc>
          <w:tcPr>
            <w:tcW w:w="3082" w:type="dxa"/>
            <w:shd w:val="clear" w:color="auto" w:fill="auto"/>
          </w:tcPr>
          <w:p w14:paraId="4A301F5A" w14:textId="77777777" w:rsidR="00EB5E77" w:rsidRDefault="00EB5E77" w:rsidP="00EB5E77">
            <w:pPr>
              <w:pStyle w:val="Normal1linespace"/>
              <w:widowControl w:val="0"/>
              <w:jc w:val="left"/>
            </w:pPr>
          </w:p>
        </w:tc>
        <w:tc>
          <w:tcPr>
            <w:tcW w:w="5990" w:type="dxa"/>
            <w:shd w:val="clear" w:color="auto" w:fill="auto"/>
          </w:tcPr>
          <w:p w14:paraId="332FA620" w14:textId="77777777" w:rsidR="00EB5E77" w:rsidRDefault="00EB5E77" w:rsidP="00EB5E77">
            <w:pPr>
              <w:pStyle w:val="Normal1linespace"/>
              <w:widowControl w:val="0"/>
              <w:jc w:val="left"/>
            </w:pPr>
          </w:p>
        </w:tc>
      </w:tr>
      <w:tr w:rsidR="00DA0373" w14:paraId="38241C8A" w14:textId="77777777" w:rsidTr="00533703">
        <w:tc>
          <w:tcPr>
            <w:tcW w:w="3082" w:type="dxa"/>
            <w:shd w:val="clear" w:color="auto" w:fill="auto"/>
          </w:tcPr>
          <w:p w14:paraId="42FABC12" w14:textId="77777777" w:rsidR="00DA0373" w:rsidRDefault="00DA0373" w:rsidP="00533703">
            <w:pPr>
              <w:pStyle w:val="Normal1linespace"/>
              <w:widowControl w:val="0"/>
              <w:jc w:val="left"/>
            </w:pPr>
            <w:bookmarkStart w:id="11" w:name="Counsel" w:colFirst="0" w:colLast="2"/>
            <w:bookmarkStart w:id="12" w:name="CompletionTable"/>
            <w:bookmarkEnd w:id="9"/>
            <w:r>
              <w:t>Counsel for the Applicant:</w:t>
            </w:r>
          </w:p>
        </w:tc>
        <w:tc>
          <w:tcPr>
            <w:tcW w:w="5990" w:type="dxa"/>
            <w:shd w:val="clear" w:color="auto" w:fill="auto"/>
          </w:tcPr>
          <w:p w14:paraId="280DE558" w14:textId="77777777" w:rsidR="00DA0373" w:rsidRDefault="00DA0373">
            <w:pPr>
              <w:pStyle w:val="Normal1linespace"/>
              <w:widowControl w:val="0"/>
              <w:jc w:val="left"/>
            </w:pPr>
            <w:bookmarkStart w:id="13" w:name="AppCounsel"/>
            <w:bookmarkEnd w:id="13"/>
            <w:r>
              <w:t xml:space="preserve">Mr </w:t>
            </w:r>
            <w:proofErr w:type="spellStart"/>
            <w:r>
              <w:t>Attiwill</w:t>
            </w:r>
            <w:proofErr w:type="spellEnd"/>
            <w:r>
              <w:t xml:space="preserve"> QC and Mr W. A D Edwards</w:t>
            </w:r>
          </w:p>
        </w:tc>
      </w:tr>
      <w:tr w:rsidR="00DA0373" w14:paraId="350287BA" w14:textId="77777777" w:rsidTr="00533703">
        <w:tc>
          <w:tcPr>
            <w:tcW w:w="3082" w:type="dxa"/>
            <w:shd w:val="clear" w:color="auto" w:fill="auto"/>
          </w:tcPr>
          <w:p w14:paraId="5C679D1E" w14:textId="77777777" w:rsidR="00DA0373" w:rsidRDefault="00DA0373" w:rsidP="00DA0373">
            <w:pPr>
              <w:pStyle w:val="Normal1linespace"/>
              <w:widowControl w:val="0"/>
              <w:jc w:val="left"/>
            </w:pPr>
          </w:p>
        </w:tc>
        <w:tc>
          <w:tcPr>
            <w:tcW w:w="5990" w:type="dxa"/>
            <w:shd w:val="clear" w:color="auto" w:fill="auto"/>
          </w:tcPr>
          <w:p w14:paraId="0E037094" w14:textId="77777777" w:rsidR="00DA0373" w:rsidRDefault="00DA0373" w:rsidP="00DA0373">
            <w:pPr>
              <w:pStyle w:val="Normal1linespace"/>
              <w:widowControl w:val="0"/>
              <w:jc w:val="left"/>
            </w:pPr>
          </w:p>
        </w:tc>
      </w:tr>
      <w:tr w:rsidR="00DA0373" w14:paraId="5BF0B80F" w14:textId="77777777" w:rsidTr="00533703">
        <w:tc>
          <w:tcPr>
            <w:tcW w:w="3082" w:type="dxa"/>
            <w:shd w:val="clear" w:color="auto" w:fill="auto"/>
          </w:tcPr>
          <w:p w14:paraId="3D1DB99F" w14:textId="690587B5" w:rsidR="00DA0373" w:rsidRDefault="00DA0373" w:rsidP="00DA0373">
            <w:pPr>
              <w:pStyle w:val="Normal1linespace"/>
              <w:widowControl w:val="0"/>
              <w:jc w:val="left"/>
            </w:pPr>
            <w:r>
              <w:t>Solicitor</w:t>
            </w:r>
            <w:r w:rsidR="00594EF3">
              <w:t>s</w:t>
            </w:r>
            <w:r>
              <w:t xml:space="preserve"> for the Applicant:</w:t>
            </w:r>
          </w:p>
        </w:tc>
        <w:tc>
          <w:tcPr>
            <w:tcW w:w="5990" w:type="dxa"/>
            <w:shd w:val="clear" w:color="auto" w:fill="auto"/>
          </w:tcPr>
          <w:p w14:paraId="3866D471" w14:textId="7FF0115F" w:rsidR="00DA0373" w:rsidRDefault="00DA0373" w:rsidP="00DA0373">
            <w:pPr>
              <w:pStyle w:val="Normal1linespace"/>
              <w:widowControl w:val="0"/>
              <w:jc w:val="left"/>
            </w:pPr>
            <w:r>
              <w:t xml:space="preserve">Maurice Blackburn and Slater </w:t>
            </w:r>
            <w:r w:rsidR="0011642A">
              <w:t>and</w:t>
            </w:r>
            <w:r>
              <w:t xml:space="preserve"> Gordon</w:t>
            </w:r>
          </w:p>
        </w:tc>
      </w:tr>
      <w:tr w:rsidR="00DA0373" w14:paraId="3D0043AF" w14:textId="77777777" w:rsidTr="00533703">
        <w:tc>
          <w:tcPr>
            <w:tcW w:w="3082" w:type="dxa"/>
            <w:shd w:val="clear" w:color="auto" w:fill="auto"/>
          </w:tcPr>
          <w:p w14:paraId="3CD1FC74" w14:textId="77777777" w:rsidR="00DA0373" w:rsidRDefault="00DA0373" w:rsidP="00DA0373">
            <w:pPr>
              <w:pStyle w:val="Normal1linespace"/>
              <w:widowControl w:val="0"/>
              <w:jc w:val="left"/>
            </w:pPr>
          </w:p>
        </w:tc>
        <w:tc>
          <w:tcPr>
            <w:tcW w:w="5990" w:type="dxa"/>
            <w:shd w:val="clear" w:color="auto" w:fill="auto"/>
          </w:tcPr>
          <w:p w14:paraId="5ECEC249" w14:textId="77777777" w:rsidR="00DA0373" w:rsidRDefault="00DA0373" w:rsidP="00DA0373">
            <w:pPr>
              <w:pStyle w:val="Normal1linespace"/>
              <w:widowControl w:val="0"/>
              <w:jc w:val="left"/>
            </w:pPr>
          </w:p>
        </w:tc>
      </w:tr>
      <w:tr w:rsidR="00DA0373" w14:paraId="46BB9F92" w14:textId="77777777" w:rsidTr="00533703">
        <w:tc>
          <w:tcPr>
            <w:tcW w:w="3082" w:type="dxa"/>
            <w:shd w:val="clear" w:color="auto" w:fill="auto"/>
          </w:tcPr>
          <w:p w14:paraId="4E317042" w14:textId="77777777" w:rsidR="00DA0373" w:rsidRDefault="00DA0373" w:rsidP="00DA0373">
            <w:pPr>
              <w:pStyle w:val="Normal1linespace"/>
              <w:widowControl w:val="0"/>
              <w:jc w:val="left"/>
            </w:pPr>
            <w:r>
              <w:t>Counsel for the First Respondent</w:t>
            </w:r>
            <w:r w:rsidR="00D74D16">
              <w:t>/Seventh Cross-Respondent for the Third and Fifth Cross- Claims</w:t>
            </w:r>
            <w:r>
              <w:t>:</w:t>
            </w:r>
          </w:p>
        </w:tc>
        <w:tc>
          <w:tcPr>
            <w:tcW w:w="5990" w:type="dxa"/>
            <w:shd w:val="clear" w:color="auto" w:fill="auto"/>
          </w:tcPr>
          <w:p w14:paraId="59AC6C17" w14:textId="77777777" w:rsidR="00DA0373" w:rsidRDefault="00DA0373" w:rsidP="00DA0373">
            <w:pPr>
              <w:pStyle w:val="Normal1linespace"/>
              <w:widowControl w:val="0"/>
              <w:jc w:val="left"/>
            </w:pPr>
            <w:r>
              <w:t>Ms S. Gory</w:t>
            </w:r>
          </w:p>
        </w:tc>
      </w:tr>
      <w:tr w:rsidR="00DA0373" w14:paraId="5875B3D7" w14:textId="77777777" w:rsidTr="00533703">
        <w:tc>
          <w:tcPr>
            <w:tcW w:w="3082" w:type="dxa"/>
            <w:shd w:val="clear" w:color="auto" w:fill="auto"/>
          </w:tcPr>
          <w:p w14:paraId="26E58F7D" w14:textId="77777777" w:rsidR="00DA0373" w:rsidRDefault="00DA0373" w:rsidP="00DA0373">
            <w:pPr>
              <w:pStyle w:val="Normal1linespace"/>
              <w:widowControl w:val="0"/>
              <w:jc w:val="left"/>
            </w:pPr>
          </w:p>
        </w:tc>
        <w:tc>
          <w:tcPr>
            <w:tcW w:w="5990" w:type="dxa"/>
            <w:shd w:val="clear" w:color="auto" w:fill="auto"/>
          </w:tcPr>
          <w:p w14:paraId="4FBE7405" w14:textId="77777777" w:rsidR="00DA0373" w:rsidRDefault="00DA0373" w:rsidP="00DA0373">
            <w:pPr>
              <w:pStyle w:val="Normal1linespace"/>
              <w:widowControl w:val="0"/>
              <w:jc w:val="left"/>
            </w:pPr>
          </w:p>
        </w:tc>
      </w:tr>
      <w:tr w:rsidR="00DA0373" w14:paraId="0E102553" w14:textId="77777777" w:rsidTr="00533703">
        <w:tc>
          <w:tcPr>
            <w:tcW w:w="3082" w:type="dxa"/>
            <w:shd w:val="clear" w:color="auto" w:fill="auto"/>
          </w:tcPr>
          <w:p w14:paraId="368118A5" w14:textId="77777777" w:rsidR="00DA0373" w:rsidRDefault="00DA0373" w:rsidP="00DA0373">
            <w:pPr>
              <w:pStyle w:val="Normal1linespace"/>
              <w:widowControl w:val="0"/>
              <w:jc w:val="left"/>
            </w:pPr>
            <w:r>
              <w:t>Solicitor for the First Respondent</w:t>
            </w:r>
            <w:r w:rsidR="00D74D16">
              <w:t>/Seventh Cross-Respondent for the Third and Fifth Cross- Claims</w:t>
            </w:r>
            <w:r>
              <w:t>:</w:t>
            </w:r>
          </w:p>
        </w:tc>
        <w:tc>
          <w:tcPr>
            <w:tcW w:w="5990" w:type="dxa"/>
            <w:shd w:val="clear" w:color="auto" w:fill="auto"/>
          </w:tcPr>
          <w:p w14:paraId="119B4E1B" w14:textId="77777777" w:rsidR="00DA0373" w:rsidRDefault="00EA2307" w:rsidP="00DA0373">
            <w:pPr>
              <w:pStyle w:val="Normal1linespace"/>
              <w:widowControl w:val="0"/>
              <w:jc w:val="left"/>
            </w:pPr>
            <w:r>
              <w:t>Gilbert &amp; Tobin</w:t>
            </w:r>
          </w:p>
        </w:tc>
      </w:tr>
      <w:tr w:rsidR="00DA0373" w14:paraId="6614B96A" w14:textId="77777777" w:rsidTr="00533703">
        <w:tc>
          <w:tcPr>
            <w:tcW w:w="3082" w:type="dxa"/>
            <w:shd w:val="clear" w:color="auto" w:fill="auto"/>
          </w:tcPr>
          <w:p w14:paraId="1C748785" w14:textId="77777777" w:rsidR="00DA0373" w:rsidRDefault="00DA0373" w:rsidP="00DA0373">
            <w:pPr>
              <w:pStyle w:val="Normal1linespace"/>
              <w:widowControl w:val="0"/>
              <w:jc w:val="left"/>
            </w:pPr>
          </w:p>
        </w:tc>
        <w:tc>
          <w:tcPr>
            <w:tcW w:w="5990" w:type="dxa"/>
            <w:shd w:val="clear" w:color="auto" w:fill="auto"/>
          </w:tcPr>
          <w:p w14:paraId="3D7FACCB" w14:textId="77777777" w:rsidR="00DA0373" w:rsidRDefault="00DA0373" w:rsidP="00DA0373">
            <w:pPr>
              <w:pStyle w:val="Normal1linespace"/>
              <w:widowControl w:val="0"/>
              <w:jc w:val="left"/>
            </w:pPr>
          </w:p>
        </w:tc>
      </w:tr>
      <w:tr w:rsidR="00DA0373" w14:paraId="3AF60D6E" w14:textId="77777777" w:rsidTr="00533703">
        <w:tc>
          <w:tcPr>
            <w:tcW w:w="3082" w:type="dxa"/>
            <w:shd w:val="clear" w:color="auto" w:fill="auto"/>
          </w:tcPr>
          <w:p w14:paraId="441A1743" w14:textId="77777777" w:rsidR="00DA0373" w:rsidRDefault="00DA0373" w:rsidP="00DA0373">
            <w:pPr>
              <w:pStyle w:val="Normal1linespace"/>
              <w:widowControl w:val="0"/>
              <w:jc w:val="left"/>
            </w:pPr>
            <w:r>
              <w:t>Counsel for the Second Respondent:</w:t>
            </w:r>
          </w:p>
        </w:tc>
        <w:tc>
          <w:tcPr>
            <w:tcW w:w="5990" w:type="dxa"/>
            <w:shd w:val="clear" w:color="auto" w:fill="auto"/>
          </w:tcPr>
          <w:p w14:paraId="37FB3391" w14:textId="77777777" w:rsidR="00DA0373" w:rsidRDefault="00DA0373" w:rsidP="00DA0373">
            <w:pPr>
              <w:pStyle w:val="Normal1linespace"/>
              <w:widowControl w:val="0"/>
              <w:jc w:val="left"/>
            </w:pPr>
            <w:r>
              <w:t>Mr M. Garner</w:t>
            </w:r>
          </w:p>
        </w:tc>
      </w:tr>
      <w:tr w:rsidR="00DA0373" w14:paraId="343BFF0F" w14:textId="77777777" w:rsidTr="00533703">
        <w:tc>
          <w:tcPr>
            <w:tcW w:w="3082" w:type="dxa"/>
            <w:shd w:val="clear" w:color="auto" w:fill="auto"/>
          </w:tcPr>
          <w:p w14:paraId="0C6E00F1" w14:textId="77777777" w:rsidR="00DA0373" w:rsidRDefault="00DA0373" w:rsidP="00DA0373">
            <w:pPr>
              <w:pStyle w:val="Normal1linespace"/>
              <w:widowControl w:val="0"/>
              <w:jc w:val="left"/>
            </w:pPr>
          </w:p>
        </w:tc>
        <w:tc>
          <w:tcPr>
            <w:tcW w:w="5990" w:type="dxa"/>
            <w:shd w:val="clear" w:color="auto" w:fill="auto"/>
          </w:tcPr>
          <w:p w14:paraId="7326D811" w14:textId="77777777" w:rsidR="00DA0373" w:rsidRDefault="00DA0373" w:rsidP="00DA0373">
            <w:pPr>
              <w:pStyle w:val="Normal1linespace"/>
              <w:widowControl w:val="0"/>
              <w:jc w:val="left"/>
            </w:pPr>
          </w:p>
        </w:tc>
      </w:tr>
      <w:tr w:rsidR="00DA0373" w14:paraId="7C8DDB3F" w14:textId="77777777" w:rsidTr="00533703">
        <w:tc>
          <w:tcPr>
            <w:tcW w:w="3082" w:type="dxa"/>
            <w:shd w:val="clear" w:color="auto" w:fill="auto"/>
          </w:tcPr>
          <w:p w14:paraId="7CB4B817" w14:textId="77777777" w:rsidR="00DA0373" w:rsidRDefault="00DA0373" w:rsidP="00DA0373">
            <w:pPr>
              <w:pStyle w:val="Normal1linespace"/>
              <w:widowControl w:val="0"/>
              <w:jc w:val="left"/>
            </w:pPr>
            <w:r>
              <w:t>Solicitor for the Second Respondent:</w:t>
            </w:r>
          </w:p>
        </w:tc>
        <w:tc>
          <w:tcPr>
            <w:tcW w:w="5990" w:type="dxa"/>
            <w:shd w:val="clear" w:color="auto" w:fill="auto"/>
          </w:tcPr>
          <w:p w14:paraId="3C073BCC" w14:textId="77777777" w:rsidR="00DA0373" w:rsidRDefault="0009616B" w:rsidP="00DA0373">
            <w:pPr>
              <w:pStyle w:val="Normal1linespace"/>
              <w:widowControl w:val="0"/>
              <w:jc w:val="left"/>
            </w:pPr>
            <w:r>
              <w:t xml:space="preserve">Herbert Smith Freehills </w:t>
            </w:r>
          </w:p>
        </w:tc>
      </w:tr>
      <w:tr w:rsidR="00DA0373" w14:paraId="7F805AE5" w14:textId="77777777" w:rsidTr="00533703">
        <w:tc>
          <w:tcPr>
            <w:tcW w:w="3082" w:type="dxa"/>
            <w:shd w:val="clear" w:color="auto" w:fill="auto"/>
          </w:tcPr>
          <w:p w14:paraId="6920ED6E" w14:textId="77777777" w:rsidR="00DA0373" w:rsidRDefault="00DA0373" w:rsidP="00DA0373">
            <w:pPr>
              <w:pStyle w:val="Normal1linespace"/>
              <w:widowControl w:val="0"/>
              <w:jc w:val="left"/>
            </w:pPr>
          </w:p>
        </w:tc>
        <w:tc>
          <w:tcPr>
            <w:tcW w:w="5990" w:type="dxa"/>
            <w:shd w:val="clear" w:color="auto" w:fill="auto"/>
          </w:tcPr>
          <w:p w14:paraId="2F418461" w14:textId="77777777" w:rsidR="00DA0373" w:rsidRDefault="00DA0373" w:rsidP="00DA0373">
            <w:pPr>
              <w:pStyle w:val="Normal1linespace"/>
              <w:widowControl w:val="0"/>
              <w:jc w:val="left"/>
            </w:pPr>
          </w:p>
        </w:tc>
      </w:tr>
      <w:tr w:rsidR="00DA0373" w14:paraId="75696946" w14:textId="77777777" w:rsidTr="00533703">
        <w:tc>
          <w:tcPr>
            <w:tcW w:w="3082" w:type="dxa"/>
            <w:shd w:val="clear" w:color="auto" w:fill="auto"/>
          </w:tcPr>
          <w:p w14:paraId="7A2C0557" w14:textId="77777777" w:rsidR="00DA0373" w:rsidRDefault="00DA0373">
            <w:pPr>
              <w:pStyle w:val="Normal1linespace"/>
              <w:widowControl w:val="0"/>
              <w:jc w:val="left"/>
            </w:pPr>
            <w:r>
              <w:t>Counsel for the Third Respondent</w:t>
            </w:r>
            <w:r w:rsidR="00D94302">
              <w:t>/First Cross-Respondent to the Third and Fifth Cross Claims/Cross-Claimant to the Sixth Cross-Claim</w:t>
            </w:r>
            <w:r>
              <w:t>:</w:t>
            </w:r>
          </w:p>
        </w:tc>
        <w:tc>
          <w:tcPr>
            <w:tcW w:w="5990" w:type="dxa"/>
            <w:shd w:val="clear" w:color="auto" w:fill="auto"/>
          </w:tcPr>
          <w:p w14:paraId="05D5C814" w14:textId="37D76D03" w:rsidR="00DA0373" w:rsidRDefault="00DA0373" w:rsidP="00DA0373">
            <w:pPr>
              <w:pStyle w:val="Normal1linespace"/>
              <w:widowControl w:val="0"/>
              <w:jc w:val="left"/>
            </w:pPr>
            <w:r>
              <w:t>M</w:t>
            </w:r>
            <w:r w:rsidR="00594EF3">
              <w:t>r</w:t>
            </w:r>
            <w:r>
              <w:t xml:space="preserve"> S. Lawrence</w:t>
            </w:r>
          </w:p>
        </w:tc>
      </w:tr>
      <w:tr w:rsidR="00DA0373" w14:paraId="228F38A6" w14:textId="77777777" w:rsidTr="00533703">
        <w:tc>
          <w:tcPr>
            <w:tcW w:w="3082" w:type="dxa"/>
            <w:shd w:val="clear" w:color="auto" w:fill="auto"/>
          </w:tcPr>
          <w:p w14:paraId="67F8A39B" w14:textId="77777777" w:rsidR="00DA0373" w:rsidRDefault="00DA0373" w:rsidP="00DA0373">
            <w:pPr>
              <w:pStyle w:val="Normal1linespace"/>
              <w:widowControl w:val="0"/>
              <w:jc w:val="left"/>
            </w:pPr>
          </w:p>
        </w:tc>
        <w:tc>
          <w:tcPr>
            <w:tcW w:w="5990" w:type="dxa"/>
            <w:shd w:val="clear" w:color="auto" w:fill="auto"/>
          </w:tcPr>
          <w:p w14:paraId="48A950D8" w14:textId="77777777" w:rsidR="00DA0373" w:rsidRDefault="00DA0373" w:rsidP="00DA0373">
            <w:pPr>
              <w:pStyle w:val="Normal1linespace"/>
              <w:widowControl w:val="0"/>
              <w:jc w:val="left"/>
            </w:pPr>
          </w:p>
        </w:tc>
      </w:tr>
      <w:tr w:rsidR="00DA0373" w14:paraId="0F46E2C5" w14:textId="77777777" w:rsidTr="00533703">
        <w:tc>
          <w:tcPr>
            <w:tcW w:w="3082" w:type="dxa"/>
            <w:shd w:val="clear" w:color="auto" w:fill="auto"/>
          </w:tcPr>
          <w:p w14:paraId="6B7D0B66" w14:textId="77777777" w:rsidR="00DA0373" w:rsidRDefault="00DA0373" w:rsidP="00DA0373">
            <w:pPr>
              <w:pStyle w:val="Normal1linespace"/>
              <w:widowControl w:val="0"/>
              <w:jc w:val="left"/>
            </w:pPr>
            <w:r>
              <w:t>Solicitor for the Third Respondent</w:t>
            </w:r>
            <w:r w:rsidR="00D94302">
              <w:t>/First Cross-</w:t>
            </w:r>
            <w:r w:rsidR="00D94302">
              <w:lastRenderedPageBreak/>
              <w:t>Respondent to the Third and Fifth Cross Claims/Cross-Claimant to the Sixth Cross-Claim</w:t>
            </w:r>
            <w:r>
              <w:t>:</w:t>
            </w:r>
          </w:p>
        </w:tc>
        <w:tc>
          <w:tcPr>
            <w:tcW w:w="5990" w:type="dxa"/>
            <w:shd w:val="clear" w:color="auto" w:fill="auto"/>
          </w:tcPr>
          <w:p w14:paraId="372B32C1" w14:textId="77777777" w:rsidR="00DA0373" w:rsidRDefault="0009616B" w:rsidP="00DA0373">
            <w:pPr>
              <w:pStyle w:val="Normal1linespace"/>
              <w:widowControl w:val="0"/>
              <w:jc w:val="left"/>
            </w:pPr>
            <w:r>
              <w:lastRenderedPageBreak/>
              <w:t xml:space="preserve">Gilbert &amp; Tobin </w:t>
            </w:r>
          </w:p>
        </w:tc>
      </w:tr>
      <w:tr w:rsidR="00DA0373" w14:paraId="7FAB67AD" w14:textId="77777777" w:rsidTr="00533703">
        <w:tc>
          <w:tcPr>
            <w:tcW w:w="3082" w:type="dxa"/>
            <w:shd w:val="clear" w:color="auto" w:fill="auto"/>
          </w:tcPr>
          <w:p w14:paraId="2D764C13" w14:textId="77777777" w:rsidR="00DA0373" w:rsidRDefault="00DA0373" w:rsidP="00DA0373">
            <w:pPr>
              <w:pStyle w:val="Normal1linespace"/>
              <w:widowControl w:val="0"/>
              <w:jc w:val="left"/>
            </w:pPr>
          </w:p>
        </w:tc>
        <w:tc>
          <w:tcPr>
            <w:tcW w:w="5990" w:type="dxa"/>
            <w:shd w:val="clear" w:color="auto" w:fill="auto"/>
          </w:tcPr>
          <w:p w14:paraId="2E514AB2" w14:textId="77777777" w:rsidR="00DA0373" w:rsidRDefault="00DA0373" w:rsidP="00DA0373">
            <w:pPr>
              <w:pStyle w:val="Normal1linespace"/>
              <w:widowControl w:val="0"/>
              <w:jc w:val="left"/>
            </w:pPr>
          </w:p>
        </w:tc>
      </w:tr>
      <w:tr w:rsidR="00DA0373" w14:paraId="48397BD6" w14:textId="77777777" w:rsidTr="00533703">
        <w:tc>
          <w:tcPr>
            <w:tcW w:w="3082" w:type="dxa"/>
            <w:shd w:val="clear" w:color="auto" w:fill="auto"/>
          </w:tcPr>
          <w:p w14:paraId="6DB54FF5" w14:textId="77777777" w:rsidR="00DA0373" w:rsidRDefault="00DA0373">
            <w:pPr>
              <w:pStyle w:val="Normal1linespace"/>
              <w:widowControl w:val="0"/>
              <w:jc w:val="left"/>
            </w:pPr>
            <w:r>
              <w:t>Solicitor for the Fourth Respondent</w:t>
            </w:r>
            <w:r w:rsidR="00D94302">
              <w:t>/First Cross-Respondent to the Third and Fifth Cross Claims/Cross-Claimant to the Seventh Cross-Claim</w:t>
            </w:r>
            <w:r>
              <w:t>:</w:t>
            </w:r>
          </w:p>
        </w:tc>
        <w:tc>
          <w:tcPr>
            <w:tcW w:w="5990" w:type="dxa"/>
            <w:shd w:val="clear" w:color="auto" w:fill="auto"/>
          </w:tcPr>
          <w:p w14:paraId="5FC94A6F" w14:textId="77777777" w:rsidR="00DA0373" w:rsidRDefault="008932F8" w:rsidP="00DA0373">
            <w:pPr>
              <w:pStyle w:val="Normal1linespace"/>
              <w:widowControl w:val="0"/>
              <w:jc w:val="left"/>
            </w:pPr>
            <w:r>
              <w:t xml:space="preserve">Ms J. McLennan of </w:t>
            </w:r>
            <w:r w:rsidR="00EA2307">
              <w:t>Clyde &amp; Co</w:t>
            </w:r>
          </w:p>
        </w:tc>
      </w:tr>
      <w:tr w:rsidR="00DA0373" w14:paraId="3F86F2B7" w14:textId="77777777" w:rsidTr="00533703">
        <w:tc>
          <w:tcPr>
            <w:tcW w:w="3082" w:type="dxa"/>
            <w:shd w:val="clear" w:color="auto" w:fill="auto"/>
          </w:tcPr>
          <w:p w14:paraId="60508FB7" w14:textId="77777777" w:rsidR="00DA0373" w:rsidRDefault="00DA0373" w:rsidP="00DA0373">
            <w:pPr>
              <w:pStyle w:val="Normal1linespace"/>
              <w:widowControl w:val="0"/>
              <w:jc w:val="left"/>
            </w:pPr>
          </w:p>
        </w:tc>
        <w:tc>
          <w:tcPr>
            <w:tcW w:w="5990" w:type="dxa"/>
            <w:shd w:val="clear" w:color="auto" w:fill="auto"/>
          </w:tcPr>
          <w:p w14:paraId="0DA64A8E" w14:textId="77777777" w:rsidR="00DA0373" w:rsidRDefault="00DA0373" w:rsidP="00DA0373">
            <w:pPr>
              <w:pStyle w:val="Normal1linespace"/>
              <w:widowControl w:val="0"/>
              <w:jc w:val="left"/>
            </w:pPr>
          </w:p>
        </w:tc>
      </w:tr>
      <w:tr w:rsidR="00DA0373" w14:paraId="1D0E7AC2" w14:textId="77777777" w:rsidTr="00533703">
        <w:tc>
          <w:tcPr>
            <w:tcW w:w="3082" w:type="dxa"/>
            <w:shd w:val="clear" w:color="auto" w:fill="auto"/>
          </w:tcPr>
          <w:p w14:paraId="02EA7680" w14:textId="77777777" w:rsidR="00DA0373" w:rsidRDefault="00DA0373" w:rsidP="00DA0373">
            <w:pPr>
              <w:pStyle w:val="Normal1linespace"/>
              <w:widowControl w:val="0"/>
              <w:jc w:val="left"/>
            </w:pPr>
            <w:r>
              <w:t>Solicitor for the Fifth Respondent</w:t>
            </w:r>
            <w:r w:rsidR="00D94302">
              <w:t>/ Third Cross-Respondent to Third and Fifth Cross Claims/Cross-Claimant to the Fourth Cross-Claim</w:t>
            </w:r>
            <w:r>
              <w:t>:</w:t>
            </w:r>
          </w:p>
        </w:tc>
        <w:tc>
          <w:tcPr>
            <w:tcW w:w="5990" w:type="dxa"/>
            <w:shd w:val="clear" w:color="auto" w:fill="auto"/>
          </w:tcPr>
          <w:p w14:paraId="77D0B722" w14:textId="582F28ED" w:rsidR="00DA0373" w:rsidRDefault="00594EF3" w:rsidP="00DA0373">
            <w:pPr>
              <w:pStyle w:val="Normal1linespace"/>
              <w:widowControl w:val="0"/>
              <w:jc w:val="left"/>
            </w:pPr>
            <w:r>
              <w:t xml:space="preserve">Mr A. Salgo of </w:t>
            </w:r>
            <w:r w:rsidR="0009616B">
              <w:t>Baker &amp; McKenzie</w:t>
            </w:r>
          </w:p>
        </w:tc>
      </w:tr>
      <w:tr w:rsidR="00B10078" w14:paraId="79D2C094" w14:textId="77777777" w:rsidTr="00D94302">
        <w:tc>
          <w:tcPr>
            <w:tcW w:w="3082" w:type="dxa"/>
            <w:shd w:val="clear" w:color="auto" w:fill="auto"/>
          </w:tcPr>
          <w:p w14:paraId="4F882224" w14:textId="77777777" w:rsidR="00B10078" w:rsidRDefault="00B10078" w:rsidP="00DA0373">
            <w:pPr>
              <w:pStyle w:val="Normal1linespace"/>
              <w:widowControl w:val="0"/>
              <w:jc w:val="left"/>
            </w:pPr>
          </w:p>
        </w:tc>
        <w:tc>
          <w:tcPr>
            <w:tcW w:w="5990" w:type="dxa"/>
            <w:shd w:val="clear" w:color="auto" w:fill="auto"/>
          </w:tcPr>
          <w:p w14:paraId="3492ABBA" w14:textId="77777777" w:rsidR="00B10078" w:rsidRDefault="00B10078" w:rsidP="00DA0373">
            <w:pPr>
              <w:pStyle w:val="Normal1linespace"/>
              <w:widowControl w:val="0"/>
              <w:jc w:val="left"/>
            </w:pPr>
          </w:p>
        </w:tc>
      </w:tr>
      <w:tr w:rsidR="00D94302" w14:paraId="4BCB58C4" w14:textId="77777777" w:rsidTr="00D94302">
        <w:tc>
          <w:tcPr>
            <w:tcW w:w="3082" w:type="dxa"/>
            <w:shd w:val="clear" w:color="auto" w:fill="auto"/>
          </w:tcPr>
          <w:p w14:paraId="310B8779" w14:textId="77777777" w:rsidR="00D94302" w:rsidRDefault="00D94302" w:rsidP="00D94302">
            <w:pPr>
              <w:pStyle w:val="Normal1linespace"/>
              <w:widowControl w:val="0"/>
              <w:jc w:val="left"/>
            </w:pPr>
            <w:r>
              <w:t>Solicitor for the Cross-Respondent to the First, Second, Fourth, Sixth and Seventh Cross-Claim/ Cross Claimant for the Fifth Cross-Claim</w:t>
            </w:r>
          </w:p>
        </w:tc>
        <w:tc>
          <w:tcPr>
            <w:tcW w:w="5990" w:type="dxa"/>
            <w:shd w:val="clear" w:color="auto" w:fill="auto"/>
          </w:tcPr>
          <w:p w14:paraId="225902C1" w14:textId="2FB28D39" w:rsidR="00D94302" w:rsidRDefault="00D40747" w:rsidP="00D94302">
            <w:pPr>
              <w:pStyle w:val="Normal1linespace"/>
              <w:widowControl w:val="0"/>
              <w:jc w:val="left"/>
            </w:pPr>
            <w:r>
              <w:t xml:space="preserve">Ms B. Cunningham of </w:t>
            </w:r>
            <w:r w:rsidR="00C31862">
              <w:t>MinterEllison</w:t>
            </w:r>
          </w:p>
        </w:tc>
      </w:tr>
      <w:tr w:rsidR="00D94302" w14:paraId="76518151" w14:textId="77777777" w:rsidTr="00D94302">
        <w:tc>
          <w:tcPr>
            <w:tcW w:w="3082" w:type="dxa"/>
            <w:shd w:val="clear" w:color="auto" w:fill="auto"/>
          </w:tcPr>
          <w:p w14:paraId="531928F3" w14:textId="77777777" w:rsidR="00D94302" w:rsidRDefault="00D94302" w:rsidP="00D94302">
            <w:pPr>
              <w:pStyle w:val="Normal1linespace"/>
              <w:widowControl w:val="0"/>
              <w:jc w:val="left"/>
            </w:pPr>
          </w:p>
        </w:tc>
        <w:tc>
          <w:tcPr>
            <w:tcW w:w="5990" w:type="dxa"/>
            <w:shd w:val="clear" w:color="auto" w:fill="auto"/>
          </w:tcPr>
          <w:p w14:paraId="0744D2A4" w14:textId="77777777" w:rsidR="00D94302" w:rsidRDefault="00D94302" w:rsidP="00D94302">
            <w:pPr>
              <w:pStyle w:val="Normal1linespace"/>
              <w:widowControl w:val="0"/>
              <w:jc w:val="left"/>
            </w:pPr>
          </w:p>
        </w:tc>
      </w:tr>
      <w:tr w:rsidR="00D94302" w14:paraId="6108364A" w14:textId="77777777" w:rsidTr="00D94302">
        <w:tc>
          <w:tcPr>
            <w:tcW w:w="3082" w:type="dxa"/>
            <w:shd w:val="clear" w:color="auto" w:fill="auto"/>
          </w:tcPr>
          <w:p w14:paraId="2FDAF2EB" w14:textId="77777777" w:rsidR="00D94302" w:rsidRDefault="00D94302" w:rsidP="00D94302">
            <w:pPr>
              <w:pStyle w:val="Normal1linespace"/>
              <w:widowControl w:val="0"/>
              <w:jc w:val="left"/>
            </w:pPr>
            <w:r>
              <w:t>Counsel for the Fourth, Fifth and Sixth Cross-Respondents to the Third and Fifth Cross-Claims</w:t>
            </w:r>
          </w:p>
        </w:tc>
        <w:tc>
          <w:tcPr>
            <w:tcW w:w="5990" w:type="dxa"/>
            <w:shd w:val="clear" w:color="auto" w:fill="auto"/>
          </w:tcPr>
          <w:p w14:paraId="7DA5E9D3" w14:textId="77777777" w:rsidR="00D94302" w:rsidRDefault="00D94302" w:rsidP="00D94302">
            <w:pPr>
              <w:pStyle w:val="Normal1linespace"/>
              <w:widowControl w:val="0"/>
              <w:jc w:val="left"/>
            </w:pPr>
            <w:r>
              <w:t>Mr D. Blazer</w:t>
            </w:r>
          </w:p>
        </w:tc>
      </w:tr>
      <w:tr w:rsidR="00D94302" w14:paraId="6972C5F5" w14:textId="77777777" w:rsidTr="00D94302">
        <w:tc>
          <w:tcPr>
            <w:tcW w:w="3082" w:type="dxa"/>
            <w:shd w:val="clear" w:color="auto" w:fill="auto"/>
          </w:tcPr>
          <w:p w14:paraId="1317B1CB" w14:textId="77777777" w:rsidR="00D94302" w:rsidRDefault="00D94302" w:rsidP="00D94302">
            <w:pPr>
              <w:pStyle w:val="Normal1linespace"/>
              <w:widowControl w:val="0"/>
              <w:jc w:val="left"/>
            </w:pPr>
          </w:p>
        </w:tc>
        <w:tc>
          <w:tcPr>
            <w:tcW w:w="5990" w:type="dxa"/>
            <w:shd w:val="clear" w:color="auto" w:fill="auto"/>
          </w:tcPr>
          <w:p w14:paraId="0F0C645C" w14:textId="77777777" w:rsidR="00D94302" w:rsidRDefault="00D94302" w:rsidP="00D94302">
            <w:pPr>
              <w:pStyle w:val="Normal1linespace"/>
              <w:widowControl w:val="0"/>
              <w:jc w:val="left"/>
            </w:pPr>
          </w:p>
        </w:tc>
      </w:tr>
      <w:tr w:rsidR="00D94302" w14:paraId="41257078" w14:textId="77777777" w:rsidTr="00D94302">
        <w:tc>
          <w:tcPr>
            <w:tcW w:w="3082" w:type="dxa"/>
            <w:shd w:val="clear" w:color="auto" w:fill="auto"/>
          </w:tcPr>
          <w:p w14:paraId="73212C1B" w14:textId="77777777" w:rsidR="00D94302" w:rsidRDefault="00D94302" w:rsidP="00D94302">
            <w:pPr>
              <w:pStyle w:val="Normal1linespace"/>
              <w:widowControl w:val="0"/>
              <w:jc w:val="left"/>
            </w:pPr>
            <w:r>
              <w:t>Solicitor for the Fourth, Fifth and Sixth Cross-Respondents to the Third and Fifth Cross-Claims</w:t>
            </w:r>
          </w:p>
        </w:tc>
        <w:tc>
          <w:tcPr>
            <w:tcW w:w="5990" w:type="dxa"/>
            <w:shd w:val="clear" w:color="auto" w:fill="auto"/>
          </w:tcPr>
          <w:p w14:paraId="5AA5FB6C" w14:textId="77777777" w:rsidR="00EA2307" w:rsidRDefault="00EA2307" w:rsidP="00D94302">
            <w:pPr>
              <w:pStyle w:val="Normal1linespace"/>
              <w:widowControl w:val="0"/>
              <w:jc w:val="left"/>
            </w:pPr>
            <w:r>
              <w:t>Allen &amp; Overy</w:t>
            </w:r>
          </w:p>
          <w:p w14:paraId="2CAB4291" w14:textId="77777777" w:rsidR="00D94302" w:rsidRPr="00EA2307" w:rsidRDefault="00D94302" w:rsidP="00533703"/>
        </w:tc>
      </w:tr>
      <w:bookmarkEnd w:id="11"/>
      <w:bookmarkEnd w:id="12"/>
    </w:tbl>
    <w:p w14:paraId="62B9085B" w14:textId="77777777" w:rsidR="007470BD" w:rsidRDefault="007470BD">
      <w:pPr>
        <w:pStyle w:val="Normal1linespace"/>
      </w:pPr>
    </w:p>
    <w:p w14:paraId="6F8282DE" w14:textId="77777777" w:rsidR="00E94CBF" w:rsidRDefault="00E94CBF">
      <w:pPr>
        <w:pStyle w:val="Normal1linespace"/>
      </w:pPr>
    </w:p>
    <w:p w14:paraId="7CE3697E" w14:textId="77777777" w:rsidR="00395B24" w:rsidRDefault="00395B24">
      <w:pPr>
        <w:pStyle w:val="Normal1linespace"/>
        <w:sectPr w:rsidR="00395B24" w:rsidSect="001F2473">
          <w:headerReference w:type="even" r:id="rId8"/>
          <w:headerReference w:type="default" r:id="rId9"/>
          <w:footerReference w:type="even" r:id="rId10"/>
          <w:footerReference w:type="default" r:id="rId11"/>
          <w:headerReference w:type="first" r:id="rId12"/>
          <w:footerReference w:type="first" r:id="rId13"/>
          <w:endnotePr>
            <w:numFmt w:val="decimal"/>
          </w:endnotePr>
          <w:type w:val="continuous"/>
          <w:pgSz w:w="11907" w:h="16840" w:code="9"/>
          <w:pgMar w:top="1440" w:right="1440" w:bottom="1440" w:left="1440" w:header="851" w:footer="768" w:gutter="0"/>
          <w:pgNumType w:start="1"/>
          <w:cols w:space="720"/>
          <w:noEndnote/>
          <w:titlePg/>
        </w:sectPr>
      </w:pPr>
    </w:p>
    <w:p w14:paraId="3B5307E0" w14:textId="77777777" w:rsidR="008C7167" w:rsidRPr="00045BB7" w:rsidRDefault="0011419D" w:rsidP="00045BB7">
      <w:pPr>
        <w:pStyle w:val="NormalHeadings"/>
        <w:spacing w:line="480" w:lineRule="auto"/>
        <w:jc w:val="center"/>
        <w:rPr>
          <w:sz w:val="28"/>
          <w:szCs w:val="28"/>
        </w:rPr>
      </w:pPr>
      <w:r w:rsidRPr="00045BB7">
        <w:rPr>
          <w:sz w:val="28"/>
          <w:szCs w:val="28"/>
        </w:rPr>
        <w:lastRenderedPageBreak/>
        <w:t>ORDERS</w:t>
      </w:r>
    </w:p>
    <w:tbl>
      <w:tblPr>
        <w:tblW w:w="0" w:type="auto"/>
        <w:tblLayout w:type="fixed"/>
        <w:tblLook w:val="0000" w:firstRow="0" w:lastRow="0" w:firstColumn="0" w:lastColumn="0" w:noHBand="0" w:noVBand="0"/>
        <w:tblCaption w:val="Parties"/>
        <w:tblDescription w:val="Parties"/>
      </w:tblPr>
      <w:tblGrid>
        <w:gridCol w:w="2376"/>
        <w:gridCol w:w="4536"/>
        <w:gridCol w:w="2330"/>
      </w:tblGrid>
      <w:tr w:rsidR="00A46CCC" w14:paraId="6A27DAF4" w14:textId="77777777" w:rsidTr="00E81DA6">
        <w:tc>
          <w:tcPr>
            <w:tcW w:w="6912" w:type="dxa"/>
            <w:gridSpan w:val="2"/>
          </w:tcPr>
          <w:p w14:paraId="7B61F503" w14:textId="77777777" w:rsidR="00A46CCC" w:rsidRPr="001765E0" w:rsidRDefault="00A46CCC" w:rsidP="00525A49">
            <w:pPr>
              <w:pStyle w:val="NormalHeadings"/>
            </w:pPr>
          </w:p>
        </w:tc>
        <w:tc>
          <w:tcPr>
            <w:tcW w:w="2330" w:type="dxa"/>
          </w:tcPr>
          <w:p w14:paraId="78016FB8" w14:textId="77777777" w:rsidR="00A46CCC" w:rsidRDefault="00EB5E77" w:rsidP="00F92355">
            <w:pPr>
              <w:pStyle w:val="NormalHeadings"/>
              <w:jc w:val="right"/>
            </w:pPr>
            <w:bookmarkStart w:id="14" w:name="FileNo"/>
            <w:r>
              <w:t>VID 434 of 2015</w:t>
            </w:r>
            <w:bookmarkEnd w:id="14"/>
          </w:p>
        </w:tc>
      </w:tr>
      <w:tr w:rsidR="00A76C13" w14:paraId="4240B059" w14:textId="77777777" w:rsidTr="00184C77">
        <w:tc>
          <w:tcPr>
            <w:tcW w:w="9242" w:type="dxa"/>
            <w:gridSpan w:val="3"/>
          </w:tcPr>
          <w:p w14:paraId="1607BF40" w14:textId="77777777" w:rsidR="00A76C13" w:rsidRPr="00A76C13" w:rsidRDefault="00EB5E77" w:rsidP="00EB5E77">
            <w:pPr>
              <w:pStyle w:val="NormalHeadings"/>
              <w:jc w:val="left"/>
            </w:pPr>
            <w:bookmarkStart w:id="15" w:name="InTheMatterOf"/>
            <w:r>
              <w:t xml:space="preserve"> </w:t>
            </w:r>
            <w:bookmarkEnd w:id="15"/>
          </w:p>
        </w:tc>
      </w:tr>
      <w:tr w:rsidR="00A46CCC" w14:paraId="673B67CB" w14:textId="77777777" w:rsidTr="00184C77">
        <w:trPr>
          <w:trHeight w:val="386"/>
        </w:trPr>
        <w:tc>
          <w:tcPr>
            <w:tcW w:w="2376" w:type="dxa"/>
          </w:tcPr>
          <w:p w14:paraId="46BA25B7" w14:textId="77777777" w:rsidR="00A46CCC" w:rsidRDefault="00A46CCC" w:rsidP="00184C77">
            <w:pPr>
              <w:pStyle w:val="NormalHeadings"/>
              <w:jc w:val="left"/>
              <w:rPr>
                <w:caps/>
                <w:szCs w:val="24"/>
              </w:rPr>
            </w:pPr>
            <w:bookmarkStart w:id="16" w:name="Parties"/>
            <w:r>
              <w:rPr>
                <w:caps/>
                <w:szCs w:val="24"/>
              </w:rPr>
              <w:t>BETWEEN:</w:t>
            </w:r>
          </w:p>
        </w:tc>
        <w:tc>
          <w:tcPr>
            <w:tcW w:w="6866" w:type="dxa"/>
            <w:gridSpan w:val="2"/>
          </w:tcPr>
          <w:p w14:paraId="6E45C015" w14:textId="77777777" w:rsidR="00EB5E77" w:rsidRDefault="00EB5E77" w:rsidP="00EB5E77">
            <w:pPr>
              <w:pStyle w:val="NormalHeadings"/>
              <w:jc w:val="left"/>
            </w:pPr>
            <w:bookmarkStart w:id="17" w:name="Applicant"/>
            <w:r>
              <w:t>CHERYL WHITTENBURY</w:t>
            </w:r>
          </w:p>
          <w:p w14:paraId="04E6E755" w14:textId="77777777" w:rsidR="00EB5E77" w:rsidRDefault="00EB5E77" w:rsidP="00EB5E77">
            <w:pPr>
              <w:pStyle w:val="PartyType"/>
            </w:pPr>
            <w:r>
              <w:t>Applicant</w:t>
            </w:r>
          </w:p>
          <w:bookmarkEnd w:id="17"/>
          <w:p w14:paraId="29456B8A" w14:textId="77777777" w:rsidR="00A46CCC" w:rsidRPr="006555B4" w:rsidRDefault="00A46CCC" w:rsidP="00184C77">
            <w:pPr>
              <w:pStyle w:val="NormalHeadings"/>
              <w:jc w:val="left"/>
            </w:pPr>
          </w:p>
        </w:tc>
      </w:tr>
      <w:tr w:rsidR="00A46CCC" w14:paraId="60193F02" w14:textId="77777777" w:rsidTr="00184C77">
        <w:trPr>
          <w:trHeight w:val="386"/>
        </w:trPr>
        <w:tc>
          <w:tcPr>
            <w:tcW w:w="2376" w:type="dxa"/>
          </w:tcPr>
          <w:p w14:paraId="6D09CEB4" w14:textId="77777777" w:rsidR="00A46CCC" w:rsidRDefault="00A46CCC" w:rsidP="00184C77">
            <w:pPr>
              <w:pStyle w:val="NormalHeadings"/>
              <w:jc w:val="left"/>
              <w:rPr>
                <w:caps/>
                <w:szCs w:val="24"/>
              </w:rPr>
            </w:pPr>
            <w:r>
              <w:rPr>
                <w:caps/>
                <w:szCs w:val="24"/>
              </w:rPr>
              <w:t>AND:</w:t>
            </w:r>
          </w:p>
        </w:tc>
        <w:tc>
          <w:tcPr>
            <w:tcW w:w="6866" w:type="dxa"/>
            <w:gridSpan w:val="2"/>
          </w:tcPr>
          <w:p w14:paraId="2C4BC82D" w14:textId="77777777" w:rsidR="00EB5E77" w:rsidRDefault="00EB5E77" w:rsidP="00EB5E77">
            <w:pPr>
              <w:pStyle w:val="NormalHeadings"/>
              <w:jc w:val="left"/>
            </w:pPr>
            <w:bookmarkStart w:id="18" w:name="Respondent"/>
            <w:r>
              <w:t>VOCATION LIMITED (IN LIQUIDATION)</w:t>
            </w:r>
          </w:p>
          <w:p w14:paraId="724B38B1" w14:textId="77777777" w:rsidR="00EB5E77" w:rsidRDefault="00EB5E77" w:rsidP="00EB5E77">
            <w:pPr>
              <w:pStyle w:val="PartyType"/>
            </w:pPr>
            <w:r>
              <w:t>First Respondent</w:t>
            </w:r>
          </w:p>
          <w:p w14:paraId="4ACAD00B" w14:textId="77777777" w:rsidR="00EB5E77" w:rsidRDefault="00EB5E77" w:rsidP="00184C77">
            <w:pPr>
              <w:pStyle w:val="NormalHeadings"/>
              <w:jc w:val="left"/>
              <w:rPr>
                <w:szCs w:val="24"/>
              </w:rPr>
            </w:pPr>
          </w:p>
          <w:p w14:paraId="619C05A5" w14:textId="77777777" w:rsidR="00EB5E77" w:rsidRDefault="00EB5E77" w:rsidP="00EB5E77">
            <w:pPr>
              <w:pStyle w:val="NormalHeadings"/>
              <w:jc w:val="left"/>
            </w:pPr>
            <w:r>
              <w:t>PRICEWATERHOSE COOPERS (A FIRM) (ABN 52 780 433 757)</w:t>
            </w:r>
          </w:p>
          <w:p w14:paraId="39916801" w14:textId="77777777" w:rsidR="00EB5E77" w:rsidRDefault="00EB5E77" w:rsidP="00EB5E77">
            <w:pPr>
              <w:pStyle w:val="PartyType"/>
            </w:pPr>
            <w:r>
              <w:t>Second Respondent</w:t>
            </w:r>
          </w:p>
          <w:p w14:paraId="1A4FB8C5" w14:textId="77777777" w:rsidR="00EB5E77" w:rsidRDefault="00EB5E77" w:rsidP="00184C77">
            <w:pPr>
              <w:pStyle w:val="NormalHeadings"/>
              <w:jc w:val="left"/>
              <w:rPr>
                <w:szCs w:val="24"/>
              </w:rPr>
            </w:pPr>
          </w:p>
          <w:p w14:paraId="7F701F33" w14:textId="77777777" w:rsidR="00EB5E77" w:rsidRDefault="00EB5E77" w:rsidP="00EB5E77">
            <w:pPr>
              <w:pStyle w:val="NormalHeadings"/>
              <w:jc w:val="left"/>
            </w:pPr>
            <w:r>
              <w:t xml:space="preserve">MARK EDWARD HUTCHINSON </w:t>
            </w:r>
            <w:r w:rsidRPr="00EB5E77">
              <w:rPr>
                <w:b w:val="0"/>
              </w:rPr>
              <w:t>(and others named in the Schedule)</w:t>
            </w:r>
          </w:p>
          <w:p w14:paraId="0B69EC3B" w14:textId="77777777" w:rsidR="00EB5E77" w:rsidRDefault="00EB5E77" w:rsidP="00EB5E77">
            <w:pPr>
              <w:pStyle w:val="PartyType"/>
            </w:pPr>
            <w:r>
              <w:t>Third Respondent</w:t>
            </w:r>
          </w:p>
          <w:bookmarkEnd w:id="18"/>
          <w:p w14:paraId="79983AEB" w14:textId="77777777" w:rsidR="00A46CCC" w:rsidRPr="006555B4" w:rsidRDefault="00A46CCC" w:rsidP="00184C77">
            <w:pPr>
              <w:pStyle w:val="NormalHeadings"/>
              <w:jc w:val="left"/>
            </w:pPr>
          </w:p>
        </w:tc>
      </w:tr>
    </w:tbl>
    <w:p w14:paraId="43931076" w14:textId="77777777" w:rsidR="00395B24" w:rsidRDefault="00395B24">
      <w:pPr>
        <w:pStyle w:val="NormalHeadings"/>
      </w:pPr>
      <w:bookmarkStart w:id="19" w:name="CrossClaimPosition"/>
      <w:bookmarkEnd w:id="16"/>
      <w:bookmarkEnd w:id="19"/>
    </w:p>
    <w:tbl>
      <w:tblPr>
        <w:tblW w:w="0" w:type="auto"/>
        <w:tblLayout w:type="fixed"/>
        <w:tblLook w:val="0000" w:firstRow="0" w:lastRow="0" w:firstColumn="0" w:lastColumn="0" w:noHBand="0" w:noVBand="0"/>
        <w:tblCaption w:val="Judge"/>
        <w:tblDescription w:val="Judge"/>
      </w:tblPr>
      <w:tblGrid>
        <w:gridCol w:w="2376"/>
        <w:gridCol w:w="6866"/>
      </w:tblGrid>
      <w:tr w:rsidR="00395B24" w14:paraId="65758629" w14:textId="77777777">
        <w:tc>
          <w:tcPr>
            <w:tcW w:w="2376" w:type="dxa"/>
          </w:tcPr>
          <w:p w14:paraId="7BEB4572" w14:textId="77777777" w:rsidR="00395B24" w:rsidRDefault="00974709">
            <w:pPr>
              <w:pStyle w:val="NormalHeadings"/>
              <w:spacing w:after="120"/>
              <w:jc w:val="left"/>
              <w:rPr>
                <w:caps/>
                <w:szCs w:val="24"/>
              </w:rPr>
            </w:pPr>
            <w:bookmarkStart w:id="20" w:name="JudgeText"/>
            <w:r>
              <w:rPr>
                <w:caps/>
                <w:szCs w:val="24"/>
              </w:rPr>
              <w:t>order made by</w:t>
            </w:r>
            <w:bookmarkEnd w:id="20"/>
            <w:r w:rsidR="002C7385">
              <w:rPr>
                <w:caps/>
                <w:szCs w:val="24"/>
              </w:rPr>
              <w:t>:</w:t>
            </w:r>
          </w:p>
        </w:tc>
        <w:tc>
          <w:tcPr>
            <w:tcW w:w="6866" w:type="dxa"/>
          </w:tcPr>
          <w:p w14:paraId="0BD42AAA" w14:textId="77777777" w:rsidR="00395B24" w:rsidRDefault="00EB5E77">
            <w:pPr>
              <w:pStyle w:val="NormalHeadings"/>
              <w:jc w:val="left"/>
              <w:rPr>
                <w:caps/>
                <w:szCs w:val="24"/>
              </w:rPr>
            </w:pPr>
            <w:bookmarkStart w:id="21" w:name="Judge"/>
            <w:r>
              <w:rPr>
                <w:caps/>
                <w:szCs w:val="24"/>
              </w:rPr>
              <w:t>ANASTASSIOU J</w:t>
            </w:r>
            <w:bookmarkEnd w:id="21"/>
          </w:p>
        </w:tc>
      </w:tr>
      <w:tr w:rsidR="00395B24" w14:paraId="000B25D3" w14:textId="77777777">
        <w:tc>
          <w:tcPr>
            <w:tcW w:w="2376" w:type="dxa"/>
          </w:tcPr>
          <w:p w14:paraId="68A8BAE5" w14:textId="77777777" w:rsidR="00395B24" w:rsidRDefault="002C7385">
            <w:pPr>
              <w:pStyle w:val="NormalHeadings"/>
              <w:spacing w:after="120"/>
              <w:jc w:val="left"/>
              <w:rPr>
                <w:caps/>
                <w:szCs w:val="24"/>
              </w:rPr>
            </w:pPr>
            <w:r>
              <w:rPr>
                <w:caps/>
                <w:szCs w:val="24"/>
              </w:rPr>
              <w:t>DATE OF ORDER:</w:t>
            </w:r>
          </w:p>
        </w:tc>
        <w:tc>
          <w:tcPr>
            <w:tcW w:w="6866" w:type="dxa"/>
          </w:tcPr>
          <w:p w14:paraId="2C16C187" w14:textId="0B018EAE" w:rsidR="00395B24" w:rsidRDefault="006421E0">
            <w:pPr>
              <w:pStyle w:val="NormalHeadings"/>
              <w:jc w:val="left"/>
              <w:rPr>
                <w:caps/>
                <w:szCs w:val="24"/>
              </w:rPr>
            </w:pPr>
            <w:bookmarkStart w:id="22" w:name="Judgment_Dated"/>
            <w:r>
              <w:rPr>
                <w:caps/>
                <w:szCs w:val="24"/>
              </w:rPr>
              <w:t>23 July 2021</w:t>
            </w:r>
            <w:bookmarkEnd w:id="22"/>
          </w:p>
        </w:tc>
      </w:tr>
    </w:tbl>
    <w:p w14:paraId="46B6B198" w14:textId="77777777" w:rsidR="00395B24" w:rsidRDefault="00395B24">
      <w:pPr>
        <w:pStyle w:val="NormalHeadings"/>
        <w:rPr>
          <w:b w:val="0"/>
        </w:rPr>
      </w:pPr>
    </w:p>
    <w:p w14:paraId="69C7F8EC" w14:textId="77777777" w:rsidR="008D1617" w:rsidRDefault="008D1617">
      <w:pPr>
        <w:pStyle w:val="NormalHeadings"/>
        <w:rPr>
          <w:b w:val="0"/>
        </w:rPr>
      </w:pPr>
    </w:p>
    <w:p w14:paraId="37A56202" w14:textId="77777777" w:rsidR="00395B24" w:rsidRDefault="002C7385">
      <w:pPr>
        <w:pStyle w:val="NormalHeadings"/>
      </w:pPr>
      <w:r>
        <w:t>THE COURT ORDERS THAT:</w:t>
      </w:r>
    </w:p>
    <w:p w14:paraId="5EADAC42" w14:textId="77777777" w:rsidR="007F60DF" w:rsidRDefault="007F60DF" w:rsidP="00243E5E">
      <w:pPr>
        <w:pStyle w:val="NormalHeadings"/>
      </w:pPr>
    </w:p>
    <w:p w14:paraId="47B64F65" w14:textId="206092C5" w:rsidR="00D159D2" w:rsidRDefault="00DE24F7" w:rsidP="00533703">
      <w:pPr>
        <w:pStyle w:val="Order1"/>
      </w:pPr>
      <w:r>
        <w:t xml:space="preserve">Pursuant to s 33V of the </w:t>
      </w:r>
      <w:r w:rsidRPr="00533703">
        <w:rPr>
          <w:i/>
        </w:rPr>
        <w:t>Federal Court of Australia Act</w:t>
      </w:r>
      <w:r>
        <w:t xml:space="preserve"> 1976 (Cth) (the </w:t>
      </w:r>
      <w:r w:rsidRPr="00533703">
        <w:rPr>
          <w:b/>
        </w:rPr>
        <w:t>Act</w:t>
      </w:r>
      <w:r>
        <w:t>), settlement of the proceeding is approved upon the terms set out in:</w:t>
      </w:r>
    </w:p>
    <w:p w14:paraId="3810B35A" w14:textId="77777777" w:rsidR="00D159D2" w:rsidRDefault="00D159D2" w:rsidP="00533703">
      <w:pPr>
        <w:pStyle w:val="Order1"/>
        <w:numPr>
          <w:ilvl w:val="0"/>
          <w:numId w:val="0"/>
        </w:numPr>
        <w:spacing w:line="240" w:lineRule="auto"/>
      </w:pPr>
    </w:p>
    <w:p w14:paraId="73BD5F7B" w14:textId="77777777" w:rsidR="00DE24F7" w:rsidRDefault="00DE24F7" w:rsidP="00533703">
      <w:pPr>
        <w:pStyle w:val="Order2"/>
      </w:pPr>
      <w:r>
        <w:t xml:space="preserve">the Settlement Agreement dated 30 November 2020 executed by the Applicant, the Respondents and, the Cross Respondents (together, </w:t>
      </w:r>
      <w:r w:rsidRPr="00533703">
        <w:rPr>
          <w:b/>
        </w:rPr>
        <w:t>Respondents</w:t>
      </w:r>
      <w:r>
        <w:t xml:space="preserve">), Slater and Gordon, Maurice Blackburn, Omni </w:t>
      </w:r>
      <w:proofErr w:type="spellStart"/>
      <w:r>
        <w:t>Bridgeway</w:t>
      </w:r>
      <w:proofErr w:type="spellEnd"/>
      <w:r>
        <w:t xml:space="preserve"> Limited and International Litigation Funding Partners Pte Ltd; and</w:t>
      </w:r>
    </w:p>
    <w:p w14:paraId="4304DF14" w14:textId="77777777" w:rsidR="00D159D2" w:rsidRDefault="00D159D2" w:rsidP="00533703">
      <w:pPr>
        <w:pStyle w:val="Order1"/>
        <w:numPr>
          <w:ilvl w:val="0"/>
          <w:numId w:val="0"/>
        </w:numPr>
        <w:spacing w:line="240" w:lineRule="auto"/>
        <w:ind w:left="1440"/>
      </w:pPr>
    </w:p>
    <w:p w14:paraId="2CEEE399" w14:textId="77777777" w:rsidR="001A6C52" w:rsidRDefault="00DE24F7" w:rsidP="00533703">
      <w:pPr>
        <w:pStyle w:val="Order2"/>
      </w:pPr>
      <w:r>
        <w:t>the Settlement Distribution Scheme (and any annexures therein) as annexed to the affidavit of Andrew Paull dated 11 March 2021.</w:t>
      </w:r>
    </w:p>
    <w:p w14:paraId="1356FF9F" w14:textId="77777777" w:rsidR="001D0B26" w:rsidRDefault="001D0B26" w:rsidP="008A2D1B">
      <w:pPr>
        <w:pStyle w:val="BodyText"/>
        <w:spacing w:line="240" w:lineRule="auto"/>
        <w:ind w:firstLine="720"/>
      </w:pPr>
    </w:p>
    <w:p w14:paraId="639E3C8C" w14:textId="58AA2B96" w:rsidR="00DE24F7" w:rsidRDefault="00DE24F7" w:rsidP="008A2D1B">
      <w:pPr>
        <w:pStyle w:val="BodyText"/>
        <w:spacing w:line="240" w:lineRule="auto"/>
        <w:ind w:firstLine="720"/>
      </w:pPr>
      <w:r w:rsidRPr="00DE24F7">
        <w:t xml:space="preserve">(together, </w:t>
      </w:r>
      <w:r w:rsidRPr="00DE24F7">
        <w:rPr>
          <w:b/>
        </w:rPr>
        <w:t>Settlement Documents</w:t>
      </w:r>
      <w:r w:rsidRPr="00DE24F7">
        <w:t>)</w:t>
      </w:r>
      <w:r>
        <w:t>.</w:t>
      </w:r>
    </w:p>
    <w:p w14:paraId="4885AA24" w14:textId="77777777" w:rsidR="00DE24F7" w:rsidRDefault="00DE24F7" w:rsidP="008A2D1B">
      <w:pPr>
        <w:pStyle w:val="BodyText"/>
        <w:spacing w:line="240" w:lineRule="auto"/>
        <w:ind w:firstLine="720"/>
      </w:pPr>
    </w:p>
    <w:p w14:paraId="4ADCF467" w14:textId="33EB4537" w:rsidR="00DE24F7" w:rsidRDefault="00DE24F7" w:rsidP="00533703">
      <w:pPr>
        <w:pStyle w:val="Order1"/>
      </w:pPr>
      <w:r w:rsidRPr="00DE24F7">
        <w:t>Pursuant to s</w:t>
      </w:r>
      <w:r w:rsidR="001D0B26">
        <w:t xml:space="preserve"> </w:t>
      </w:r>
      <w:r w:rsidRPr="00DE24F7">
        <w:t>33ZF of the Act or otherwise, the Court authorises the Applicant nunc pro tunc for and on behalf of the Group Members (being those persons who meet the definition of “Group Member” in the Second Further Amended Consolidated Statement of Claim and who did not file an opt out notice) (</w:t>
      </w:r>
      <w:r w:rsidRPr="00533703">
        <w:rPr>
          <w:b/>
        </w:rPr>
        <w:t>Bound Group Members</w:t>
      </w:r>
      <w:r w:rsidRPr="00DE24F7">
        <w:t xml:space="preserve">) to enter </w:t>
      </w:r>
      <w:r w:rsidRPr="00DE24F7">
        <w:lastRenderedPageBreak/>
        <w:t>into and give effect to the Settlement Documents and the transactions contemplated for and on behalf of Group Members.</w:t>
      </w:r>
    </w:p>
    <w:p w14:paraId="1998FEA5" w14:textId="77777777" w:rsidR="00DE24F7" w:rsidRDefault="00DE24F7" w:rsidP="008A2D1B">
      <w:pPr>
        <w:pStyle w:val="BodyText"/>
        <w:spacing w:line="240" w:lineRule="auto"/>
        <w:ind w:left="720"/>
      </w:pPr>
    </w:p>
    <w:p w14:paraId="1D6DB0A6" w14:textId="63CB2AEA" w:rsidR="00DE24F7" w:rsidRDefault="00DE24F7" w:rsidP="00533703">
      <w:pPr>
        <w:pStyle w:val="Order1"/>
      </w:pPr>
      <w:r w:rsidRPr="00DE24F7">
        <w:t>Pursuant to s 33ZB of the Act, the persons affected and bound by the settlement of the</w:t>
      </w:r>
      <w:r>
        <w:t xml:space="preserve"> </w:t>
      </w:r>
      <w:r w:rsidRPr="00DE24F7">
        <w:t xml:space="preserve">proceedings be the Applicant, the Respondents, the Bound Group Members, Omni </w:t>
      </w:r>
      <w:proofErr w:type="spellStart"/>
      <w:r w:rsidRPr="00DE24F7">
        <w:t>Bridgeway</w:t>
      </w:r>
      <w:proofErr w:type="spellEnd"/>
      <w:r w:rsidRPr="00DE24F7">
        <w:t xml:space="preserve"> Limited and International Litigation Funding Partners Pte Ltd.</w:t>
      </w:r>
    </w:p>
    <w:p w14:paraId="141E8655" w14:textId="77777777" w:rsidR="0055712E" w:rsidRDefault="0055712E" w:rsidP="008A2D1B">
      <w:pPr>
        <w:pStyle w:val="BodyText"/>
        <w:spacing w:line="240" w:lineRule="auto"/>
      </w:pPr>
    </w:p>
    <w:p w14:paraId="72141CEE" w14:textId="77777777" w:rsidR="0055712E" w:rsidRDefault="00DE24F7" w:rsidP="008A2D1B">
      <w:pPr>
        <w:pStyle w:val="BodyText"/>
        <w:spacing w:line="240" w:lineRule="auto"/>
        <w:rPr>
          <w:b/>
          <w:i/>
        </w:rPr>
      </w:pPr>
      <w:r w:rsidRPr="00DE24F7">
        <w:rPr>
          <w:b/>
          <w:i/>
        </w:rPr>
        <w:t>Applicant’s Costs and Expenses</w:t>
      </w:r>
    </w:p>
    <w:p w14:paraId="08A6BD31" w14:textId="77777777" w:rsidR="008A2D1B" w:rsidRPr="0055712E" w:rsidRDefault="008A2D1B" w:rsidP="008A2D1B">
      <w:pPr>
        <w:pStyle w:val="BodyText"/>
        <w:spacing w:line="240" w:lineRule="auto"/>
        <w:rPr>
          <w:b/>
          <w:i/>
        </w:rPr>
      </w:pPr>
    </w:p>
    <w:p w14:paraId="52A2D765" w14:textId="043A4E58" w:rsidR="0055712E" w:rsidRDefault="0055712E" w:rsidP="00533703">
      <w:pPr>
        <w:pStyle w:val="Order1"/>
      </w:pPr>
      <w:r w:rsidRPr="0055712E">
        <w:t xml:space="preserve">Pursuant to s 54A(3) of the Act and r 28.67(1) of the </w:t>
      </w:r>
      <w:r w:rsidRPr="00533703">
        <w:rPr>
          <w:i/>
        </w:rPr>
        <w:t>Federal Court Rules 2011</w:t>
      </w:r>
      <w:r w:rsidRPr="0055712E">
        <w:t xml:space="preserve"> (Cth), the report of Catherine Dealehr (appointed as referee pursuant to Order 11 made by the Court on 17 December 2020) (</w:t>
      </w:r>
      <w:r w:rsidRPr="0031096F">
        <w:rPr>
          <w:b/>
        </w:rPr>
        <w:t>Costs Referee</w:t>
      </w:r>
      <w:r w:rsidRPr="0055712E">
        <w:t>) be adopted.</w:t>
      </w:r>
    </w:p>
    <w:p w14:paraId="4C2E2205" w14:textId="4BDC38B2" w:rsidR="0055712E" w:rsidRDefault="0055712E" w:rsidP="00533703">
      <w:pPr>
        <w:pStyle w:val="Order1"/>
      </w:pPr>
      <w:r w:rsidRPr="0055712E">
        <w:t>Pursuant to s 33V of the Act for the purposes of the Settlement Distribution Scheme approved pursuant to Order 1 the following distributions from monies paid under the settlement be approved:</w:t>
      </w:r>
    </w:p>
    <w:p w14:paraId="20DBFBFA" w14:textId="77777777" w:rsidR="00D159D2" w:rsidRDefault="00D159D2" w:rsidP="00533703">
      <w:pPr>
        <w:pStyle w:val="BodyText"/>
        <w:spacing w:line="240" w:lineRule="auto"/>
      </w:pPr>
    </w:p>
    <w:p w14:paraId="6849CDA4" w14:textId="35778B22" w:rsidR="00D159D2" w:rsidRDefault="0055712E" w:rsidP="00533703">
      <w:pPr>
        <w:pStyle w:val="Order2"/>
      </w:pPr>
      <w:r w:rsidRPr="0055712E">
        <w:t xml:space="preserve">$6,505,760.10 for the funding commission payable under group members’ funding agreements with Omni </w:t>
      </w:r>
      <w:proofErr w:type="spellStart"/>
      <w:r w:rsidRPr="0055712E">
        <w:t>Bridgeway</w:t>
      </w:r>
      <w:proofErr w:type="spellEnd"/>
      <w:r w:rsidRPr="0055712E">
        <w:t xml:space="preserve"> Limited (which amount, aggregated with the amount in sub-paragraph (b) below, is the “Aggregate Funding Commission” referred to in clause 4.1(b) of the Settlement Distribution Scheme);</w:t>
      </w:r>
    </w:p>
    <w:p w14:paraId="5BAC34D0" w14:textId="2FB7E953" w:rsidR="00D159D2" w:rsidRDefault="0055712E" w:rsidP="00533703">
      <w:pPr>
        <w:pStyle w:val="Order2"/>
      </w:pPr>
      <w:r w:rsidRPr="0055712E">
        <w:t>$4,413,588.04 for the funding commission payable under group members’ funding agreements with International Litigation Funding Partners Pte Ltd (which amount, aggregated with the amount in sub-paragraph (a) above, is the “Aggregate Funding Commission” referred to in clause 4.1(b) of the Settlement Distribution Scheme);</w:t>
      </w:r>
    </w:p>
    <w:p w14:paraId="6B936489" w14:textId="4C91B039" w:rsidR="00D159D2" w:rsidRDefault="0055712E" w:rsidP="00533703">
      <w:pPr>
        <w:pStyle w:val="Order2"/>
      </w:pPr>
      <w:r>
        <w:t>$5,191,294.07 (being the amount approved as fair and reasonable by the Costs Referee) for the legal costs and disbursements referred to as the “Slater and Gordon Costs” in clause 4.1(g) of the Settlement Distribution Scheme;</w:t>
      </w:r>
    </w:p>
    <w:p w14:paraId="5242C4DC" w14:textId="755B1F3E" w:rsidR="00D159D2" w:rsidRDefault="0055712E" w:rsidP="00533703">
      <w:pPr>
        <w:pStyle w:val="Order2"/>
      </w:pPr>
      <w:r>
        <w:t>7,567,385.66 (being the amount approved as fair and reasonable by the Costs Referee) for the legal costs and disbursements referred to as the “Maurice Blackburn Costs” in clause 4.1(g) of the Settlement Distribution Scheme;</w:t>
      </w:r>
    </w:p>
    <w:p w14:paraId="668718DE" w14:textId="77777777" w:rsidR="0055712E" w:rsidRDefault="0055712E" w:rsidP="00533703">
      <w:pPr>
        <w:pStyle w:val="Order2"/>
      </w:pPr>
      <w:r>
        <w:t xml:space="preserve">$20,000.00 for the Applicant’s reasonable claim for compensation for time spent and/or expenses incurred in the interests of prosecuting the proceeding on </w:t>
      </w:r>
      <w:r>
        <w:lastRenderedPageBreak/>
        <w:t>behalf of Group Members as a whole (referred to as the “Applicant’s Reimbursement Payment” in clause 4.1(g) of the Settlement Distribution Scheme);</w:t>
      </w:r>
    </w:p>
    <w:p w14:paraId="67D1DA88" w14:textId="77777777" w:rsidR="00D159D2" w:rsidRPr="00A43FF9" w:rsidRDefault="00D159D2" w:rsidP="00533703">
      <w:pPr>
        <w:pStyle w:val="BodyText"/>
        <w:spacing w:line="240" w:lineRule="auto"/>
      </w:pPr>
    </w:p>
    <w:p w14:paraId="78B98418" w14:textId="77777777" w:rsidR="0055712E" w:rsidRPr="00533703" w:rsidRDefault="0055712E" w:rsidP="00533703">
      <w:pPr>
        <w:pStyle w:val="Order2"/>
        <w:rPr>
          <w:b/>
        </w:rPr>
      </w:pPr>
      <w:r w:rsidRPr="00A43FF9">
        <w:t>$158,144.50 for the costs and disbursements of the administration of the Settlement Distribution Scheme from the date of the approval of the Settlement to the date of completion of distribution of the Settlement Sum (referred to as the “Administration Costs” in clause 4.1(g) of the Settlement Distribution Scheme).</w:t>
      </w:r>
    </w:p>
    <w:p w14:paraId="000D941E" w14:textId="77777777" w:rsidR="0055712E" w:rsidRPr="0055712E" w:rsidRDefault="0055712E" w:rsidP="008A2D1B">
      <w:pPr>
        <w:pStyle w:val="BodyText"/>
        <w:spacing w:line="240" w:lineRule="auto"/>
        <w:ind w:left="1440"/>
        <w:rPr>
          <w:b/>
          <w:i/>
        </w:rPr>
      </w:pPr>
    </w:p>
    <w:p w14:paraId="23F7FF11" w14:textId="77777777" w:rsidR="0055712E" w:rsidRDefault="0055712E" w:rsidP="008A2D1B">
      <w:pPr>
        <w:pStyle w:val="BodyText"/>
        <w:spacing w:line="240" w:lineRule="auto"/>
        <w:rPr>
          <w:b/>
          <w:i/>
        </w:rPr>
      </w:pPr>
      <w:r w:rsidRPr="0055712E">
        <w:rPr>
          <w:b/>
          <w:i/>
        </w:rPr>
        <w:t>Appointment of Administrators</w:t>
      </w:r>
    </w:p>
    <w:p w14:paraId="7C01038B" w14:textId="77777777" w:rsidR="008A2D1B" w:rsidRDefault="008A2D1B" w:rsidP="008A2D1B">
      <w:pPr>
        <w:pStyle w:val="BodyText"/>
        <w:spacing w:line="240" w:lineRule="auto"/>
        <w:rPr>
          <w:b/>
          <w:i/>
        </w:rPr>
      </w:pPr>
    </w:p>
    <w:p w14:paraId="4DF1E734" w14:textId="1F445BC9" w:rsidR="0055712E" w:rsidRDefault="0055712E" w:rsidP="00533703">
      <w:pPr>
        <w:pStyle w:val="Order1"/>
      </w:pPr>
      <w:r w:rsidRPr="0055712E">
        <w:t>Pursuant to s 33ZF of the Act, Slater &amp; Gordon Ltd and Maurice Blackburn Pty Ltd be appointed jointly as Administrators of the Settlement Distribution Scheme to act in accordance</w:t>
      </w:r>
      <w:r>
        <w:t xml:space="preserve"> </w:t>
      </w:r>
      <w:r w:rsidRPr="0055712E">
        <w:t>with the Settlement Distribution Scheme subject to any direction of the Court, and to have the powers and immunities conferred by the Settlement Distribution Scheme on the Administrators.</w:t>
      </w:r>
    </w:p>
    <w:p w14:paraId="1C81F74D" w14:textId="77777777" w:rsidR="002050A0" w:rsidRDefault="002050A0" w:rsidP="002050A0">
      <w:pPr>
        <w:pStyle w:val="Order1"/>
        <w:numPr>
          <w:ilvl w:val="0"/>
          <w:numId w:val="0"/>
        </w:numPr>
        <w:ind w:left="720"/>
      </w:pPr>
    </w:p>
    <w:p w14:paraId="6A468130" w14:textId="6078CA2B" w:rsidR="002050A0" w:rsidRPr="002050A0" w:rsidRDefault="002050A0" w:rsidP="002050A0">
      <w:pPr>
        <w:pStyle w:val="Order1"/>
        <w:numPr>
          <w:ilvl w:val="0"/>
          <w:numId w:val="0"/>
        </w:numPr>
        <w:rPr>
          <w:b/>
          <w:i/>
        </w:rPr>
      </w:pPr>
      <w:r>
        <w:rPr>
          <w:b/>
          <w:i/>
        </w:rPr>
        <w:t>Late Registrants</w:t>
      </w:r>
    </w:p>
    <w:p w14:paraId="543F8B88" w14:textId="77777777" w:rsidR="0055712E" w:rsidRDefault="0055712E" w:rsidP="008A2D1B">
      <w:pPr>
        <w:pStyle w:val="BodyText"/>
        <w:spacing w:line="240" w:lineRule="auto"/>
        <w:ind w:left="720"/>
      </w:pPr>
    </w:p>
    <w:p w14:paraId="24D8D1DA" w14:textId="77777777" w:rsidR="0055712E" w:rsidRDefault="0055712E" w:rsidP="00533703">
      <w:pPr>
        <w:pStyle w:val="Order1"/>
      </w:pPr>
      <w:r w:rsidRPr="0055712E">
        <w:t>Pursuant to s 33V and/or s 33ZF of the Act, for the purposes of the Settlement Distribution</w:t>
      </w:r>
      <w:r>
        <w:t xml:space="preserve"> </w:t>
      </w:r>
      <w:r w:rsidRPr="0055712E">
        <w:t>Scheme approved pursuant to Order 1, any group member who registered a claim following the Court’s orders made on 17 December 2020 up to and including 4 March 2021 is a “Registered Group Member” within the meaning of sub-paragraph (c) of the definition of that term in cl 11 of the Settlement Distribution Scheme.</w:t>
      </w:r>
    </w:p>
    <w:p w14:paraId="2CF74BD3" w14:textId="77777777" w:rsidR="0055712E" w:rsidRDefault="0055712E" w:rsidP="008A2D1B">
      <w:pPr>
        <w:pStyle w:val="BodyText"/>
        <w:spacing w:line="240" w:lineRule="auto"/>
      </w:pPr>
    </w:p>
    <w:p w14:paraId="262496E6" w14:textId="77777777" w:rsidR="008A2D1B" w:rsidRDefault="0055712E" w:rsidP="008A2D1B">
      <w:pPr>
        <w:pStyle w:val="BodyText"/>
        <w:spacing w:line="240" w:lineRule="auto"/>
        <w:rPr>
          <w:b/>
          <w:i/>
        </w:rPr>
      </w:pPr>
      <w:r>
        <w:rPr>
          <w:b/>
          <w:i/>
        </w:rPr>
        <w:t xml:space="preserve">Other </w:t>
      </w:r>
    </w:p>
    <w:p w14:paraId="64BDC6B3" w14:textId="77777777" w:rsidR="008A2D1B" w:rsidRPr="0055712E" w:rsidRDefault="008A2D1B" w:rsidP="008A2D1B">
      <w:pPr>
        <w:pStyle w:val="BodyText"/>
        <w:spacing w:line="240" w:lineRule="auto"/>
        <w:rPr>
          <w:b/>
          <w:i/>
        </w:rPr>
      </w:pPr>
    </w:p>
    <w:p w14:paraId="5F7CB65D" w14:textId="77777777" w:rsidR="0055712E" w:rsidRDefault="0055712E" w:rsidP="00533703">
      <w:pPr>
        <w:pStyle w:val="Order1"/>
      </w:pPr>
      <w:r>
        <w:t>The proceeding be dismissed (including for the avoidance of doubt all Cross Claims) on the basis that the dismissal is a defence and absolute bar to any claim (either directly or indirectly) or proceeding by the Applicant or any Group Member or any Respondent in relation to the subject matter of the proceeding, without prejudice to and without derogating from:</w:t>
      </w:r>
    </w:p>
    <w:p w14:paraId="4E6CF8DB" w14:textId="77777777" w:rsidR="00D159D2" w:rsidRDefault="00D159D2" w:rsidP="00533703">
      <w:pPr>
        <w:pStyle w:val="BodyText"/>
        <w:spacing w:line="240" w:lineRule="auto"/>
        <w:ind w:left="360"/>
      </w:pPr>
    </w:p>
    <w:p w14:paraId="53FAAC5A" w14:textId="002FFB89" w:rsidR="00D159D2" w:rsidRDefault="0055712E" w:rsidP="00533703">
      <w:pPr>
        <w:pStyle w:val="Order2"/>
      </w:pPr>
      <w:r>
        <w:lastRenderedPageBreak/>
        <w:t>the right of any party to the Settlement Agreement to make an application to enforce the Settlement Agreement in a new proceeding; or</w:t>
      </w:r>
    </w:p>
    <w:p w14:paraId="30F04731" w14:textId="4E1BCF19" w:rsidR="00D159D2" w:rsidRDefault="0055712E" w:rsidP="00533703">
      <w:pPr>
        <w:pStyle w:val="Order2"/>
      </w:pPr>
      <w:r>
        <w:t>the right of any Registered Group Member to make application to the Court in accordance with the terms of the Settlement Distribution Scheme; or</w:t>
      </w:r>
    </w:p>
    <w:p w14:paraId="3B6C4A65" w14:textId="6090FBC8" w:rsidR="00D159D2" w:rsidRDefault="0055712E" w:rsidP="00533703">
      <w:pPr>
        <w:pStyle w:val="Order2"/>
      </w:pPr>
      <w:r>
        <w:t>the right of the Administrator of the Settlement Distribution Scheme to refer any issues relating to the Settlement Distribution Scheme to the Court for direction or determination in accordance with the terms of the Settlement Distribution Scheme; or</w:t>
      </w:r>
    </w:p>
    <w:p w14:paraId="6E0DE58C" w14:textId="5A77DD61" w:rsidR="0055712E" w:rsidRDefault="0055712E" w:rsidP="00533703">
      <w:pPr>
        <w:pStyle w:val="Order2"/>
      </w:pPr>
      <w:r>
        <w:t>the right of any Respondent to bring any cross-claim in respect of their liability in relation to a proceeding brought or a demand made by any person who is not a Bound Group Member against any of the Respondents or their Related Parties in respect of the Proceeding (whether arising at common law, in equity or under statute). “Related Parties” as used herein has the meaning set out in the Settlement Agreement. In relation to the Second Respondent, “Related Parties” has the interpretation set out at cl 2.1(m) of the Settlement Agreement.</w:t>
      </w:r>
    </w:p>
    <w:p w14:paraId="064D22E1" w14:textId="4374AE7A" w:rsidR="0055712E" w:rsidRDefault="0055712E" w:rsidP="00533703">
      <w:pPr>
        <w:pStyle w:val="Order1"/>
      </w:pPr>
      <w:r>
        <w:t>There be no order as to costs as between the Applicant and the Respondents.</w:t>
      </w:r>
    </w:p>
    <w:p w14:paraId="202D4FC9" w14:textId="6E5648CC" w:rsidR="0055712E" w:rsidRDefault="0055712E" w:rsidP="00533703">
      <w:pPr>
        <w:pStyle w:val="Order1"/>
      </w:pPr>
      <w:r>
        <w:t>All costs orders previously made in the proceeding are vacated.</w:t>
      </w:r>
    </w:p>
    <w:p w14:paraId="055A9ADB" w14:textId="77777777" w:rsidR="0055712E" w:rsidRDefault="0055712E" w:rsidP="00533703">
      <w:pPr>
        <w:pStyle w:val="Order1"/>
      </w:pPr>
      <w:r>
        <w:t>All amounts paid into Court by or on behalf of the Applicant as security for the Respondent’s costs of the proceeding, and any interest accrued on those amounts, be repaid.</w:t>
      </w:r>
    </w:p>
    <w:p w14:paraId="7FF365F2" w14:textId="77777777" w:rsidR="0055712E" w:rsidRDefault="0055712E" w:rsidP="008A2D1B">
      <w:pPr>
        <w:pStyle w:val="BodyText"/>
        <w:spacing w:line="240" w:lineRule="auto"/>
      </w:pPr>
    </w:p>
    <w:p w14:paraId="379B036E" w14:textId="77777777" w:rsidR="0055712E" w:rsidRDefault="0055712E" w:rsidP="008A2D1B">
      <w:pPr>
        <w:pStyle w:val="BodyText"/>
        <w:spacing w:line="240" w:lineRule="auto"/>
        <w:rPr>
          <w:b/>
          <w:i/>
        </w:rPr>
      </w:pPr>
      <w:r>
        <w:rPr>
          <w:b/>
          <w:i/>
        </w:rPr>
        <w:t xml:space="preserve">Confidentiality </w:t>
      </w:r>
    </w:p>
    <w:p w14:paraId="50DF5905" w14:textId="77777777" w:rsidR="008A2D1B" w:rsidRPr="0055712E" w:rsidRDefault="008A2D1B" w:rsidP="008A2D1B">
      <w:pPr>
        <w:pStyle w:val="BodyText"/>
        <w:spacing w:line="240" w:lineRule="auto"/>
        <w:rPr>
          <w:b/>
          <w:i/>
        </w:rPr>
      </w:pPr>
    </w:p>
    <w:p w14:paraId="2366E84A" w14:textId="77777777" w:rsidR="0055712E" w:rsidRDefault="0055712E" w:rsidP="00533703">
      <w:pPr>
        <w:pStyle w:val="Order1"/>
      </w:pPr>
      <w:r>
        <w:t xml:space="preserve">Pursuant to </w:t>
      </w:r>
      <w:proofErr w:type="spellStart"/>
      <w:r>
        <w:t>ss</w:t>
      </w:r>
      <w:proofErr w:type="spellEnd"/>
      <w:r>
        <w:t xml:space="preserve"> 37AF and 37AG(1) of the Act in order to prevent prejudice to the proper administration of justice, the following documents be treated as confidential, not be published or made available and not be disclosed to any person or entity except to Anastassiou J, his or her personal staff, any officer of the Court authorised by Anastassiou J, the Applicant, her legal representatives, Omni-</w:t>
      </w:r>
      <w:proofErr w:type="spellStart"/>
      <w:r>
        <w:t>Bridgeway</w:t>
      </w:r>
      <w:proofErr w:type="spellEnd"/>
      <w:r>
        <w:t xml:space="preserve"> Ltd and International Litigation Funding Partners, and such permitted disclosures to be upon terms that none of those parties or persons disclose that material or any part thereof to any person or entity:</w:t>
      </w:r>
    </w:p>
    <w:p w14:paraId="3DEA1FB2" w14:textId="77777777" w:rsidR="008A2D1B" w:rsidRDefault="008A2D1B" w:rsidP="008A2D1B">
      <w:pPr>
        <w:pStyle w:val="BodyText"/>
        <w:spacing w:line="240" w:lineRule="auto"/>
        <w:ind w:left="720"/>
      </w:pPr>
    </w:p>
    <w:p w14:paraId="6DC483A5" w14:textId="7F33A913" w:rsidR="00D159D2" w:rsidRDefault="001D0B26" w:rsidP="00533703">
      <w:pPr>
        <w:pStyle w:val="Order2"/>
      </w:pPr>
      <w:r>
        <w:lastRenderedPageBreak/>
        <w:t>the u</w:t>
      </w:r>
      <w:r w:rsidR="0055712E">
        <w:t>nredacted form of the First Affidavit of Andrew Paull dated 11 March 2021;</w:t>
      </w:r>
    </w:p>
    <w:p w14:paraId="0F260FA4" w14:textId="68A1C4A4" w:rsidR="00D159D2" w:rsidRDefault="0055712E" w:rsidP="00533703">
      <w:pPr>
        <w:pStyle w:val="Order2"/>
      </w:pPr>
      <w:r>
        <w:t>the Second Confidential Affidavit of Andrew Paull dated 11 March 2021;</w:t>
      </w:r>
    </w:p>
    <w:p w14:paraId="31600281" w14:textId="7BEA3E8D" w:rsidR="00D159D2" w:rsidRDefault="001D0B26" w:rsidP="00533703">
      <w:pPr>
        <w:pStyle w:val="Order2"/>
      </w:pPr>
      <w:r>
        <w:t>the u</w:t>
      </w:r>
      <w:r w:rsidR="0055712E">
        <w:t>nredacted form of the Affidavit of Andrew Watson dated 11 March 2021;</w:t>
      </w:r>
    </w:p>
    <w:p w14:paraId="61936709" w14:textId="2208C6BB" w:rsidR="00D159D2" w:rsidRDefault="0055712E" w:rsidP="00533703">
      <w:pPr>
        <w:pStyle w:val="Order2"/>
      </w:pPr>
      <w:r>
        <w:t xml:space="preserve">Confidential Opinion of Richard </w:t>
      </w:r>
      <w:proofErr w:type="spellStart"/>
      <w:r>
        <w:t>Attiwill</w:t>
      </w:r>
      <w:proofErr w:type="spellEnd"/>
      <w:r>
        <w:t xml:space="preserve"> QC and William Edwards dated 11 March 2021; and</w:t>
      </w:r>
    </w:p>
    <w:p w14:paraId="6EE49E08" w14:textId="646EA2C7" w:rsidR="0055712E" w:rsidRDefault="00E37DEA" w:rsidP="00533703">
      <w:pPr>
        <w:pStyle w:val="Order2"/>
      </w:pPr>
      <w:r>
        <w:t>r</w:t>
      </w:r>
      <w:r w:rsidR="0055712E">
        <w:t>eport of Cate Mary Dealehr dated 5 March 2021.</w:t>
      </w:r>
    </w:p>
    <w:p w14:paraId="538F89F9" w14:textId="77777777" w:rsidR="0055712E" w:rsidRDefault="0055712E" w:rsidP="0055712E">
      <w:pPr>
        <w:pStyle w:val="ListParagraph"/>
      </w:pPr>
    </w:p>
    <w:p w14:paraId="44ACF30B" w14:textId="77777777" w:rsidR="0055712E" w:rsidRPr="0055712E" w:rsidRDefault="0055712E" w:rsidP="0055712E">
      <w:pPr>
        <w:pStyle w:val="BodyText"/>
      </w:pPr>
    </w:p>
    <w:p w14:paraId="39F4C1D1" w14:textId="77777777" w:rsidR="0050309C" w:rsidRDefault="00EB5E77" w:rsidP="004D53E5">
      <w:pPr>
        <w:pStyle w:val="SingleSpace"/>
      </w:pPr>
      <w:bookmarkStart w:id="23" w:name="OrdersStatement"/>
      <w:r>
        <w:t>Note:</w:t>
      </w:r>
      <w:r>
        <w:tab/>
        <w:t xml:space="preserve">Entry of orders is dealt with in Rule 39.32 of the </w:t>
      </w:r>
      <w:r>
        <w:rPr>
          <w:i/>
        </w:rPr>
        <w:t>Federal Court Rules 2011</w:t>
      </w:r>
      <w:r>
        <w:t>.</w:t>
      </w:r>
      <w:bookmarkEnd w:id="23"/>
    </w:p>
    <w:p w14:paraId="7DBC3A13" w14:textId="77777777" w:rsidR="0092590B" w:rsidRDefault="0092590B" w:rsidP="002B0E91">
      <w:pPr>
        <w:pStyle w:val="BodyText"/>
      </w:pPr>
    </w:p>
    <w:p w14:paraId="390CF239" w14:textId="77777777" w:rsidR="00395B24" w:rsidRDefault="00395B24">
      <w:pPr>
        <w:pStyle w:val="NormalHeadings"/>
        <w:spacing w:before="240" w:after="120"/>
        <w:rPr>
          <w:b w:val="0"/>
        </w:rPr>
        <w:sectPr w:rsidR="00395B24" w:rsidSect="0092590B">
          <w:headerReference w:type="default" r:id="rId14"/>
          <w:footerReference w:type="default" r:id="rId15"/>
          <w:headerReference w:type="first" r:id="rId16"/>
          <w:footerReference w:type="first" r:id="rId17"/>
          <w:endnotePr>
            <w:numFmt w:val="decimal"/>
          </w:endnotePr>
          <w:pgSz w:w="11907" w:h="16840" w:code="9"/>
          <w:pgMar w:top="1440" w:right="1440" w:bottom="1440" w:left="1440" w:header="851" w:footer="851" w:gutter="0"/>
          <w:pgNumType w:fmt="lowerRoman" w:start="1"/>
          <w:cols w:space="720"/>
          <w:noEndnote/>
          <w:titlePg/>
        </w:sectPr>
      </w:pPr>
    </w:p>
    <w:p w14:paraId="40B55058" w14:textId="77777777" w:rsidR="00484F6D" w:rsidRPr="00045BB7" w:rsidRDefault="00484F6D" w:rsidP="00045BB7">
      <w:pPr>
        <w:pStyle w:val="NormalHeadings"/>
        <w:spacing w:line="480" w:lineRule="auto"/>
        <w:jc w:val="center"/>
        <w:rPr>
          <w:sz w:val="28"/>
          <w:szCs w:val="28"/>
        </w:rPr>
      </w:pPr>
      <w:bookmarkStart w:id="24" w:name="ReasonsPage"/>
      <w:bookmarkEnd w:id="24"/>
      <w:r w:rsidRPr="00045BB7">
        <w:rPr>
          <w:sz w:val="28"/>
          <w:szCs w:val="28"/>
        </w:rPr>
        <w:lastRenderedPageBreak/>
        <w:t>REASONS FOR JUDGMENT</w:t>
      </w:r>
    </w:p>
    <w:p w14:paraId="06D81F6E" w14:textId="77777777" w:rsidR="00694BEB" w:rsidRDefault="00582D4E" w:rsidP="005E0510">
      <w:pPr>
        <w:pStyle w:val="NormalHeadings"/>
        <w:spacing w:line="360" w:lineRule="auto"/>
        <w:jc w:val="left"/>
        <w:rPr>
          <w:sz w:val="26"/>
          <w:szCs w:val="26"/>
        </w:rPr>
      </w:pPr>
      <w:r>
        <w:rPr>
          <w:sz w:val="26"/>
          <w:szCs w:val="26"/>
        </w:rPr>
        <w:t>ANASTASSIOU J</w:t>
      </w:r>
      <w:r w:rsidR="008A2D1B">
        <w:rPr>
          <w:sz w:val="26"/>
          <w:szCs w:val="26"/>
        </w:rPr>
        <w:t>:</w:t>
      </w:r>
    </w:p>
    <w:p w14:paraId="066B924E" w14:textId="59063345" w:rsidR="00257593" w:rsidRDefault="00257593" w:rsidP="0031096F">
      <w:pPr>
        <w:pStyle w:val="Heading1"/>
      </w:pPr>
      <w:r>
        <w:t>Introduction</w:t>
      </w:r>
    </w:p>
    <w:p w14:paraId="2C3A822C" w14:textId="55FA8274" w:rsidR="00A466E5" w:rsidRDefault="009B7028" w:rsidP="00A466E5">
      <w:pPr>
        <w:pStyle w:val="ParaNumbering"/>
      </w:pPr>
      <w:r>
        <w:t>The Applicant, by her int</w:t>
      </w:r>
      <w:r w:rsidR="00B03BD2">
        <w:t>erlocutory application dated 16 December 2020</w:t>
      </w:r>
      <w:r>
        <w:t xml:space="preserve">, seeks orders for the approval of the settlement of this proceeding pursuant to s 33V of </w:t>
      </w:r>
      <w:r w:rsidR="00A466E5">
        <w:t xml:space="preserve">the </w:t>
      </w:r>
      <w:r w:rsidR="00A466E5">
        <w:rPr>
          <w:i/>
        </w:rPr>
        <w:t xml:space="preserve">Federal Court of Australia </w:t>
      </w:r>
      <w:r w:rsidR="00A466E5">
        <w:rPr>
          <w:b/>
          <w:i/>
        </w:rPr>
        <w:t xml:space="preserve">Act </w:t>
      </w:r>
      <w:r w:rsidR="00A466E5">
        <w:t>(Cth)</w:t>
      </w:r>
      <w:r w:rsidR="008A2D1B">
        <w:t xml:space="preserve"> (</w:t>
      </w:r>
      <w:r w:rsidR="008A2D1B">
        <w:rPr>
          <w:b/>
        </w:rPr>
        <w:t>Settlement Approval</w:t>
      </w:r>
      <w:r w:rsidR="008A2D1B">
        <w:t>)</w:t>
      </w:r>
      <w:r w:rsidR="00A466E5">
        <w:t>.</w:t>
      </w:r>
      <w:r w:rsidR="009A3E43">
        <w:t xml:space="preserve">  </w:t>
      </w:r>
      <w:r w:rsidR="00A466E5">
        <w:t>The Applicant also seeks approval of a scheme for distribution of the settlement sum.</w:t>
      </w:r>
      <w:r w:rsidR="009A3E43">
        <w:t xml:space="preserve">  </w:t>
      </w:r>
    </w:p>
    <w:p w14:paraId="5BA0A933" w14:textId="6A60DBF5" w:rsidR="00A466E5" w:rsidRDefault="00A466E5" w:rsidP="00A466E5">
      <w:pPr>
        <w:pStyle w:val="ParaNumbering"/>
      </w:pPr>
      <w:r>
        <w:t>For the reasons that follow, I am satisfied that the settlement is fair and reasonable in all relevant aspe</w:t>
      </w:r>
      <w:r w:rsidR="00716934">
        <w:t>cts and is in the interests of group m</w:t>
      </w:r>
      <w:r>
        <w:t>embers.</w:t>
      </w:r>
      <w:r w:rsidR="009A3E43">
        <w:t xml:space="preserve">  </w:t>
      </w:r>
      <w:r>
        <w:t xml:space="preserve">Further, the proposed distribution for which the </w:t>
      </w:r>
      <w:r w:rsidR="00151681">
        <w:t>Settlement Distribution Scheme (</w:t>
      </w:r>
      <w:r w:rsidR="00151681">
        <w:rPr>
          <w:b/>
        </w:rPr>
        <w:t>SDS</w:t>
      </w:r>
      <w:r w:rsidR="00151681">
        <w:t>)</w:t>
      </w:r>
      <w:r>
        <w:t xml:space="preserve"> provides is fair and reasonable, </w:t>
      </w:r>
      <w:r w:rsidR="009D592D">
        <w:t>and properly permits group members</w:t>
      </w:r>
      <w:r w:rsidR="00220DCD">
        <w:t xml:space="preserve"> who registered after the mediation</w:t>
      </w:r>
      <w:r>
        <w:t xml:space="preserve"> </w:t>
      </w:r>
      <w:r w:rsidR="00220DCD">
        <w:t>(</w:t>
      </w:r>
      <w:r w:rsidRPr="00220DCD">
        <w:rPr>
          <w:b/>
        </w:rPr>
        <w:t>Late Registrants</w:t>
      </w:r>
      <w:r w:rsidR="00220DCD">
        <w:t>)</w:t>
      </w:r>
      <w:r>
        <w:t xml:space="preserve"> </w:t>
      </w:r>
      <w:r w:rsidR="009D592D">
        <w:t>to participate in the settlement</w:t>
      </w:r>
      <w:r>
        <w:t>.</w:t>
      </w:r>
      <w:r w:rsidR="009A3E43">
        <w:t xml:space="preserve">  </w:t>
      </w:r>
    </w:p>
    <w:p w14:paraId="3D87F3DA" w14:textId="1CD7DB2F" w:rsidR="00A466E5" w:rsidRDefault="00A466E5" w:rsidP="00A466E5">
      <w:pPr>
        <w:pStyle w:val="ParaNumbering"/>
      </w:pPr>
      <w:r>
        <w:t xml:space="preserve">Accordingly, I </w:t>
      </w:r>
      <w:r w:rsidR="009D592D">
        <w:t>give</w:t>
      </w:r>
      <w:r>
        <w:t xml:space="preserve"> approval</w:t>
      </w:r>
      <w:r w:rsidR="009D592D">
        <w:t xml:space="preserve"> to the proposed settlement, including the SDS</w:t>
      </w:r>
      <w:r w:rsidR="00257593">
        <w:t>,</w:t>
      </w:r>
      <w:r w:rsidR="009D592D">
        <w:t xml:space="preserve"> and shall make the orders sought by the Applicant which give effect to the settlement and ancillary matters</w:t>
      </w:r>
      <w:r>
        <w:t xml:space="preserve">. </w:t>
      </w:r>
    </w:p>
    <w:p w14:paraId="23A2C25F" w14:textId="77777777" w:rsidR="00582D4E" w:rsidRDefault="00582D4E" w:rsidP="00582D4E">
      <w:pPr>
        <w:pStyle w:val="Heading1"/>
      </w:pPr>
      <w:r>
        <w:t>BACKGROUND</w:t>
      </w:r>
    </w:p>
    <w:p w14:paraId="360777A0" w14:textId="0DB27AFE" w:rsidR="009D592D" w:rsidRPr="00DA0373" w:rsidRDefault="004D4A61" w:rsidP="004D4A61">
      <w:pPr>
        <w:pStyle w:val="ParaNumbering"/>
      </w:pPr>
      <w:r w:rsidRPr="00DA0373">
        <w:t>The Applicant commenced proceedings in this Court on 20 August 2015 pursuant to Part IV of the Act on behalf of persons (</w:t>
      </w:r>
      <w:r w:rsidRPr="00DA0373">
        <w:rPr>
          <w:b/>
        </w:rPr>
        <w:t>Group Members</w:t>
      </w:r>
      <w:r w:rsidRPr="00DA0373">
        <w:t xml:space="preserve">) who </w:t>
      </w:r>
      <w:r w:rsidR="009D592D" w:rsidRPr="00DA0373">
        <w:t>acquired</w:t>
      </w:r>
      <w:r w:rsidRPr="00DA0373">
        <w:t xml:space="preserve"> interest</w:t>
      </w:r>
      <w:r w:rsidR="009D592D" w:rsidRPr="00DA0373">
        <w:t>s</w:t>
      </w:r>
      <w:r w:rsidRPr="00DA0373">
        <w:t xml:space="preserve"> in fully paid ordinary shares in </w:t>
      </w:r>
      <w:r w:rsidRPr="00DA0373">
        <w:rPr>
          <w:b/>
        </w:rPr>
        <w:t xml:space="preserve">Vocation </w:t>
      </w:r>
      <w:r w:rsidRPr="00DA0373">
        <w:t>Limited</w:t>
      </w:r>
      <w:r w:rsidRPr="00DA0373">
        <w:rPr>
          <w:b/>
        </w:rPr>
        <w:t xml:space="preserve"> </w:t>
      </w:r>
      <w:r w:rsidRPr="00DA0373">
        <w:t xml:space="preserve">in the period between 27 November 2013 and 4 December 2014 (inclusive) (the </w:t>
      </w:r>
      <w:r w:rsidRPr="00DA0373">
        <w:rPr>
          <w:b/>
        </w:rPr>
        <w:t>Relevant Period</w:t>
      </w:r>
      <w:r w:rsidRPr="00DA0373">
        <w:t xml:space="preserve">), </w:t>
      </w:r>
      <w:r w:rsidR="009D592D" w:rsidRPr="00DA0373">
        <w:t xml:space="preserve">and </w:t>
      </w:r>
      <w:r w:rsidR="00741F0A" w:rsidRPr="00DA0373">
        <w:t>who allege they suffered loss or</w:t>
      </w:r>
      <w:r w:rsidRPr="00DA0373">
        <w:t xml:space="preserve"> damage by reason of the conduct of the Respondents</w:t>
      </w:r>
      <w:r w:rsidR="009D592D" w:rsidRPr="00DA0373">
        <w:t>, the subject of the claims in this proceeding</w:t>
      </w:r>
      <w:r w:rsidRPr="00DA0373">
        <w:t>.</w:t>
      </w:r>
      <w:r w:rsidR="009A3E43">
        <w:t xml:space="preserve">  </w:t>
      </w:r>
    </w:p>
    <w:p w14:paraId="5785090B" w14:textId="2DFA009D" w:rsidR="00A46C32" w:rsidRDefault="004D4A61" w:rsidP="009D592D">
      <w:pPr>
        <w:pStyle w:val="ParaNumbering"/>
      </w:pPr>
      <w:r>
        <w:t>The Applicant was represented by Maurice Blackburn and funded by International Limited Funding Partner Pte Ltd (</w:t>
      </w:r>
      <w:r>
        <w:rPr>
          <w:b/>
        </w:rPr>
        <w:t>ILFP</w:t>
      </w:r>
      <w:r>
        <w:t>).</w:t>
      </w:r>
      <w:r w:rsidR="009A3E43">
        <w:t xml:space="preserve">  </w:t>
      </w:r>
      <w:r>
        <w:t>This proceeding is a consolidated proceeding.</w:t>
      </w:r>
      <w:r w:rsidR="009A3E43">
        <w:t xml:space="preserve">  </w:t>
      </w:r>
      <w:r w:rsidR="00A46C32">
        <w:t xml:space="preserve">On 26 February 2015, </w:t>
      </w:r>
      <w:r w:rsidR="008750F1">
        <w:t xml:space="preserve">Mr </w:t>
      </w:r>
      <w:proofErr w:type="spellStart"/>
      <w:r w:rsidR="008750F1">
        <w:t>Karageorgiou</w:t>
      </w:r>
      <w:proofErr w:type="spellEnd"/>
      <w:r w:rsidR="008750F1">
        <w:t xml:space="preserve"> (the </w:t>
      </w:r>
      <w:proofErr w:type="spellStart"/>
      <w:r w:rsidR="008750F1" w:rsidRPr="009D592D">
        <w:rPr>
          <w:b/>
        </w:rPr>
        <w:t>Karageorgiou</w:t>
      </w:r>
      <w:proofErr w:type="spellEnd"/>
      <w:r w:rsidR="008750F1" w:rsidRPr="009D592D">
        <w:rPr>
          <w:b/>
        </w:rPr>
        <w:t xml:space="preserve"> Applicant</w:t>
      </w:r>
      <w:r w:rsidR="008750F1">
        <w:t xml:space="preserve">) </w:t>
      </w:r>
      <w:r w:rsidR="00A46C32">
        <w:t>commenced</w:t>
      </w:r>
      <w:r w:rsidR="008750F1">
        <w:t xml:space="preserve"> </w:t>
      </w:r>
      <w:r w:rsidR="00303B7B">
        <w:t xml:space="preserve">a </w:t>
      </w:r>
      <w:r>
        <w:t xml:space="preserve">separate </w:t>
      </w:r>
      <w:r w:rsidR="00C30EC0">
        <w:t>representative proceeding</w:t>
      </w:r>
      <w:r w:rsidR="008750F1">
        <w:t xml:space="preserve"> a</w:t>
      </w:r>
      <w:r w:rsidR="00A46C32">
        <w:t xml:space="preserve">gainst </w:t>
      </w:r>
      <w:r w:rsidR="00A46C32" w:rsidRPr="004D4A61">
        <w:t>Vocation</w:t>
      </w:r>
      <w:r w:rsidR="009D592D">
        <w:t xml:space="preserve"> in the Supreme Court of Victoria</w:t>
      </w:r>
      <w:r w:rsidR="00A46C32">
        <w:t xml:space="preserve"> (</w:t>
      </w:r>
      <w:proofErr w:type="spellStart"/>
      <w:r w:rsidR="00A46C32" w:rsidRPr="009D592D">
        <w:rPr>
          <w:b/>
        </w:rPr>
        <w:t>Karageorgiou</w:t>
      </w:r>
      <w:proofErr w:type="spellEnd"/>
      <w:r w:rsidR="00A46C32" w:rsidRPr="009D592D">
        <w:rPr>
          <w:b/>
        </w:rPr>
        <w:t xml:space="preserve"> Proceeding</w:t>
      </w:r>
      <w:r w:rsidR="00A46C32">
        <w:t>).</w:t>
      </w:r>
      <w:r w:rsidR="009A3E43">
        <w:t xml:space="preserve">  </w:t>
      </w:r>
      <w:r w:rsidR="00A46C32">
        <w:t xml:space="preserve">The </w:t>
      </w:r>
      <w:proofErr w:type="spellStart"/>
      <w:r w:rsidR="008750F1">
        <w:t>Karageorgiou</w:t>
      </w:r>
      <w:proofErr w:type="spellEnd"/>
      <w:r w:rsidR="008750F1">
        <w:t xml:space="preserve"> </w:t>
      </w:r>
      <w:r w:rsidR="00A46C32">
        <w:t xml:space="preserve">Applicant was represented by Slater and Gordon and funded by IMF Bentham Ltd (now known as Omni </w:t>
      </w:r>
      <w:proofErr w:type="spellStart"/>
      <w:r w:rsidR="00A46C32">
        <w:t>Bridgeway</w:t>
      </w:r>
      <w:proofErr w:type="spellEnd"/>
      <w:r w:rsidR="00A46C32">
        <w:t xml:space="preserve"> Ltd (</w:t>
      </w:r>
      <w:r w:rsidR="00A46C32" w:rsidRPr="009D592D">
        <w:rPr>
          <w:b/>
        </w:rPr>
        <w:t>OBL</w:t>
      </w:r>
      <w:r w:rsidR="00A46C32">
        <w:t>)).</w:t>
      </w:r>
      <w:r w:rsidR="009A3E43">
        <w:t xml:space="preserve">  </w:t>
      </w:r>
    </w:p>
    <w:p w14:paraId="25B8D59F" w14:textId="48F3CE87" w:rsidR="007467DD" w:rsidRPr="00DA0373" w:rsidRDefault="00166B4F" w:rsidP="0051434F">
      <w:pPr>
        <w:pStyle w:val="ParaNumbering"/>
      </w:pPr>
      <w:r>
        <w:t xml:space="preserve">On 17 March 2017, </w:t>
      </w:r>
      <w:r w:rsidRPr="00166B4F">
        <w:t xml:space="preserve">Middleton J </w:t>
      </w:r>
      <w:r>
        <w:t xml:space="preserve">made orders </w:t>
      </w:r>
      <w:r w:rsidRPr="00DA0373">
        <w:t xml:space="preserve">pursuant to r 30.11 of the </w:t>
      </w:r>
      <w:r w:rsidRPr="00DA0373">
        <w:rPr>
          <w:i/>
        </w:rPr>
        <w:t xml:space="preserve">Federal Court </w:t>
      </w:r>
      <w:r w:rsidRPr="00597033">
        <w:rPr>
          <w:b/>
          <w:i/>
        </w:rPr>
        <w:t>Rules</w:t>
      </w:r>
      <w:r w:rsidRPr="00DA0373">
        <w:rPr>
          <w:i/>
        </w:rPr>
        <w:t xml:space="preserve"> </w:t>
      </w:r>
      <w:r w:rsidRPr="00DA0373">
        <w:t>2011</w:t>
      </w:r>
      <w:r w:rsidR="00257593">
        <w:t xml:space="preserve"> (Cth)</w:t>
      </w:r>
      <w:r w:rsidRPr="00DA0373">
        <w:t xml:space="preserve"> </w:t>
      </w:r>
      <w:r w:rsidR="00257593">
        <w:t xml:space="preserve">(the </w:t>
      </w:r>
      <w:r w:rsidR="00257593" w:rsidRPr="0031096F">
        <w:rPr>
          <w:b/>
        </w:rPr>
        <w:t>17 March 2017 Orders</w:t>
      </w:r>
      <w:r w:rsidR="00257593">
        <w:t xml:space="preserve">) </w:t>
      </w:r>
      <w:r>
        <w:t>consolidating t</w:t>
      </w:r>
      <w:r w:rsidR="007467DD" w:rsidRPr="00DA0373">
        <w:t xml:space="preserve">he </w:t>
      </w:r>
      <w:proofErr w:type="spellStart"/>
      <w:r w:rsidR="007467DD" w:rsidRPr="00DA0373">
        <w:t>Karageorgiou</w:t>
      </w:r>
      <w:proofErr w:type="spellEnd"/>
      <w:r w:rsidR="007467DD" w:rsidRPr="00DA0373">
        <w:t xml:space="preserve"> Proceeding</w:t>
      </w:r>
      <w:r w:rsidR="00E22322" w:rsidRPr="00DA0373">
        <w:t xml:space="preserve"> </w:t>
      </w:r>
      <w:r>
        <w:t xml:space="preserve">with </w:t>
      </w:r>
      <w:r w:rsidR="00E22322" w:rsidRPr="00DA0373">
        <w:t>this proceeding</w:t>
      </w:r>
      <w:r w:rsidR="00184C77" w:rsidRPr="00DA0373">
        <w:t xml:space="preserve"> (thereby forming the </w:t>
      </w:r>
      <w:r w:rsidR="00184C77" w:rsidRPr="00DA0373">
        <w:rPr>
          <w:b/>
        </w:rPr>
        <w:t>Consolidated Proceeding</w:t>
      </w:r>
      <w:r w:rsidR="00184C77" w:rsidRPr="00DA0373">
        <w:t>)</w:t>
      </w:r>
      <w:r w:rsidR="00E22322" w:rsidRPr="00DA0373">
        <w:t>.</w:t>
      </w:r>
      <w:r w:rsidR="009A3E43">
        <w:t xml:space="preserve">  </w:t>
      </w:r>
      <w:r w:rsidR="007467DD" w:rsidRPr="00DA0373">
        <w:t xml:space="preserve">The Consolidated Proceeding is jointly funded </w:t>
      </w:r>
      <w:r w:rsidR="00154775" w:rsidRPr="00DA0373">
        <w:t xml:space="preserve">by ILFP </w:t>
      </w:r>
      <w:r w:rsidR="007467DD" w:rsidRPr="00DA0373">
        <w:t>and OBL,</w:t>
      </w:r>
      <w:r w:rsidR="007467DD" w:rsidRPr="00DA0373">
        <w:rPr>
          <w:b/>
        </w:rPr>
        <w:t xml:space="preserve"> </w:t>
      </w:r>
      <w:r w:rsidR="007467DD" w:rsidRPr="00DA0373">
        <w:t xml:space="preserve">collectively the </w:t>
      </w:r>
      <w:r w:rsidR="007467DD" w:rsidRPr="00DA0373">
        <w:rPr>
          <w:b/>
        </w:rPr>
        <w:t>Funders</w:t>
      </w:r>
      <w:r w:rsidR="007467DD" w:rsidRPr="00533703">
        <w:t>.</w:t>
      </w:r>
      <w:r w:rsidR="009A3E43">
        <w:t xml:space="preserve">   </w:t>
      </w:r>
      <w:r w:rsidR="00C30EC0" w:rsidRPr="00DA0373">
        <w:t xml:space="preserve">Following Mr </w:t>
      </w:r>
      <w:proofErr w:type="spellStart"/>
      <w:r w:rsidR="00C30EC0" w:rsidRPr="00DA0373">
        <w:t>Karageorgiou’s</w:t>
      </w:r>
      <w:proofErr w:type="spellEnd"/>
      <w:r w:rsidR="00C30EC0" w:rsidRPr="00DA0373">
        <w:t xml:space="preserve"> </w:t>
      </w:r>
      <w:r w:rsidR="006E51F6">
        <w:lastRenderedPageBreak/>
        <w:t>death</w:t>
      </w:r>
      <w:r w:rsidR="006E51F6" w:rsidRPr="00DA0373">
        <w:t xml:space="preserve"> </w:t>
      </w:r>
      <w:r w:rsidR="00C30EC0" w:rsidRPr="00DA0373">
        <w:t>o</w:t>
      </w:r>
      <w:r w:rsidR="00154775" w:rsidRPr="00DA0373">
        <w:t xml:space="preserve">n </w:t>
      </w:r>
      <w:r w:rsidR="007264AD">
        <w:t xml:space="preserve">or around </w:t>
      </w:r>
      <w:r w:rsidR="00154775" w:rsidRPr="007264AD">
        <w:t>24 January 2018</w:t>
      </w:r>
      <w:r w:rsidR="00154775" w:rsidRPr="00DA0373">
        <w:t xml:space="preserve">, </w:t>
      </w:r>
      <w:r w:rsidR="00C30EC0" w:rsidRPr="00DA0373">
        <w:t xml:space="preserve">and by orders made </w:t>
      </w:r>
      <w:r w:rsidR="00991CF3">
        <w:t>at a hearing on</w:t>
      </w:r>
      <w:r w:rsidR="00991CF3" w:rsidRPr="00DA0373">
        <w:t xml:space="preserve"> </w:t>
      </w:r>
      <w:r w:rsidR="00C30EC0" w:rsidRPr="00DA0373">
        <w:t>20 April 2018, the Applicant</w:t>
      </w:r>
      <w:r w:rsidR="00154775" w:rsidRPr="00DA0373">
        <w:t xml:space="preserve"> became th</w:t>
      </w:r>
      <w:r w:rsidR="00F22C70" w:rsidRPr="00DA0373">
        <w:t xml:space="preserve">e sole representative </w:t>
      </w:r>
      <w:r w:rsidR="00B03BD2" w:rsidRPr="00DA0373">
        <w:t>A</w:t>
      </w:r>
      <w:r w:rsidR="00F22C70" w:rsidRPr="00DA0373">
        <w:t>pplicant</w:t>
      </w:r>
      <w:r w:rsidR="00C30EC0" w:rsidRPr="00DA0373">
        <w:t xml:space="preserve"> in the Consolidated Proceeding</w:t>
      </w:r>
      <w:r w:rsidR="00F22C70" w:rsidRPr="00DA0373">
        <w:t>, jointly represented by Maurice Blackburn and Slater and Gordon.</w:t>
      </w:r>
    </w:p>
    <w:p w14:paraId="3EE7FA72" w14:textId="77777777" w:rsidR="008750F1" w:rsidRDefault="008750F1" w:rsidP="008750F1">
      <w:pPr>
        <w:pStyle w:val="Heading2"/>
      </w:pPr>
      <w:r>
        <w:t>Joinder of PricewaterhouseCoopers</w:t>
      </w:r>
      <w:r w:rsidR="00303B7B">
        <w:t xml:space="preserve"> and D&amp;O parties as respondents </w:t>
      </w:r>
    </w:p>
    <w:p w14:paraId="647FBE67" w14:textId="49F5E2C6" w:rsidR="00303B7B" w:rsidRPr="00DA0373" w:rsidRDefault="00F22C70" w:rsidP="00303B7B">
      <w:pPr>
        <w:pStyle w:val="ParaNumbering"/>
      </w:pPr>
      <w:r w:rsidRPr="00DA0373">
        <w:t>On 21 March 2017, in accordance with</w:t>
      </w:r>
      <w:r w:rsidR="0011642A">
        <w:t xml:space="preserve"> the</w:t>
      </w:r>
      <w:r w:rsidRPr="00DA0373">
        <w:t xml:space="preserve"> 17 March 2017</w:t>
      </w:r>
      <w:r w:rsidR="00257593">
        <w:t xml:space="preserve"> Orders</w:t>
      </w:r>
      <w:r w:rsidRPr="00DA0373">
        <w:t xml:space="preserve">, </w:t>
      </w:r>
      <w:r w:rsidR="00CA771C" w:rsidRPr="00DA0373">
        <w:t>t</w:t>
      </w:r>
      <w:r w:rsidRPr="00DA0373">
        <w:t>he Applicant filed a consolidated statement of claim, which amongst other things, introduced allegations in respect of the Second Respondent,</w:t>
      </w:r>
      <w:r w:rsidR="00184C77" w:rsidRPr="00DA0373">
        <w:t xml:space="preserve"> PricewaterhouseCoopers (</w:t>
      </w:r>
      <w:r w:rsidR="00184C77" w:rsidRPr="00DA0373">
        <w:rPr>
          <w:b/>
        </w:rPr>
        <w:t>PwC</w:t>
      </w:r>
      <w:r w:rsidR="00184C77" w:rsidRPr="00DA0373">
        <w:t xml:space="preserve">). </w:t>
      </w:r>
    </w:p>
    <w:p w14:paraId="13B87134" w14:textId="01FF0962" w:rsidR="00E22322" w:rsidRPr="00DA0373" w:rsidRDefault="004757C7" w:rsidP="00303B7B">
      <w:pPr>
        <w:pStyle w:val="ParaNumbering"/>
      </w:pPr>
      <w:r w:rsidRPr="00DA0373">
        <w:t xml:space="preserve">On </w:t>
      </w:r>
      <w:r w:rsidR="007C11CD" w:rsidRPr="00DA0373">
        <w:t>11 November 2019</w:t>
      </w:r>
      <w:r w:rsidR="002D7054" w:rsidRPr="00DA0373">
        <w:t>,</w:t>
      </w:r>
      <w:r w:rsidR="007C11CD" w:rsidRPr="00DA0373">
        <w:t xml:space="preserve"> </w:t>
      </w:r>
      <w:r w:rsidRPr="00DA0373">
        <w:t>the Applicant</w:t>
      </w:r>
      <w:r w:rsidR="0011642A">
        <w:t xml:space="preserve"> </w:t>
      </w:r>
      <w:r w:rsidR="00991CF3">
        <w:t>amended her statement of claim, bringing</w:t>
      </w:r>
      <w:r w:rsidR="00303B7B" w:rsidRPr="00DA0373">
        <w:t xml:space="preserve"> claims directly against certain of Vocation’s directors and officers, being Mark Hutchinson (Chief Executive Officer and executive Managing Director), John Dawkins AO (Non-Executive Chairman) and </w:t>
      </w:r>
      <w:proofErr w:type="spellStart"/>
      <w:r w:rsidR="00303B7B" w:rsidRPr="00DA0373">
        <w:t>Manvinder</w:t>
      </w:r>
      <w:proofErr w:type="spellEnd"/>
      <w:r w:rsidR="00303B7B" w:rsidRPr="00DA0373">
        <w:t xml:space="preserve"> Grewal (Chief Financial Officer and </w:t>
      </w:r>
      <w:r w:rsidR="00025DB5">
        <w:t>c</w:t>
      </w:r>
      <w:r w:rsidR="00303B7B" w:rsidRPr="00DA0373">
        <w:t>ompany secretary</w:t>
      </w:r>
      <w:r w:rsidR="00741F0A" w:rsidRPr="00DA0373">
        <w:t>)</w:t>
      </w:r>
      <w:r w:rsidR="00303B7B" w:rsidRPr="00DA0373">
        <w:t xml:space="preserve"> (together, the </w:t>
      </w:r>
      <w:r w:rsidR="00303B7B" w:rsidRPr="00DA0373">
        <w:rPr>
          <w:b/>
        </w:rPr>
        <w:t>D&amp;O Respondents</w:t>
      </w:r>
      <w:r w:rsidR="00303B7B" w:rsidRPr="00DA0373">
        <w:t>)</w:t>
      </w:r>
      <w:r w:rsidR="007C11CD" w:rsidRPr="00DA0373">
        <w:t>.</w:t>
      </w:r>
    </w:p>
    <w:p w14:paraId="25DB8E11" w14:textId="77777777" w:rsidR="00271932" w:rsidRDefault="00271932" w:rsidP="00271932">
      <w:pPr>
        <w:pStyle w:val="Heading2"/>
      </w:pPr>
      <w:r>
        <w:t>Mediation and Settlement Agreement</w:t>
      </w:r>
    </w:p>
    <w:p w14:paraId="72E5E229" w14:textId="55736626" w:rsidR="00EC0161" w:rsidRDefault="00E22322" w:rsidP="0051434F">
      <w:pPr>
        <w:pStyle w:val="ParaNumbering"/>
      </w:pPr>
      <w:r>
        <w:t xml:space="preserve">Following a protracted mediation that commenced in mid-2019, the parties entered into a </w:t>
      </w:r>
      <w:r>
        <w:rPr>
          <w:b/>
        </w:rPr>
        <w:t>Settlement Agreement</w:t>
      </w:r>
      <w:r>
        <w:t xml:space="preserve"> on 30 November 2020</w:t>
      </w:r>
      <w:r w:rsidR="008D309F">
        <w:t>.</w:t>
      </w:r>
      <w:r w:rsidR="009A3E43">
        <w:t xml:space="preserve"> </w:t>
      </w:r>
      <w:r w:rsidR="00206E03">
        <w:t xml:space="preserve"> </w:t>
      </w:r>
      <w:r w:rsidR="008D309F">
        <w:t>P</w:t>
      </w:r>
      <w:r>
        <w:t xml:space="preserve">ursuant to </w:t>
      </w:r>
      <w:r w:rsidR="008D309F">
        <w:t xml:space="preserve">the Settlement Agreement, </w:t>
      </w:r>
      <w:r>
        <w:t xml:space="preserve">the sum of $50 million </w:t>
      </w:r>
      <w:r w:rsidR="00D50558">
        <w:t>(</w:t>
      </w:r>
      <w:r w:rsidR="00D50558">
        <w:rPr>
          <w:b/>
        </w:rPr>
        <w:t>Settlement Sum</w:t>
      </w:r>
      <w:r w:rsidR="00D50558">
        <w:t xml:space="preserve">) </w:t>
      </w:r>
      <w:r w:rsidR="008D309F">
        <w:t xml:space="preserve">was </w:t>
      </w:r>
      <w:r>
        <w:t xml:space="preserve">paid into an </w:t>
      </w:r>
      <w:r w:rsidR="008D309F">
        <w:t xml:space="preserve">interest bearing </w:t>
      </w:r>
      <w:r>
        <w:t>account</w:t>
      </w:r>
      <w:r w:rsidR="008D309F">
        <w:t xml:space="preserve"> on 1 December 2020 and is</w:t>
      </w:r>
      <w:r>
        <w:t xml:space="preserve"> held on trust pending approval by</w:t>
      </w:r>
      <w:r w:rsidR="00151681">
        <w:t xml:space="preserve"> this Court of the settlement</w:t>
      </w:r>
      <w:r w:rsidR="00EA08D7">
        <w:t>.</w:t>
      </w:r>
      <w:r w:rsidR="008D309F">
        <w:t xml:space="preserve"> </w:t>
      </w:r>
      <w:r w:rsidR="00206E03">
        <w:t xml:space="preserve"> </w:t>
      </w:r>
      <w:r w:rsidR="00151681">
        <w:t>The SDS</w:t>
      </w:r>
      <w:r>
        <w:t xml:space="preserve">, which governs the proposed distribution of the </w:t>
      </w:r>
      <w:r w:rsidR="00412CA3">
        <w:t>settlement fu</w:t>
      </w:r>
      <w:r w:rsidRPr="00670C8B">
        <w:t xml:space="preserve">nd, has also been </w:t>
      </w:r>
      <w:r w:rsidR="00BD329D">
        <w:t>agreed subject to approval</w:t>
      </w:r>
      <w:r w:rsidRPr="00670C8B">
        <w:t>.</w:t>
      </w:r>
      <w:r w:rsidR="009A3E43">
        <w:t xml:space="preserve">  </w:t>
      </w:r>
    </w:p>
    <w:p w14:paraId="782243BD" w14:textId="0B8EFC59" w:rsidR="00E22322" w:rsidRPr="00DA0373" w:rsidRDefault="00BD329D" w:rsidP="0051434F">
      <w:pPr>
        <w:pStyle w:val="ParaNumbering"/>
      </w:pPr>
      <w:r w:rsidRPr="00DA0373">
        <w:t xml:space="preserve">Pursuant to the terms of the Settlement Agreement and the SDS, </w:t>
      </w:r>
      <w:r w:rsidR="0011642A">
        <w:t xml:space="preserve">the following amounts are to be deducted from </w:t>
      </w:r>
      <w:r w:rsidRPr="00DA0373">
        <w:t>the Settlement Sum</w:t>
      </w:r>
      <w:r w:rsidR="0011642A">
        <w:t>:</w:t>
      </w:r>
      <w:r w:rsidR="00967350" w:rsidRPr="00DA0373">
        <w:t xml:space="preserve"> $5,191,294.07 for Slater and G</w:t>
      </w:r>
      <w:r w:rsidR="00D26C98" w:rsidRPr="00DA0373">
        <w:t>ordon legal costs</w:t>
      </w:r>
      <w:r w:rsidR="0011642A">
        <w:t>;</w:t>
      </w:r>
      <w:r w:rsidR="00D26C98" w:rsidRPr="00DA0373">
        <w:t xml:space="preserve"> </w:t>
      </w:r>
      <w:r w:rsidR="00967350" w:rsidRPr="00DA0373">
        <w:t>$7,567,385.66 for Maurice Blackburn legal costs</w:t>
      </w:r>
      <w:r w:rsidR="0011642A">
        <w:t>;</w:t>
      </w:r>
      <w:r w:rsidR="00D26C98" w:rsidRPr="00DA0373">
        <w:t xml:space="preserve"> $20,000 for the reimbursement of the Applicant’s time and effort in the litigation</w:t>
      </w:r>
      <w:r w:rsidR="0011642A">
        <w:t>;</w:t>
      </w:r>
      <w:r w:rsidR="00D26C98" w:rsidRPr="00DA0373">
        <w:t xml:space="preserve"> and $158,144.50 for the administration costs of the SDS</w:t>
      </w:r>
      <w:r w:rsidR="00967350" w:rsidRPr="00DA0373">
        <w:t>.</w:t>
      </w:r>
      <w:r w:rsidR="009A3E43">
        <w:t xml:space="preserve">  </w:t>
      </w:r>
      <w:r w:rsidR="00967350" w:rsidRPr="00DA0373">
        <w:t>The funding commission payable to ILFP is $4,413,588.04</w:t>
      </w:r>
      <w:r w:rsidR="004757C7" w:rsidRPr="00DA0373">
        <w:t>,</w:t>
      </w:r>
      <w:r w:rsidR="00D26C98" w:rsidRPr="00DA0373">
        <w:t xml:space="preserve"> and $6,505,760.10 is p</w:t>
      </w:r>
      <w:r w:rsidR="004757C7" w:rsidRPr="00DA0373">
        <w:t>ayable to OBL</w:t>
      </w:r>
      <w:r w:rsidR="00967350" w:rsidRPr="00DA0373">
        <w:t>.</w:t>
      </w:r>
      <w:r w:rsidR="009A3E43">
        <w:t xml:space="preserve">  </w:t>
      </w:r>
      <w:r w:rsidR="003415A0" w:rsidRPr="00DA0373">
        <w:t xml:space="preserve">After deducting </w:t>
      </w:r>
      <w:r w:rsidR="00D26C98" w:rsidRPr="00DA0373">
        <w:t>these amounts from the Settlement S</w:t>
      </w:r>
      <w:r w:rsidR="003415A0" w:rsidRPr="00DA0373">
        <w:t xml:space="preserve">um, approximately </w:t>
      </w:r>
      <w:r w:rsidR="003415A0" w:rsidRPr="00533703">
        <w:t>$</w:t>
      </w:r>
      <w:r w:rsidR="00FC0E3E" w:rsidRPr="00533703">
        <w:t>26,165,745.44</w:t>
      </w:r>
      <w:r w:rsidR="003415A0" w:rsidRPr="00DA0373">
        <w:t xml:space="preserve">, being approximately </w:t>
      </w:r>
      <w:r w:rsidR="00FC0E3E" w:rsidRPr="00533703">
        <w:t>52.31%</w:t>
      </w:r>
      <w:r w:rsidR="003415A0" w:rsidRPr="00DA0373">
        <w:t xml:space="preserve"> of the Settlement Sum</w:t>
      </w:r>
      <w:r w:rsidR="00412CA3" w:rsidRPr="00DA0373">
        <w:t xml:space="preserve">, is </w:t>
      </w:r>
      <w:r w:rsidR="0021675E">
        <w:t xml:space="preserve">the </w:t>
      </w:r>
      <w:r w:rsidR="00412CA3" w:rsidRPr="00DA0373">
        <w:t>net amount available to Group Members</w:t>
      </w:r>
      <w:r w:rsidR="00EC0161" w:rsidRPr="00DA0373">
        <w:t xml:space="preserve">. </w:t>
      </w:r>
    </w:p>
    <w:p w14:paraId="558DABCF" w14:textId="77777777" w:rsidR="00184C77" w:rsidRDefault="00CB2D24" w:rsidP="00184C77">
      <w:pPr>
        <w:pStyle w:val="Heading2"/>
      </w:pPr>
      <w:r>
        <w:t xml:space="preserve">Class Closure Orders and </w:t>
      </w:r>
      <w:r w:rsidR="00184C77">
        <w:t xml:space="preserve">Late </w:t>
      </w:r>
      <w:r w:rsidR="002663E8">
        <w:t>Registrants</w:t>
      </w:r>
    </w:p>
    <w:p w14:paraId="370511AC" w14:textId="049BA11D" w:rsidR="00CB2D24" w:rsidRPr="00DA0373" w:rsidRDefault="005E6E08" w:rsidP="00CB2D24">
      <w:pPr>
        <w:pStyle w:val="ParaNumbering"/>
      </w:pPr>
      <w:r w:rsidRPr="00DA0373">
        <w:t>On</w:t>
      </w:r>
      <w:r w:rsidR="00CB2D24" w:rsidRPr="00DA0373">
        <w:t xml:space="preserve"> 7 December 2018, the C</w:t>
      </w:r>
      <w:r w:rsidRPr="00DA0373">
        <w:t>ourt made ‘class closure’ orders</w:t>
      </w:r>
      <w:r w:rsidR="00CB2D24" w:rsidRPr="00DA0373">
        <w:t xml:space="preserve">: </w:t>
      </w:r>
    </w:p>
    <w:p w14:paraId="5883B56C" w14:textId="77777777" w:rsidR="00CB2D24" w:rsidRDefault="005E6E08" w:rsidP="00CB2D24">
      <w:pPr>
        <w:pStyle w:val="ListNo1"/>
      </w:pPr>
      <w:r>
        <w:lastRenderedPageBreak/>
        <w:t>facilitating the distribution of an Opt Out and Claim Registration Notice to Group Members</w:t>
      </w:r>
      <w:r w:rsidR="00CB2D24">
        <w:t>;</w:t>
      </w:r>
    </w:p>
    <w:p w14:paraId="4FD3C414" w14:textId="77777777" w:rsidR="00CB2D24" w:rsidRDefault="00CB2D24" w:rsidP="00CB2D24">
      <w:pPr>
        <w:pStyle w:val="ListNo1"/>
      </w:pPr>
      <w:r>
        <w:t>fixing the date by which a Group Member may opt out of the proceeding as 4 March 2019;</w:t>
      </w:r>
    </w:p>
    <w:p w14:paraId="0A1616ED" w14:textId="61808F01" w:rsidR="00CB2D24" w:rsidRDefault="00CB2D24" w:rsidP="00CB2D24">
      <w:pPr>
        <w:pStyle w:val="ListNo1"/>
      </w:pPr>
      <w:r>
        <w:t>requiring that any Group Member who wished to participate in any settlement reached in the proceeding register their claim;</w:t>
      </w:r>
    </w:p>
    <w:p w14:paraId="0C7A258B" w14:textId="07256E7C" w:rsidR="00CB2D24" w:rsidRDefault="00CB2D24" w:rsidP="00CB2D24">
      <w:pPr>
        <w:pStyle w:val="ListNo1"/>
      </w:pPr>
      <w:r>
        <w:t>deeming as registered</w:t>
      </w:r>
      <w:r w:rsidR="00055C30">
        <w:t>,</w:t>
      </w:r>
      <w:r>
        <w:t xml:space="preserve"> for the purpose of </w:t>
      </w:r>
      <w:r w:rsidR="00055C30">
        <w:t xml:space="preserve">the class closure </w:t>
      </w:r>
      <w:r>
        <w:t>orders</w:t>
      </w:r>
      <w:r w:rsidR="00055C30">
        <w:t>,</w:t>
      </w:r>
      <w:r>
        <w:t xml:space="preserve"> any person who had retained either Slater and Gordon or Maurice Blackburn to represent them in relation to the proceeding and/or who had engaged the Funders to provide litigation funding services in connection with the proceedin</w:t>
      </w:r>
      <w:r w:rsidR="00097C13">
        <w:t>g;</w:t>
      </w:r>
    </w:p>
    <w:p w14:paraId="528D42AA" w14:textId="77777777" w:rsidR="00097C13" w:rsidRDefault="00BD329D" w:rsidP="00CB2D24">
      <w:pPr>
        <w:pStyle w:val="ListNo1"/>
      </w:pPr>
      <w:r>
        <w:t>providin</w:t>
      </w:r>
      <w:r w:rsidR="00CB2D24">
        <w:t>g that any Group Member who did not opt out or complete a registration form would remain a group member for all purposes, including for the purpose of being bound by any judgment in this proceeding and being entitled to participate in any award of damages by the Court if the proceeding did not settle</w:t>
      </w:r>
      <w:r w:rsidR="00097C13">
        <w:t>; and</w:t>
      </w:r>
    </w:p>
    <w:p w14:paraId="44FEF5C0" w14:textId="5437DC02" w:rsidR="00CB2D24" w:rsidRDefault="00305B25" w:rsidP="00EA08D7">
      <w:pPr>
        <w:pStyle w:val="ListNo1"/>
      </w:pPr>
      <w:r>
        <w:t xml:space="preserve">stating that </w:t>
      </w:r>
      <w:r w:rsidR="00097C13">
        <w:t xml:space="preserve">those group members </w:t>
      </w:r>
      <w:r w:rsidR="00EA08D7" w:rsidRPr="00EA08D7">
        <w:t xml:space="preserve">who did not opt out or complete a registration form </w:t>
      </w:r>
      <w:r w:rsidR="00CB2D24">
        <w:t>would not be entitled to receive a distribution from any settlement of the proceeding reached before the hearing</w:t>
      </w:r>
      <w:r w:rsidR="00EA08D7">
        <w:t>,</w:t>
      </w:r>
      <w:r w:rsidR="00EA08D7" w:rsidRPr="00EA08D7">
        <w:t xml:space="preserve"> </w:t>
      </w:r>
      <w:r w:rsidR="00EA08D7">
        <w:t>subject to any further order of the Court</w:t>
      </w:r>
      <w:r w:rsidR="00CB2D24">
        <w:t xml:space="preserve">. </w:t>
      </w:r>
    </w:p>
    <w:p w14:paraId="04269FB2" w14:textId="131002DF" w:rsidR="00CB2D24" w:rsidRPr="00DA0373" w:rsidRDefault="00CB2D24" w:rsidP="00CB2D24">
      <w:pPr>
        <w:pStyle w:val="ParaNumbering"/>
      </w:pPr>
      <w:r w:rsidRPr="00DA0373">
        <w:t>At the conclusion of the class closure process in March 2019 there were:</w:t>
      </w:r>
    </w:p>
    <w:p w14:paraId="58C91414" w14:textId="684AED17" w:rsidR="00CB2D24" w:rsidRPr="007264AD" w:rsidRDefault="00CB2D24" w:rsidP="00CB2D24">
      <w:pPr>
        <w:pStyle w:val="ListNo1"/>
        <w:numPr>
          <w:ilvl w:val="0"/>
          <w:numId w:val="26"/>
        </w:numPr>
      </w:pPr>
      <w:r w:rsidRPr="007264AD">
        <w:t xml:space="preserve">616 Group Members who </w:t>
      </w:r>
      <w:r w:rsidR="00BD329D" w:rsidRPr="007264AD">
        <w:t xml:space="preserve">had </w:t>
      </w:r>
      <w:r w:rsidRPr="007264AD">
        <w:t>acquired 83,352,950 Vocation shares (net) in the Relevant Period who were deemed to have registered by virtue of having retained Maurice Blackburn or Slater and Gordon, or entered funding agreements with ILFP/OBL</w:t>
      </w:r>
      <w:r w:rsidR="00EA08D7" w:rsidRPr="007264AD">
        <w:t>; and</w:t>
      </w:r>
    </w:p>
    <w:p w14:paraId="351427BF" w14:textId="77777777" w:rsidR="00CB2D24" w:rsidRPr="003C7241" w:rsidRDefault="00CB2D24" w:rsidP="00CB2D24">
      <w:pPr>
        <w:pStyle w:val="ListNo1"/>
        <w:numPr>
          <w:ilvl w:val="0"/>
          <w:numId w:val="26"/>
        </w:numPr>
      </w:pPr>
      <w:r>
        <w:t xml:space="preserve">96 </w:t>
      </w:r>
      <w:r w:rsidR="00BD329D">
        <w:t>Group Members</w:t>
      </w:r>
      <w:r>
        <w:t xml:space="preserve"> who </w:t>
      </w:r>
      <w:r w:rsidR="00BD329D">
        <w:t xml:space="preserve">had </w:t>
      </w:r>
      <w:r>
        <w:t>acquired 29,730,915 Vocation shares (net) in the Relevant Period who had not retained either law firm or entered into a funding in agreement with either funder, but which had registered their claims in accordance with the process set out in the class closure orders (</w:t>
      </w:r>
      <w:r w:rsidRPr="00412CA3">
        <w:t xml:space="preserve">together the </w:t>
      </w:r>
      <w:r w:rsidRPr="00412CA3">
        <w:rPr>
          <w:b/>
        </w:rPr>
        <w:t>Registered Group Members</w:t>
      </w:r>
      <w:r>
        <w:t xml:space="preserve">). </w:t>
      </w:r>
    </w:p>
    <w:p w14:paraId="6145941D" w14:textId="58D1E1F9" w:rsidR="00DE5B5A" w:rsidRPr="00DA0373" w:rsidRDefault="00DE5B5A" w:rsidP="00DE5B5A">
      <w:pPr>
        <w:pStyle w:val="ParaNumbering"/>
      </w:pPr>
      <w:r w:rsidRPr="00DA0373">
        <w:t xml:space="preserve">Pursuant to orders made by Middleton J on 17 December 2020, </w:t>
      </w:r>
      <w:r w:rsidR="00BD329D" w:rsidRPr="00DA0373">
        <w:t>a</w:t>
      </w:r>
      <w:r w:rsidR="009A3E43">
        <w:t xml:space="preserve"> </w:t>
      </w:r>
      <w:r w:rsidRPr="00DA0373">
        <w:t xml:space="preserve">Notice of Proposed Settlement was distributed to Registered Group Members, </w:t>
      </w:r>
      <w:r w:rsidR="00BD329D" w:rsidRPr="00DA0373">
        <w:t xml:space="preserve">as well as being </w:t>
      </w:r>
      <w:r w:rsidRPr="00DA0373">
        <w:t>published on the Vocation Class Action website and advertised in one weekday edition of nine Australian newspapers.</w:t>
      </w:r>
      <w:r w:rsidR="00206E03">
        <w:t xml:space="preserve"> </w:t>
      </w:r>
      <w:r w:rsidR="009A3E43">
        <w:t xml:space="preserve"> </w:t>
      </w:r>
      <w:r w:rsidRPr="00DA0373">
        <w:t xml:space="preserve">The Notice informed </w:t>
      </w:r>
      <w:r w:rsidR="00B03BD2" w:rsidRPr="00DA0373">
        <w:t xml:space="preserve">Registered </w:t>
      </w:r>
      <w:r w:rsidRPr="00DA0373">
        <w:t>Group Members about: (1) the basic parameters of the settlement</w:t>
      </w:r>
      <w:r w:rsidR="00AC2755">
        <w:t xml:space="preserve">, including the aggregate </w:t>
      </w:r>
      <w:r w:rsidR="0031096F">
        <w:t>S</w:t>
      </w:r>
      <w:r w:rsidR="00257593">
        <w:t xml:space="preserve">ettlement </w:t>
      </w:r>
      <w:r w:rsidR="0031096F">
        <w:t>S</w:t>
      </w:r>
      <w:r w:rsidR="00257593">
        <w:t xml:space="preserve">um </w:t>
      </w:r>
      <w:r w:rsidR="00AC2755">
        <w:t xml:space="preserve">of approximately </w:t>
      </w:r>
      <w:r w:rsidR="004A11A5">
        <w:t>$</w:t>
      </w:r>
      <w:r w:rsidR="00AC2755">
        <w:t>50</w:t>
      </w:r>
      <w:r w:rsidR="004A11A5">
        <w:t xml:space="preserve"> million</w:t>
      </w:r>
      <w:r w:rsidRPr="00DA0373">
        <w:t xml:space="preserve">; (2) the </w:t>
      </w:r>
      <w:r w:rsidRPr="00DA0373">
        <w:lastRenderedPageBreak/>
        <w:t>estimated amount of the proposed deductions; and (3) t</w:t>
      </w:r>
      <w:r w:rsidR="00BD329D" w:rsidRPr="00DA0373">
        <w:t>hat t</w:t>
      </w:r>
      <w:r w:rsidRPr="00DA0373">
        <w:t xml:space="preserve">he amount of compensation each group member would receive </w:t>
      </w:r>
      <w:r w:rsidR="002D7054" w:rsidRPr="00DA0373">
        <w:t>would be calculated in accordance with t</w:t>
      </w:r>
      <w:r w:rsidR="00AC2755">
        <w:t>h</w:t>
      </w:r>
      <w:r w:rsidR="002D7054" w:rsidRPr="00DA0373">
        <w:t xml:space="preserve">e SDS and </w:t>
      </w:r>
      <w:r w:rsidRPr="00DA0373">
        <w:t xml:space="preserve">depend on, amongst other things, the number of shares purchased </w:t>
      </w:r>
      <w:r w:rsidR="00FC6A1D">
        <w:t xml:space="preserve">by the Registered Group Member </w:t>
      </w:r>
      <w:r w:rsidRPr="00DA0373">
        <w:t xml:space="preserve">and </w:t>
      </w:r>
      <w:r w:rsidR="00257593">
        <w:t xml:space="preserve">the </w:t>
      </w:r>
      <w:r w:rsidRPr="00DA0373">
        <w:t>date of purchase, whether any shares were sold, the total amount of deductions from the Settlement Sum approved by the Court and any interest earned on the Settlement Sum prior to final distributions.</w:t>
      </w:r>
      <w:r w:rsidR="009A3E43">
        <w:t xml:space="preserve">  </w:t>
      </w:r>
      <w:r w:rsidR="002D7054" w:rsidRPr="00DA0373">
        <w:t>As well as this, Group Members were sent a notice of their estimated distribution.</w:t>
      </w:r>
      <w:r w:rsidR="009A3E43">
        <w:t xml:space="preserve"> </w:t>
      </w:r>
      <w:r w:rsidR="00206E03">
        <w:t xml:space="preserve"> </w:t>
      </w:r>
      <w:r w:rsidR="00AC2755">
        <w:t>In written submissions filed on 11 March 2021,</w:t>
      </w:r>
      <w:r w:rsidR="00BD329D" w:rsidRPr="00DA0373">
        <w:t xml:space="preserve"> </w:t>
      </w:r>
      <w:r w:rsidR="00AC2755">
        <w:t xml:space="preserve">the Applicant confirmed </w:t>
      </w:r>
      <w:r w:rsidR="00BD329D" w:rsidRPr="00DA0373">
        <w:t>that</w:t>
      </w:r>
      <w:r w:rsidR="009A3E43">
        <w:t xml:space="preserve"> </w:t>
      </w:r>
      <w:r w:rsidR="00BD329D" w:rsidRPr="00DA0373">
        <w:t>this estimate remained</w:t>
      </w:r>
      <w:r w:rsidR="002D7054" w:rsidRPr="00DA0373">
        <w:t xml:space="preserve"> reliable and the proposed deductions identified in the Notice of Proposed Settlement </w:t>
      </w:r>
      <w:r w:rsidR="00AC2755">
        <w:t xml:space="preserve">had </w:t>
      </w:r>
      <w:r w:rsidR="002D7054" w:rsidRPr="00DA0373">
        <w:t xml:space="preserve">not </w:t>
      </w:r>
      <w:r w:rsidR="00AC2755">
        <w:t xml:space="preserve">materially </w:t>
      </w:r>
      <w:r w:rsidR="002D7054" w:rsidRPr="00DA0373">
        <w:t xml:space="preserve">increased. </w:t>
      </w:r>
    </w:p>
    <w:p w14:paraId="2BE461EC" w14:textId="3A7F0104" w:rsidR="00B60ADF" w:rsidRPr="00DA0373" w:rsidRDefault="00670C8B" w:rsidP="00F055BD">
      <w:pPr>
        <w:pStyle w:val="ParaNumbering"/>
      </w:pPr>
      <w:r>
        <w:t xml:space="preserve">Since the distribution of the Notice of Proposed Settlement, </w:t>
      </w:r>
      <w:r w:rsidR="00220DCD">
        <w:t xml:space="preserve">an </w:t>
      </w:r>
      <w:r w:rsidR="00220DCD" w:rsidRPr="007264AD">
        <w:t>additional 22</w:t>
      </w:r>
      <w:r w:rsidR="00220DCD">
        <w:t xml:space="preserve"> </w:t>
      </w:r>
      <w:r w:rsidR="00220DCD" w:rsidRPr="0063395D">
        <w:t>Late Registrants</w:t>
      </w:r>
      <w:r w:rsidR="00220DCD">
        <w:t xml:space="preserve"> </w:t>
      </w:r>
      <w:r>
        <w:t>have sought to participate in the proposed settlement.</w:t>
      </w:r>
      <w:r w:rsidR="009A3E43">
        <w:t xml:space="preserve">  </w:t>
      </w:r>
      <w:r w:rsidRPr="00DA0373">
        <w:t>T</w:t>
      </w:r>
      <w:r w:rsidR="00BD329D" w:rsidRPr="00DA0373">
        <w:t>he Applicant does not oppose an</w:t>
      </w:r>
      <w:r w:rsidRPr="00DA0373">
        <w:t xml:space="preserve"> order p</w:t>
      </w:r>
      <w:r w:rsidR="00BD329D" w:rsidRPr="00DA0373">
        <w:t>ermitting the Late Registrants to</w:t>
      </w:r>
      <w:r w:rsidRPr="00DA0373">
        <w:t xml:space="preserve"> participat</w:t>
      </w:r>
      <w:r w:rsidR="00BD329D" w:rsidRPr="00DA0373">
        <w:t>e</w:t>
      </w:r>
      <w:r w:rsidRPr="00DA0373">
        <w:t xml:space="preserve"> in the proposed settlement</w:t>
      </w:r>
      <w:r w:rsidR="004C2779">
        <w:t xml:space="preserve">, having regard to </w:t>
      </w:r>
      <w:r w:rsidR="00BD329D" w:rsidRPr="00DA0373">
        <w:t>t</w:t>
      </w:r>
      <w:r w:rsidR="002D7054" w:rsidRPr="00DA0373">
        <w:t xml:space="preserve">he </w:t>
      </w:r>
      <w:r w:rsidR="004C2779">
        <w:t xml:space="preserve">negligible </w:t>
      </w:r>
      <w:r w:rsidR="002D7054" w:rsidRPr="00DA0373">
        <w:t xml:space="preserve">impact </w:t>
      </w:r>
      <w:r w:rsidR="00BD329D" w:rsidRPr="00DA0373">
        <w:t>upon the distribution to Registered Group Members of allowing the Late Registrants to participate</w:t>
      </w:r>
      <w:r w:rsidRPr="00DA0373">
        <w:t xml:space="preserve">. </w:t>
      </w:r>
    </w:p>
    <w:p w14:paraId="738D6523" w14:textId="77777777" w:rsidR="00582D4E" w:rsidRDefault="00582D4E" w:rsidP="00582D4E">
      <w:pPr>
        <w:pStyle w:val="Heading2"/>
      </w:pPr>
      <w:r>
        <w:t>The applicant’s claim in the proceeding</w:t>
      </w:r>
    </w:p>
    <w:p w14:paraId="126DD7B8" w14:textId="480176AE" w:rsidR="00916C53" w:rsidRDefault="00916C53" w:rsidP="00916C53">
      <w:pPr>
        <w:pStyle w:val="ParaNumbering"/>
      </w:pPr>
      <w:r>
        <w:t>Before turning to the now well</w:t>
      </w:r>
      <w:r w:rsidR="00F055BD">
        <w:t>-</w:t>
      </w:r>
      <w:r>
        <w:t>established principles to be applied in an application for approval of a settlement of a Group Proceeding under Part IVA of the</w:t>
      </w:r>
      <w:r w:rsidR="009A1448">
        <w:t xml:space="preserve"> </w:t>
      </w:r>
      <w:r w:rsidR="00805476">
        <w:t>Act</w:t>
      </w:r>
      <w:r w:rsidR="009A1448" w:rsidRPr="00533703">
        <w:t>,</w:t>
      </w:r>
      <w:r>
        <w:t xml:space="preserve"> it is necessary to briefly describe the Applicant’s claim</w:t>
      </w:r>
      <w:r w:rsidR="00BD329D">
        <w:t>s</w:t>
      </w:r>
      <w:r>
        <w:t>.</w:t>
      </w:r>
    </w:p>
    <w:p w14:paraId="1AF965D1" w14:textId="6FAC9B25" w:rsidR="009A1448" w:rsidRDefault="009A1448" w:rsidP="00916C53">
      <w:pPr>
        <w:pStyle w:val="ParaNumbering"/>
      </w:pPr>
      <w:r>
        <w:t>The claims made against the First Respondent, Vocation, concern alleged misleading statements in, and material om</w:t>
      </w:r>
      <w:r w:rsidR="00BD329D">
        <w:t>issions from, the prospectus</w:t>
      </w:r>
      <w:r>
        <w:t xml:space="preserve"> which preceded Vocation’s Initial Public Offering</w:t>
      </w:r>
      <w:r w:rsidR="009B4BAD">
        <w:t xml:space="preserve"> (</w:t>
      </w:r>
      <w:r w:rsidR="009B4BAD">
        <w:rPr>
          <w:b/>
        </w:rPr>
        <w:t>IPO</w:t>
      </w:r>
      <w:r w:rsidR="009B4BAD">
        <w:t>)</w:t>
      </w:r>
      <w:r w:rsidR="00220DCD">
        <w:t>.</w:t>
      </w:r>
      <w:r w:rsidR="009A3E43">
        <w:t xml:space="preserve">  </w:t>
      </w:r>
      <w:r w:rsidR="00C26C78">
        <w:t>These claims are made</w:t>
      </w:r>
      <w:r>
        <w:t xml:space="preserve"> </w:t>
      </w:r>
      <w:r w:rsidR="00BD329D">
        <w:t>pursuant to</w:t>
      </w:r>
      <w:r>
        <w:t xml:space="preserve"> </w:t>
      </w:r>
      <w:proofErr w:type="spellStart"/>
      <w:r>
        <w:t>ss</w:t>
      </w:r>
      <w:proofErr w:type="spellEnd"/>
      <w:r>
        <w:t xml:space="preserve"> 728 and 729 of the </w:t>
      </w:r>
      <w:r w:rsidR="00805476" w:rsidRPr="00805476">
        <w:rPr>
          <w:b/>
          <w:i/>
        </w:rPr>
        <w:t xml:space="preserve">Corporations </w:t>
      </w:r>
      <w:r w:rsidR="00805476" w:rsidRPr="009A1448">
        <w:rPr>
          <w:b/>
          <w:i/>
        </w:rPr>
        <w:t>Act</w:t>
      </w:r>
      <w:r w:rsidR="00805476">
        <w:rPr>
          <w:i/>
        </w:rPr>
        <w:t xml:space="preserve"> 2001 </w:t>
      </w:r>
      <w:r w:rsidR="00805476">
        <w:t>(Cth)</w:t>
      </w:r>
      <w:r>
        <w:t xml:space="preserve">; s 1041H of the </w:t>
      </w:r>
      <w:r w:rsidR="00805476">
        <w:t xml:space="preserve">Corporations </w:t>
      </w:r>
      <w:r>
        <w:t xml:space="preserve">Act; s 12DA of the </w:t>
      </w:r>
      <w:r>
        <w:rPr>
          <w:i/>
        </w:rPr>
        <w:t>Australian Securities and Investment</w:t>
      </w:r>
      <w:r w:rsidR="00594EF3">
        <w:rPr>
          <w:i/>
        </w:rPr>
        <w:t>s</w:t>
      </w:r>
      <w:r>
        <w:rPr>
          <w:i/>
        </w:rPr>
        <w:t xml:space="preserve"> Commission </w:t>
      </w:r>
      <w:r w:rsidR="009768D3">
        <w:rPr>
          <w:i/>
        </w:rPr>
        <w:t>A</w:t>
      </w:r>
      <w:r>
        <w:rPr>
          <w:i/>
        </w:rPr>
        <w:t xml:space="preserve">ct 2001 </w:t>
      </w:r>
      <w:r>
        <w:t xml:space="preserve">(Cth) </w:t>
      </w:r>
      <w:r w:rsidR="00C26C78">
        <w:t>(</w:t>
      </w:r>
      <w:r w:rsidR="00C26C78">
        <w:rPr>
          <w:b/>
        </w:rPr>
        <w:t xml:space="preserve">ASIC Act) </w:t>
      </w:r>
      <w:r>
        <w:t xml:space="preserve">and s 18 of the </w:t>
      </w:r>
      <w:r w:rsidRPr="00533703">
        <w:t>Australian Consumer Law</w:t>
      </w:r>
      <w:r w:rsidR="00C26C78">
        <w:rPr>
          <w:i/>
        </w:rPr>
        <w:t xml:space="preserve"> </w:t>
      </w:r>
      <w:r w:rsidR="004E7984">
        <w:t xml:space="preserve">(Schedule 2 to the </w:t>
      </w:r>
      <w:r w:rsidR="004E7984">
        <w:rPr>
          <w:i/>
        </w:rPr>
        <w:t xml:space="preserve">Australian Competition and Consumer Act 2010 </w:t>
      </w:r>
      <w:r w:rsidR="004E7984">
        <w:t xml:space="preserve">(Cth)) </w:t>
      </w:r>
      <w:r w:rsidR="00C26C78">
        <w:t>(</w:t>
      </w:r>
      <w:r w:rsidR="00C26C78">
        <w:rPr>
          <w:b/>
        </w:rPr>
        <w:t>ACL</w:t>
      </w:r>
      <w:r w:rsidR="00C26C78">
        <w:t>)</w:t>
      </w:r>
      <w:r w:rsidR="00B03BD2">
        <w:t xml:space="preserve">. </w:t>
      </w:r>
    </w:p>
    <w:p w14:paraId="6CC3D0B3" w14:textId="44227B2E" w:rsidR="00C26C78" w:rsidRPr="00DA0373" w:rsidRDefault="00C26C78" w:rsidP="00916C53">
      <w:pPr>
        <w:pStyle w:val="ParaNumbering"/>
      </w:pPr>
      <w:r w:rsidRPr="00543A8D">
        <w:t>The claim</w:t>
      </w:r>
      <w:r w:rsidRPr="00DA0373">
        <w:t>s made against the Second Respondent, PwC, are brought in respect of Vocation shares acquired on or after 21 August 201</w:t>
      </w:r>
      <w:r w:rsidR="009768D3">
        <w:t>4</w:t>
      </w:r>
      <w:r w:rsidRPr="00DA0373">
        <w:t>.</w:t>
      </w:r>
      <w:r w:rsidR="009A3E43">
        <w:t xml:space="preserve">  </w:t>
      </w:r>
      <w:r w:rsidRPr="00DA0373">
        <w:t xml:space="preserve">The Applicant alleges that the Second Respondent </w:t>
      </w:r>
      <w:r w:rsidR="00A466E5" w:rsidRPr="00DA0373">
        <w:t xml:space="preserve">made misstatements to Vocation and the market, involving </w:t>
      </w:r>
      <w:r w:rsidR="009768D3">
        <w:t xml:space="preserve">alleged </w:t>
      </w:r>
      <w:r w:rsidR="00A466E5" w:rsidRPr="00DA0373">
        <w:t>failure</w:t>
      </w:r>
      <w:r w:rsidR="00257593">
        <w:t>s</w:t>
      </w:r>
      <w:r w:rsidR="00A466E5" w:rsidRPr="00DA0373">
        <w:t xml:space="preserve"> to disclose</w:t>
      </w:r>
      <w:r w:rsidR="00A46C32" w:rsidRPr="00DA0373">
        <w:t>:</w:t>
      </w:r>
      <w:r w:rsidR="00A466E5" w:rsidRPr="00DA0373">
        <w:t xml:space="preserve"> </w:t>
      </w:r>
      <w:r w:rsidR="00A46C32" w:rsidRPr="00DA0373">
        <w:t xml:space="preserve">(1) </w:t>
      </w:r>
      <w:r w:rsidR="00A466E5" w:rsidRPr="00DA0373">
        <w:t>rev</w:t>
      </w:r>
      <w:r w:rsidR="00A46C32" w:rsidRPr="00DA0373">
        <w:t>enue recognition policy changes; (2)</w:t>
      </w:r>
      <w:r w:rsidR="00A466E5" w:rsidRPr="00DA0373">
        <w:t xml:space="preserve"> funding and enrolment suspensions</w:t>
      </w:r>
      <w:r w:rsidR="00C76826">
        <w:t>;</w:t>
      </w:r>
      <w:r w:rsidR="00A466E5" w:rsidRPr="00DA0373">
        <w:t xml:space="preserve"> and</w:t>
      </w:r>
      <w:r w:rsidR="00A46C32" w:rsidRPr="00DA0373">
        <w:t xml:space="preserve"> (3)</w:t>
      </w:r>
      <w:r w:rsidR="00A466E5" w:rsidRPr="00DA0373">
        <w:t xml:space="preserve"> that there was material uncertainty about Vocation’s ability to continue as a going concern.</w:t>
      </w:r>
      <w:r w:rsidR="009A3E43">
        <w:t xml:space="preserve"> </w:t>
      </w:r>
      <w:r w:rsidR="00206E03">
        <w:t xml:space="preserve"> </w:t>
      </w:r>
      <w:r w:rsidR="00A466E5" w:rsidRPr="00DA0373">
        <w:t>Further</w:t>
      </w:r>
      <w:r w:rsidR="00257593">
        <w:t>,</w:t>
      </w:r>
      <w:r w:rsidR="00A466E5" w:rsidRPr="00DA0373">
        <w:t xml:space="preserve"> the Applicant claims that the Second Respondent </w:t>
      </w:r>
      <w:r w:rsidR="00805476" w:rsidRPr="00DA0373">
        <w:t xml:space="preserve">engaged in misleading and deceptive conduct in connection with its audit of Vocation’s accounts for the </w:t>
      </w:r>
      <w:r w:rsidR="00083D72">
        <w:t xml:space="preserve">financial </w:t>
      </w:r>
      <w:r w:rsidR="00805476" w:rsidRPr="00DA0373">
        <w:t>year ended 30 June 2014.</w:t>
      </w:r>
      <w:r w:rsidR="00206E03">
        <w:t xml:space="preserve">  </w:t>
      </w:r>
      <w:r w:rsidRPr="00DA0373">
        <w:lastRenderedPageBreak/>
        <w:t xml:space="preserve">These claims are made </w:t>
      </w:r>
      <w:r w:rsidR="00083D72">
        <w:t xml:space="preserve">pursuant to </w:t>
      </w:r>
      <w:proofErr w:type="spellStart"/>
      <w:r w:rsidRPr="00DA0373">
        <w:t>ss</w:t>
      </w:r>
      <w:proofErr w:type="spellEnd"/>
      <w:r w:rsidRPr="00DA0373">
        <w:t xml:space="preserve"> 1041E and 1041H of the </w:t>
      </w:r>
      <w:r w:rsidR="00805476" w:rsidRPr="00DA0373">
        <w:t xml:space="preserve">Corporations </w:t>
      </w:r>
      <w:r w:rsidRPr="00DA0373">
        <w:t>Act, s 12D</w:t>
      </w:r>
      <w:r w:rsidR="00A466E5" w:rsidRPr="00DA0373">
        <w:t>A</w:t>
      </w:r>
      <w:r w:rsidRPr="00DA0373">
        <w:t xml:space="preserve"> of the ASIC Act and s 18 of the ACL.</w:t>
      </w:r>
    </w:p>
    <w:p w14:paraId="2F2A51B3" w14:textId="0D9D6246" w:rsidR="00C26C78" w:rsidRDefault="00C26C78" w:rsidP="00916C53">
      <w:pPr>
        <w:pStyle w:val="ParaNumbering"/>
      </w:pPr>
      <w:r>
        <w:t xml:space="preserve">The </w:t>
      </w:r>
      <w:r w:rsidR="00A466E5">
        <w:t>claims</w:t>
      </w:r>
      <w:r>
        <w:t xml:space="preserve"> in relation to the D&amp;O Respondents are </w:t>
      </w:r>
      <w:r w:rsidR="00BD329D">
        <w:t>founded</w:t>
      </w:r>
      <w:r>
        <w:t xml:space="preserve"> upon alleged misleading representations made by the D&amp;O Respondents</w:t>
      </w:r>
      <w:r w:rsidR="00BD329D">
        <w:t>.</w:t>
      </w:r>
      <w:r w:rsidR="009A3E43">
        <w:t xml:space="preserve"> </w:t>
      </w:r>
      <w:r w:rsidR="00206E03">
        <w:t xml:space="preserve"> </w:t>
      </w:r>
      <w:r w:rsidR="00BD329D">
        <w:t>These claims are made pursuant to</w:t>
      </w:r>
      <w:r w:rsidR="00B5085A">
        <w:t xml:space="preserve"> s 1041H of the Act, s 12DA of the ASIC Act and s 18 of the ACL. </w:t>
      </w:r>
    </w:p>
    <w:p w14:paraId="058CFE72" w14:textId="77777777" w:rsidR="00741F0A" w:rsidRDefault="00741F0A" w:rsidP="00741F0A">
      <w:pPr>
        <w:pStyle w:val="Heading2"/>
      </w:pPr>
      <w:r>
        <w:t>Cross-claims</w:t>
      </w:r>
    </w:p>
    <w:p w14:paraId="0D0A1AA8" w14:textId="422D392E" w:rsidR="003E2F18" w:rsidRPr="00DA0373" w:rsidRDefault="003E2F18" w:rsidP="003E2F18">
      <w:pPr>
        <w:pStyle w:val="ParaNumbering"/>
      </w:pPr>
      <w:r w:rsidRPr="00DA0373">
        <w:t xml:space="preserve">In total, </w:t>
      </w:r>
      <w:r w:rsidRPr="00057D8B">
        <w:t>seven cross-claims were</w:t>
      </w:r>
      <w:r w:rsidRPr="00DA0373">
        <w:t xml:space="preserve"> issued by the Respondents and Cross-Respondents.</w:t>
      </w:r>
      <w:r w:rsidR="009A3E43">
        <w:t xml:space="preserve"> </w:t>
      </w:r>
      <w:r w:rsidR="00F807DC">
        <w:t xml:space="preserve"> </w:t>
      </w:r>
      <w:r w:rsidRPr="00DA0373">
        <w:t>The cross-claims are as follows:</w:t>
      </w:r>
    </w:p>
    <w:p w14:paraId="57AD5E32" w14:textId="357F30C4" w:rsidR="00495E59" w:rsidRDefault="00CB0942" w:rsidP="00DB7C9A">
      <w:pPr>
        <w:pStyle w:val="ListNo1"/>
        <w:numPr>
          <w:ilvl w:val="0"/>
          <w:numId w:val="42"/>
        </w:numPr>
      </w:pPr>
      <w:r>
        <w:t xml:space="preserve">Vocation filed </w:t>
      </w:r>
      <w:r w:rsidR="00FC6E36">
        <w:t>the</w:t>
      </w:r>
      <w:r>
        <w:t xml:space="preserve"> first cross-claim against </w:t>
      </w:r>
      <w:r w:rsidRPr="00916C53">
        <w:t>J</w:t>
      </w:r>
      <w:r>
        <w:t xml:space="preserve">ohnson Winter and </w:t>
      </w:r>
      <w:r w:rsidRPr="00916C53">
        <w:t>S</w:t>
      </w:r>
      <w:r>
        <w:t>lattery (</w:t>
      </w:r>
      <w:r w:rsidRPr="00DB7C9A">
        <w:rPr>
          <w:b/>
        </w:rPr>
        <w:t>JWS</w:t>
      </w:r>
      <w:r w:rsidRPr="00533703">
        <w:t>)</w:t>
      </w:r>
      <w:r w:rsidR="00257593">
        <w:t>,</w:t>
      </w:r>
      <w:r w:rsidR="00495E59" w:rsidRPr="00DB7C9A">
        <w:rPr>
          <w:b/>
        </w:rPr>
        <w:t xml:space="preserve"> </w:t>
      </w:r>
      <w:r w:rsidR="00495E59">
        <w:t>which was Vocation’s legal adviser both</w:t>
      </w:r>
      <w:r w:rsidR="00257593">
        <w:t>:</w:t>
      </w:r>
      <w:r w:rsidR="00495E59">
        <w:t xml:space="preserve"> </w:t>
      </w:r>
      <w:r w:rsidR="00BE0CC1">
        <w:t xml:space="preserve">(1) </w:t>
      </w:r>
      <w:r w:rsidR="00495E59">
        <w:t xml:space="preserve">at the time the Prospectus </w:t>
      </w:r>
      <w:r w:rsidR="009768D3">
        <w:t xml:space="preserve">for the </w:t>
      </w:r>
      <w:r w:rsidR="00495E59">
        <w:t>IPO</w:t>
      </w:r>
      <w:r w:rsidR="003E2F18">
        <w:t xml:space="preserve"> </w:t>
      </w:r>
      <w:r w:rsidR="009768D3">
        <w:t xml:space="preserve">was </w:t>
      </w:r>
      <w:r w:rsidR="003E2F18">
        <w:t>issued</w:t>
      </w:r>
      <w:r w:rsidR="00BE0CC1">
        <w:t xml:space="preserve"> and which Vocation alleges that JWS advised it that the Prospectus contained all necessary information; and (2) in mid-2014, from which it </w:t>
      </w:r>
      <w:r w:rsidR="00FC6E36">
        <w:t xml:space="preserve">sought advice </w:t>
      </w:r>
      <w:r w:rsidR="00495E59">
        <w:t xml:space="preserve">as to whether to disclose </w:t>
      </w:r>
      <w:r w:rsidR="00057D8B">
        <w:t>f</w:t>
      </w:r>
      <w:r w:rsidR="00495E59">
        <w:t xml:space="preserve">unding and </w:t>
      </w:r>
      <w:r w:rsidR="00057D8B">
        <w:t>e</w:t>
      </w:r>
      <w:r w:rsidR="00495E59">
        <w:t xml:space="preserve">nrolment </w:t>
      </w:r>
      <w:r w:rsidR="00057D8B">
        <w:t>s</w:t>
      </w:r>
      <w:r w:rsidR="00495E59">
        <w:t xml:space="preserve">uspensions to the </w:t>
      </w:r>
      <w:r w:rsidR="000D1F7A">
        <w:t>Australian Stock Exchange (</w:t>
      </w:r>
      <w:r w:rsidR="00495E59" w:rsidRPr="00DB7C9A">
        <w:rPr>
          <w:b/>
        </w:rPr>
        <w:t>ASX</w:t>
      </w:r>
      <w:r w:rsidR="000D1F7A">
        <w:t>)</w:t>
      </w:r>
      <w:r w:rsidR="00FC6E36" w:rsidRPr="00DB7C9A">
        <w:rPr>
          <w:b/>
        </w:rPr>
        <w:t>;</w:t>
      </w:r>
      <w:r w:rsidR="009A3E43" w:rsidRPr="00DB7C9A">
        <w:rPr>
          <w:b/>
        </w:rPr>
        <w:t xml:space="preserve">  </w:t>
      </w:r>
    </w:p>
    <w:p w14:paraId="310382BA" w14:textId="77777777" w:rsidR="007066BC" w:rsidRDefault="003E2F18" w:rsidP="003E2F18">
      <w:pPr>
        <w:pStyle w:val="ListNo1"/>
      </w:pPr>
      <w:r>
        <w:t xml:space="preserve">PWC filed the </w:t>
      </w:r>
      <w:r w:rsidR="00552CED">
        <w:t>second cross-claim</w:t>
      </w:r>
      <w:r w:rsidR="00741F0A" w:rsidRPr="00916C53">
        <w:t xml:space="preserve"> in the Consolidated Proceeding against</w:t>
      </w:r>
      <w:r w:rsidR="00552CED">
        <w:t xml:space="preserve"> </w:t>
      </w:r>
      <w:r w:rsidR="00741F0A" w:rsidRPr="00916C53">
        <w:t xml:space="preserve">JWS, </w:t>
      </w:r>
      <w:r w:rsidR="00A0316F" w:rsidRPr="00FC6E36">
        <w:t>repeating Vocation’s</w:t>
      </w:r>
      <w:r w:rsidR="00A0316F">
        <w:t xml:space="preserve"> allegations against JWS</w:t>
      </w:r>
      <w:r w:rsidR="007066BC">
        <w:t xml:space="preserve">; </w:t>
      </w:r>
    </w:p>
    <w:p w14:paraId="6EBAD5E3" w14:textId="0B4DEC50" w:rsidR="00741F0A" w:rsidRDefault="003E2F18" w:rsidP="00617A54">
      <w:pPr>
        <w:pStyle w:val="ListNo1"/>
      </w:pPr>
      <w:r>
        <w:t xml:space="preserve">PWC filed </w:t>
      </w:r>
      <w:r w:rsidR="00552CED">
        <w:t>the third cross-claim against Vocation</w:t>
      </w:r>
      <w:r w:rsidR="00057D8B">
        <w:t>, the D&amp;O Respondents</w:t>
      </w:r>
      <w:r w:rsidR="00552CED">
        <w:t xml:space="preserve"> and </w:t>
      </w:r>
      <w:r w:rsidR="00057D8B">
        <w:t>three other directors</w:t>
      </w:r>
      <w:r w:rsidR="00057D8B" w:rsidRPr="00916C53">
        <w:t xml:space="preserve"> </w:t>
      </w:r>
      <w:r w:rsidR="00741F0A" w:rsidRPr="00916C53">
        <w:t xml:space="preserve">of Vocation (together the </w:t>
      </w:r>
      <w:r w:rsidR="00057D8B" w:rsidRPr="00617A54">
        <w:rPr>
          <w:b/>
        </w:rPr>
        <w:t>D&amp;O</w:t>
      </w:r>
      <w:r w:rsidR="00057D8B">
        <w:t xml:space="preserve"> </w:t>
      </w:r>
      <w:r w:rsidR="00741F0A" w:rsidRPr="00617A54">
        <w:rPr>
          <w:b/>
        </w:rPr>
        <w:t>Cross Respondents</w:t>
      </w:r>
      <w:r w:rsidR="00741F0A" w:rsidRPr="00916C53">
        <w:t>)</w:t>
      </w:r>
      <w:r w:rsidR="00741F0A">
        <w:t xml:space="preserve"> </w:t>
      </w:r>
      <w:r w:rsidR="00552CED">
        <w:t xml:space="preserve">repeating against them all </w:t>
      </w:r>
      <w:r w:rsidR="00FC6E36">
        <w:t xml:space="preserve">of </w:t>
      </w:r>
      <w:r w:rsidR="00552CED">
        <w:t>the allegations in the Applicant’s claim against Vocation</w:t>
      </w:r>
      <w:r w:rsidR="00057D8B">
        <w:t>;</w:t>
      </w:r>
    </w:p>
    <w:p w14:paraId="10AC47C6" w14:textId="77777777" w:rsidR="00552CED" w:rsidRDefault="00552CED" w:rsidP="00617A54">
      <w:pPr>
        <w:pStyle w:val="ListNo1"/>
      </w:pPr>
      <w:r>
        <w:t>Mr John Dawkins filed the fourth cross-claim against JWS, repeating Vocation’s allegations against that firm;</w:t>
      </w:r>
    </w:p>
    <w:p w14:paraId="3C4A3665" w14:textId="16CC5104" w:rsidR="00552CED" w:rsidRDefault="00552CED" w:rsidP="00617A54">
      <w:pPr>
        <w:pStyle w:val="ListNo1"/>
      </w:pPr>
      <w:r>
        <w:t>JWS filed the fifth cross-claim against Vocation and the D&amp;O Cross</w:t>
      </w:r>
      <w:r w:rsidR="00057D8B">
        <w:t xml:space="preserve"> R</w:t>
      </w:r>
      <w:r>
        <w:t>espondents, repeating PwC’s cross-claim against those parties;</w:t>
      </w:r>
      <w:r w:rsidR="007066BC">
        <w:t xml:space="preserve"> and</w:t>
      </w:r>
    </w:p>
    <w:p w14:paraId="061594C4" w14:textId="77777777" w:rsidR="007066BC" w:rsidRDefault="00FC6E36" w:rsidP="00617A54">
      <w:pPr>
        <w:pStyle w:val="ListNo1"/>
      </w:pPr>
      <w:r>
        <w:t>Mr Hutchinson and Mr Grewal filed t</w:t>
      </w:r>
      <w:r w:rsidR="00552CED">
        <w:t>he sixth and seventh cross-claims against JWS, repeating Vocation’s claim against that firm</w:t>
      </w:r>
      <w:r w:rsidR="007066BC">
        <w:t>.</w:t>
      </w:r>
      <w:r w:rsidR="00552CED">
        <w:t xml:space="preserve"> </w:t>
      </w:r>
    </w:p>
    <w:p w14:paraId="04F8CF0A" w14:textId="77777777" w:rsidR="00582D4E" w:rsidRDefault="00582D4E" w:rsidP="00582D4E">
      <w:pPr>
        <w:pStyle w:val="Heading2"/>
      </w:pPr>
      <w:r>
        <w:t xml:space="preserve">Evidence and materials relied upon by the </w:t>
      </w:r>
      <w:r w:rsidR="00B60ADF">
        <w:t>A</w:t>
      </w:r>
      <w:r>
        <w:t>pplicant</w:t>
      </w:r>
    </w:p>
    <w:p w14:paraId="582B7013" w14:textId="77777777" w:rsidR="00582D4E" w:rsidRDefault="00582D4E" w:rsidP="00582D4E">
      <w:pPr>
        <w:pStyle w:val="ParaNumbering"/>
      </w:pPr>
      <w:r>
        <w:t>The Applicant relies upon the following evidence and materials:</w:t>
      </w:r>
    </w:p>
    <w:p w14:paraId="1984A044" w14:textId="05A37FA2" w:rsidR="00110BC2" w:rsidRDefault="00110BC2" w:rsidP="00110BC2">
      <w:pPr>
        <w:pStyle w:val="ListNo1"/>
        <w:numPr>
          <w:ilvl w:val="0"/>
          <w:numId w:val="35"/>
        </w:numPr>
      </w:pPr>
      <w:r>
        <w:t>the affidavit of Andrew Paull affirmed 11 March 2021, which, among other things, exhibits:</w:t>
      </w:r>
    </w:p>
    <w:p w14:paraId="1AC722EB" w14:textId="77777777" w:rsidR="00617A54" w:rsidRDefault="00617A54" w:rsidP="00617A54">
      <w:pPr>
        <w:pStyle w:val="ListNo2"/>
      </w:pPr>
      <w:r>
        <w:t xml:space="preserve">the Settlement Agreement dated 30 November 2020; and </w:t>
      </w:r>
    </w:p>
    <w:p w14:paraId="64935B06" w14:textId="77777777" w:rsidR="00617A54" w:rsidRDefault="00617A54" w:rsidP="00617A54">
      <w:pPr>
        <w:pStyle w:val="ListNo2"/>
      </w:pPr>
      <w:r>
        <w:lastRenderedPageBreak/>
        <w:t>the proposed amended SDS;</w:t>
      </w:r>
    </w:p>
    <w:p w14:paraId="1FC36852" w14:textId="4181EC1B" w:rsidR="00E77712" w:rsidRDefault="007957EB" w:rsidP="00617A54">
      <w:pPr>
        <w:pStyle w:val="ListNo1"/>
        <w:numPr>
          <w:ilvl w:val="0"/>
          <w:numId w:val="35"/>
        </w:numPr>
      </w:pPr>
      <w:r>
        <w:t>t</w:t>
      </w:r>
      <w:r w:rsidR="00E77712">
        <w:t xml:space="preserve">he affidavit of Andrew Paull </w:t>
      </w:r>
      <w:r w:rsidR="00110BC2">
        <w:t>affirmed</w:t>
      </w:r>
      <w:r w:rsidR="00E77712">
        <w:t xml:space="preserve"> 11 March 2021, which exhibits</w:t>
      </w:r>
      <w:r>
        <w:t xml:space="preserve"> </w:t>
      </w:r>
      <w:r w:rsidR="00805476">
        <w:t>t</w:t>
      </w:r>
      <w:r w:rsidR="00E77712">
        <w:t xml:space="preserve">he confidential </w:t>
      </w:r>
      <w:r w:rsidR="00E77712" w:rsidRPr="009159FD">
        <w:t>C</w:t>
      </w:r>
      <w:r w:rsidR="00E77712" w:rsidRPr="00533703">
        <w:t>ounsel Opinion</w:t>
      </w:r>
      <w:r w:rsidR="00E77712">
        <w:t xml:space="preserve"> </w:t>
      </w:r>
      <w:r w:rsidR="00805476">
        <w:t xml:space="preserve">of Mr Richard </w:t>
      </w:r>
      <w:proofErr w:type="spellStart"/>
      <w:r w:rsidR="00805476">
        <w:t>Attiwill</w:t>
      </w:r>
      <w:proofErr w:type="spellEnd"/>
      <w:r w:rsidR="00805476">
        <w:t xml:space="preserve"> QC and Mr William Edwards;</w:t>
      </w:r>
    </w:p>
    <w:p w14:paraId="595A9599" w14:textId="7CE4E326" w:rsidR="00FC0E3E" w:rsidRDefault="007957EB" w:rsidP="00617A54">
      <w:pPr>
        <w:pStyle w:val="ListNo1"/>
        <w:numPr>
          <w:ilvl w:val="0"/>
          <w:numId w:val="35"/>
        </w:numPr>
      </w:pPr>
      <w:r>
        <w:t>t</w:t>
      </w:r>
      <w:r w:rsidR="00FC0E3E">
        <w:t xml:space="preserve">he affidavit of Andrew Paull </w:t>
      </w:r>
      <w:r w:rsidR="00110BC2">
        <w:t>affirmed</w:t>
      </w:r>
      <w:r w:rsidR="00FC0E3E">
        <w:t xml:space="preserve"> 16 March 2021</w:t>
      </w:r>
      <w:r>
        <w:t xml:space="preserve">, which makes corrections to </w:t>
      </w:r>
      <w:r w:rsidR="00257593">
        <w:t>Mr Paull’s earlier affidavit</w:t>
      </w:r>
      <w:r w:rsidR="00FC0E3E">
        <w:t>;</w:t>
      </w:r>
    </w:p>
    <w:p w14:paraId="0329E86D" w14:textId="3FB542A4" w:rsidR="00BD329D" w:rsidRDefault="007957EB" w:rsidP="00617A54">
      <w:pPr>
        <w:pStyle w:val="ListNo1"/>
        <w:numPr>
          <w:ilvl w:val="0"/>
          <w:numId w:val="35"/>
        </w:numPr>
      </w:pPr>
      <w:r>
        <w:t>t</w:t>
      </w:r>
      <w:r w:rsidR="00E77712">
        <w:t>he affidavit of An</w:t>
      </w:r>
      <w:r w:rsidR="00805476">
        <w:t xml:space="preserve">drew John Watson </w:t>
      </w:r>
      <w:r w:rsidR="00110BC2">
        <w:t xml:space="preserve">sworn </w:t>
      </w:r>
      <w:r w:rsidR="00805476">
        <w:t xml:space="preserve">11 March 2021; </w:t>
      </w:r>
    </w:p>
    <w:p w14:paraId="79C648E7" w14:textId="6F9F0E10" w:rsidR="00582D4E" w:rsidRDefault="007957EB" w:rsidP="00617A54">
      <w:pPr>
        <w:pStyle w:val="ListNo1"/>
        <w:numPr>
          <w:ilvl w:val="0"/>
          <w:numId w:val="35"/>
        </w:numPr>
      </w:pPr>
      <w:r>
        <w:t>t</w:t>
      </w:r>
      <w:r w:rsidR="00BD329D">
        <w:t xml:space="preserve">he second affidavit of Andrew John Watson </w:t>
      </w:r>
      <w:r w:rsidR="00110BC2">
        <w:t>sworn</w:t>
      </w:r>
      <w:r w:rsidR="00FC6A1D">
        <w:t xml:space="preserve"> </w:t>
      </w:r>
      <w:r w:rsidR="00BD329D">
        <w:t xml:space="preserve">23 </w:t>
      </w:r>
      <w:r w:rsidR="00110BC2">
        <w:t>M</w:t>
      </w:r>
      <w:r w:rsidR="00BD329D">
        <w:t xml:space="preserve">arch 2021; </w:t>
      </w:r>
      <w:r w:rsidR="00805476">
        <w:t xml:space="preserve">and </w:t>
      </w:r>
    </w:p>
    <w:p w14:paraId="46E7C5AC" w14:textId="39DC6FD4" w:rsidR="00EE42F5" w:rsidRDefault="007957EB" w:rsidP="00617A54">
      <w:pPr>
        <w:pStyle w:val="ListNo1"/>
        <w:numPr>
          <w:ilvl w:val="0"/>
          <w:numId w:val="35"/>
        </w:numPr>
      </w:pPr>
      <w:proofErr w:type="spellStart"/>
      <w:r>
        <w:t>a</w:t>
      </w:r>
      <w:proofErr w:type="spellEnd"/>
      <w:r>
        <w:t xml:space="preserve"> c</w:t>
      </w:r>
      <w:r w:rsidR="00E77712">
        <w:t>ost</w:t>
      </w:r>
      <w:r>
        <w:t>s</w:t>
      </w:r>
      <w:r w:rsidR="00E77712">
        <w:t xml:space="preserve"> report of Cate D</w:t>
      </w:r>
      <w:r w:rsidR="00366427">
        <w:t>ealeh</w:t>
      </w:r>
      <w:r w:rsidR="00E77712">
        <w:t>r</w:t>
      </w:r>
      <w:r w:rsidR="00110BC2">
        <w:t xml:space="preserve">, independent costs </w:t>
      </w:r>
      <w:r w:rsidR="00110BC2" w:rsidRPr="00110BC2">
        <w:t>referee,</w:t>
      </w:r>
      <w:r w:rsidR="00366427" w:rsidRPr="00110BC2">
        <w:t xml:space="preserve"> </w:t>
      </w:r>
      <w:r w:rsidRPr="00110BC2">
        <w:t xml:space="preserve">dated 5 March 2021 </w:t>
      </w:r>
      <w:r w:rsidR="00366427" w:rsidRPr="00110BC2">
        <w:t>(</w:t>
      </w:r>
      <w:r w:rsidRPr="00110BC2">
        <w:t xml:space="preserve">the </w:t>
      </w:r>
      <w:r w:rsidR="00366427" w:rsidRPr="00533703">
        <w:rPr>
          <w:b/>
        </w:rPr>
        <w:t xml:space="preserve">Independent Costs </w:t>
      </w:r>
      <w:r w:rsidR="00110BC2" w:rsidRPr="00533703">
        <w:rPr>
          <w:b/>
        </w:rPr>
        <w:t>Re</w:t>
      </w:r>
      <w:r w:rsidR="00110BC2" w:rsidRPr="00110BC2">
        <w:rPr>
          <w:b/>
        </w:rPr>
        <w:t>port</w:t>
      </w:r>
      <w:r w:rsidR="00366427">
        <w:t>)</w:t>
      </w:r>
      <w:r w:rsidR="009159FD">
        <w:t>.</w:t>
      </w:r>
    </w:p>
    <w:p w14:paraId="44973CB6" w14:textId="4A29803E" w:rsidR="00BD329D" w:rsidRDefault="00BD329D" w:rsidP="00BD329D">
      <w:pPr>
        <w:pStyle w:val="ParaNumbering"/>
      </w:pPr>
      <w:r>
        <w:t xml:space="preserve">The Applicant also referred to </w:t>
      </w:r>
      <w:r w:rsidR="00257593">
        <w:t xml:space="preserve">her </w:t>
      </w:r>
      <w:r>
        <w:t xml:space="preserve">own </w:t>
      </w:r>
      <w:r w:rsidR="007957EB">
        <w:t xml:space="preserve">written </w:t>
      </w:r>
      <w:r>
        <w:t>submissions</w:t>
      </w:r>
      <w:r w:rsidR="007957EB">
        <w:t xml:space="preserve"> dated 11 March 2021,</w:t>
      </w:r>
      <w:r>
        <w:t xml:space="preserve"> as well as the Second Respondent’s </w:t>
      </w:r>
      <w:r w:rsidR="007957EB">
        <w:t xml:space="preserve">written </w:t>
      </w:r>
      <w:r>
        <w:t xml:space="preserve">submissions dated 17 March 2021, in support of the proposed settlement. </w:t>
      </w:r>
    </w:p>
    <w:p w14:paraId="7900FB2A" w14:textId="49CF2818" w:rsidR="00EE42F5" w:rsidRPr="00DA0373" w:rsidRDefault="00BD329D" w:rsidP="00954E33">
      <w:pPr>
        <w:pStyle w:val="ParaNumbering"/>
      </w:pPr>
      <w:r w:rsidRPr="00DA0373">
        <w:t>The Applicant sought c</w:t>
      </w:r>
      <w:r w:rsidR="00EE42F5" w:rsidRPr="00DA0373">
        <w:t xml:space="preserve">onfidentiality </w:t>
      </w:r>
      <w:r w:rsidR="001E0DE3">
        <w:t xml:space="preserve">orders </w:t>
      </w:r>
      <w:r w:rsidR="00EE42F5" w:rsidRPr="00DA0373">
        <w:t xml:space="preserve">in respect of certain parts of the </w:t>
      </w:r>
      <w:r w:rsidRPr="00DA0373">
        <w:t xml:space="preserve">affidavit </w:t>
      </w:r>
      <w:r w:rsidR="00EE42F5" w:rsidRPr="00DA0373">
        <w:t>material relied on by the Applicant.</w:t>
      </w:r>
      <w:r w:rsidR="009A3E43">
        <w:t xml:space="preserve"> </w:t>
      </w:r>
      <w:r w:rsidR="00206E03">
        <w:t xml:space="preserve"> </w:t>
      </w:r>
      <w:r w:rsidR="001E0DE3">
        <w:t>As one would expect</w:t>
      </w:r>
      <w:r w:rsidR="00EE42F5" w:rsidRPr="00DA0373">
        <w:t xml:space="preserve">, confidentiality is </w:t>
      </w:r>
      <w:r w:rsidR="001E0DE3">
        <w:t xml:space="preserve">sought </w:t>
      </w:r>
      <w:r w:rsidR="00EE42F5" w:rsidRPr="00DA0373">
        <w:t xml:space="preserve">in respect of the </w:t>
      </w:r>
      <w:r w:rsidR="001E0DE3">
        <w:t xml:space="preserve">joint </w:t>
      </w:r>
      <w:r w:rsidR="00EE42F5" w:rsidRPr="00DA0373">
        <w:t xml:space="preserve">opinion prepared by </w:t>
      </w:r>
      <w:r w:rsidR="00B527E4">
        <w:t>senior and junior counsel for the Applicant</w:t>
      </w:r>
      <w:r w:rsidR="00EE42F5" w:rsidRPr="00DA0373">
        <w:t xml:space="preserve"> (Mr Richard </w:t>
      </w:r>
      <w:proofErr w:type="spellStart"/>
      <w:r w:rsidR="00EE42F5" w:rsidRPr="00DA0373">
        <w:t>Attiwill</w:t>
      </w:r>
      <w:proofErr w:type="spellEnd"/>
      <w:r w:rsidR="00EE42F5" w:rsidRPr="00DA0373">
        <w:t xml:space="preserve"> QC and Mr William Edwards) dated 11 March 2021</w:t>
      </w:r>
      <w:r w:rsidR="00B527E4">
        <w:t xml:space="preserve"> (the </w:t>
      </w:r>
      <w:r w:rsidR="00B527E4" w:rsidRPr="00954E33">
        <w:rPr>
          <w:b/>
        </w:rPr>
        <w:t>Joint Opinion</w:t>
      </w:r>
      <w:r w:rsidR="00B527E4">
        <w:t>)</w:t>
      </w:r>
      <w:r w:rsidR="00EE42F5" w:rsidRPr="00DA0373">
        <w:t>.</w:t>
      </w:r>
      <w:r w:rsidR="009A3E43">
        <w:t xml:space="preserve"> </w:t>
      </w:r>
      <w:r w:rsidR="00206E03">
        <w:t xml:space="preserve"> </w:t>
      </w:r>
      <w:r w:rsidR="00EE42F5" w:rsidRPr="00DA0373">
        <w:t xml:space="preserve">Confidentiality </w:t>
      </w:r>
      <w:r w:rsidR="001E0DE3">
        <w:t xml:space="preserve">orders are </w:t>
      </w:r>
      <w:r w:rsidR="00EE42F5" w:rsidRPr="00DA0373">
        <w:t xml:space="preserve">also </w:t>
      </w:r>
      <w:r w:rsidR="001E0DE3">
        <w:t xml:space="preserve">sought in relation to </w:t>
      </w:r>
      <w:r w:rsidR="00FC0E3E" w:rsidRPr="00DA0373">
        <w:t>the two affidavits of Andrew Paull dated 11 March 2021</w:t>
      </w:r>
      <w:r w:rsidR="00110BC2">
        <w:t xml:space="preserve">, </w:t>
      </w:r>
      <w:r w:rsidR="00FC0E3E" w:rsidRPr="00DA0373">
        <w:t>the affidavit of Andrew Watson dated 11 Marc</w:t>
      </w:r>
      <w:r w:rsidR="00CF069C">
        <w:t>h</w:t>
      </w:r>
      <w:r w:rsidR="00FC0E3E" w:rsidRPr="00DA0373">
        <w:t xml:space="preserve"> 2021</w:t>
      </w:r>
      <w:r w:rsidR="00110BC2">
        <w:t xml:space="preserve"> as well as the Independent Costs Report</w:t>
      </w:r>
      <w:r w:rsidR="00EE42F5" w:rsidRPr="00DA0373">
        <w:t>.</w:t>
      </w:r>
      <w:r w:rsidR="009A3E43">
        <w:t xml:space="preserve"> </w:t>
      </w:r>
      <w:r w:rsidR="00206E03">
        <w:t xml:space="preserve"> </w:t>
      </w:r>
      <w:r w:rsidR="00EE42F5" w:rsidRPr="00DA0373">
        <w:t xml:space="preserve">I am satisfied that it is appropriate to make confidentiality orders in respect </w:t>
      </w:r>
      <w:r w:rsidR="00B03BD2" w:rsidRPr="00DA0373">
        <w:t>of the</w:t>
      </w:r>
      <w:r w:rsidR="00EE42F5" w:rsidRPr="00DA0373">
        <w:t xml:space="preserve"> parts of the Applicant’s materials in respect of wh</w:t>
      </w:r>
      <w:r w:rsidR="00741F0A" w:rsidRPr="00DA0373">
        <w:t>ich confidentiality is claimed.</w:t>
      </w:r>
      <w:r w:rsidR="009A3E43">
        <w:t xml:space="preserve">  </w:t>
      </w:r>
      <w:r w:rsidRPr="00DA0373">
        <w:t xml:space="preserve">I shall state my reasons for this conclusion below. </w:t>
      </w:r>
    </w:p>
    <w:p w14:paraId="35B06D6C" w14:textId="77777777" w:rsidR="00B60ADF" w:rsidRDefault="00B60ADF" w:rsidP="00B60ADF">
      <w:pPr>
        <w:pStyle w:val="Heading2"/>
      </w:pPr>
      <w:r>
        <w:t>Applicable principles</w:t>
      </w:r>
    </w:p>
    <w:p w14:paraId="4C62A91E" w14:textId="2B4206D9" w:rsidR="00B60ADF" w:rsidRDefault="00B60ADF" w:rsidP="00B60ADF">
      <w:pPr>
        <w:pStyle w:val="ParaNumbering"/>
      </w:pPr>
      <w:r>
        <w:t xml:space="preserve">The settlement of a representative proceeding requires the approval of the Court pursuant to s 33V of the Act. </w:t>
      </w:r>
      <w:r w:rsidR="000C7FA3">
        <w:t xml:space="preserve"> </w:t>
      </w:r>
      <w:r>
        <w:t xml:space="preserve">The relevant principles are well-established and I respectfully adopt the economical statement of principles </w:t>
      </w:r>
      <w:r w:rsidR="00117C70">
        <w:t xml:space="preserve">in </w:t>
      </w:r>
      <w:proofErr w:type="spellStart"/>
      <w:r w:rsidR="00117C70" w:rsidRPr="00096F97">
        <w:rPr>
          <w:b/>
          <w:i/>
        </w:rPr>
        <w:t>Bradgate</w:t>
      </w:r>
      <w:proofErr w:type="spellEnd"/>
      <w:r w:rsidR="00117C70">
        <w:rPr>
          <w:i/>
        </w:rPr>
        <w:t xml:space="preserve"> (Trustee) v Ashley Services Group Limited (No 2) </w:t>
      </w:r>
      <w:r w:rsidR="00117C70">
        <w:t>[2019] FCA 1210 at [9]-[10] (Middleton J)</w:t>
      </w:r>
      <w:r w:rsidR="00110BC2">
        <w:t>:</w:t>
      </w:r>
    </w:p>
    <w:p w14:paraId="7FFEB86A" w14:textId="77777777" w:rsidR="00117C70" w:rsidRDefault="00117C70" w:rsidP="00117C70">
      <w:pPr>
        <w:pStyle w:val="Quote1"/>
      </w:pPr>
      <w:bookmarkStart w:id="25" w:name="PastedTemp28"/>
      <w:r>
        <w:t xml:space="preserve">The principles applicable to court approval of settlements of representative proceedings are well-established. The fundamental task of the Court is to determine whether the settlement is fair and reasonable having regard to the interests of the group members who will be bound by it. Justice Lee recently summarised the applicable principles in </w:t>
      </w:r>
      <w:r w:rsidRPr="00533703">
        <w:rPr>
          <w:i/>
        </w:rPr>
        <w:t>McKenzie v Cash Converters International Ltd (No 3)</w:t>
      </w:r>
      <w:r>
        <w:t xml:space="preserve"> [2019] FCA 10 at [24] as follows:</w:t>
      </w:r>
    </w:p>
    <w:p w14:paraId="69F5B683" w14:textId="77777777" w:rsidR="00117C70" w:rsidRDefault="00117C70" w:rsidP="00117C70">
      <w:pPr>
        <w:pStyle w:val="Quote2"/>
      </w:pPr>
      <w:r>
        <w:t xml:space="preserve">First, the Court assumes an onerous and protective role in relation to group </w:t>
      </w:r>
      <w:r>
        <w:lastRenderedPageBreak/>
        <w:t>members’ interests, in some ways similar to Court approval of settlements on behalf of persons with a legal disability; secondly, the Court must be astute to recognise that the interests of the parties before it and those of the group as a whole (or as between some members of the group and other members) may not wholly coincide; thirdly, and connected to the second point, the Court should be alive to the possibility that a settlement may reflect conflicts of interest or conflicts of duty and interest between participants in the common enterprise which has conducted the representative proceeding; fourthly, the Court should understand that at that point of settlement approval, the interests of the parties have merged in the settlement and both sides may not critique the settlement from the perspectives of the group members who may suffer a detriment or obtain lesser benefits through the settlement; fifthly, the Court must decide whether the proposed settlement is within the range of reasonable outcomes, not whether it is the best outcome which might have been won by better bargaining (in this way, the Court’s task is not to second-guess the applicant’s lawyers, and it should recognise that different applicants and different lawyers will have different appetites for risk).</w:t>
      </w:r>
    </w:p>
    <w:p w14:paraId="1267B11C" w14:textId="77777777" w:rsidR="00117C70" w:rsidRDefault="00117C70" w:rsidP="00117C70">
      <w:pPr>
        <w:pStyle w:val="Quote2"/>
      </w:pPr>
      <w:r>
        <w:t>(Citations omitted)</w:t>
      </w:r>
    </w:p>
    <w:p w14:paraId="2F0239C4" w14:textId="77777777" w:rsidR="00117C70" w:rsidRDefault="00117C70" w:rsidP="00117C70">
      <w:pPr>
        <w:pStyle w:val="Quote1"/>
      </w:pPr>
      <w:r>
        <w:t>Further, when the Court performs its supervisory and protective role, and in particular when assessing whether the proposed settlement falls within the range of reasonable outcomes, the Court relies heavily on the applicant’s counsel who, as guided by [14.4] of the Class Actions Practice Note (GPN-CA), should address the following factors:</w:t>
      </w:r>
    </w:p>
    <w:p w14:paraId="036EEFB2" w14:textId="1F0D7C6A" w:rsidR="00117C70" w:rsidRDefault="00117C70" w:rsidP="00117C70">
      <w:pPr>
        <w:pStyle w:val="Quote2"/>
      </w:pPr>
      <w:r>
        <w:t>(1)</w:t>
      </w:r>
      <w:r w:rsidR="00CC5331">
        <w:tab/>
      </w:r>
      <w:r>
        <w:t>the complexity and likely duration of the litigation;</w:t>
      </w:r>
    </w:p>
    <w:p w14:paraId="51EE2AD2" w14:textId="503EA472" w:rsidR="00117C70" w:rsidRDefault="00117C70" w:rsidP="00117C70">
      <w:pPr>
        <w:pStyle w:val="Quote2"/>
      </w:pPr>
      <w:r>
        <w:t xml:space="preserve">(2) </w:t>
      </w:r>
      <w:r w:rsidR="00CC5331">
        <w:tab/>
      </w:r>
      <w:r>
        <w:t>the reaction of the class to the settlement;</w:t>
      </w:r>
    </w:p>
    <w:p w14:paraId="38EDAC1B" w14:textId="1B9AFA40" w:rsidR="00117C70" w:rsidRDefault="00117C70" w:rsidP="00117C70">
      <w:pPr>
        <w:pStyle w:val="Quote2"/>
      </w:pPr>
      <w:r>
        <w:t xml:space="preserve">(3) </w:t>
      </w:r>
      <w:r w:rsidR="00CC5331">
        <w:tab/>
      </w:r>
      <w:r>
        <w:t>the stage of the proceedings;</w:t>
      </w:r>
    </w:p>
    <w:p w14:paraId="10F05E47" w14:textId="261BE90D" w:rsidR="00117C70" w:rsidRDefault="00117C70" w:rsidP="00117C70">
      <w:pPr>
        <w:pStyle w:val="Quote2"/>
      </w:pPr>
      <w:r>
        <w:t xml:space="preserve">(4) </w:t>
      </w:r>
      <w:r w:rsidR="00CC5331">
        <w:tab/>
      </w:r>
      <w:r>
        <w:t>the risks of establishing liability;</w:t>
      </w:r>
    </w:p>
    <w:p w14:paraId="705D94CB" w14:textId="0DC40940" w:rsidR="00117C70" w:rsidRDefault="00117C70" w:rsidP="00117C70">
      <w:pPr>
        <w:pStyle w:val="Quote2"/>
      </w:pPr>
      <w:r>
        <w:t xml:space="preserve">(5) </w:t>
      </w:r>
      <w:r w:rsidR="00CC5331">
        <w:tab/>
      </w:r>
      <w:r>
        <w:t>the risks of establishing loss or damage;</w:t>
      </w:r>
    </w:p>
    <w:p w14:paraId="51222921" w14:textId="7E3C21FD" w:rsidR="00117C70" w:rsidRDefault="00117C70" w:rsidP="00117C70">
      <w:pPr>
        <w:pStyle w:val="Quote2"/>
      </w:pPr>
      <w:r>
        <w:t xml:space="preserve">(6) </w:t>
      </w:r>
      <w:r w:rsidR="00CC5331">
        <w:tab/>
      </w:r>
      <w:r>
        <w:t>the risks of maintaining a class action;</w:t>
      </w:r>
    </w:p>
    <w:p w14:paraId="2690BAB8" w14:textId="0C4D02AB" w:rsidR="00117C70" w:rsidRDefault="00117C70" w:rsidP="00117C70">
      <w:pPr>
        <w:pStyle w:val="Quote2"/>
      </w:pPr>
      <w:r>
        <w:t xml:space="preserve">(7) </w:t>
      </w:r>
      <w:r w:rsidR="00CC5331">
        <w:tab/>
      </w:r>
      <w:r>
        <w:t>the ability of the respondent to withstand a greater judgment;</w:t>
      </w:r>
    </w:p>
    <w:p w14:paraId="1957F59E" w14:textId="66F4E077" w:rsidR="00117C70" w:rsidRDefault="00117C70" w:rsidP="00533703">
      <w:pPr>
        <w:pStyle w:val="Quote2"/>
        <w:ind w:left="2160" w:hanging="720"/>
      </w:pPr>
      <w:r>
        <w:t xml:space="preserve">(8) </w:t>
      </w:r>
      <w:r w:rsidR="00CC5331">
        <w:tab/>
      </w:r>
      <w:r>
        <w:t>the range of reasonableness of the settlement in light of the best recovery;</w:t>
      </w:r>
    </w:p>
    <w:p w14:paraId="5E7680E5" w14:textId="1D6EF8D0" w:rsidR="00117C70" w:rsidRDefault="00117C70" w:rsidP="00533703">
      <w:pPr>
        <w:pStyle w:val="Quote2"/>
        <w:ind w:left="2160" w:hanging="720"/>
      </w:pPr>
      <w:r>
        <w:t xml:space="preserve">(9) </w:t>
      </w:r>
      <w:r w:rsidR="00CC5331">
        <w:tab/>
      </w:r>
      <w:r>
        <w:t xml:space="preserve">the range of reasonableness of the settlement in light of all the attendant risks of litigation; and </w:t>
      </w:r>
    </w:p>
    <w:p w14:paraId="033BAA83" w14:textId="59F9340D" w:rsidR="005D6DF3" w:rsidRDefault="00117C70" w:rsidP="00533703">
      <w:pPr>
        <w:pStyle w:val="Quote2"/>
        <w:ind w:left="2160" w:hanging="720"/>
      </w:pPr>
      <w:r>
        <w:t xml:space="preserve">(10) </w:t>
      </w:r>
      <w:r w:rsidR="00CC5331">
        <w:tab/>
      </w:r>
      <w:r>
        <w:t xml:space="preserve">the terms of any advice received from counsel and/or from any independent expert in relation to the issues which arise in the proceeding. </w:t>
      </w:r>
      <w:bookmarkEnd w:id="25"/>
    </w:p>
    <w:p w14:paraId="2309047C" w14:textId="77777777" w:rsidR="00805476" w:rsidRDefault="00805476" w:rsidP="00805476">
      <w:pPr>
        <w:pStyle w:val="Heading1"/>
      </w:pPr>
      <w:r>
        <w:t>Consideration</w:t>
      </w:r>
    </w:p>
    <w:p w14:paraId="2BFDD8ED" w14:textId="43BDC744" w:rsidR="00096F97" w:rsidRDefault="00096F97" w:rsidP="00096F97">
      <w:pPr>
        <w:pStyle w:val="ParaNumbering"/>
      </w:pPr>
      <w:r>
        <w:t xml:space="preserve">I have been greatly assisted by a thorough confidential </w:t>
      </w:r>
      <w:r w:rsidR="00B527E4">
        <w:t>Joint Opinion</w:t>
      </w:r>
      <w:r>
        <w:t>.</w:t>
      </w:r>
      <w:r w:rsidR="009A3E43">
        <w:t xml:space="preserve"> </w:t>
      </w:r>
      <w:r>
        <w:t xml:space="preserve">As Middleton J observed in </w:t>
      </w:r>
      <w:proofErr w:type="spellStart"/>
      <w:r>
        <w:rPr>
          <w:i/>
        </w:rPr>
        <w:t>Bradgate</w:t>
      </w:r>
      <w:proofErr w:type="spellEnd"/>
      <w:r w:rsidR="00806E3D">
        <w:rPr>
          <w:i/>
        </w:rPr>
        <w:t xml:space="preserve"> </w:t>
      </w:r>
      <w:r w:rsidR="00806E3D">
        <w:t>at [10]</w:t>
      </w:r>
      <w:r>
        <w:rPr>
          <w:i/>
        </w:rPr>
        <w:t xml:space="preserve">, </w:t>
      </w:r>
      <w:r w:rsidR="00806E3D">
        <w:t>the Court relies</w:t>
      </w:r>
      <w:r>
        <w:t xml:space="preserve"> heavily on the applicant’s counsel</w:t>
      </w:r>
      <w:r w:rsidR="00806E3D">
        <w:t xml:space="preserve"> in assessing whether the proposed settlement falls within the range of reasonable outcomes</w:t>
      </w:r>
      <w:r>
        <w:t>.</w:t>
      </w:r>
      <w:r w:rsidR="009A3E43">
        <w:t xml:space="preserve"> </w:t>
      </w:r>
      <w:r w:rsidR="00206E03">
        <w:t xml:space="preserve"> </w:t>
      </w:r>
      <w:r>
        <w:t xml:space="preserve">The confidential </w:t>
      </w:r>
      <w:r w:rsidR="00806E3D">
        <w:t xml:space="preserve">opinion </w:t>
      </w:r>
      <w:r>
        <w:t xml:space="preserve">provided by Mr </w:t>
      </w:r>
      <w:proofErr w:type="spellStart"/>
      <w:r>
        <w:t>Attiwill</w:t>
      </w:r>
      <w:proofErr w:type="spellEnd"/>
      <w:r>
        <w:t xml:space="preserve"> and Mr Edwards</w:t>
      </w:r>
      <w:r w:rsidR="00941EAA">
        <w:t>, addresses each of the matter</w:t>
      </w:r>
      <w:r w:rsidR="00806E3D">
        <w:t>s</w:t>
      </w:r>
      <w:r w:rsidR="00941EAA">
        <w:t xml:space="preserve"> required by the Class Action Practice Note in detail.</w:t>
      </w:r>
      <w:r w:rsidR="009A3E43">
        <w:t xml:space="preserve"> </w:t>
      </w:r>
      <w:r w:rsidR="00206E03">
        <w:t xml:space="preserve"> </w:t>
      </w:r>
      <w:r w:rsidR="00941EAA">
        <w:t xml:space="preserve">The </w:t>
      </w:r>
      <w:r w:rsidR="006E51F6">
        <w:t>C</w:t>
      </w:r>
      <w:r w:rsidR="00941EAA">
        <w:t xml:space="preserve">ourt is necessarily constrained not to </w:t>
      </w:r>
      <w:r w:rsidR="006E51F6">
        <w:t xml:space="preserve">disclose </w:t>
      </w:r>
      <w:r w:rsidR="00941EAA">
        <w:t xml:space="preserve">the content </w:t>
      </w:r>
      <w:r w:rsidR="00941EAA">
        <w:lastRenderedPageBreak/>
        <w:t>of counsel’s opinion, as the substance of the reasons advanced by counsel in support of the reasonableness of the settlement may be of significance to Group Members who have opted out of the proceeding, an</w:t>
      </w:r>
      <w:r w:rsidR="00806E3D">
        <w:t>d</w:t>
      </w:r>
      <w:r w:rsidR="00941EAA">
        <w:t xml:space="preserve"> potentially also competitors for the provision of legal services, or litigation fundin</w:t>
      </w:r>
      <w:r w:rsidR="00DD6AC8">
        <w:t>g, irrespective of whether the s</w:t>
      </w:r>
      <w:r w:rsidR="00941EAA">
        <w:t>ettlement is approved.</w:t>
      </w:r>
    </w:p>
    <w:p w14:paraId="4477B857" w14:textId="5F3FA00A" w:rsidR="00941EAA" w:rsidRDefault="00941EAA" w:rsidP="00096F97">
      <w:pPr>
        <w:pStyle w:val="ParaNumbering"/>
      </w:pPr>
      <w:r>
        <w:t>The Joint Opinion describes the background to the Applicant’s claims, provides a summary of the parties</w:t>
      </w:r>
      <w:r w:rsidR="000D1F7A">
        <w:t>,</w:t>
      </w:r>
      <w:r>
        <w:t xml:space="preserve"> </w:t>
      </w:r>
      <w:r w:rsidR="000D1F7A">
        <w:t xml:space="preserve">as well as </w:t>
      </w:r>
      <w:r>
        <w:t>the claims and cross-claims in the proceeding.</w:t>
      </w:r>
      <w:r w:rsidR="009A3E43">
        <w:t xml:space="preserve"> </w:t>
      </w:r>
      <w:r w:rsidR="00206E03">
        <w:t xml:space="preserve"> </w:t>
      </w:r>
      <w:r>
        <w:t xml:space="preserve">I have described </w:t>
      </w:r>
      <w:r w:rsidR="000D1F7A">
        <w:t xml:space="preserve">above </w:t>
      </w:r>
      <w:r>
        <w:t>the background to the claims and cross-claims and it is unnecessary to say anything further about those claims and cross-claims.</w:t>
      </w:r>
      <w:r w:rsidR="009A3E43">
        <w:t xml:space="preserve"> </w:t>
      </w:r>
      <w:r w:rsidR="00206E03">
        <w:t xml:space="preserve"> </w:t>
      </w:r>
      <w:r>
        <w:t>In the Joint Opinion, counsel referred expressly to their respective substantial involvement in the conduct of the proceeding.</w:t>
      </w:r>
      <w:r w:rsidR="009A3E43">
        <w:t xml:space="preserve"> </w:t>
      </w:r>
      <w:r w:rsidR="00206E03">
        <w:t xml:space="preserve"> </w:t>
      </w:r>
      <w:r>
        <w:t>It was appropriate for them to do so, especially having regard to the quite lengthy period since the proceeding was commenced.</w:t>
      </w:r>
      <w:r w:rsidR="009A3E43">
        <w:t xml:space="preserve"> </w:t>
      </w:r>
      <w:r>
        <w:t xml:space="preserve">Senior Counsel, Mr </w:t>
      </w:r>
      <w:proofErr w:type="spellStart"/>
      <w:r>
        <w:t>Attiwill</w:t>
      </w:r>
      <w:proofErr w:type="spellEnd"/>
      <w:r>
        <w:t>, has had strategic oversight and principal conduct of the proceeding since early 2019.</w:t>
      </w:r>
      <w:r w:rsidR="009A3E43">
        <w:t xml:space="preserve"> </w:t>
      </w:r>
      <w:r w:rsidR="00206E03">
        <w:t xml:space="preserve"> </w:t>
      </w:r>
      <w:r>
        <w:t>Mr Edwards</w:t>
      </w:r>
      <w:r w:rsidR="005B52C2">
        <w:t xml:space="preserve"> was engaged as </w:t>
      </w:r>
      <w:r>
        <w:t xml:space="preserve">junior counsel since the proceeding commenced, and prior to Mr </w:t>
      </w:r>
      <w:proofErr w:type="spellStart"/>
      <w:r>
        <w:t>Attiwill’</w:t>
      </w:r>
      <w:r w:rsidR="005B52C2">
        <w:t>s</w:t>
      </w:r>
      <w:proofErr w:type="spellEnd"/>
      <w:r w:rsidR="005B52C2">
        <w:t xml:space="preserve"> engagement, worked in consultation with three other senior counsel and other counsel junior to him.</w:t>
      </w:r>
    </w:p>
    <w:p w14:paraId="3FE7BCF2" w14:textId="77777777" w:rsidR="005B52C2" w:rsidRDefault="005B52C2" w:rsidP="00096F97">
      <w:pPr>
        <w:pStyle w:val="ParaNumbering"/>
      </w:pPr>
      <w:r>
        <w:t xml:space="preserve">The Joint Opinion contains a cogent summary of the principles applicable to the approval of a settlement pursuant to s 33V of the Act, though it is unnecessary to say anything further concerning those principles, save to observe that the summary of them given in the Joint Opinion, together with the topics addressed in the Joint Opinion, reveals that counsel understood their role, and their duties to the Court. </w:t>
      </w:r>
    </w:p>
    <w:p w14:paraId="38485380" w14:textId="77777777" w:rsidR="005B52C2" w:rsidRDefault="005B52C2" w:rsidP="00096F97">
      <w:pPr>
        <w:pStyle w:val="ParaNumbering"/>
      </w:pPr>
      <w:r>
        <w:t>In their Join</w:t>
      </w:r>
      <w:r w:rsidR="00806E3D">
        <w:t>t</w:t>
      </w:r>
      <w:r>
        <w:t xml:space="preserve"> Opinion, counsel </w:t>
      </w:r>
      <w:r w:rsidR="00806E3D">
        <w:t xml:space="preserve">opine that the </w:t>
      </w:r>
      <w:r w:rsidR="00DD6AC8">
        <w:t>s</w:t>
      </w:r>
      <w:r>
        <w:t xml:space="preserve">ettlement embodied in the Settlement Agreement is fair and reasonable having regard to the matters generally required to be considered in accordance with the Class Action Practice Note. </w:t>
      </w:r>
    </w:p>
    <w:p w14:paraId="49B82932" w14:textId="18913EF3" w:rsidR="005B52C2" w:rsidRDefault="005B52C2" w:rsidP="00096F97">
      <w:pPr>
        <w:pStyle w:val="ParaNumbering"/>
      </w:pPr>
      <w:r>
        <w:t>There is no question that the proceeding is highly complex, legally and factually.</w:t>
      </w:r>
      <w:r w:rsidR="009A3E43">
        <w:t xml:space="preserve"> </w:t>
      </w:r>
      <w:r w:rsidR="00206E03">
        <w:t xml:space="preserve"> </w:t>
      </w:r>
      <w:r>
        <w:t xml:space="preserve">The proceeding was commenced in 2015 and there remains unresolved interlocutory issues, including </w:t>
      </w:r>
      <w:r w:rsidR="00806E3D">
        <w:t>claims of</w:t>
      </w:r>
      <w:r>
        <w:t xml:space="preserve"> privilege.</w:t>
      </w:r>
      <w:r w:rsidR="009A3E43">
        <w:t xml:space="preserve"> </w:t>
      </w:r>
      <w:r w:rsidR="00206E03">
        <w:t xml:space="preserve"> </w:t>
      </w:r>
      <w:r>
        <w:t>Though the proceeding is well advanced, if the settlement was not approved, it is unlikely that it would be ready for trial until 2022.</w:t>
      </w:r>
      <w:r w:rsidR="009A3E43">
        <w:t xml:space="preserve"> </w:t>
      </w:r>
      <w:r w:rsidR="00206E03">
        <w:t xml:space="preserve"> </w:t>
      </w:r>
      <w:r>
        <w:t>Even if the proceeding is successful on common issues</w:t>
      </w:r>
      <w:r w:rsidR="000D1F7A">
        <w:t xml:space="preserve"> of liability,</w:t>
      </w:r>
      <w:r>
        <w:t xml:space="preserve"> there is risk in establishing loss at the upper range of the Applicant’s cla</w:t>
      </w:r>
      <w:r w:rsidR="00806E3D">
        <w:t>i</w:t>
      </w:r>
      <w:r>
        <w:t>ms.</w:t>
      </w:r>
      <w:r w:rsidR="009A3E43">
        <w:t xml:space="preserve"> </w:t>
      </w:r>
      <w:r w:rsidR="00206E03">
        <w:t xml:space="preserve"> </w:t>
      </w:r>
      <w:r>
        <w:t>Further, there are risks that if an aggregate loss theory (such as market based causation) was not e</w:t>
      </w:r>
      <w:bookmarkStart w:id="26" w:name="_GoBack"/>
      <w:bookmarkEnd w:id="26"/>
      <w:r>
        <w:t xml:space="preserve">stablished at trial, it may be necessary for each Group Member to prove reliance </w:t>
      </w:r>
      <w:r w:rsidR="006E51F6">
        <w:t xml:space="preserve">upon </w:t>
      </w:r>
      <w:r>
        <w:t>the contravening conduct</w:t>
      </w:r>
      <w:r w:rsidR="006E51F6">
        <w:t>.</w:t>
      </w:r>
      <w:r w:rsidR="009A3E43">
        <w:t xml:space="preserve"> </w:t>
      </w:r>
      <w:r w:rsidR="00206E03">
        <w:t xml:space="preserve"> </w:t>
      </w:r>
      <w:r w:rsidR="006E51F6">
        <w:t xml:space="preserve">This </w:t>
      </w:r>
      <w:r w:rsidR="000D1F7A">
        <w:t>c</w:t>
      </w:r>
      <w:r>
        <w:t xml:space="preserve">ould </w:t>
      </w:r>
      <w:r w:rsidR="006E51F6">
        <w:t xml:space="preserve">conceivably </w:t>
      </w:r>
      <w:r>
        <w:t>require a series of second-stage trials of individual Group Member</w:t>
      </w:r>
      <w:r w:rsidR="006E51F6">
        <w:t>’s</w:t>
      </w:r>
      <w:r>
        <w:t xml:space="preserve"> claims. </w:t>
      </w:r>
    </w:p>
    <w:p w14:paraId="391138E2" w14:textId="0FEAB496" w:rsidR="005B52C2" w:rsidRDefault="005B52C2" w:rsidP="00096F97">
      <w:pPr>
        <w:pStyle w:val="ParaNumbering"/>
      </w:pPr>
      <w:r>
        <w:lastRenderedPageBreak/>
        <w:t>The proceeding is intertwined with cross-claims that cannot practically be settled separately.</w:t>
      </w:r>
      <w:r w:rsidR="00206E03">
        <w:t xml:space="preserve">  </w:t>
      </w:r>
      <w:r>
        <w:t>Certain Respondents may not be able to meet a judgment in excess of the limits of relevant insurance cover.</w:t>
      </w:r>
      <w:r w:rsidR="009A3E43">
        <w:t xml:space="preserve"> </w:t>
      </w:r>
      <w:r w:rsidR="00206E03">
        <w:t xml:space="preserve"> </w:t>
      </w:r>
      <w:r>
        <w:t xml:space="preserve">I shall refer below </w:t>
      </w:r>
      <w:r w:rsidR="009B4BAD">
        <w:t>to the consideration given to the insurance position of Vocation and the directors and officers of Vocation.</w:t>
      </w:r>
    </w:p>
    <w:p w14:paraId="64C00825" w14:textId="2446E171" w:rsidR="009B4BAD" w:rsidRDefault="009B4BAD" w:rsidP="00096F97">
      <w:pPr>
        <w:pStyle w:val="ParaNumbering"/>
      </w:pPr>
      <w:r>
        <w:t>The principal claim is against Vocation, which was formed as a result of a merger in late</w:t>
      </w:r>
      <w:r w:rsidR="000D1F7A">
        <w:t>-</w:t>
      </w:r>
      <w:r>
        <w:t>2013 of a number of private companies involve</w:t>
      </w:r>
      <w:r w:rsidRPr="007264AD">
        <w:t>d in providing private vocational education and training.</w:t>
      </w:r>
      <w:r w:rsidR="009A3E43" w:rsidRPr="007264AD">
        <w:t xml:space="preserve"> </w:t>
      </w:r>
      <w:r w:rsidR="00206E03">
        <w:t xml:space="preserve"> </w:t>
      </w:r>
      <w:r w:rsidRPr="007264AD">
        <w:t xml:space="preserve">The claims arise from allegedly misleading statements in, or omission from, the prospectus </w:t>
      </w:r>
      <w:r w:rsidR="006E51F6" w:rsidRPr="007264AD">
        <w:t xml:space="preserve">used in connection with the </w:t>
      </w:r>
      <w:r w:rsidRPr="007264AD">
        <w:t>IPO of Vocation.</w:t>
      </w:r>
      <w:r w:rsidR="009A3E43" w:rsidRPr="007264AD">
        <w:t xml:space="preserve"> </w:t>
      </w:r>
      <w:r w:rsidR="00206E03">
        <w:t xml:space="preserve"> </w:t>
      </w:r>
      <w:r w:rsidRPr="007264AD">
        <w:t xml:space="preserve">The misleading statements or omissions concerned non-compliance </w:t>
      </w:r>
      <w:r w:rsidR="006E51F6" w:rsidRPr="007264AD">
        <w:t xml:space="preserve">with regulations governing the provision of education services </w:t>
      </w:r>
      <w:r w:rsidRPr="007264AD">
        <w:t xml:space="preserve">by the businesses that became part of Vocation’s business upon its listing on the </w:t>
      </w:r>
      <w:r w:rsidR="000D1F7A" w:rsidRPr="007264AD">
        <w:t>ASX</w:t>
      </w:r>
      <w:r w:rsidR="006E51F6" w:rsidRPr="007264AD">
        <w:t>.</w:t>
      </w:r>
      <w:r w:rsidR="009A3E43" w:rsidRPr="007264AD">
        <w:t xml:space="preserve"> </w:t>
      </w:r>
      <w:r w:rsidR="00954E33" w:rsidRPr="007264AD">
        <w:t>Vocation entered into in liquidation after the proceeding was commenced.</w:t>
      </w:r>
      <w:r w:rsidR="000D1F7A">
        <w:t xml:space="preserve"> </w:t>
      </w:r>
    </w:p>
    <w:p w14:paraId="36056FAC" w14:textId="0646123A" w:rsidR="009B4BAD" w:rsidRDefault="009B4BAD" w:rsidP="00096F97">
      <w:pPr>
        <w:pStyle w:val="ParaNumbering"/>
      </w:pPr>
      <w:r>
        <w:t>The Joint Opinion contains a granular analysis of the true prospects of success of the claims against Vocation.</w:t>
      </w:r>
      <w:r w:rsidR="009A3E43">
        <w:t xml:space="preserve"> </w:t>
      </w:r>
      <w:r w:rsidR="00206E03">
        <w:t xml:space="preserve"> </w:t>
      </w:r>
      <w:r>
        <w:t>It includes a detailed analysis of the forensic and evidentiary risks associated with the claims.</w:t>
      </w:r>
      <w:r w:rsidR="009A3E43">
        <w:t xml:space="preserve"> </w:t>
      </w:r>
      <w:r w:rsidR="00206E03">
        <w:t xml:space="preserve"> </w:t>
      </w:r>
      <w:r w:rsidR="00806E3D">
        <w:t>The Joint Opinion analyse</w:t>
      </w:r>
      <w:r>
        <w:t>s the key documentary support of the claims, as well as the substantial reliance upon inference</w:t>
      </w:r>
      <w:r w:rsidR="006E51F6">
        <w:t>s</w:t>
      </w:r>
      <w:r>
        <w:t xml:space="preserve"> that might be drawn from documents and other evidence, </w:t>
      </w:r>
      <w:r w:rsidR="006E51F6">
        <w:t xml:space="preserve">as well as </w:t>
      </w:r>
      <w:r>
        <w:t xml:space="preserve">the risk that necessary inferences may not be established. </w:t>
      </w:r>
    </w:p>
    <w:p w14:paraId="0999F979" w14:textId="2E4A666B" w:rsidR="009B4BAD" w:rsidRDefault="009B4BAD" w:rsidP="00096F97">
      <w:pPr>
        <w:pStyle w:val="ParaNumbering"/>
      </w:pPr>
      <w:r>
        <w:t>The Joint Opinion consider</w:t>
      </w:r>
      <w:r w:rsidR="006E51F6">
        <w:t>s</w:t>
      </w:r>
      <w:r>
        <w:t xml:space="preserve"> in similar detail the claims against PwC.</w:t>
      </w:r>
      <w:r w:rsidR="00A73250">
        <w:t xml:space="preserve"> </w:t>
      </w:r>
      <w:r w:rsidR="009A3E43">
        <w:t xml:space="preserve"> </w:t>
      </w:r>
      <w:r>
        <w:t xml:space="preserve">PwC was Vocation’s auditor in the 2014 </w:t>
      </w:r>
      <w:r w:rsidR="004F22C7">
        <w:t>financial</w:t>
      </w:r>
      <w:r>
        <w:t xml:space="preserve"> year, which was the first period in which Vocation was a reporting entity.</w:t>
      </w:r>
      <w:r w:rsidR="009A3E43">
        <w:t xml:space="preserve"> </w:t>
      </w:r>
      <w:r w:rsidR="00206E03">
        <w:t xml:space="preserve"> </w:t>
      </w:r>
      <w:r>
        <w:t>There are three aspects</w:t>
      </w:r>
      <w:r w:rsidR="004F22C7">
        <w:t xml:space="preserve"> </w:t>
      </w:r>
      <w:r>
        <w:t>to the claims against PwC.</w:t>
      </w:r>
      <w:r w:rsidR="009A3E43">
        <w:t xml:space="preserve"> </w:t>
      </w:r>
      <w:r w:rsidR="00A73250">
        <w:t xml:space="preserve"> </w:t>
      </w:r>
      <w:r>
        <w:t>First, that Vocation’s revenue recognition policies brought forward material amounts of profit into the 2014 financial year.</w:t>
      </w:r>
      <w:r w:rsidR="00206E03">
        <w:t xml:space="preserve">  </w:t>
      </w:r>
      <w:r>
        <w:t>Second, that PwC fa</w:t>
      </w:r>
      <w:r w:rsidR="004F22C7">
        <w:t>i</w:t>
      </w:r>
      <w:r>
        <w:t>l</w:t>
      </w:r>
      <w:r w:rsidR="004F22C7">
        <w:t>e</w:t>
      </w:r>
      <w:r>
        <w:t>d to disclose</w:t>
      </w:r>
      <w:r w:rsidR="004F22C7">
        <w:t>,</w:t>
      </w:r>
      <w:r>
        <w:t xml:space="preserve"> following compliance aud</w:t>
      </w:r>
      <w:r w:rsidR="004F22C7">
        <w:t>i</w:t>
      </w:r>
      <w:r>
        <w:t xml:space="preserve">ts, that payments </w:t>
      </w:r>
      <w:r w:rsidRPr="00F2182B">
        <w:t>of $14.4</w:t>
      </w:r>
      <w:r>
        <w:t xml:space="preserve"> million under Vocation’s major </w:t>
      </w:r>
      <w:r w:rsidR="004F22C7">
        <w:t>contracts with the Victorian Department of Education had been suspended.</w:t>
      </w:r>
      <w:r w:rsidR="009A3E43">
        <w:t xml:space="preserve"> </w:t>
      </w:r>
      <w:r w:rsidR="00206E03">
        <w:t xml:space="preserve"> </w:t>
      </w:r>
      <w:r w:rsidR="004F22C7">
        <w:t>Third, PwC failed to disclose that there was material uncertainty about Vocation’s ability to continue as a going concern.</w:t>
      </w:r>
      <w:r w:rsidR="00351CA2">
        <w:t xml:space="preserve"> </w:t>
      </w:r>
    </w:p>
    <w:p w14:paraId="73043E37" w14:textId="570DB77E" w:rsidR="004F22C7" w:rsidRDefault="004F22C7" w:rsidP="00096F97">
      <w:pPr>
        <w:pStyle w:val="ParaNumbering"/>
      </w:pPr>
      <w:r>
        <w:t xml:space="preserve">The Joint Opinion </w:t>
      </w:r>
      <w:r w:rsidR="006E51F6">
        <w:t xml:space="preserve">also </w:t>
      </w:r>
      <w:r>
        <w:t>considers the forensic evidentiary and legal obstacles to the claims</w:t>
      </w:r>
      <w:r w:rsidR="006E51F6">
        <w:t xml:space="preserve"> against PwC</w:t>
      </w:r>
      <w:r>
        <w:t>.</w:t>
      </w:r>
      <w:r w:rsidR="009A3E43">
        <w:t xml:space="preserve"> </w:t>
      </w:r>
      <w:r w:rsidR="00206E03">
        <w:t xml:space="preserve"> </w:t>
      </w:r>
      <w:r>
        <w:t>Particular attention is given to the risks associated with the non-apportionable claims against PwC under s 1041E of the Corporations Act</w:t>
      </w:r>
      <w:r w:rsidR="006E51F6">
        <w:t>, including</w:t>
      </w:r>
      <w:r w:rsidR="009A3E43">
        <w:t xml:space="preserve"> </w:t>
      </w:r>
      <w:r>
        <w:t>whether that section</w:t>
      </w:r>
      <w:r w:rsidR="00325CEB">
        <w:t xml:space="preserve"> </w:t>
      </w:r>
      <w:r w:rsidR="006E51F6">
        <w:t xml:space="preserve">properly construed </w:t>
      </w:r>
      <w:r w:rsidR="00325CEB">
        <w:t xml:space="preserve">contains a </w:t>
      </w:r>
      <w:r>
        <w:t>ment</w:t>
      </w:r>
      <w:r w:rsidR="00325CEB">
        <w:t>al</w:t>
      </w:r>
      <w:r>
        <w:t xml:space="preserve"> element</w:t>
      </w:r>
      <w:r w:rsidR="00CC650E">
        <w:t xml:space="preserve"> that</w:t>
      </w:r>
      <w:r>
        <w:t xml:space="preserve"> </w:t>
      </w:r>
      <w:r w:rsidR="006E51F6">
        <w:t xml:space="preserve">could </w:t>
      </w:r>
      <w:r>
        <w:t>give rise to criminal liability</w:t>
      </w:r>
      <w:r w:rsidR="00954E33">
        <w:t>,</w:t>
      </w:r>
      <w:r>
        <w:t xml:space="preserve"> and thus should be construed narrowly and </w:t>
      </w:r>
      <w:r w:rsidR="00853AE1">
        <w:t xml:space="preserve">may </w:t>
      </w:r>
      <w:r>
        <w:t xml:space="preserve">be subject to a higher standard of proof. </w:t>
      </w:r>
    </w:p>
    <w:p w14:paraId="04D3CB15" w14:textId="52D4503C" w:rsidR="004F22C7" w:rsidRDefault="004F22C7" w:rsidP="00096F97">
      <w:pPr>
        <w:pStyle w:val="ParaNumbering"/>
      </w:pPr>
      <w:r>
        <w:t xml:space="preserve">The claims against the D&amp;O Respondents </w:t>
      </w:r>
      <w:r w:rsidR="00C057F3">
        <w:t>overlap</w:t>
      </w:r>
      <w:r>
        <w:t xml:space="preserve"> in substance with the claims against PwC.</w:t>
      </w:r>
      <w:r w:rsidR="00206E03">
        <w:t xml:space="preserve">  </w:t>
      </w:r>
      <w:r>
        <w:t xml:space="preserve">They were </w:t>
      </w:r>
      <w:r w:rsidR="00C057F3">
        <w:t>drafted</w:t>
      </w:r>
      <w:r>
        <w:t xml:space="preserve"> with the benefit of factual findings made in </w:t>
      </w:r>
      <w:r>
        <w:rPr>
          <w:i/>
        </w:rPr>
        <w:t xml:space="preserve">Australian Securities and </w:t>
      </w:r>
      <w:r>
        <w:rPr>
          <w:i/>
        </w:rPr>
        <w:lastRenderedPageBreak/>
        <w:t xml:space="preserve">Investments Commission v Vocation Ltd (in liquidation) </w:t>
      </w:r>
      <w:r>
        <w:t>[2019] FCA 807</w:t>
      </w:r>
      <w:r w:rsidR="00594EF3">
        <w:t>;</w:t>
      </w:r>
      <w:r>
        <w:t xml:space="preserve"> 371 ALR 155</w:t>
      </w:r>
      <w:r w:rsidR="00954E33">
        <w:t xml:space="preserve"> (Nicholas J)</w:t>
      </w:r>
      <w:r>
        <w:t xml:space="preserve"> (</w:t>
      </w:r>
      <w:r>
        <w:rPr>
          <w:b/>
        </w:rPr>
        <w:t>ASIC Proceeding</w:t>
      </w:r>
      <w:r>
        <w:t>).</w:t>
      </w:r>
    </w:p>
    <w:p w14:paraId="4C2284EC" w14:textId="29A9D3E7" w:rsidR="004F22C7" w:rsidRDefault="004F22C7" w:rsidP="00096F97">
      <w:pPr>
        <w:pStyle w:val="ParaNumbering"/>
      </w:pPr>
      <w:r>
        <w:t xml:space="preserve">The claims made in the ASIC </w:t>
      </w:r>
      <w:r w:rsidR="00C057F3">
        <w:t>Proceeding</w:t>
      </w:r>
      <w:r>
        <w:t xml:space="preserve"> against the D&amp;O Respondents were essentially for breaches of directors’ duties.</w:t>
      </w:r>
      <w:r w:rsidR="009A3E43">
        <w:t xml:space="preserve"> </w:t>
      </w:r>
      <w:r w:rsidR="00206E03">
        <w:t xml:space="preserve"> </w:t>
      </w:r>
      <w:r>
        <w:t xml:space="preserve">The Applicant’s claims in this proceeding do not include breaches of directors’ duties by the D&amp;O </w:t>
      </w:r>
      <w:r w:rsidR="00C057F3">
        <w:t>Respondents</w:t>
      </w:r>
      <w:r>
        <w:t>.</w:t>
      </w:r>
      <w:r w:rsidR="009A3E43">
        <w:t xml:space="preserve"> </w:t>
      </w:r>
      <w:r w:rsidR="00206E03">
        <w:t xml:space="preserve"> </w:t>
      </w:r>
      <w:r>
        <w:t>Rather, the Applicant alleges misleadin</w:t>
      </w:r>
      <w:r w:rsidR="00C057F3">
        <w:t>g cond</w:t>
      </w:r>
      <w:r w:rsidR="00325CEB">
        <w:t>uct by them, essentially co-extensive</w:t>
      </w:r>
      <w:r w:rsidR="00C057F3">
        <w:t xml:space="preserve"> with Vocation’s misleading conduct.</w:t>
      </w:r>
      <w:r w:rsidR="00351CA2">
        <w:t xml:space="preserve"> </w:t>
      </w:r>
    </w:p>
    <w:p w14:paraId="63523696" w14:textId="63344FC8" w:rsidR="00C057F3" w:rsidRDefault="00C057F3">
      <w:pPr>
        <w:pStyle w:val="ParaNumbering"/>
      </w:pPr>
      <w:r>
        <w:t>The Joint Opinion contains a detailed analysis of the prospects of the claims against the D&amp;O Respondents, including the risks in rela</w:t>
      </w:r>
      <w:r w:rsidRPr="007264AD">
        <w:t xml:space="preserve">tion to the attribution of the D&amp;O Respondents’ conduct to Vocation and the concurrent personal responsibility of directors for </w:t>
      </w:r>
      <w:r w:rsidR="00023BCD" w:rsidRPr="007264AD">
        <w:t xml:space="preserve">their role in causing </w:t>
      </w:r>
      <w:r w:rsidRPr="007264AD">
        <w:t>the company to engage in</w:t>
      </w:r>
      <w:r w:rsidR="00023BCD" w:rsidRPr="007264AD">
        <w:t xml:space="preserve"> misleading conduct</w:t>
      </w:r>
      <w:r w:rsidRPr="007264AD">
        <w:t>: see</w:t>
      </w:r>
      <w:r w:rsidR="004A11A5" w:rsidRPr="007264AD">
        <w:t xml:space="preserve">, </w:t>
      </w:r>
      <w:proofErr w:type="spellStart"/>
      <w:r w:rsidR="004A11A5" w:rsidRPr="007264AD">
        <w:t>eg</w:t>
      </w:r>
      <w:proofErr w:type="spellEnd"/>
      <w:r w:rsidR="004A11A5" w:rsidRPr="007264AD">
        <w:t>,</w:t>
      </w:r>
      <w:r w:rsidRPr="007264AD">
        <w:t xml:space="preserve"> </w:t>
      </w:r>
      <w:r w:rsidRPr="007264AD">
        <w:rPr>
          <w:i/>
        </w:rPr>
        <w:t xml:space="preserve">Houghton v Arms </w:t>
      </w:r>
      <w:r w:rsidR="00CC650E" w:rsidRPr="007264AD">
        <w:t xml:space="preserve">[2006] HCA 59; </w:t>
      </w:r>
      <w:r w:rsidRPr="007264AD">
        <w:t>225 CL</w:t>
      </w:r>
      <w:r w:rsidR="00023BCD" w:rsidRPr="007264AD">
        <w:t>R</w:t>
      </w:r>
      <w:r w:rsidRPr="007264AD">
        <w:t xml:space="preserve"> 553</w:t>
      </w:r>
      <w:r w:rsidR="00275513" w:rsidRPr="007264AD">
        <w:t xml:space="preserve"> at [40] </w:t>
      </w:r>
      <w:r w:rsidR="00097C13" w:rsidRPr="007264AD">
        <w:t>(Gleeson CJ, Gummow, Hayne, Heydon and Crennan JJ)</w:t>
      </w:r>
      <w:r w:rsidR="00594EF3" w:rsidRPr="00533703">
        <w:t>;</w:t>
      </w:r>
      <w:r w:rsidRPr="007264AD">
        <w:t xml:space="preserve"> </w:t>
      </w:r>
      <w:r w:rsidR="00737605" w:rsidRPr="007264AD">
        <w:rPr>
          <w:i/>
        </w:rPr>
        <w:t xml:space="preserve">Australian Securities and Investments Commission v </w:t>
      </w:r>
      <w:proofErr w:type="spellStart"/>
      <w:r w:rsidR="00737605" w:rsidRPr="007264AD">
        <w:rPr>
          <w:i/>
        </w:rPr>
        <w:t>Narain</w:t>
      </w:r>
      <w:proofErr w:type="spellEnd"/>
      <w:r w:rsidR="00737605" w:rsidRPr="007264AD">
        <w:rPr>
          <w:i/>
        </w:rPr>
        <w:t xml:space="preserve"> </w:t>
      </w:r>
      <w:r w:rsidR="00737605" w:rsidRPr="007264AD">
        <w:t>[2008] FCAFC 120; 169 FCR 211 at [9</w:t>
      </w:r>
      <w:r w:rsidR="007264AD">
        <w:t>4</w:t>
      </w:r>
      <w:r w:rsidR="00737605" w:rsidRPr="007264AD">
        <w:t>]</w:t>
      </w:r>
      <w:r w:rsidR="007264AD">
        <w:t>-[97]</w:t>
      </w:r>
      <w:r w:rsidR="00737605" w:rsidRPr="007264AD">
        <w:t xml:space="preserve"> (Jacobson and Gordon JJ)</w:t>
      </w:r>
      <w:r w:rsidR="00594EF3" w:rsidRPr="00533703">
        <w:t>,</w:t>
      </w:r>
      <w:r w:rsidR="00737605" w:rsidRPr="007264AD">
        <w:t xml:space="preserve"> cited with approval in </w:t>
      </w:r>
      <w:r w:rsidRPr="007264AD">
        <w:rPr>
          <w:i/>
        </w:rPr>
        <w:t xml:space="preserve">All Options Pty Ltd v </w:t>
      </w:r>
      <w:proofErr w:type="spellStart"/>
      <w:r w:rsidRPr="007264AD">
        <w:rPr>
          <w:i/>
        </w:rPr>
        <w:t>Flightdeck</w:t>
      </w:r>
      <w:proofErr w:type="spellEnd"/>
      <w:r w:rsidRPr="007264AD">
        <w:rPr>
          <w:i/>
        </w:rPr>
        <w:t xml:space="preserve"> Geelong Pty Ltd </w:t>
      </w:r>
      <w:r w:rsidRPr="007264AD">
        <w:t>[2019] FCA 588</w:t>
      </w:r>
      <w:r w:rsidR="00275513" w:rsidRPr="007264AD">
        <w:t xml:space="preserve"> at [99] (Steward J)</w:t>
      </w:r>
      <w:r w:rsidRPr="007264AD">
        <w:t>.</w:t>
      </w:r>
      <w:r>
        <w:t xml:space="preserve"> </w:t>
      </w:r>
    </w:p>
    <w:p w14:paraId="64050510" w14:textId="1B4C2D1C" w:rsidR="00C057F3" w:rsidRDefault="00C057F3" w:rsidP="00096F97">
      <w:pPr>
        <w:pStyle w:val="ParaNumbering"/>
      </w:pPr>
      <w:r>
        <w:t xml:space="preserve">In addition to an analysis of the claims against Vocation, PwC and the D&amp;O Respondents, the Joint Opinion canvasses in detail other </w:t>
      </w:r>
      <w:r w:rsidR="00D46484">
        <w:t>issues</w:t>
      </w:r>
      <w:r>
        <w:t xml:space="preserve"> of application to all claims, in particular causation, loss a</w:t>
      </w:r>
      <w:r w:rsidR="00CC650E">
        <w:t>n</w:t>
      </w:r>
      <w:r>
        <w:t>d damage and the recoverability of</w:t>
      </w:r>
      <w:r w:rsidR="00023BCD">
        <w:t xml:space="preserve"> any</w:t>
      </w:r>
      <w:r>
        <w:t xml:space="preserve"> judgment.</w:t>
      </w:r>
      <w:r w:rsidR="009A3E43">
        <w:t xml:space="preserve"> </w:t>
      </w:r>
      <w:r w:rsidR="00206E03">
        <w:t xml:space="preserve"> </w:t>
      </w:r>
      <w:r>
        <w:t>In relation to causation, the Joint Opinion analyses the prospects of establishing one or more of the four causation theories propounded in the claims: “no transaction case”, “market based causation”, “modified market based causation” and “reliance based causation”.</w:t>
      </w:r>
      <w:r w:rsidR="009A3E43">
        <w:t xml:space="preserve"> </w:t>
      </w:r>
      <w:r w:rsidR="00206E03">
        <w:t xml:space="preserve"> </w:t>
      </w:r>
      <w:r w:rsidR="00CC650E">
        <w:t>Counsel</w:t>
      </w:r>
      <w:r>
        <w:t>s</w:t>
      </w:r>
      <w:r w:rsidR="00CC650E">
        <w:t>’</w:t>
      </w:r>
      <w:r>
        <w:t xml:space="preserve"> analysis of the many forensic, evidentiary and legal risks associated with the different theories of causation is comprehensive and insightful.</w:t>
      </w:r>
      <w:r w:rsidR="009A3E43">
        <w:t xml:space="preserve"> </w:t>
      </w:r>
      <w:r w:rsidR="00206E03">
        <w:t xml:space="preserve"> </w:t>
      </w:r>
      <w:r>
        <w:t>As I have mentioned above, counsel note, correctly, that a significant risk of maintaining the proceeding is that if an aggregate loss theory is not established, there may be a necessity for individual</w:t>
      </w:r>
      <w:r w:rsidR="00CC650E">
        <w:t xml:space="preserve"> Group M</w:t>
      </w:r>
      <w:r>
        <w:t xml:space="preserve">embers to prove reliance, potentially requiring a series of second stage trials. </w:t>
      </w:r>
    </w:p>
    <w:p w14:paraId="2FA01838" w14:textId="2CCDA3CE" w:rsidR="00CA2D43" w:rsidRDefault="00CA2D43" w:rsidP="00096F97">
      <w:pPr>
        <w:pStyle w:val="ParaNumbering"/>
      </w:pPr>
      <w:r>
        <w:t>Some of the Group Members ha</w:t>
      </w:r>
      <w:r w:rsidR="00CC650E">
        <w:t>ve claims against Vocation only</w:t>
      </w:r>
      <w:r>
        <w:t xml:space="preserve"> due to the timing of their acquisition of shares in Vocation.</w:t>
      </w:r>
      <w:r w:rsidR="009A3E43">
        <w:t xml:space="preserve"> </w:t>
      </w:r>
      <w:r w:rsidR="00206E03">
        <w:t xml:space="preserve"> </w:t>
      </w:r>
      <w:r>
        <w:t xml:space="preserve">Their ability to recover any judgment for damages is constrained by the remaining unspent limits of a </w:t>
      </w:r>
      <w:r w:rsidRPr="00533703">
        <w:rPr>
          <w:b/>
        </w:rPr>
        <w:t>Prospectus</w:t>
      </w:r>
      <w:r>
        <w:t xml:space="preserve"> </w:t>
      </w:r>
      <w:r w:rsidRPr="00533703">
        <w:rPr>
          <w:b/>
        </w:rPr>
        <w:t>Liability Policy</w:t>
      </w:r>
      <w:r>
        <w:t xml:space="preserve"> held by Vocation.</w:t>
      </w:r>
      <w:r w:rsidR="00206E03">
        <w:t xml:space="preserve">  </w:t>
      </w:r>
      <w:r>
        <w:t>Counsel have estimated the likely remaining limit, allowing for likely defence costs spent to date.</w:t>
      </w:r>
      <w:r w:rsidR="009A3E43">
        <w:t xml:space="preserve"> </w:t>
      </w:r>
      <w:r w:rsidR="00206E03">
        <w:t xml:space="preserve"> </w:t>
      </w:r>
      <w:r>
        <w:t>A similar issue arises in relation to the insurance policy held by Vocation as cover for liability by the D&amp;O Respondents.</w:t>
      </w:r>
      <w:r w:rsidR="009A3E43">
        <w:t xml:space="preserve"> </w:t>
      </w:r>
      <w:r w:rsidR="00206E03">
        <w:t xml:space="preserve"> </w:t>
      </w:r>
      <w:r w:rsidR="00A54FEB">
        <w:t>In</w:t>
      </w:r>
      <w:r>
        <w:t xml:space="preserve"> the event that the claims against PwC were to fail, relevant Group Members would be confined to the unspent limit of the </w:t>
      </w:r>
      <w:r w:rsidRPr="00533703">
        <w:rPr>
          <w:b/>
        </w:rPr>
        <w:t>D&amp;O Policy</w:t>
      </w:r>
      <w:r>
        <w:t xml:space="preserve">. </w:t>
      </w:r>
    </w:p>
    <w:p w14:paraId="2BCDFB48" w14:textId="37DFE625" w:rsidR="00A54FEB" w:rsidRDefault="00A54FEB" w:rsidP="00096F97">
      <w:pPr>
        <w:pStyle w:val="ParaNumbering"/>
      </w:pPr>
      <w:r>
        <w:lastRenderedPageBreak/>
        <w:t xml:space="preserve">It is not necessary, or appropriate, to </w:t>
      </w:r>
      <w:r w:rsidR="00C1492F">
        <w:t>disclose</w:t>
      </w:r>
      <w:r>
        <w:t xml:space="preserve"> the aggregate limits of cover provided under the </w:t>
      </w:r>
      <w:r w:rsidR="00C1492F">
        <w:t>Prospectus</w:t>
      </w:r>
      <w:r>
        <w:t xml:space="preserve"> Liability Policy or the D&amp;O </w:t>
      </w:r>
      <w:r w:rsidR="00C1492F">
        <w:t>Policy.</w:t>
      </w:r>
      <w:r w:rsidR="009A3E43">
        <w:t xml:space="preserve"> </w:t>
      </w:r>
      <w:r w:rsidR="00206E03">
        <w:t xml:space="preserve"> </w:t>
      </w:r>
      <w:r w:rsidR="00C1492F">
        <w:t>The latter policy was not produced to the Applicant in discovery, or in answer to a subpoena.</w:t>
      </w:r>
      <w:r w:rsidR="009A3E43">
        <w:t xml:space="preserve"> </w:t>
      </w:r>
      <w:r w:rsidR="00206E03">
        <w:t xml:space="preserve"> </w:t>
      </w:r>
      <w:r w:rsidR="00C1492F">
        <w:t>However, during the hearing of the application, I asked that the D&amp;O Policy be provided to the Court for inspection by the Court only.</w:t>
      </w:r>
      <w:r w:rsidR="009A3E43">
        <w:t xml:space="preserve"> </w:t>
      </w:r>
      <w:r w:rsidR="00206E03">
        <w:t xml:space="preserve"> </w:t>
      </w:r>
      <w:r w:rsidR="00C1492F">
        <w:t>As a result of that inspection, I am satisfied that assumptions made by counsel for the Applicant concerning the extent of the D&amp;O cover were reasonable.</w:t>
      </w:r>
      <w:r w:rsidR="009A3E43">
        <w:t xml:space="preserve"> </w:t>
      </w:r>
      <w:r w:rsidR="00206E03">
        <w:t xml:space="preserve"> </w:t>
      </w:r>
      <w:r w:rsidR="00C1492F">
        <w:t>I am also satisfied that certain assumptions made by counsel for the Applicant concerning the extent of the Prospectus cover and the erosion of that cover caused by the expenditure of defence costs, and the likely further erosion of that cover if the proceeding is not settled, are also reasonable.</w:t>
      </w:r>
      <w:r w:rsidR="005B429E">
        <w:t xml:space="preserve"> </w:t>
      </w:r>
    </w:p>
    <w:p w14:paraId="182DB1F4" w14:textId="025A3D52" w:rsidR="00C1492F" w:rsidRPr="00DA0373" w:rsidRDefault="00C1492F" w:rsidP="00096F97">
      <w:pPr>
        <w:pStyle w:val="ParaNumbering"/>
      </w:pPr>
      <w:r w:rsidRPr="00DA0373">
        <w:t xml:space="preserve">The limits to </w:t>
      </w:r>
      <w:r w:rsidR="00E61477" w:rsidRPr="00DA0373">
        <w:t>recoverability</w:t>
      </w:r>
      <w:r w:rsidRPr="00DA0373">
        <w:t xml:space="preserve"> due to the level of insurance cover and its likely </w:t>
      </w:r>
      <w:r w:rsidR="00E61477" w:rsidRPr="00DA0373">
        <w:t>erosion</w:t>
      </w:r>
      <w:r w:rsidRPr="00DA0373">
        <w:t xml:space="preserve"> on </w:t>
      </w:r>
      <w:r w:rsidR="00E61477" w:rsidRPr="00DA0373">
        <w:t>defence costs are highly</w:t>
      </w:r>
      <w:r w:rsidRPr="00DA0373">
        <w:t xml:space="preserve"> </w:t>
      </w:r>
      <w:r w:rsidR="00023BCD">
        <w:t xml:space="preserve">material </w:t>
      </w:r>
      <w:r w:rsidRPr="00DA0373">
        <w:t xml:space="preserve">considerations in relation </w:t>
      </w:r>
      <w:r w:rsidR="00E61477" w:rsidRPr="00DA0373">
        <w:t>to</w:t>
      </w:r>
      <w:r w:rsidRPr="00DA0373">
        <w:t xml:space="preserve"> the ultimate question of whether the proposed settlement is fair and reasonable.</w:t>
      </w:r>
      <w:r w:rsidR="009A3E43">
        <w:t xml:space="preserve"> </w:t>
      </w:r>
      <w:r w:rsidR="00206E03">
        <w:t xml:space="preserve"> </w:t>
      </w:r>
      <w:r w:rsidR="00023BCD">
        <w:t xml:space="preserve">These matters are </w:t>
      </w:r>
      <w:r w:rsidR="00E61477" w:rsidRPr="00DA0373">
        <w:t>plainly relevant consideration</w:t>
      </w:r>
      <w:r w:rsidR="00023BCD">
        <w:t>s</w:t>
      </w:r>
      <w:r w:rsidR="00E61477" w:rsidRPr="00DA0373">
        <w:t xml:space="preserve"> which must be taken into account, </w:t>
      </w:r>
      <w:r w:rsidR="00300549">
        <w:t xml:space="preserve">even </w:t>
      </w:r>
      <w:r w:rsidR="00023BCD">
        <w:t xml:space="preserve">though these factors are </w:t>
      </w:r>
      <w:r w:rsidR="00E61477" w:rsidRPr="00DA0373">
        <w:t>not amenable to measurement</w:t>
      </w:r>
      <w:r w:rsidR="00023BCD">
        <w:t>,</w:t>
      </w:r>
      <w:r w:rsidR="00E61477" w:rsidRPr="00DA0373">
        <w:t xml:space="preserve"> or </w:t>
      </w:r>
      <w:r w:rsidR="00023BCD">
        <w:t xml:space="preserve">to a </w:t>
      </w:r>
      <w:r w:rsidR="00E61477" w:rsidRPr="00DA0373">
        <w:t>common risk assessment in percentage terms.</w:t>
      </w:r>
      <w:r w:rsidR="009A3E43">
        <w:t xml:space="preserve"> </w:t>
      </w:r>
      <w:r w:rsidR="00206E03">
        <w:t xml:space="preserve"> </w:t>
      </w:r>
      <w:r w:rsidR="00023BCD">
        <w:t xml:space="preserve">These factors are </w:t>
      </w:r>
      <w:r w:rsidR="00E61477" w:rsidRPr="00DA0373">
        <w:t>properly to be taken into account as a pervasive overla</w:t>
      </w:r>
      <w:r w:rsidR="00023BCD">
        <w:t>y</w:t>
      </w:r>
      <w:r w:rsidR="00E61477" w:rsidRPr="00DA0373">
        <w:t xml:space="preserve"> that should inform an assessment of the reasonableness of the settlement, depending </w:t>
      </w:r>
      <w:r w:rsidR="00023BCD">
        <w:t xml:space="preserve">of course </w:t>
      </w:r>
      <w:r w:rsidR="00E61477" w:rsidRPr="00DA0373">
        <w:t>on the different assumptions that might be made concerning the prospects of success against particular respondents in relation to different causes of action.</w:t>
      </w:r>
      <w:r w:rsidR="009A3E43">
        <w:t xml:space="preserve"> </w:t>
      </w:r>
      <w:r w:rsidR="00206E03">
        <w:t xml:space="preserve"> </w:t>
      </w:r>
      <w:r w:rsidR="00E61477" w:rsidRPr="00DA0373">
        <w:t>In the</w:t>
      </w:r>
      <w:r w:rsidR="00023BCD">
        <w:t>ir</w:t>
      </w:r>
      <w:r w:rsidR="00E61477" w:rsidRPr="00DA0373">
        <w:t xml:space="preserve"> Joint Opinion, counsel have grappled with this amorphous factor. </w:t>
      </w:r>
    </w:p>
    <w:p w14:paraId="2C10AB58" w14:textId="3EAEAD9F" w:rsidR="00E61477" w:rsidRDefault="00E61477" w:rsidP="00096F97">
      <w:pPr>
        <w:pStyle w:val="ParaNumbering"/>
      </w:pPr>
      <w:r>
        <w:t>The claims and cross-claims in this proceeding form a complex Venn diagram.</w:t>
      </w:r>
      <w:r w:rsidR="009A3E43">
        <w:t xml:space="preserve"> </w:t>
      </w:r>
      <w:r w:rsidR="00206E03">
        <w:t xml:space="preserve"> </w:t>
      </w:r>
      <w:r>
        <w:t xml:space="preserve">The complexity of the claims and cross-claims </w:t>
      </w:r>
      <w:r w:rsidR="002A5D95">
        <w:t>is compounded by a mixture of apportionable and non-apportionable claims.</w:t>
      </w:r>
      <w:r w:rsidR="009A3E43">
        <w:t xml:space="preserve"> </w:t>
      </w:r>
      <w:r w:rsidR="00206E03">
        <w:t xml:space="preserve"> </w:t>
      </w:r>
      <w:r w:rsidR="002A5D95">
        <w:t>Th</w:t>
      </w:r>
      <w:r w:rsidR="004A11A5">
        <w:t>e</w:t>
      </w:r>
      <w:r w:rsidR="002A5D95">
        <w:t xml:space="preserve"> latter factor adds further </w:t>
      </w:r>
      <w:r w:rsidR="00023BCD">
        <w:t xml:space="preserve">permutations in relation to potential outcomes of the proceeding and must therefore be taken into account, so far as possible, in relation to </w:t>
      </w:r>
      <w:r w:rsidR="002A5D95">
        <w:t xml:space="preserve">the overall assessment of both prospects of success and </w:t>
      </w:r>
      <w:r w:rsidR="00351CA2">
        <w:t>prospects</w:t>
      </w:r>
      <w:r w:rsidR="002A5D95">
        <w:t xml:space="preserve"> of recovery.</w:t>
      </w:r>
      <w:r w:rsidR="00206E03">
        <w:t xml:space="preserve">  </w:t>
      </w:r>
      <w:r w:rsidR="002A5D95">
        <w:t xml:space="preserve">Again, counsel for the Applicant have </w:t>
      </w:r>
      <w:r w:rsidR="00023BCD">
        <w:t xml:space="preserve">astutely </w:t>
      </w:r>
      <w:r w:rsidR="002A5D95">
        <w:t xml:space="preserve">grappled with </w:t>
      </w:r>
      <w:r w:rsidR="00351CA2">
        <w:t>this factor and the myriad of scenarios that arise because of it.</w:t>
      </w:r>
    </w:p>
    <w:p w14:paraId="168A104F" w14:textId="2C48DABC" w:rsidR="00351CA2" w:rsidRDefault="00351CA2" w:rsidP="00351CA2">
      <w:pPr>
        <w:pStyle w:val="ParaNumbering"/>
      </w:pPr>
      <w:r>
        <w:t>For the above reasons, I am satisfied that the Settlement Sum of $50</w:t>
      </w:r>
      <w:r w:rsidR="004A11A5">
        <w:t xml:space="preserve"> </w:t>
      </w:r>
      <w:r>
        <w:t xml:space="preserve">million is fair and reasonable. </w:t>
      </w:r>
      <w:r w:rsidR="00206E03">
        <w:t xml:space="preserve"> </w:t>
      </w:r>
      <w:r>
        <w:t xml:space="preserve">I am also satisfied that it is appropriate and reasonable that the Applicant give releases and covenants not to sue on her own behalf and on behalf of bound Group Members, subject to such releases and covenants not to sue applying </w:t>
      </w:r>
      <w:r w:rsidR="00023BCD">
        <w:t xml:space="preserve">only </w:t>
      </w:r>
      <w:r>
        <w:t>to claims the subject of the proceeding</w:t>
      </w:r>
      <w:r w:rsidR="00CA2133">
        <w:t>.</w:t>
      </w:r>
      <w:r w:rsidR="009A3E43">
        <w:t xml:space="preserve"> </w:t>
      </w:r>
      <w:r w:rsidR="00206E03">
        <w:t xml:space="preserve"> </w:t>
      </w:r>
      <w:r w:rsidR="00CA2133">
        <w:t>As Lee J explained in</w:t>
      </w:r>
      <w:r>
        <w:t xml:space="preserve"> </w:t>
      </w:r>
      <w:r w:rsidRPr="00351CA2">
        <w:rPr>
          <w:i/>
        </w:rPr>
        <w:t xml:space="preserve">Smith v Commonwealth of </w:t>
      </w:r>
      <w:r>
        <w:rPr>
          <w:i/>
        </w:rPr>
        <w:t>Australia (No 2)</w:t>
      </w:r>
      <w:r w:rsidRPr="00533703">
        <w:t xml:space="preserve"> [2020] FCA 837 </w:t>
      </w:r>
      <w:r>
        <w:t>at [145]:</w:t>
      </w:r>
    </w:p>
    <w:p w14:paraId="49A06929" w14:textId="77777777" w:rsidR="00351CA2" w:rsidRDefault="00351CA2" w:rsidP="00533703">
      <w:pPr>
        <w:pStyle w:val="Quote1"/>
      </w:pPr>
      <w:r>
        <w:t>…</w:t>
      </w:r>
      <w:r w:rsidRPr="00351CA2">
        <w:t xml:space="preserve">the reason why settlements of class actions work is that the claim as between the </w:t>
      </w:r>
      <w:r w:rsidRPr="00351CA2">
        <w:lastRenderedPageBreak/>
        <w:t xml:space="preserve">applicant and the respondent is settled in accordance with usual principles that attend settlement of litigation between parties. The reason why there is a settlement and quelling of the claims as between the group members and the respondent, is that by a combined operation of </w:t>
      </w:r>
      <w:proofErr w:type="spellStart"/>
      <w:r w:rsidRPr="00351CA2">
        <w:t>ss</w:t>
      </w:r>
      <w:proofErr w:type="spellEnd"/>
      <w:r w:rsidRPr="00351CA2">
        <w:t xml:space="preserve"> 33V and 33ZB a “statutory estoppel” is created. That is why it is important for a s 33ZB order to accompany a s 33V order. This reflects the fact that orders are being made which bind persons who are not parties to the proceeding.</w:t>
      </w:r>
      <w:r>
        <w:t xml:space="preserve"> </w:t>
      </w:r>
    </w:p>
    <w:p w14:paraId="29EF2828" w14:textId="5EDEEC8F" w:rsidR="00A3341F" w:rsidRDefault="00A3341F">
      <w:pPr>
        <w:pStyle w:val="ParaNumbering"/>
      </w:pPr>
      <w:r>
        <w:t>As I have said above, I am satisfied that it is fair and reasonable for Late Registrants to participate</w:t>
      </w:r>
      <w:r w:rsidR="00B05665">
        <w:t xml:space="preserve"> in the settlement having regard to</w:t>
      </w:r>
      <w:r w:rsidR="00A85492">
        <w:t>: (1)</w:t>
      </w:r>
      <w:r w:rsidR="00B05665">
        <w:t xml:space="preserve"> </w:t>
      </w:r>
      <w:r w:rsidR="00013AA8">
        <w:t>the</w:t>
      </w:r>
      <w:r w:rsidR="005645C7">
        <w:t xml:space="preserve"> orders of Middleton J dated</w:t>
      </w:r>
      <w:r w:rsidR="00013AA8">
        <w:t xml:space="preserve"> 17 December 2020</w:t>
      </w:r>
      <w:r w:rsidR="00CA2133">
        <w:t>,</w:t>
      </w:r>
      <w:r w:rsidR="00013AA8">
        <w:t xml:space="preserve"> </w:t>
      </w:r>
      <w:r w:rsidR="00B05665">
        <w:t xml:space="preserve">which </w:t>
      </w:r>
      <w:r w:rsidR="00013AA8">
        <w:t>gave unregistered Group Members the opportunity to participate in the distribution of the settlement upon further order of the Court</w:t>
      </w:r>
      <w:r w:rsidR="00A85492">
        <w:t>; (2)</w:t>
      </w:r>
      <w:r w:rsidR="005645C7">
        <w:t xml:space="preserve"> the class closure orders of 7 </w:t>
      </w:r>
      <w:r w:rsidR="00A85492">
        <w:t>December</w:t>
      </w:r>
      <w:r w:rsidR="005645C7">
        <w:t xml:space="preserve"> 2018</w:t>
      </w:r>
      <w:r w:rsidR="00A85492">
        <w:t>, in particular paragraph 53(b)</w:t>
      </w:r>
      <w:r w:rsidR="00CA2133">
        <w:t>,</w:t>
      </w:r>
      <w:r w:rsidR="00A85492">
        <w:t xml:space="preserve"> which contemplates that</w:t>
      </w:r>
      <w:r w:rsidR="009A3E43">
        <w:t xml:space="preserve"> </w:t>
      </w:r>
      <w:r w:rsidR="00A85492">
        <w:t>Late Registrant may be admitted to participate in the settlement subject to further order of the Court;</w:t>
      </w:r>
      <w:r w:rsidR="005645C7">
        <w:t xml:space="preserve"> and </w:t>
      </w:r>
      <w:r w:rsidR="00A85492">
        <w:t xml:space="preserve">(3) </w:t>
      </w:r>
      <w:r w:rsidR="005645C7">
        <w:t>s 33V(2) of the A</w:t>
      </w:r>
      <w:r w:rsidR="00A85492">
        <w:t>ct</w:t>
      </w:r>
      <w:r w:rsidR="00013AA8">
        <w:t xml:space="preserve">. </w:t>
      </w:r>
    </w:p>
    <w:p w14:paraId="0F77CF09" w14:textId="67CA3E67" w:rsidR="00A85492" w:rsidRDefault="00B05665">
      <w:pPr>
        <w:pStyle w:val="ParaNumbering"/>
      </w:pPr>
      <w:r>
        <w:t>Further, I am satisfied that t</w:t>
      </w:r>
      <w:r w:rsidR="00A3341F">
        <w:t xml:space="preserve">he amount to be distributed </w:t>
      </w:r>
      <w:r>
        <w:t xml:space="preserve">to Late Registrants </w:t>
      </w:r>
      <w:r w:rsidR="00A3341F">
        <w:t>will not materially</w:t>
      </w:r>
      <w:r w:rsidR="004008DE">
        <w:t xml:space="preserve"> adversely </w:t>
      </w:r>
      <w:r w:rsidR="00263BD0">
        <w:t>affect</w:t>
      </w:r>
      <w:r w:rsidR="00A3341F">
        <w:t xml:space="preserve"> the distribution of the Settlement Sum to Group Members.</w:t>
      </w:r>
      <w:r w:rsidR="009A3E43">
        <w:t xml:space="preserve"> </w:t>
      </w:r>
      <w:r w:rsidR="008A1869">
        <w:t xml:space="preserve"> </w:t>
      </w:r>
      <w:r w:rsidR="008F5075">
        <w:t>While there are a number of authorities that have considered the validity of class closure order</w:t>
      </w:r>
      <w:r w:rsidR="00CA2133">
        <w:t>s general</w:t>
      </w:r>
      <w:r w:rsidR="008A1869">
        <w:t>ly</w:t>
      </w:r>
      <w:r w:rsidR="00CA2133">
        <w:t xml:space="preserve"> (see, </w:t>
      </w:r>
      <w:proofErr w:type="spellStart"/>
      <w:r w:rsidR="00CA2133">
        <w:t>eg</w:t>
      </w:r>
      <w:proofErr w:type="spellEnd"/>
      <w:r w:rsidR="00CA2133">
        <w:t>,</w:t>
      </w:r>
      <w:r w:rsidR="006421E0">
        <w:t xml:space="preserve"> </w:t>
      </w:r>
      <w:proofErr w:type="spellStart"/>
      <w:r w:rsidR="006421E0">
        <w:rPr>
          <w:i/>
        </w:rPr>
        <w:t>Haeslhurst</w:t>
      </w:r>
      <w:proofErr w:type="spellEnd"/>
      <w:r w:rsidR="006421E0">
        <w:rPr>
          <w:i/>
        </w:rPr>
        <w:t xml:space="preserve"> v Toyota Motor Corporation Australia Ltd t/as Toyota Australia </w:t>
      </w:r>
      <w:r w:rsidR="006421E0">
        <w:t xml:space="preserve">[2020] NSWCA 66; 101 NSWLR 890; 379 ALR 556; </w:t>
      </w:r>
      <w:proofErr w:type="spellStart"/>
      <w:r w:rsidR="006421E0">
        <w:rPr>
          <w:i/>
        </w:rPr>
        <w:t>Wigmans</w:t>
      </w:r>
      <w:proofErr w:type="spellEnd"/>
      <w:r w:rsidR="006421E0">
        <w:rPr>
          <w:i/>
        </w:rPr>
        <w:t xml:space="preserve"> v AMP Ltd </w:t>
      </w:r>
      <w:r w:rsidR="006421E0">
        <w:t xml:space="preserve">[2020] NSWCA 104; 102 NSWLR 199; 381 ALR 100; </w:t>
      </w:r>
      <w:proofErr w:type="spellStart"/>
      <w:r w:rsidR="003F4D46">
        <w:rPr>
          <w:i/>
        </w:rPr>
        <w:t>Wetdal</w:t>
      </w:r>
      <w:proofErr w:type="spellEnd"/>
      <w:r w:rsidR="003F4D46">
        <w:rPr>
          <w:i/>
        </w:rPr>
        <w:t xml:space="preserve"> Pty Ltd as Trustee for the </w:t>
      </w:r>
      <w:proofErr w:type="spellStart"/>
      <w:r w:rsidR="003F4D46">
        <w:rPr>
          <w:i/>
        </w:rPr>
        <w:t>BlueCo</w:t>
      </w:r>
      <w:proofErr w:type="spellEnd"/>
      <w:r w:rsidR="003F4D46">
        <w:rPr>
          <w:i/>
        </w:rPr>
        <w:t xml:space="preserve"> Two Superannuation Fund v </w:t>
      </w:r>
      <w:proofErr w:type="spellStart"/>
      <w:r w:rsidR="003F4D46">
        <w:rPr>
          <w:i/>
        </w:rPr>
        <w:t>Estia</w:t>
      </w:r>
      <w:proofErr w:type="spellEnd"/>
      <w:r w:rsidR="003F4D46">
        <w:rPr>
          <w:i/>
        </w:rPr>
        <w:t xml:space="preserve"> Health Limited </w:t>
      </w:r>
      <w:r w:rsidR="003F4D46">
        <w:t>[2021] FCA 475</w:t>
      </w:r>
      <w:r w:rsidR="00543A8D">
        <w:t>)</w:t>
      </w:r>
      <w:r w:rsidR="008F5075">
        <w:t>, i</w:t>
      </w:r>
      <w:r w:rsidR="00A85492">
        <w:t xml:space="preserve">t is </w:t>
      </w:r>
      <w:r w:rsidR="00543A8D">
        <w:t>un</w:t>
      </w:r>
      <w:r w:rsidR="00A85492">
        <w:t xml:space="preserve">necessary for me to decide </w:t>
      </w:r>
      <w:r w:rsidR="008F5075">
        <w:t xml:space="preserve">this issue, given that the orders of Middleton J dated 17 December 2020 afforded unregistered group members a further opportunity to participate in the settlement. </w:t>
      </w:r>
    </w:p>
    <w:p w14:paraId="024E4A3D" w14:textId="528E8DE7" w:rsidR="002E2182" w:rsidRDefault="002E2182" w:rsidP="002E2182">
      <w:pPr>
        <w:pStyle w:val="Heading2"/>
      </w:pPr>
      <w:r w:rsidRPr="002E2182">
        <w:t xml:space="preserve">The SDS and deductions from the </w:t>
      </w:r>
      <w:r w:rsidR="004C22DE">
        <w:t>S</w:t>
      </w:r>
      <w:r w:rsidRPr="002E2182">
        <w:t xml:space="preserve">ettlement </w:t>
      </w:r>
      <w:r w:rsidR="004C22DE">
        <w:t>S</w:t>
      </w:r>
      <w:r w:rsidRPr="002E2182">
        <w:t>um</w:t>
      </w:r>
      <w:r w:rsidR="00261DE9">
        <w:t xml:space="preserve"> </w:t>
      </w:r>
    </w:p>
    <w:p w14:paraId="1082C1F5" w14:textId="7C645470" w:rsidR="002E2182" w:rsidRDefault="002E2182">
      <w:pPr>
        <w:pStyle w:val="ParaNumbering"/>
      </w:pPr>
      <w:r>
        <w:t>The Applicant also seeks approval, as is required, of the SDS.</w:t>
      </w:r>
      <w:r w:rsidR="009A3E43">
        <w:t xml:space="preserve">  </w:t>
      </w:r>
      <w:r>
        <w:t xml:space="preserve">The SDS is integral to the Settlement </w:t>
      </w:r>
      <w:r w:rsidR="00DD6AC8">
        <w:t>Agreement</w:t>
      </w:r>
      <w:r>
        <w:t xml:space="preserve"> and therefore also to an assessment of the reasonableness of the proposed settlement.</w:t>
      </w:r>
      <w:r w:rsidR="009A3E43">
        <w:t xml:space="preserve">  </w:t>
      </w:r>
    </w:p>
    <w:p w14:paraId="0357858A" w14:textId="7D9155D6" w:rsidR="006C6381" w:rsidRPr="00DA0373" w:rsidRDefault="002E2182" w:rsidP="002E2182">
      <w:pPr>
        <w:pStyle w:val="ParaNumbering"/>
      </w:pPr>
      <w:r w:rsidRPr="00DA0373">
        <w:t xml:space="preserve">The SDS provides for a formula, described as a Confidential Loss Assessment </w:t>
      </w:r>
      <w:r w:rsidRPr="00533703">
        <w:rPr>
          <w:b/>
        </w:rPr>
        <w:t>Formula</w:t>
      </w:r>
      <w:r w:rsidRPr="00DA0373">
        <w:t xml:space="preserve">, to be used for the distribution of the net proceeds of the </w:t>
      </w:r>
      <w:r w:rsidR="004C22DE" w:rsidRPr="00DA0373">
        <w:t>S</w:t>
      </w:r>
      <w:r w:rsidRPr="00DA0373">
        <w:t xml:space="preserve">ettlement </w:t>
      </w:r>
      <w:r w:rsidR="004C22DE" w:rsidRPr="00DA0373">
        <w:t>S</w:t>
      </w:r>
      <w:r w:rsidRPr="00DA0373">
        <w:t xml:space="preserve">um to </w:t>
      </w:r>
      <w:r w:rsidR="004C22DE" w:rsidRPr="00DA0373">
        <w:t>G</w:t>
      </w:r>
      <w:r w:rsidRPr="00DA0373">
        <w:t xml:space="preserve">roup </w:t>
      </w:r>
      <w:r w:rsidR="004C22DE" w:rsidRPr="00DA0373">
        <w:t>M</w:t>
      </w:r>
      <w:r w:rsidRPr="00DA0373">
        <w:t>embers.</w:t>
      </w:r>
      <w:r w:rsidR="009A3E43">
        <w:t xml:space="preserve">  </w:t>
      </w:r>
      <w:r w:rsidRPr="00DA0373">
        <w:t>The Formula values all Group Member claims on the same basis and divides the net fund on a pro-rata basis.</w:t>
      </w:r>
      <w:r w:rsidR="009A3E43">
        <w:t xml:space="preserve">  </w:t>
      </w:r>
      <w:r w:rsidRPr="00DA0373">
        <w:t xml:space="preserve">The Formula adopts the no-transaction measure of damages on a blended </w:t>
      </w:r>
      <w:r w:rsidR="005B429E" w:rsidRPr="00DA0373">
        <w:t>Last-In, First-Out (</w:t>
      </w:r>
      <w:r w:rsidR="005B429E" w:rsidRPr="00DA0373">
        <w:rPr>
          <w:b/>
        </w:rPr>
        <w:t>LIFO</w:t>
      </w:r>
      <w:r w:rsidR="005B429E" w:rsidRPr="00DA0373">
        <w:t>)/First-In, First-Out (</w:t>
      </w:r>
      <w:r w:rsidR="005B429E" w:rsidRPr="00533703">
        <w:rPr>
          <w:b/>
        </w:rPr>
        <w:t>FIFO</w:t>
      </w:r>
      <w:r w:rsidR="005B429E" w:rsidRPr="00DA0373">
        <w:t>)</w:t>
      </w:r>
      <w:r w:rsidRPr="00DA0373">
        <w:t xml:space="preserve"> trade-matching basis to ascertain the number of damaged shares held by each group member, and thus, the value of their claims.</w:t>
      </w:r>
      <w:r w:rsidR="009A3E43">
        <w:t xml:space="preserve">  </w:t>
      </w:r>
      <w:r w:rsidRPr="00DA0373">
        <w:t>In my view</w:t>
      </w:r>
      <w:r w:rsidR="00CA2133">
        <w:t>,</w:t>
      </w:r>
      <w:r w:rsidRPr="00DA0373">
        <w:t xml:space="preserve"> this is a reasonable approach to the task.</w:t>
      </w:r>
      <w:r w:rsidR="009A3E43">
        <w:t xml:space="preserve">  </w:t>
      </w:r>
      <w:r w:rsidRPr="00DA0373">
        <w:t xml:space="preserve">The alternative of individually valuing the unique circumstances of each claim by </w:t>
      </w:r>
      <w:r w:rsidR="005C4CC0" w:rsidRPr="00DA0373">
        <w:t>G</w:t>
      </w:r>
      <w:r w:rsidRPr="00DA0373">
        <w:t xml:space="preserve">roup </w:t>
      </w:r>
      <w:r w:rsidR="005C4CC0" w:rsidRPr="00DA0373">
        <w:t>M</w:t>
      </w:r>
      <w:r w:rsidRPr="00DA0373">
        <w:t xml:space="preserve">embers would be prohibitively time consuming and </w:t>
      </w:r>
      <w:r w:rsidRPr="00DA0373">
        <w:lastRenderedPageBreak/>
        <w:t>expensive.</w:t>
      </w:r>
      <w:r w:rsidR="009A3E43">
        <w:t xml:space="preserve">  </w:t>
      </w:r>
      <w:r w:rsidR="005B429E" w:rsidRPr="00DA0373">
        <w:t xml:space="preserve"> </w:t>
      </w:r>
      <w:r w:rsidRPr="00DA0373">
        <w:t xml:space="preserve">I respectfully agree with the observations made by </w:t>
      </w:r>
      <w:proofErr w:type="spellStart"/>
      <w:r w:rsidRPr="00DA0373">
        <w:t>Moshinsky</w:t>
      </w:r>
      <w:proofErr w:type="spellEnd"/>
      <w:r w:rsidRPr="00DA0373">
        <w:t xml:space="preserve"> J in </w:t>
      </w:r>
      <w:proofErr w:type="spellStart"/>
      <w:r w:rsidRPr="00533703">
        <w:rPr>
          <w:i/>
        </w:rPr>
        <w:t>Camilleri</w:t>
      </w:r>
      <w:proofErr w:type="spellEnd"/>
      <w:r w:rsidRPr="00533703">
        <w:rPr>
          <w:i/>
        </w:rPr>
        <w:t xml:space="preserve"> v The Trust Company (Nominees)</w:t>
      </w:r>
      <w:r w:rsidR="006C6381" w:rsidRPr="00533703">
        <w:rPr>
          <w:i/>
        </w:rPr>
        <w:t xml:space="preserve"> </w:t>
      </w:r>
      <w:r w:rsidRPr="00533703">
        <w:rPr>
          <w:i/>
        </w:rPr>
        <w:t>Ltd</w:t>
      </w:r>
      <w:r w:rsidRPr="00DA0373">
        <w:t xml:space="preserve"> [2015] FCA 1468 at [43] that it </w:t>
      </w:r>
      <w:r w:rsidR="00FB25EF">
        <w:t>is</w:t>
      </w:r>
      <w:r w:rsidRPr="00DA0373">
        <w:t xml:space="preserve"> relevant to </w:t>
      </w:r>
      <w:r w:rsidR="006C6381" w:rsidRPr="00DA0373">
        <w:t>consider: “</w:t>
      </w:r>
      <w:r w:rsidRPr="00DA0373">
        <w:t>whether the costs of a more perfect assessment procedure would erode the notional benefits of a more exact distribution.”</w:t>
      </w:r>
      <w:r w:rsidR="009A3E43">
        <w:t xml:space="preserve">  </w:t>
      </w:r>
      <w:r w:rsidRPr="00DA0373">
        <w:t>In the present cir</w:t>
      </w:r>
      <w:r w:rsidR="006C6381" w:rsidRPr="00DA0373">
        <w:t>cumstances, it would be counter</w:t>
      </w:r>
      <w:r w:rsidRPr="00DA0373">
        <w:t>productive to engage in a bespoke assessment of individual claims</w:t>
      </w:r>
      <w:r w:rsidR="000E1EDE">
        <w:t>.</w:t>
      </w:r>
      <w:r w:rsidR="009A3E43">
        <w:t xml:space="preserve"> </w:t>
      </w:r>
      <w:r w:rsidR="007264AD">
        <w:t xml:space="preserve"> </w:t>
      </w:r>
      <w:r w:rsidR="002F5C60">
        <w:t>For these reasons</w:t>
      </w:r>
      <w:r w:rsidR="00CA2133">
        <w:t>,</w:t>
      </w:r>
      <w:r w:rsidR="00261DE9">
        <w:t xml:space="preserve"> I consider this Formula is an appropriate</w:t>
      </w:r>
      <w:r w:rsidR="0087651F">
        <w:t xml:space="preserve"> methodology</w:t>
      </w:r>
      <w:r w:rsidR="00261DE9">
        <w:t xml:space="preserve"> for </w:t>
      </w:r>
      <w:r w:rsidR="0025355C">
        <w:t xml:space="preserve">the distribution </w:t>
      </w:r>
      <w:r w:rsidR="00261DE9">
        <w:t>of the balance of the Settlement Sum as between the Group Members</w:t>
      </w:r>
      <w:r w:rsidRPr="00DA0373">
        <w:t xml:space="preserve">. </w:t>
      </w:r>
    </w:p>
    <w:p w14:paraId="60A47296" w14:textId="77777777" w:rsidR="006C6381" w:rsidRDefault="006C6381" w:rsidP="00533703">
      <w:pPr>
        <w:pStyle w:val="Heading2"/>
      </w:pPr>
      <w:r>
        <w:t>Deduction of Legal Costs</w:t>
      </w:r>
    </w:p>
    <w:p w14:paraId="1FCCD02B" w14:textId="4882B5AC" w:rsidR="006C6381" w:rsidRPr="00DA0373" w:rsidRDefault="006C6381">
      <w:pPr>
        <w:pStyle w:val="ParaNumbering"/>
      </w:pPr>
      <w:r w:rsidRPr="00DA0373">
        <w:t>On 17 December 2020, Middleton J made orders appointing Ms Catherine Mary Dealehr a special costs referee</w:t>
      </w:r>
      <w:r w:rsidR="005C4CC0" w:rsidRPr="00DA0373">
        <w:t xml:space="preserve"> pursuant to s 33ZF(1) and/or s 37P(2) and/</w:t>
      </w:r>
      <w:r w:rsidR="00EC3774" w:rsidRPr="00DA0373">
        <w:t xml:space="preserve">or s 54 of the Act, and Division 28.6 of the </w:t>
      </w:r>
      <w:r w:rsidR="00EC3774" w:rsidRPr="0031096F">
        <w:t>Rules</w:t>
      </w:r>
      <w:r w:rsidRPr="00DA0373">
        <w:t>.</w:t>
      </w:r>
      <w:r w:rsidR="009A3E43">
        <w:t xml:space="preserve">  </w:t>
      </w:r>
      <w:r w:rsidRPr="00DA0373">
        <w:t>Ms Dealehr was directed to assess the quantum of costs and di</w:t>
      </w:r>
      <w:r w:rsidR="0011642A">
        <w:t>sbursements incurred by Slater and</w:t>
      </w:r>
      <w:r w:rsidRPr="00DA0373">
        <w:t xml:space="preserve"> Gordon and Maurice Blackburn</w:t>
      </w:r>
      <w:r w:rsidR="007F6A66">
        <w:t>,</w:t>
      </w:r>
      <w:r w:rsidRPr="00DA0373">
        <w:t xml:space="preserve"> and to opine on the reasonableness of the costs incurred.</w:t>
      </w:r>
      <w:r w:rsidR="009A3E43">
        <w:t xml:space="preserve">  </w:t>
      </w:r>
      <w:r w:rsidRPr="00DA0373">
        <w:t xml:space="preserve">On 5 March 2021, Ms Dealehr provided a report </w:t>
      </w:r>
      <w:r w:rsidR="007F6A66">
        <w:t xml:space="preserve">to the Court </w:t>
      </w:r>
      <w:r w:rsidRPr="00DA0373">
        <w:t>addressing the questions she had been asked.</w:t>
      </w:r>
      <w:r w:rsidR="009A3E43">
        <w:t xml:space="preserve">  </w:t>
      </w:r>
      <w:r w:rsidRPr="00DA0373">
        <w:t>The report is thorough, extensive and detailed.</w:t>
      </w:r>
      <w:r w:rsidR="009A3E43">
        <w:t xml:space="preserve">  </w:t>
      </w:r>
      <w:r w:rsidRPr="00DA0373">
        <w:t xml:space="preserve">I accept Ms </w:t>
      </w:r>
      <w:proofErr w:type="spellStart"/>
      <w:r w:rsidRPr="00DA0373">
        <w:t>Dealehr’s</w:t>
      </w:r>
      <w:proofErr w:type="spellEnd"/>
      <w:r w:rsidRPr="00DA0373">
        <w:t xml:space="preserve"> conclusions concerning the quantum of costs and disbursements incurred by each of the law firms and her opinion as to the reasonableness of those costs and disbursements.</w:t>
      </w:r>
      <w:r w:rsidR="009A3E43">
        <w:t xml:space="preserve"> </w:t>
      </w:r>
    </w:p>
    <w:p w14:paraId="0F5AB5C6" w14:textId="38F30E34" w:rsidR="006C6381" w:rsidRPr="00DA0373" w:rsidRDefault="006C6381">
      <w:pPr>
        <w:pStyle w:val="ParaNumbering"/>
      </w:pPr>
      <w:r w:rsidRPr="00DA0373">
        <w:t>Ms Dealehr rejected some of the costs incurred by the law firms and arrived at the following sums</w:t>
      </w:r>
      <w:r w:rsidRPr="00F80C8A">
        <w:t>: $5,1</w:t>
      </w:r>
      <w:r w:rsidR="0011642A" w:rsidRPr="00F80C8A">
        <w:t>91,294.07 in</w:t>
      </w:r>
      <w:r w:rsidR="0011642A">
        <w:t xml:space="preserve"> respect of Slater and</w:t>
      </w:r>
      <w:r w:rsidRPr="00DA0373">
        <w:t xml:space="preserve"> Gordon’s costs </w:t>
      </w:r>
      <w:r w:rsidRPr="00F80C8A">
        <w:t>and $7,567,385</w:t>
      </w:r>
      <w:r w:rsidR="00F80C8A" w:rsidRPr="00F80C8A">
        <w:t>.66</w:t>
      </w:r>
      <w:r w:rsidRPr="00F80C8A">
        <w:t xml:space="preserve"> in</w:t>
      </w:r>
      <w:r w:rsidRPr="00DA0373">
        <w:t xml:space="preserve"> respect of Maurice Blackburn’s costs.</w:t>
      </w:r>
      <w:r w:rsidR="009A3E43">
        <w:t xml:space="preserve">  </w:t>
      </w:r>
      <w:r w:rsidRPr="00DA0373">
        <w:t>These are undoubtedly substantial sums.</w:t>
      </w:r>
      <w:r w:rsidR="009A3E43">
        <w:t xml:space="preserve">  </w:t>
      </w:r>
      <w:r w:rsidRPr="00DA0373">
        <w:t>However, the quantum of the costs must be viewed in the context of the complexity of the proceeding.</w:t>
      </w:r>
      <w:r w:rsidR="009A3E43">
        <w:t xml:space="preserve">  </w:t>
      </w:r>
      <w:r w:rsidRPr="00DA0373">
        <w:t>In their Joint Opinion, counsel for the Applicant explain that: “the complexity of this proceeding was by no means ordinary and in our experience our instructors at both firms have conscientiously attended to the litigation with a view to attempting to obtain the best possible outcome for the Applicant and Group Members”</w:t>
      </w:r>
      <w:r w:rsidR="00EC3774" w:rsidRPr="00DA0373">
        <w:t>.</w:t>
      </w:r>
      <w:r w:rsidR="009A3E43">
        <w:t xml:space="preserve">  </w:t>
      </w:r>
    </w:p>
    <w:p w14:paraId="25FC3098" w14:textId="64365556" w:rsidR="006C6381" w:rsidRPr="00DA0373" w:rsidRDefault="006C6381" w:rsidP="006C6381">
      <w:pPr>
        <w:pStyle w:val="ParaNumbering"/>
      </w:pPr>
      <w:r w:rsidRPr="00DA0373">
        <w:t>The question of the proportionality of the costs must be kept steadily in mind.</w:t>
      </w:r>
      <w:r w:rsidR="009A3E43">
        <w:t xml:space="preserve">  </w:t>
      </w:r>
      <w:r w:rsidRPr="00DA0373">
        <w:t>However, what is meant by proportionality must be properly understood and applied.</w:t>
      </w:r>
      <w:r w:rsidR="009A3E43">
        <w:t xml:space="preserve">  </w:t>
      </w:r>
      <w:r w:rsidRPr="00DA0373">
        <w:t>I respectfully agree with the</w:t>
      </w:r>
      <w:r w:rsidR="009A3E43">
        <w:t xml:space="preserve"> </w:t>
      </w:r>
      <w:r w:rsidRPr="00DA0373">
        <w:t xml:space="preserve">observations made by Beach J in </w:t>
      </w:r>
      <w:r w:rsidRPr="00533703">
        <w:rPr>
          <w:i/>
        </w:rPr>
        <w:t xml:space="preserve">Blairgowrie Trading Ltd v </w:t>
      </w:r>
      <w:proofErr w:type="spellStart"/>
      <w:r w:rsidRPr="00533703">
        <w:rPr>
          <w:i/>
        </w:rPr>
        <w:t>Allco</w:t>
      </w:r>
      <w:proofErr w:type="spellEnd"/>
      <w:r w:rsidRPr="00533703">
        <w:rPr>
          <w:i/>
        </w:rPr>
        <w:t xml:space="preserve"> Finance Group Ltd (No 3)</w:t>
      </w:r>
      <w:r w:rsidR="00023BCD">
        <w:rPr>
          <w:i/>
        </w:rPr>
        <w:t xml:space="preserve"> </w:t>
      </w:r>
      <w:r w:rsidR="005B429E" w:rsidRPr="00DA0373">
        <w:t>[2017] FCA 330; 343 ALR 476</w:t>
      </w:r>
      <w:r w:rsidRPr="00DA0373">
        <w:t xml:space="preserve"> at [181]</w:t>
      </w:r>
      <w:r w:rsidR="005B429E" w:rsidRPr="00DA0373">
        <w:t xml:space="preserve"> and</w:t>
      </w:r>
      <w:r w:rsidRPr="00DA0373">
        <w:t xml:space="preserve"> [183]</w:t>
      </w:r>
      <w:r w:rsidR="005B429E" w:rsidRPr="00DA0373">
        <w:t>:</w:t>
      </w:r>
    </w:p>
    <w:p w14:paraId="56E0EB85" w14:textId="0B793805" w:rsidR="005B429E" w:rsidRDefault="009A3E43" w:rsidP="00533703">
      <w:pPr>
        <w:pStyle w:val="Quote1"/>
      </w:pPr>
      <w:bookmarkStart w:id="27" w:name="PastedTemp70"/>
      <w:r>
        <w:t xml:space="preserve">But what is claimed for legal costs should not be disproportionate to the nature of the context, the litigation involved and the expected benefit. The Court should not approve an amount that is disproportionate. But such an assessment cannot be made on the simplistic basis that the costs claimed are high in absolute dollar terms or high as a percentage of the total recovery. In the latter case, spending $0.50 to recover an expected $1.00 may be proportionate if it is necessary to spend the $0.50. In the former </w:t>
      </w:r>
      <w:r>
        <w:lastRenderedPageBreak/>
        <w:t xml:space="preserve">case, the absolute dollar amount as a free-standing figure is an irrelevant metric. The question is to compare it with the benefit sought to be gained from the litigation. Moreover, one should be careful not to use hindsight bias. The question is the benefit reasonably expected to be achieved, not the benefit actually achieved. Proportionality looks to the expected realistic return at the time the work being charged for was performed, not the known return at a time remote from when the work was performed; at the later time, circumstances may have changed to alter the calculus, but that would not deny that the work performed and its cost was proportionate at the time it was performed. Perhaps the costs claimed can be compared with the known return, but such a comparison ought not to be confused with a true proportionality analysis. Nevertheless, any disparity with the known return may invite the question whether the costs were disproportionate, but would not sufficiently answer that question. </w:t>
      </w:r>
      <w:bookmarkEnd w:id="27"/>
    </w:p>
    <w:p w14:paraId="0DB81EEB" w14:textId="77777777" w:rsidR="005B429E" w:rsidRDefault="005B429E" w:rsidP="00533703">
      <w:pPr>
        <w:pStyle w:val="Quote1"/>
      </w:pPr>
      <w:r>
        <w:t>…</w:t>
      </w:r>
    </w:p>
    <w:p w14:paraId="6B86C96D" w14:textId="4466CC6B" w:rsidR="005B429E" w:rsidRDefault="005B429E" w:rsidP="00533703">
      <w:pPr>
        <w:pStyle w:val="Quote1"/>
      </w:pPr>
      <w:bookmarkStart w:id="28" w:name="PastedTemp53"/>
      <w:r>
        <w:t xml:space="preserve">Now it may be suggested that the concept of avoiding hindsight bias has no part to play in considering the 'fairness" of the legal costs. The concept of 'fairness" is the overarching theme for judicial approval of settlements under s 33 V, albeit not the statutory language as such. But fairness is a broad concept. And the integers feeding into that overall assessment need to be assessed, qualitatively and quantitatively, and then balanced overall to consider whether the settlement and net recoveries to group members are fair. But let me assume for the moment that each integer of the settlement needs to be 'fair" to group members (as distinct from some only being 'fair", but nevertheless the overall settlement being ''fair''). And let me assume for the moment that one is addressing one integer, being legal costs, and its fairness. Feeding into the question (if fairness of legal costs are many factors. It is difficult to see why you would not consider the fairness and reasonableness of the work at the time it was performed and in the context of the returns </w:t>
      </w:r>
      <w:proofErr w:type="spellStart"/>
      <w:r>
        <w:t>then</w:t>
      </w:r>
      <w:proofErr w:type="spellEnd"/>
      <w:r>
        <w:t xml:space="preserve"> expected. It is difficult to see why the applicant or group member would perceive that to be anything other than fair. No doubt the actual outcome of a case may also feed into the question of fairness. But in a case where the applicant and lawyer are not co-venturers, and with contingency fees not being allowed under the Australian model, it is difficult to see why the lawyer's fees should be artificially taxed down by the actual outcome; the actual outcome is a risk borne by the applicant and group members (and the litigation funder), but not the independent lawyer who is not sharing in the returns of the enterprise. </w:t>
      </w:r>
      <w:bookmarkEnd w:id="28"/>
      <w:r>
        <w:t xml:space="preserve"> </w:t>
      </w:r>
    </w:p>
    <w:p w14:paraId="348AC927" w14:textId="4725EA27" w:rsidR="002E2182" w:rsidRDefault="006C6381" w:rsidP="006C6381">
      <w:pPr>
        <w:pStyle w:val="ParaNumbering"/>
      </w:pPr>
      <w:r>
        <w:t>In my view, though the quantum of the costs o</w:t>
      </w:r>
      <w:r w:rsidR="005C08BF">
        <w:t xml:space="preserve">f each of the </w:t>
      </w:r>
      <w:r>
        <w:t>law firms</w:t>
      </w:r>
      <w:r w:rsidR="005C08BF">
        <w:t xml:space="preserve"> is</w:t>
      </w:r>
      <w:r w:rsidR="009A3E43">
        <w:t xml:space="preserve"> </w:t>
      </w:r>
      <w:r>
        <w:t>very substantial, they are not disproportionate to the settlement that has been achieved</w:t>
      </w:r>
      <w:r w:rsidR="009A3E43">
        <w:t>,</w:t>
      </w:r>
      <w:r>
        <w:t xml:space="preserve"> having regard to the complexity of the proceeding</w:t>
      </w:r>
      <w:r w:rsidR="00CF44F4">
        <w:t xml:space="preserve"> and the independent assessment of Ms </w:t>
      </w:r>
      <w:r w:rsidR="005F5250">
        <w:t>Deal</w:t>
      </w:r>
      <w:r w:rsidR="008739C1">
        <w:t>ehr</w:t>
      </w:r>
      <w:r w:rsidR="009A3E43">
        <w:t xml:space="preserve">. </w:t>
      </w:r>
      <w:r w:rsidR="008739C1">
        <w:t xml:space="preserve"> </w:t>
      </w:r>
      <w:r w:rsidR="009A3E43">
        <w:t>In any event, f</w:t>
      </w:r>
      <w:r w:rsidR="008739C1">
        <w:t>or the reasons discuss</w:t>
      </w:r>
      <w:r w:rsidR="009A3E43">
        <w:t>ed</w:t>
      </w:r>
      <w:r w:rsidR="008739C1">
        <w:t xml:space="preserve"> below in connection with there also being two litigation funders, </w:t>
      </w:r>
      <w:r w:rsidR="00751DE3">
        <w:t xml:space="preserve">it is too late to question the wisdom or otherwise of that course. </w:t>
      </w:r>
    </w:p>
    <w:p w14:paraId="4B53B3A3" w14:textId="77777777" w:rsidR="006C6381" w:rsidRDefault="006C6381" w:rsidP="00533703">
      <w:pPr>
        <w:pStyle w:val="Heading2"/>
      </w:pPr>
      <w:r w:rsidRPr="006C6381">
        <w:t>Applicant’s reimbursement payment</w:t>
      </w:r>
    </w:p>
    <w:p w14:paraId="7AC91A5C" w14:textId="1470DBE1" w:rsidR="0090060D" w:rsidRPr="00DA0373" w:rsidRDefault="006C6381">
      <w:pPr>
        <w:pStyle w:val="ParaNumbering"/>
      </w:pPr>
      <w:r w:rsidRPr="00DA0373">
        <w:t>The SDS makes provision for the payment of $20,000 to the Applicant as reimbursement for the time she spent carrying out her role on behalf of Group Members.</w:t>
      </w:r>
      <w:r w:rsidR="009A3E43">
        <w:t xml:space="preserve">  </w:t>
      </w:r>
      <w:r w:rsidRPr="00DA0373">
        <w:t>The claim i</w:t>
      </w:r>
      <w:r w:rsidR="0090060D" w:rsidRPr="00DA0373">
        <w:t xml:space="preserve">s supported by an affidavit of </w:t>
      </w:r>
      <w:r w:rsidR="005B429E" w:rsidRPr="00DA0373">
        <w:t xml:space="preserve">Andrew Watson sworn </w:t>
      </w:r>
      <w:r w:rsidR="009A3E43">
        <w:t xml:space="preserve">on </w:t>
      </w:r>
      <w:r w:rsidR="005B429E" w:rsidRPr="00DA0373">
        <w:t>11 March 2021</w:t>
      </w:r>
      <w:r w:rsidRPr="00DA0373">
        <w:t>.</w:t>
      </w:r>
      <w:r w:rsidR="009A3E43">
        <w:t xml:space="preserve">  </w:t>
      </w:r>
      <w:r w:rsidRPr="00DA0373">
        <w:t xml:space="preserve">Having regard to the modest sum claimed, I agree with the approach taken by Middleton J in </w:t>
      </w:r>
      <w:r w:rsidRPr="00533703">
        <w:rPr>
          <w:i/>
        </w:rPr>
        <w:t xml:space="preserve">Andrews v Australia and New Zealand Banking Group Ltd </w:t>
      </w:r>
      <w:r w:rsidRPr="00DA0373">
        <w:t xml:space="preserve">[2019] FCA 2216 at [32], that it is sufficient for the claim to be </w:t>
      </w:r>
      <w:r w:rsidRPr="00DA0373">
        <w:lastRenderedPageBreak/>
        <w:t>supported by affidavit evidence, without requiring detailed documentary proof in the form of time recording or the like.</w:t>
      </w:r>
    </w:p>
    <w:p w14:paraId="10054585" w14:textId="0C27456D" w:rsidR="0090060D" w:rsidRPr="002E2182" w:rsidRDefault="0090060D" w:rsidP="00533703">
      <w:pPr>
        <w:pStyle w:val="Heading2"/>
      </w:pPr>
      <w:r w:rsidRPr="0090060D">
        <w:t>Litigation Funding Commission, Administration Costs and Equalisation</w:t>
      </w:r>
      <w:r w:rsidR="00CF069C">
        <w:t xml:space="preserve"> </w:t>
      </w:r>
    </w:p>
    <w:p w14:paraId="3548A9CD" w14:textId="2E564347" w:rsidR="0090060D" w:rsidRDefault="0090060D">
      <w:pPr>
        <w:pStyle w:val="ParaNumbering"/>
      </w:pPr>
      <w:r>
        <w:t xml:space="preserve">The SDS provides for the deduction of litigation funding commissions to be paid by </w:t>
      </w:r>
      <w:r w:rsidR="0063395D">
        <w:t>those who had entered into funding agreements</w:t>
      </w:r>
      <w:r w:rsidR="0063395D" w:rsidRPr="0063395D">
        <w:t xml:space="preserve">, </w:t>
      </w:r>
      <w:r w:rsidRPr="0063395D">
        <w:t xml:space="preserve">the </w:t>
      </w:r>
      <w:r w:rsidRPr="00533703">
        <w:rPr>
          <w:b/>
        </w:rPr>
        <w:t>Funded Group Members</w:t>
      </w:r>
      <w:r w:rsidR="0063395D" w:rsidRPr="0063395D">
        <w:t>,</w:t>
      </w:r>
      <w:r w:rsidR="009A3E43">
        <w:t xml:space="preserve"> </w:t>
      </w:r>
      <w:r w:rsidR="009A3921">
        <w:t>with</w:t>
      </w:r>
      <w:r w:rsidR="009A3E43">
        <w:t xml:space="preserve"> </w:t>
      </w:r>
      <w:r>
        <w:t>OBL or ILFP.</w:t>
      </w:r>
      <w:r w:rsidR="009A3E43">
        <w:t xml:space="preserve">  </w:t>
      </w:r>
      <w:r>
        <w:t>The total amount to be paid to OBL and ILFP is referred to as the Aggregate Funding Commission.</w:t>
      </w:r>
      <w:r w:rsidR="009A3E43">
        <w:t xml:space="preserve"> </w:t>
      </w:r>
      <w:r w:rsidR="00206E03">
        <w:t xml:space="preserve"> </w:t>
      </w:r>
      <w:r w:rsidR="00401928">
        <w:t>The Aggregate Funding Commission is</w:t>
      </w:r>
      <w:r w:rsidR="006421E0">
        <w:t xml:space="preserve"> $10,919,348.10.</w:t>
      </w:r>
      <w:r w:rsidR="00401928">
        <w:t xml:space="preserve"> </w:t>
      </w:r>
    </w:p>
    <w:p w14:paraId="3FA6F6F0" w14:textId="501D43A7" w:rsidR="0090060D" w:rsidRPr="00DA0373" w:rsidRDefault="0090060D">
      <w:pPr>
        <w:pStyle w:val="ParaNumbering"/>
      </w:pPr>
      <w:r w:rsidRPr="00DA0373">
        <w:t xml:space="preserve">Before considering the quantum of the Aggregate Funding Commission, it should be noted that it is proposed that this sum be spread between Funded and </w:t>
      </w:r>
      <w:r w:rsidR="009A3E43">
        <w:t>u</w:t>
      </w:r>
      <w:r w:rsidRPr="00DA0373">
        <w:t>nfunded Group Members, applying an equalisation formula.</w:t>
      </w:r>
      <w:r w:rsidR="009A3E43">
        <w:t xml:space="preserve">  </w:t>
      </w:r>
      <w:r w:rsidR="0063395D" w:rsidRPr="00533703">
        <w:rPr>
          <w:b/>
        </w:rPr>
        <w:t>Unfunded Group Members</w:t>
      </w:r>
      <w:r w:rsidR="0063395D" w:rsidRPr="00DA0373">
        <w:t xml:space="preserve"> were those who had not entered into funding agreements but had identified themselves prior to the settlement</w:t>
      </w:r>
      <w:r w:rsidR="00BA1E04">
        <w:t xml:space="preserve">.  </w:t>
      </w:r>
      <w:r w:rsidRPr="00DA0373">
        <w:t>The equalisation formula will also be applied to spread the legal costs between Funded and Unfunded Group Members.</w:t>
      </w:r>
      <w:r w:rsidR="009A3E43">
        <w:t xml:space="preserve">  </w:t>
      </w:r>
      <w:r w:rsidRPr="00DA0373">
        <w:t>The equalisation methodology involves essentially the funding commission being treated as a cost of the litigation, spread across all those who benefit from the litigation.</w:t>
      </w:r>
      <w:r w:rsidR="009A3E43">
        <w:t xml:space="preserve">  </w:t>
      </w:r>
      <w:r w:rsidRPr="00DA0373">
        <w:t>In my view, the equalisation of the funding commission in this way is fair and reasonable as between the Group Members who stand to benefit from the settlement.</w:t>
      </w:r>
      <w:r w:rsidR="009A3E43">
        <w:t xml:space="preserve">  </w:t>
      </w:r>
      <w:r w:rsidR="009A3E43" w:rsidRPr="00DA0373">
        <w:t>It is also reasonable to include in that methodology Late Registrants and the costs of administering the SDS.</w:t>
      </w:r>
      <w:r w:rsidR="009A3E43">
        <w:t xml:space="preserve"> </w:t>
      </w:r>
    </w:p>
    <w:p w14:paraId="035C2A63" w14:textId="54BDBDEB" w:rsidR="0090060D" w:rsidRPr="00DA0373" w:rsidRDefault="0090060D">
      <w:pPr>
        <w:pStyle w:val="ParaNumbering"/>
      </w:pPr>
      <w:r w:rsidRPr="00DA0373">
        <w:t>The quantum of the funding commissions is substantial.</w:t>
      </w:r>
      <w:r w:rsidR="009A3E43">
        <w:t xml:space="preserve">  </w:t>
      </w:r>
      <w:r w:rsidRPr="00DA0373">
        <w:t>Due to the procedural history of this litigation</w:t>
      </w:r>
      <w:r w:rsidR="009A3E43">
        <w:t>,</w:t>
      </w:r>
      <w:r w:rsidRPr="00DA0373">
        <w:t xml:space="preserve"> referred to above, there are two litigation funders as well as two law firms.</w:t>
      </w:r>
      <w:r w:rsidR="009A3E43">
        <w:t xml:space="preserve">  </w:t>
      </w:r>
      <w:r w:rsidRPr="00DA0373">
        <w:t>The funding commissions to which the litigation funders are entitled</w:t>
      </w:r>
      <w:r w:rsidR="009A3E43">
        <w:t xml:space="preserve"> is </w:t>
      </w:r>
      <w:r w:rsidRPr="00DA0373">
        <w:t>$4,413,588</w:t>
      </w:r>
      <w:r w:rsidR="00BA1E04">
        <w:t>.04</w:t>
      </w:r>
      <w:r w:rsidRPr="00DA0373">
        <w:t xml:space="preserve"> for ILFP</w:t>
      </w:r>
      <w:r w:rsidR="009A3E43">
        <w:t xml:space="preserve"> </w:t>
      </w:r>
      <w:r w:rsidRPr="00DA0373">
        <w:t>and $6,505</w:t>
      </w:r>
      <w:r w:rsidR="00F81F87" w:rsidRPr="00DA0373">
        <w:t>,</w:t>
      </w:r>
      <w:r w:rsidRPr="00DA0373">
        <w:t>760</w:t>
      </w:r>
      <w:r w:rsidR="00BA1E04">
        <w:t>.10</w:t>
      </w:r>
      <w:r w:rsidRPr="00DA0373">
        <w:t xml:space="preserve"> for OBL.</w:t>
      </w:r>
    </w:p>
    <w:p w14:paraId="01D2B93D" w14:textId="71E84E83" w:rsidR="0090060D" w:rsidRDefault="0090060D" w:rsidP="0090060D">
      <w:pPr>
        <w:pStyle w:val="ParaNumbering"/>
      </w:pPr>
      <w:r>
        <w:t xml:space="preserve">The reasonableness of the funding commissions is opined upon by the relevant responsible partners, </w:t>
      </w:r>
      <w:r w:rsidR="009A3E43">
        <w:t xml:space="preserve">being </w:t>
      </w:r>
      <w:r>
        <w:t xml:space="preserve">Mr Paull </w:t>
      </w:r>
      <w:r w:rsidR="009A3E43">
        <w:t xml:space="preserve">of Slater and Gordon </w:t>
      </w:r>
      <w:r>
        <w:t>and</w:t>
      </w:r>
      <w:r w:rsidR="00097922">
        <w:t xml:space="preserve"> Mr Watson</w:t>
      </w:r>
      <w:r>
        <w:t xml:space="preserve"> of Maurice Blackburn.</w:t>
      </w:r>
      <w:r w:rsidR="009A3E43">
        <w:t xml:space="preserve">  </w:t>
      </w:r>
      <w:r w:rsidR="0048504C">
        <w:t xml:space="preserve">Exhibited to </w:t>
      </w:r>
      <w:r w:rsidR="00206E03">
        <w:t xml:space="preserve">Mr Watson’s </w:t>
      </w:r>
      <w:r w:rsidR="0048504C">
        <w:t>affidavit sworn on 23 March 2021</w:t>
      </w:r>
      <w:r w:rsidR="00206E03">
        <w:t xml:space="preserve"> is an </w:t>
      </w:r>
      <w:r>
        <w:t xml:space="preserve">empirical study undertaken by Professor Morabito of Monash University, published in a paper entitled, </w:t>
      </w:r>
      <w:r w:rsidR="00F81F87">
        <w:t>“</w:t>
      </w:r>
      <w:r>
        <w:t xml:space="preserve">An </w:t>
      </w:r>
      <w:r w:rsidR="00F80C8A">
        <w:t>E</w:t>
      </w:r>
      <w:r>
        <w:t xml:space="preserve">vidence </w:t>
      </w:r>
      <w:r w:rsidR="00F80C8A">
        <w:t>B</w:t>
      </w:r>
      <w:r>
        <w:t xml:space="preserve">ased </w:t>
      </w:r>
      <w:r w:rsidR="00F80C8A">
        <w:t>A</w:t>
      </w:r>
      <w:r>
        <w:t xml:space="preserve">pproach to </w:t>
      </w:r>
      <w:r w:rsidR="00F80C8A">
        <w:t>C</w:t>
      </w:r>
      <w:r>
        <w:t xml:space="preserve">lass </w:t>
      </w:r>
      <w:r w:rsidR="00F80C8A">
        <w:t>A</w:t>
      </w:r>
      <w:r>
        <w:t xml:space="preserve">ction </w:t>
      </w:r>
      <w:r w:rsidR="00F80C8A">
        <w:t>R</w:t>
      </w:r>
      <w:r>
        <w:t>eform in Australia</w:t>
      </w:r>
      <w:r w:rsidR="00BD550B">
        <w:t>:</w:t>
      </w:r>
      <w:r>
        <w:t xml:space="preserve"> </w:t>
      </w:r>
      <w:r w:rsidR="00BD550B">
        <w:t>C</w:t>
      </w:r>
      <w:r>
        <w:t>ommon Fund Orders, Funding Fees and Reimbursement Payments</w:t>
      </w:r>
      <w:r w:rsidR="00F81F87">
        <w:t>”</w:t>
      </w:r>
      <w:r>
        <w:t xml:space="preserve">, </w:t>
      </w:r>
      <w:r w:rsidR="00206E03">
        <w:t xml:space="preserve">which Mr Watson’s relies on </w:t>
      </w:r>
      <w:r>
        <w:t>in support of his opinion that the</w:t>
      </w:r>
      <w:r w:rsidR="007E0EBF">
        <w:t xml:space="preserve"> Aggregate Funding Commission</w:t>
      </w:r>
      <w:r>
        <w:t xml:space="preserve"> is reasonable when compared in percentage terms with other funding commissions which have been approved.</w:t>
      </w:r>
      <w:r w:rsidR="009A3E43">
        <w:t xml:space="preserve">  </w:t>
      </w:r>
      <w:r w:rsidR="00AD4A90">
        <w:t>In</w:t>
      </w:r>
      <w:r w:rsidR="003215BB">
        <w:t xml:space="preserve"> </w:t>
      </w:r>
      <w:r w:rsidR="000666B3">
        <w:t>that affidavit</w:t>
      </w:r>
      <w:r w:rsidR="001241DA">
        <w:t xml:space="preserve">, </w:t>
      </w:r>
      <w:r w:rsidR="00AD4A90">
        <w:t>Mr Watson</w:t>
      </w:r>
      <w:r w:rsidR="003215BB">
        <w:t xml:space="preserve"> </w:t>
      </w:r>
      <w:r>
        <w:t>deposes</w:t>
      </w:r>
      <w:r w:rsidR="003215BB">
        <w:t xml:space="preserve"> at [9]</w:t>
      </w:r>
      <w:r>
        <w:t xml:space="preserve">: </w:t>
      </w:r>
    </w:p>
    <w:p w14:paraId="0C18FF27" w14:textId="79957EB2" w:rsidR="0090060D" w:rsidRDefault="0090060D" w:rsidP="00533703">
      <w:pPr>
        <w:pStyle w:val="Quote1"/>
      </w:pPr>
      <w:r>
        <w:t xml:space="preserve"> ...</w:t>
      </w:r>
      <w:r w:rsidR="009A3E43">
        <w:t xml:space="preserve">  </w:t>
      </w:r>
      <w:r>
        <w:t xml:space="preserve">The combined funding commission sought by ILFP and </w:t>
      </w:r>
      <w:r w:rsidR="00BD550B">
        <w:t xml:space="preserve">Omni </w:t>
      </w:r>
      <w:proofErr w:type="spellStart"/>
      <w:r w:rsidR="00BD550B">
        <w:t>B</w:t>
      </w:r>
      <w:r w:rsidR="003215BB">
        <w:t>ridge</w:t>
      </w:r>
      <w:r w:rsidR="00BD550B">
        <w:t>way</w:t>
      </w:r>
      <w:proofErr w:type="spellEnd"/>
      <w:r w:rsidR="00BD550B">
        <w:t xml:space="preserve"> Limited (</w:t>
      </w:r>
      <w:r w:rsidRPr="00533703">
        <w:rPr>
          <w:b/>
        </w:rPr>
        <w:t>OBL</w:t>
      </w:r>
      <w:r w:rsidR="00BD550B">
        <w:t>)</w:t>
      </w:r>
      <w:r>
        <w:t xml:space="preserve"> amounts to 21.83% of the settlement fund.</w:t>
      </w:r>
      <w:r w:rsidR="009A3E43">
        <w:t xml:space="preserve">  </w:t>
      </w:r>
      <w:r>
        <w:t xml:space="preserve">Based on my knowledge and experience, this effective rate is reasonable and is below the range commonly observed </w:t>
      </w:r>
      <w:r>
        <w:lastRenderedPageBreak/>
        <w:t>for funded representative proceedings commenced in 2015.</w:t>
      </w:r>
      <w:r w:rsidR="009A3E43">
        <w:t xml:space="preserve">  </w:t>
      </w:r>
      <w:r>
        <w:t>The effective rate is also below the median percentage of settlement funds consumed by funding fees in all funded representative proceedings settled to the end of 2018 brackets 25% and all funded representative proceedings settled in the period from January 2013 to December 2018 brackets 25.5% according to empirical research conducted by Prof Vince Morabito published in January 2019.’</w:t>
      </w:r>
    </w:p>
    <w:p w14:paraId="3601322B" w14:textId="24957906" w:rsidR="0090060D" w:rsidRDefault="0090060D">
      <w:pPr>
        <w:pStyle w:val="ParaNumbering"/>
      </w:pPr>
      <w:r>
        <w:t>In my view, the litigation having proceeded thus far with two law firms and two litigation</w:t>
      </w:r>
      <w:r w:rsidR="009A3E43">
        <w:t xml:space="preserve">  </w:t>
      </w:r>
      <w:r>
        <w:t>funders,</w:t>
      </w:r>
      <w:r w:rsidR="009A3E43">
        <w:t xml:space="preserve"> </w:t>
      </w:r>
      <w:r>
        <w:t>it would be inappropriate at this</w:t>
      </w:r>
      <w:r w:rsidR="00702BAB">
        <w:t xml:space="preserve"> late</w:t>
      </w:r>
      <w:r>
        <w:t xml:space="preserve"> stage to view that course with suspicion.</w:t>
      </w:r>
      <w:r w:rsidR="009A3E43">
        <w:t xml:space="preserve">   </w:t>
      </w:r>
      <w:r w:rsidR="005B429E">
        <w:t xml:space="preserve"> </w:t>
      </w:r>
      <w:r w:rsidR="00206E03">
        <w:t xml:space="preserve"> </w:t>
      </w:r>
      <w:r>
        <w:t xml:space="preserve">Accordingly, I shall consider the reasonableness of the </w:t>
      </w:r>
      <w:r w:rsidR="00CC02F5">
        <w:t>Aggregate Funding</w:t>
      </w:r>
      <w:r w:rsidR="001241DA">
        <w:t xml:space="preserve"> </w:t>
      </w:r>
      <w:r w:rsidR="00CC02F5">
        <w:t>Commission</w:t>
      </w:r>
      <w:r w:rsidR="001241DA">
        <w:t xml:space="preserve"> on that basis</w:t>
      </w:r>
      <w:r w:rsidR="00CC02F5">
        <w:t>.</w:t>
      </w:r>
      <w:r w:rsidR="009A3E43">
        <w:t xml:space="preserve"> </w:t>
      </w:r>
      <w:r>
        <w:t xml:space="preserve"> Further, it may be said in favour of that approach that, as a matter of logic, if the two commissions are reasonable in aggregate that rather suggests there is no mischief in having two litigation funders.</w:t>
      </w:r>
      <w:r w:rsidR="009A3E43">
        <w:t xml:space="preserve">  </w:t>
      </w:r>
      <w:r>
        <w:t>The same logic would apply to there being more than one law firm.</w:t>
      </w:r>
      <w:r w:rsidR="009A3E43">
        <w:t xml:space="preserve">  </w:t>
      </w:r>
    </w:p>
    <w:p w14:paraId="66EE7287" w14:textId="0148EEBC" w:rsidR="002E2182" w:rsidRDefault="0090060D">
      <w:pPr>
        <w:pStyle w:val="ParaNumbering"/>
      </w:pPr>
      <w:r>
        <w:t xml:space="preserve">As a matter of logic that may be so, but that reasoning does not exclude the possibility that the aggregate legal costs and </w:t>
      </w:r>
      <w:r w:rsidR="007E6468">
        <w:t>Aggrega</w:t>
      </w:r>
      <w:r w:rsidR="00DD5EB0">
        <w:t>te Funding Commission</w:t>
      </w:r>
      <w:r w:rsidR="003A3366">
        <w:t xml:space="preserve"> </w:t>
      </w:r>
      <w:r>
        <w:t xml:space="preserve">might have been materially lower had there been but one litigation funder and one law firm. </w:t>
      </w:r>
      <w:r w:rsidR="001241DA">
        <w:t xml:space="preserve"> </w:t>
      </w:r>
      <w:r>
        <w:t>However, as I have said, in my view it is too late at this stage to</w:t>
      </w:r>
      <w:r w:rsidR="001241DA">
        <w:t>,</w:t>
      </w:r>
      <w:r>
        <w:t xml:space="preserve"> in effect</w:t>
      </w:r>
      <w:r w:rsidR="001241DA">
        <w:t>,</w:t>
      </w:r>
      <w:r>
        <w:t xml:space="preserve"> second guess those charged with conducting the litigation from its inception, or </w:t>
      </w:r>
      <w:r w:rsidR="00CC539D">
        <w:t>at least from the point in time of the two proceedings</w:t>
      </w:r>
      <w:r w:rsidR="001241DA">
        <w:t xml:space="preserve"> being consolidated</w:t>
      </w:r>
      <w:r w:rsidR="00CC539D">
        <w:t>.</w:t>
      </w:r>
      <w:r w:rsidR="00B55E7B">
        <w:t xml:space="preserve"> </w:t>
      </w:r>
      <w:r w:rsidR="009A3E43">
        <w:t xml:space="preserve">  </w:t>
      </w:r>
      <w:r w:rsidR="00206E03">
        <w:t xml:space="preserve"> </w:t>
      </w:r>
      <w:r w:rsidR="00B55E7B">
        <w:t>Accordingly, b</w:t>
      </w:r>
      <w:r>
        <w:t xml:space="preserve">ased upon the evidence given by Mr Watson and Mr Paull, I find that the </w:t>
      </w:r>
      <w:r w:rsidR="003116E9">
        <w:t>Aggregate Funding Commission</w:t>
      </w:r>
      <w:r>
        <w:t xml:space="preserve"> is </w:t>
      </w:r>
      <w:r w:rsidR="00A476D3" w:rsidRPr="00A476D3">
        <w:t>reasonable in the circumstances.</w:t>
      </w:r>
    </w:p>
    <w:p w14:paraId="64AC8A92" w14:textId="77777777" w:rsidR="00A476D3" w:rsidRDefault="00A476D3" w:rsidP="00533703">
      <w:pPr>
        <w:pStyle w:val="Heading1"/>
      </w:pPr>
      <w:r>
        <w:t>Disposition</w:t>
      </w:r>
    </w:p>
    <w:p w14:paraId="4A4CE199" w14:textId="75A083E7" w:rsidR="00EB5E77" w:rsidRDefault="00A476D3">
      <w:pPr>
        <w:pStyle w:val="ParaNumbering"/>
      </w:pPr>
      <w:r w:rsidRPr="00A476D3">
        <w:t xml:space="preserve">For the reasons given above, I will make orders approving the Settlement </w:t>
      </w:r>
      <w:r w:rsidR="00DD6AC8">
        <w:t>Agreement</w:t>
      </w:r>
      <w:r w:rsidRPr="00A476D3">
        <w:t xml:space="preserve"> and the SDS and the consequential orders sought by the Applicant.</w:t>
      </w:r>
    </w:p>
    <w:tbl>
      <w:tblPr>
        <w:tblW w:w="0" w:type="auto"/>
        <w:tblLook w:val="04A0" w:firstRow="1" w:lastRow="0" w:firstColumn="1" w:lastColumn="0" w:noHBand="0" w:noVBand="1"/>
      </w:tblPr>
      <w:tblGrid>
        <w:gridCol w:w="3794"/>
      </w:tblGrid>
      <w:tr w:rsidR="00DA0373" w:rsidRPr="00DA0373" w14:paraId="3F7325A5" w14:textId="77777777">
        <w:tc>
          <w:tcPr>
            <w:tcW w:w="3794" w:type="dxa"/>
            <w:shd w:val="clear" w:color="auto" w:fill="auto"/>
          </w:tcPr>
          <w:p w14:paraId="02778D44" w14:textId="0DE2F162" w:rsidR="00DA0373" w:rsidRPr="00DA0373" w:rsidRDefault="00DA0373">
            <w:pPr>
              <w:pStyle w:val="Normal1linespace"/>
            </w:pPr>
            <w:bookmarkStart w:id="29" w:name="Certification"/>
            <w:bookmarkStart w:id="30" w:name="SOP_Section"/>
            <w:r w:rsidRPr="00DA0373">
              <w:t xml:space="preserve">I certify that the preceding </w:t>
            </w:r>
            <w:bookmarkStart w:id="31" w:name="NumberWord"/>
            <w:r w:rsidR="00300549">
              <w:t>fifty-eight</w:t>
            </w:r>
            <w:bookmarkEnd w:id="31"/>
            <w:r w:rsidRPr="00DA0373">
              <w:t xml:space="preserve"> (</w:t>
            </w:r>
            <w:bookmarkStart w:id="32" w:name="NumberNumeral"/>
            <w:r w:rsidR="00300549">
              <w:t>58</w:t>
            </w:r>
            <w:bookmarkEnd w:id="32"/>
            <w:r w:rsidRPr="00DA0373">
              <w:t xml:space="preserve">) numbered </w:t>
            </w:r>
            <w:bookmarkStart w:id="33" w:name="CertPara"/>
            <w:r w:rsidR="00300549">
              <w:t>paragraphs are</w:t>
            </w:r>
            <w:bookmarkEnd w:id="33"/>
            <w:r w:rsidRPr="00DA0373">
              <w:t xml:space="preserve"> a true copy of the Reasons for Judgment of </w:t>
            </w:r>
            <w:bookmarkStart w:id="34" w:name="bkHonourable"/>
            <w:r w:rsidRPr="00DA0373">
              <w:t xml:space="preserve">the Honourable </w:t>
            </w:r>
            <w:bookmarkStart w:id="35" w:name="Justice"/>
            <w:bookmarkEnd w:id="34"/>
            <w:r>
              <w:t>Justice Anastassiou</w:t>
            </w:r>
            <w:bookmarkEnd w:id="35"/>
            <w:r w:rsidRPr="00DA0373">
              <w:t>.</w:t>
            </w:r>
          </w:p>
        </w:tc>
      </w:tr>
    </w:tbl>
    <w:p w14:paraId="2F449CB6" w14:textId="273AF72A" w:rsidR="00DA0373" w:rsidRDefault="00DA0373" w:rsidP="00EA2307">
      <w:pPr>
        <w:pStyle w:val="BodyText"/>
      </w:pPr>
    </w:p>
    <w:p w14:paraId="0804DABF" w14:textId="57C0DE6E" w:rsidR="00025DB5" w:rsidRDefault="00025DB5" w:rsidP="00EA2307">
      <w:pPr>
        <w:pStyle w:val="BodyText"/>
      </w:pPr>
    </w:p>
    <w:p w14:paraId="763CB061" w14:textId="213EF9E0" w:rsidR="00DA0373" w:rsidRDefault="00DA0373" w:rsidP="00EA2307">
      <w:pPr>
        <w:pStyle w:val="BodyText"/>
      </w:pPr>
      <w:r>
        <w:t>Associate:</w:t>
      </w:r>
    </w:p>
    <w:p w14:paraId="02D35748" w14:textId="7AE1B6B1" w:rsidR="00025DB5" w:rsidRDefault="00025DB5" w:rsidP="00EA2307">
      <w:pPr>
        <w:pStyle w:val="BodyText"/>
      </w:pPr>
    </w:p>
    <w:p w14:paraId="11477745" w14:textId="519CD101" w:rsidR="00DA0373" w:rsidRDefault="00DA0373" w:rsidP="00EA2307">
      <w:pPr>
        <w:pStyle w:val="BodyText"/>
      </w:pPr>
    </w:p>
    <w:p w14:paraId="7DB7599F" w14:textId="08653196" w:rsidR="00DA0373" w:rsidRDefault="00DA0373" w:rsidP="00533703">
      <w:pPr>
        <w:pStyle w:val="BodyText"/>
        <w:tabs>
          <w:tab w:val="left" w:pos="1134"/>
          <w:tab w:val="center" w:pos="4513"/>
        </w:tabs>
      </w:pPr>
      <w:r>
        <w:t>Dated:</w:t>
      </w:r>
      <w:r>
        <w:tab/>
      </w:r>
      <w:r w:rsidR="00097C13">
        <w:t>23 July 2021</w:t>
      </w:r>
      <w:r w:rsidR="00025DB5">
        <w:tab/>
      </w:r>
    </w:p>
    <w:p w14:paraId="78EBC429" w14:textId="66133F4D" w:rsidR="00FC6A1D" w:rsidRDefault="00FC6A1D">
      <w:pPr>
        <w:spacing w:line="240" w:lineRule="auto"/>
        <w:jc w:val="left"/>
      </w:pPr>
      <w:r>
        <w:br w:type="page"/>
      </w:r>
    </w:p>
    <w:p w14:paraId="4290E579" w14:textId="29F12949" w:rsidR="001E0705" w:rsidRDefault="001E0705">
      <w:pPr>
        <w:spacing w:line="240" w:lineRule="auto"/>
        <w:jc w:val="left"/>
      </w:pPr>
    </w:p>
    <w:bookmarkEnd w:id="29"/>
    <w:p w14:paraId="2FB49252" w14:textId="77777777" w:rsidR="00EB5E77" w:rsidRPr="00B26A29" w:rsidRDefault="00EB5E77" w:rsidP="00533703">
      <w:pPr>
        <w:pStyle w:val="BodyText"/>
        <w:jc w:val="center"/>
      </w:pPr>
      <w:r w:rsidRPr="00B26A29">
        <w:rPr>
          <w:b/>
        </w:rPr>
        <w:t>SCHEDULE OF PARTIES</w:t>
      </w:r>
    </w:p>
    <w:p w14:paraId="3D5E1820" w14:textId="77777777" w:rsidR="00EB5E77" w:rsidRPr="00663089" w:rsidRDefault="00EB5E77" w:rsidP="00184C77">
      <w:pPr>
        <w:pStyle w:val="BodyText"/>
      </w:pPr>
    </w:p>
    <w:tbl>
      <w:tblPr>
        <w:tblW w:w="9242" w:type="dxa"/>
        <w:tblLayout w:type="fixed"/>
        <w:tblLook w:val="0000" w:firstRow="0" w:lastRow="0" w:firstColumn="0" w:lastColumn="0" w:noHBand="0" w:noVBand="0"/>
        <w:tblCaption w:val="SOP Table"/>
        <w:tblDescription w:val="SOP Table"/>
      </w:tblPr>
      <w:tblGrid>
        <w:gridCol w:w="3368"/>
        <w:gridCol w:w="5874"/>
      </w:tblGrid>
      <w:tr w:rsidR="00EB5E77" w14:paraId="11CEFD8E" w14:textId="77777777" w:rsidTr="00EB5E77">
        <w:tc>
          <w:tcPr>
            <w:tcW w:w="3368" w:type="dxa"/>
          </w:tcPr>
          <w:p w14:paraId="5DD05046" w14:textId="77777777" w:rsidR="00EB5E77" w:rsidRDefault="00EB5E77" w:rsidP="00184C77">
            <w:pPr>
              <w:pStyle w:val="NormalHeadings"/>
              <w:jc w:val="left"/>
              <w:rPr>
                <w:caps/>
                <w:szCs w:val="24"/>
              </w:rPr>
            </w:pPr>
          </w:p>
        </w:tc>
        <w:tc>
          <w:tcPr>
            <w:tcW w:w="5874" w:type="dxa"/>
          </w:tcPr>
          <w:p w14:paraId="1BA486AB" w14:textId="77777777" w:rsidR="00EB5E77" w:rsidRDefault="00617A54" w:rsidP="00184C77">
            <w:pPr>
              <w:pStyle w:val="NormalHeadings"/>
              <w:jc w:val="right"/>
            </w:pPr>
            <w:fldSimple w:instr=" REF  FileNo " w:fldLock="1">
              <w:r w:rsidR="00EB5E77">
                <w:t>VID 434 of 2015</w:t>
              </w:r>
            </w:fldSimple>
          </w:p>
        </w:tc>
      </w:tr>
      <w:tr w:rsidR="00EB5E77" w14:paraId="3379E0A4" w14:textId="77777777" w:rsidTr="00EB5E77">
        <w:trPr>
          <w:trHeight w:val="386"/>
        </w:trPr>
        <w:tc>
          <w:tcPr>
            <w:tcW w:w="3368" w:type="dxa"/>
          </w:tcPr>
          <w:p w14:paraId="4CE1E33D" w14:textId="77777777" w:rsidR="00EB5E77" w:rsidRDefault="00EB5E77" w:rsidP="00184C77">
            <w:pPr>
              <w:pStyle w:val="BodyTextBold"/>
              <w:spacing w:before="180"/>
              <w:jc w:val="left"/>
            </w:pPr>
            <w:bookmarkStart w:id="36" w:name="SOP_RespondentsRows" w:colFirst="0" w:colLast="1"/>
            <w:r>
              <w:t>Respondents</w:t>
            </w:r>
          </w:p>
        </w:tc>
        <w:tc>
          <w:tcPr>
            <w:tcW w:w="5874" w:type="dxa"/>
            <w:tcMar>
              <w:left w:w="28" w:type="dxa"/>
            </w:tcMar>
          </w:tcPr>
          <w:p w14:paraId="10D76CE9" w14:textId="77777777" w:rsidR="00EB5E77" w:rsidRDefault="00EB5E77" w:rsidP="00184C77">
            <w:pPr>
              <w:pStyle w:val="BodyText"/>
              <w:jc w:val="left"/>
            </w:pPr>
          </w:p>
        </w:tc>
      </w:tr>
      <w:tr w:rsidR="003401EE" w14:paraId="6472F7D8" w14:textId="77777777" w:rsidTr="00EB5E77">
        <w:trPr>
          <w:trHeight w:val="386"/>
        </w:trPr>
        <w:tc>
          <w:tcPr>
            <w:tcW w:w="3368" w:type="dxa"/>
          </w:tcPr>
          <w:p w14:paraId="65ABBDAE" w14:textId="77777777" w:rsidR="003401EE" w:rsidRPr="00533703" w:rsidRDefault="003401EE" w:rsidP="00184C77">
            <w:pPr>
              <w:pStyle w:val="BodyTextBold"/>
              <w:spacing w:before="180"/>
              <w:jc w:val="left"/>
              <w:rPr>
                <w:b w:val="0"/>
              </w:rPr>
            </w:pPr>
            <w:r w:rsidRPr="00533703">
              <w:rPr>
                <w:b w:val="0"/>
              </w:rPr>
              <w:t>Second Respondent:</w:t>
            </w:r>
          </w:p>
        </w:tc>
        <w:tc>
          <w:tcPr>
            <w:tcW w:w="5874" w:type="dxa"/>
            <w:tcMar>
              <w:left w:w="28" w:type="dxa"/>
            </w:tcMar>
          </w:tcPr>
          <w:p w14:paraId="0898AEB4" w14:textId="77777777" w:rsidR="003401EE" w:rsidRDefault="003401EE" w:rsidP="00184C77">
            <w:pPr>
              <w:pStyle w:val="BodyText"/>
              <w:jc w:val="left"/>
            </w:pPr>
            <w:r>
              <w:t>PRICEWATERHOUSECOOPERS (A FIRM) (ABN 52 780 433 757)</w:t>
            </w:r>
          </w:p>
        </w:tc>
      </w:tr>
      <w:tr w:rsidR="003401EE" w14:paraId="0E1AD2B7" w14:textId="77777777" w:rsidTr="00EB5E77">
        <w:trPr>
          <w:trHeight w:val="386"/>
        </w:trPr>
        <w:tc>
          <w:tcPr>
            <w:tcW w:w="3368" w:type="dxa"/>
          </w:tcPr>
          <w:p w14:paraId="299B0C1C" w14:textId="77777777" w:rsidR="003401EE" w:rsidRPr="00533703" w:rsidRDefault="003401EE" w:rsidP="00184C77">
            <w:pPr>
              <w:pStyle w:val="BodyTextBold"/>
              <w:spacing w:before="180"/>
              <w:jc w:val="left"/>
              <w:rPr>
                <w:b w:val="0"/>
              </w:rPr>
            </w:pPr>
            <w:r w:rsidRPr="00533703">
              <w:rPr>
                <w:b w:val="0"/>
              </w:rPr>
              <w:t>Third Respondent:</w:t>
            </w:r>
          </w:p>
        </w:tc>
        <w:tc>
          <w:tcPr>
            <w:tcW w:w="5874" w:type="dxa"/>
            <w:tcMar>
              <w:left w:w="28" w:type="dxa"/>
            </w:tcMar>
          </w:tcPr>
          <w:p w14:paraId="3C2C6491" w14:textId="77777777" w:rsidR="003401EE" w:rsidRDefault="003401EE" w:rsidP="00184C77">
            <w:pPr>
              <w:pStyle w:val="BodyText"/>
              <w:jc w:val="left"/>
            </w:pPr>
            <w:r>
              <w:t>MARK EDWARD HUTCHINSON</w:t>
            </w:r>
          </w:p>
        </w:tc>
      </w:tr>
      <w:tr w:rsidR="00EB5E77" w14:paraId="3767BB2D" w14:textId="77777777" w:rsidTr="00EB5E77">
        <w:trPr>
          <w:trHeight w:val="386"/>
        </w:trPr>
        <w:tc>
          <w:tcPr>
            <w:tcW w:w="3368" w:type="dxa"/>
          </w:tcPr>
          <w:p w14:paraId="36126742" w14:textId="77777777" w:rsidR="00EB5E77" w:rsidRDefault="00EB5E77" w:rsidP="00184C77">
            <w:pPr>
              <w:pStyle w:val="BodyText"/>
              <w:spacing w:after="240" w:line="240" w:lineRule="auto"/>
              <w:jc w:val="left"/>
            </w:pPr>
            <w:bookmarkStart w:id="37" w:name="SOP_FirstRespondent"/>
            <w:bookmarkEnd w:id="37"/>
            <w:r>
              <w:t>Fourth Respondent:</w:t>
            </w:r>
          </w:p>
        </w:tc>
        <w:tc>
          <w:tcPr>
            <w:tcW w:w="5874" w:type="dxa"/>
            <w:tcMar>
              <w:left w:w="28" w:type="dxa"/>
            </w:tcMar>
          </w:tcPr>
          <w:p w14:paraId="7B103254" w14:textId="77777777" w:rsidR="00EB5E77" w:rsidRDefault="00EB5E77" w:rsidP="00184C77">
            <w:pPr>
              <w:pStyle w:val="BodyText"/>
              <w:spacing w:after="240" w:line="240" w:lineRule="auto"/>
              <w:jc w:val="left"/>
            </w:pPr>
            <w:r>
              <w:t>MANVIDER GREWAL</w:t>
            </w:r>
          </w:p>
        </w:tc>
      </w:tr>
      <w:tr w:rsidR="00EB5E77" w14:paraId="6BA2FA14" w14:textId="77777777" w:rsidTr="00EB5E77">
        <w:trPr>
          <w:trHeight w:val="386"/>
        </w:trPr>
        <w:tc>
          <w:tcPr>
            <w:tcW w:w="3368" w:type="dxa"/>
          </w:tcPr>
          <w:p w14:paraId="21846E2A" w14:textId="77777777" w:rsidR="00EB5E77" w:rsidRDefault="00EB5E77" w:rsidP="00184C77">
            <w:pPr>
              <w:pStyle w:val="BodyText"/>
              <w:spacing w:after="240" w:line="240" w:lineRule="auto"/>
              <w:jc w:val="left"/>
            </w:pPr>
            <w:r>
              <w:t>Fifth Respondent:</w:t>
            </w:r>
          </w:p>
        </w:tc>
        <w:tc>
          <w:tcPr>
            <w:tcW w:w="5874" w:type="dxa"/>
            <w:tcMar>
              <w:left w:w="28" w:type="dxa"/>
            </w:tcMar>
          </w:tcPr>
          <w:p w14:paraId="7082F94D" w14:textId="77777777" w:rsidR="00EB5E77" w:rsidRDefault="00EB5E77" w:rsidP="00184C77">
            <w:pPr>
              <w:pStyle w:val="BodyText"/>
              <w:spacing w:after="240" w:line="240" w:lineRule="auto"/>
              <w:jc w:val="left"/>
            </w:pPr>
            <w:r>
              <w:t>JOHN SYDNEY DAWKINS</w:t>
            </w:r>
          </w:p>
        </w:tc>
      </w:tr>
      <w:tr w:rsidR="003401EE" w14:paraId="43D25B74" w14:textId="77777777" w:rsidTr="00EB5E77">
        <w:trPr>
          <w:trHeight w:val="386"/>
        </w:trPr>
        <w:tc>
          <w:tcPr>
            <w:tcW w:w="3368" w:type="dxa"/>
          </w:tcPr>
          <w:p w14:paraId="6660BBE3" w14:textId="77777777" w:rsidR="003401EE" w:rsidRPr="00533703" w:rsidRDefault="003401EE" w:rsidP="00184C77">
            <w:pPr>
              <w:pStyle w:val="BodyText"/>
              <w:spacing w:after="240" w:line="240" w:lineRule="auto"/>
              <w:jc w:val="left"/>
              <w:rPr>
                <w:b/>
              </w:rPr>
            </w:pPr>
            <w:r>
              <w:rPr>
                <w:b/>
              </w:rPr>
              <w:t>First Cross-Claim</w:t>
            </w:r>
          </w:p>
        </w:tc>
        <w:tc>
          <w:tcPr>
            <w:tcW w:w="5874" w:type="dxa"/>
            <w:tcMar>
              <w:left w:w="28" w:type="dxa"/>
            </w:tcMar>
          </w:tcPr>
          <w:p w14:paraId="2814DF97" w14:textId="77777777" w:rsidR="003401EE" w:rsidRDefault="003401EE" w:rsidP="00184C77">
            <w:pPr>
              <w:pStyle w:val="BodyText"/>
              <w:spacing w:after="240" w:line="240" w:lineRule="auto"/>
              <w:jc w:val="left"/>
            </w:pPr>
          </w:p>
        </w:tc>
      </w:tr>
      <w:tr w:rsidR="003401EE" w14:paraId="29F7936A" w14:textId="77777777" w:rsidTr="00EB5E77">
        <w:trPr>
          <w:trHeight w:val="386"/>
        </w:trPr>
        <w:tc>
          <w:tcPr>
            <w:tcW w:w="3368" w:type="dxa"/>
          </w:tcPr>
          <w:p w14:paraId="780B426F" w14:textId="77777777" w:rsidR="003401EE" w:rsidRDefault="003401EE" w:rsidP="00184C77">
            <w:pPr>
              <w:pStyle w:val="BodyText"/>
              <w:spacing w:after="240" w:line="240" w:lineRule="auto"/>
              <w:jc w:val="left"/>
              <w:rPr>
                <w:b/>
              </w:rPr>
            </w:pPr>
            <w:r>
              <w:t>Cross-claimant:</w:t>
            </w:r>
          </w:p>
        </w:tc>
        <w:tc>
          <w:tcPr>
            <w:tcW w:w="5874" w:type="dxa"/>
            <w:tcMar>
              <w:left w:w="28" w:type="dxa"/>
            </w:tcMar>
          </w:tcPr>
          <w:p w14:paraId="63009F99" w14:textId="77777777" w:rsidR="003401EE" w:rsidRDefault="003401EE" w:rsidP="00184C77">
            <w:pPr>
              <w:pStyle w:val="BodyText"/>
              <w:spacing w:after="240" w:line="240" w:lineRule="auto"/>
              <w:jc w:val="left"/>
            </w:pPr>
            <w:r>
              <w:t>VOCATION LIMITED (ACN 166 631 330)</w:t>
            </w:r>
          </w:p>
        </w:tc>
      </w:tr>
      <w:tr w:rsidR="003401EE" w14:paraId="3EF0E80B" w14:textId="77777777" w:rsidTr="00EB5E77">
        <w:trPr>
          <w:trHeight w:val="386"/>
        </w:trPr>
        <w:tc>
          <w:tcPr>
            <w:tcW w:w="3368" w:type="dxa"/>
          </w:tcPr>
          <w:p w14:paraId="19DF1364" w14:textId="77777777" w:rsidR="003401EE" w:rsidRDefault="003401EE" w:rsidP="00184C77">
            <w:pPr>
              <w:pStyle w:val="BodyText"/>
              <w:spacing w:after="240" w:line="240" w:lineRule="auto"/>
              <w:jc w:val="left"/>
              <w:rPr>
                <w:b/>
              </w:rPr>
            </w:pPr>
            <w:r>
              <w:t>Cross-respondent:</w:t>
            </w:r>
          </w:p>
        </w:tc>
        <w:tc>
          <w:tcPr>
            <w:tcW w:w="5874" w:type="dxa"/>
            <w:tcMar>
              <w:left w:w="28" w:type="dxa"/>
            </w:tcMar>
          </w:tcPr>
          <w:p w14:paraId="1DF79A8D" w14:textId="77777777" w:rsidR="003401EE" w:rsidRDefault="003401EE" w:rsidP="00184C77">
            <w:pPr>
              <w:pStyle w:val="BodyText"/>
              <w:spacing w:after="240" w:line="240" w:lineRule="auto"/>
              <w:jc w:val="left"/>
            </w:pPr>
            <w:r>
              <w:t>THE PARTNERS OF JOHNSON WINTER &amp; SLATTERY</w:t>
            </w:r>
          </w:p>
        </w:tc>
      </w:tr>
      <w:tr w:rsidR="003401EE" w14:paraId="114D5F55" w14:textId="77777777" w:rsidTr="00EB5E77">
        <w:trPr>
          <w:trHeight w:val="386"/>
        </w:trPr>
        <w:tc>
          <w:tcPr>
            <w:tcW w:w="3368" w:type="dxa"/>
          </w:tcPr>
          <w:p w14:paraId="3B02B926" w14:textId="77777777" w:rsidR="003401EE" w:rsidRPr="00533703" w:rsidRDefault="003401EE" w:rsidP="00184C77">
            <w:pPr>
              <w:pStyle w:val="BodyText"/>
              <w:spacing w:after="240" w:line="240" w:lineRule="auto"/>
              <w:jc w:val="left"/>
              <w:rPr>
                <w:b/>
              </w:rPr>
            </w:pPr>
            <w:r w:rsidRPr="00533703">
              <w:rPr>
                <w:b/>
              </w:rPr>
              <w:t xml:space="preserve">Second Cross-Claim </w:t>
            </w:r>
          </w:p>
        </w:tc>
        <w:tc>
          <w:tcPr>
            <w:tcW w:w="5874" w:type="dxa"/>
            <w:tcMar>
              <w:left w:w="28" w:type="dxa"/>
            </w:tcMar>
          </w:tcPr>
          <w:p w14:paraId="7285C7C2" w14:textId="77777777" w:rsidR="003401EE" w:rsidRDefault="003401EE" w:rsidP="00184C77">
            <w:pPr>
              <w:pStyle w:val="BodyText"/>
              <w:spacing w:after="240" w:line="240" w:lineRule="auto"/>
              <w:jc w:val="left"/>
            </w:pPr>
          </w:p>
        </w:tc>
      </w:tr>
      <w:tr w:rsidR="003401EE" w14:paraId="331F4E5A" w14:textId="77777777" w:rsidTr="00EB5E77">
        <w:trPr>
          <w:trHeight w:val="386"/>
        </w:trPr>
        <w:tc>
          <w:tcPr>
            <w:tcW w:w="3368" w:type="dxa"/>
          </w:tcPr>
          <w:p w14:paraId="604EEB1C" w14:textId="77777777" w:rsidR="003401EE" w:rsidRPr="003401EE" w:rsidRDefault="003401EE" w:rsidP="003401EE">
            <w:pPr>
              <w:pStyle w:val="BodyText"/>
              <w:spacing w:after="240" w:line="240" w:lineRule="auto"/>
              <w:jc w:val="left"/>
              <w:rPr>
                <w:b/>
              </w:rPr>
            </w:pPr>
            <w:r>
              <w:t>Cross-claimant:</w:t>
            </w:r>
          </w:p>
        </w:tc>
        <w:tc>
          <w:tcPr>
            <w:tcW w:w="5874" w:type="dxa"/>
            <w:tcMar>
              <w:left w:w="28" w:type="dxa"/>
            </w:tcMar>
          </w:tcPr>
          <w:p w14:paraId="4E9E89F5" w14:textId="77777777" w:rsidR="003401EE" w:rsidRDefault="003401EE" w:rsidP="003401EE">
            <w:pPr>
              <w:pStyle w:val="BodyText"/>
              <w:spacing w:after="240" w:line="240" w:lineRule="auto"/>
              <w:jc w:val="left"/>
            </w:pPr>
            <w:r>
              <w:t>PRICEWATERHOUSECOOPERS (A FIRM) (ABN 52 780 433 757)</w:t>
            </w:r>
          </w:p>
        </w:tc>
      </w:tr>
      <w:tr w:rsidR="003401EE" w14:paraId="6813548A" w14:textId="77777777" w:rsidTr="00EB5E77">
        <w:trPr>
          <w:trHeight w:val="386"/>
        </w:trPr>
        <w:tc>
          <w:tcPr>
            <w:tcW w:w="3368" w:type="dxa"/>
          </w:tcPr>
          <w:p w14:paraId="530D9E13" w14:textId="77777777" w:rsidR="003401EE" w:rsidRPr="003401EE" w:rsidRDefault="003401EE" w:rsidP="003401EE">
            <w:pPr>
              <w:pStyle w:val="BodyText"/>
              <w:spacing w:after="240" w:line="240" w:lineRule="auto"/>
              <w:jc w:val="left"/>
              <w:rPr>
                <w:b/>
              </w:rPr>
            </w:pPr>
            <w:r>
              <w:t>Cross-respondent:</w:t>
            </w:r>
          </w:p>
        </w:tc>
        <w:tc>
          <w:tcPr>
            <w:tcW w:w="5874" w:type="dxa"/>
            <w:tcMar>
              <w:left w:w="28" w:type="dxa"/>
            </w:tcMar>
          </w:tcPr>
          <w:p w14:paraId="4C760E67" w14:textId="77777777" w:rsidR="003401EE" w:rsidRDefault="003401EE" w:rsidP="003401EE">
            <w:pPr>
              <w:pStyle w:val="BodyText"/>
              <w:spacing w:after="240" w:line="240" w:lineRule="auto"/>
              <w:jc w:val="left"/>
            </w:pPr>
            <w:r>
              <w:t>THE PARTNERS OF JOHNSON WINTER &amp; SLATTERY</w:t>
            </w:r>
          </w:p>
        </w:tc>
      </w:tr>
      <w:tr w:rsidR="003401EE" w14:paraId="44BEDAE5" w14:textId="77777777" w:rsidTr="00EB5E77">
        <w:trPr>
          <w:trHeight w:val="386"/>
        </w:trPr>
        <w:tc>
          <w:tcPr>
            <w:tcW w:w="3368" w:type="dxa"/>
          </w:tcPr>
          <w:p w14:paraId="489F2B24" w14:textId="77777777" w:rsidR="003401EE" w:rsidRDefault="003401EE" w:rsidP="003401EE">
            <w:pPr>
              <w:pStyle w:val="BodyText"/>
              <w:spacing w:after="240" w:line="240" w:lineRule="auto"/>
              <w:jc w:val="left"/>
            </w:pPr>
            <w:r>
              <w:rPr>
                <w:b/>
              </w:rPr>
              <w:t xml:space="preserve">Third </w:t>
            </w:r>
            <w:r w:rsidRPr="00752499">
              <w:rPr>
                <w:b/>
              </w:rPr>
              <w:t>Cross-Claim</w:t>
            </w:r>
          </w:p>
        </w:tc>
        <w:tc>
          <w:tcPr>
            <w:tcW w:w="5874" w:type="dxa"/>
            <w:tcMar>
              <w:left w:w="28" w:type="dxa"/>
            </w:tcMar>
          </w:tcPr>
          <w:p w14:paraId="1D46EB55" w14:textId="77777777" w:rsidR="003401EE" w:rsidRDefault="003401EE" w:rsidP="003401EE">
            <w:pPr>
              <w:pStyle w:val="BodyText"/>
              <w:spacing w:after="240" w:line="240" w:lineRule="auto"/>
              <w:jc w:val="left"/>
            </w:pPr>
          </w:p>
        </w:tc>
      </w:tr>
      <w:tr w:rsidR="003401EE" w14:paraId="67CF9F9A" w14:textId="77777777" w:rsidTr="00EB5E77">
        <w:trPr>
          <w:trHeight w:val="386"/>
        </w:trPr>
        <w:tc>
          <w:tcPr>
            <w:tcW w:w="3368" w:type="dxa"/>
          </w:tcPr>
          <w:p w14:paraId="68E053D0" w14:textId="77777777" w:rsidR="003401EE" w:rsidRDefault="003401EE" w:rsidP="003401EE">
            <w:pPr>
              <w:pStyle w:val="BodyText"/>
              <w:spacing w:after="240" w:line="240" w:lineRule="auto"/>
              <w:jc w:val="left"/>
              <w:rPr>
                <w:b/>
              </w:rPr>
            </w:pPr>
            <w:r>
              <w:t>Cross-claimant:</w:t>
            </w:r>
          </w:p>
        </w:tc>
        <w:tc>
          <w:tcPr>
            <w:tcW w:w="5874" w:type="dxa"/>
            <w:tcMar>
              <w:left w:w="28" w:type="dxa"/>
            </w:tcMar>
          </w:tcPr>
          <w:p w14:paraId="00FC3D7D" w14:textId="77777777" w:rsidR="003401EE" w:rsidRDefault="003401EE" w:rsidP="003401EE">
            <w:pPr>
              <w:pStyle w:val="BodyText"/>
              <w:spacing w:after="240" w:line="240" w:lineRule="auto"/>
              <w:jc w:val="left"/>
            </w:pPr>
            <w:r w:rsidRPr="006F5ACC">
              <w:t>PRICEWATERHOUSECOOPERS (A FIRM) (ABN 52 780 433 757)</w:t>
            </w:r>
          </w:p>
        </w:tc>
      </w:tr>
      <w:tr w:rsidR="003401EE" w14:paraId="35699C22" w14:textId="77777777" w:rsidTr="00EB5E77">
        <w:trPr>
          <w:trHeight w:val="386"/>
        </w:trPr>
        <w:tc>
          <w:tcPr>
            <w:tcW w:w="3368" w:type="dxa"/>
          </w:tcPr>
          <w:p w14:paraId="232AC3D2" w14:textId="77777777" w:rsidR="003401EE" w:rsidRDefault="003401EE" w:rsidP="003401EE">
            <w:pPr>
              <w:pStyle w:val="BodyText"/>
              <w:spacing w:after="240" w:line="240" w:lineRule="auto"/>
              <w:jc w:val="left"/>
              <w:rPr>
                <w:b/>
              </w:rPr>
            </w:pPr>
            <w:r>
              <w:t>First Cross-respondent:</w:t>
            </w:r>
          </w:p>
        </w:tc>
        <w:tc>
          <w:tcPr>
            <w:tcW w:w="5874" w:type="dxa"/>
            <w:tcMar>
              <w:left w:w="28" w:type="dxa"/>
            </w:tcMar>
          </w:tcPr>
          <w:p w14:paraId="3AA70B4F" w14:textId="77777777" w:rsidR="003401EE" w:rsidRDefault="003401EE" w:rsidP="003401EE">
            <w:pPr>
              <w:pStyle w:val="BodyText"/>
              <w:spacing w:after="240" w:line="240" w:lineRule="auto"/>
              <w:jc w:val="left"/>
            </w:pPr>
            <w:r w:rsidRPr="006F5ACC">
              <w:t>MARK EDWARD HUTCHINSON</w:t>
            </w:r>
          </w:p>
        </w:tc>
      </w:tr>
      <w:tr w:rsidR="003401EE" w14:paraId="42EA54C7" w14:textId="77777777" w:rsidTr="00EB5E77">
        <w:trPr>
          <w:trHeight w:val="386"/>
        </w:trPr>
        <w:tc>
          <w:tcPr>
            <w:tcW w:w="3368" w:type="dxa"/>
          </w:tcPr>
          <w:p w14:paraId="2F97944D" w14:textId="77777777" w:rsidR="003401EE" w:rsidRDefault="003401EE" w:rsidP="003401EE">
            <w:pPr>
              <w:pStyle w:val="BodyText"/>
              <w:spacing w:after="240" w:line="240" w:lineRule="auto"/>
              <w:jc w:val="left"/>
              <w:rPr>
                <w:b/>
              </w:rPr>
            </w:pPr>
            <w:r>
              <w:t xml:space="preserve">Second </w:t>
            </w:r>
            <w:r w:rsidRPr="00BC2C8D">
              <w:t>Cross-respondent:</w:t>
            </w:r>
          </w:p>
        </w:tc>
        <w:tc>
          <w:tcPr>
            <w:tcW w:w="5874" w:type="dxa"/>
            <w:tcMar>
              <w:left w:w="28" w:type="dxa"/>
            </w:tcMar>
          </w:tcPr>
          <w:p w14:paraId="6521208B" w14:textId="77777777" w:rsidR="003401EE" w:rsidRDefault="003401EE" w:rsidP="003401EE">
            <w:pPr>
              <w:pStyle w:val="BodyText"/>
              <w:spacing w:after="240" w:line="240" w:lineRule="auto"/>
              <w:jc w:val="left"/>
            </w:pPr>
            <w:r w:rsidRPr="006F5ACC">
              <w:t>MANVINDER GREWAL</w:t>
            </w:r>
          </w:p>
        </w:tc>
      </w:tr>
      <w:tr w:rsidR="003401EE" w14:paraId="6678E4B7" w14:textId="77777777" w:rsidTr="00EB5E77">
        <w:trPr>
          <w:trHeight w:val="386"/>
        </w:trPr>
        <w:tc>
          <w:tcPr>
            <w:tcW w:w="3368" w:type="dxa"/>
          </w:tcPr>
          <w:p w14:paraId="32C33FCB" w14:textId="77777777" w:rsidR="003401EE" w:rsidRDefault="003401EE" w:rsidP="003401EE">
            <w:pPr>
              <w:pStyle w:val="BodyText"/>
              <w:spacing w:after="240" w:line="240" w:lineRule="auto"/>
              <w:jc w:val="left"/>
              <w:rPr>
                <w:b/>
              </w:rPr>
            </w:pPr>
            <w:r>
              <w:t xml:space="preserve">Third </w:t>
            </w:r>
            <w:r w:rsidRPr="00BC2C8D">
              <w:t>Cross-respondent:</w:t>
            </w:r>
          </w:p>
        </w:tc>
        <w:tc>
          <w:tcPr>
            <w:tcW w:w="5874" w:type="dxa"/>
            <w:tcMar>
              <w:left w:w="28" w:type="dxa"/>
            </w:tcMar>
          </w:tcPr>
          <w:p w14:paraId="07731F00" w14:textId="77777777" w:rsidR="003401EE" w:rsidRDefault="003401EE" w:rsidP="003401EE">
            <w:pPr>
              <w:pStyle w:val="BodyText"/>
              <w:spacing w:after="240" w:line="240" w:lineRule="auto"/>
              <w:jc w:val="left"/>
            </w:pPr>
            <w:r w:rsidRPr="006F5ACC">
              <w:t>JOHN SYDNEY DAWKINS</w:t>
            </w:r>
          </w:p>
        </w:tc>
      </w:tr>
      <w:tr w:rsidR="003401EE" w14:paraId="28011BEE" w14:textId="77777777" w:rsidTr="00EB5E77">
        <w:trPr>
          <w:trHeight w:val="386"/>
        </w:trPr>
        <w:tc>
          <w:tcPr>
            <w:tcW w:w="3368" w:type="dxa"/>
          </w:tcPr>
          <w:p w14:paraId="46EB36A4" w14:textId="77777777" w:rsidR="003401EE" w:rsidRDefault="003401EE" w:rsidP="003401EE">
            <w:pPr>
              <w:pStyle w:val="BodyText"/>
              <w:spacing w:after="240" w:line="240" w:lineRule="auto"/>
              <w:jc w:val="left"/>
              <w:rPr>
                <w:b/>
              </w:rPr>
            </w:pPr>
            <w:r>
              <w:t xml:space="preserve">Fourth </w:t>
            </w:r>
            <w:r w:rsidRPr="00BC2C8D">
              <w:t>Cross-respondent:</w:t>
            </w:r>
          </w:p>
        </w:tc>
        <w:tc>
          <w:tcPr>
            <w:tcW w:w="5874" w:type="dxa"/>
            <w:tcMar>
              <w:left w:w="28" w:type="dxa"/>
            </w:tcMar>
          </w:tcPr>
          <w:p w14:paraId="489C1C93" w14:textId="77777777" w:rsidR="003401EE" w:rsidRDefault="003401EE" w:rsidP="003401EE">
            <w:pPr>
              <w:pStyle w:val="BodyText"/>
              <w:spacing w:after="240" w:line="240" w:lineRule="auto"/>
              <w:jc w:val="left"/>
            </w:pPr>
            <w:r w:rsidRPr="006F5ACC">
              <w:t>STEPHEN JOHN TUCKER</w:t>
            </w:r>
          </w:p>
        </w:tc>
      </w:tr>
      <w:tr w:rsidR="003401EE" w14:paraId="4912558E" w14:textId="77777777" w:rsidTr="00EB5E77">
        <w:trPr>
          <w:trHeight w:val="386"/>
        </w:trPr>
        <w:tc>
          <w:tcPr>
            <w:tcW w:w="3368" w:type="dxa"/>
          </w:tcPr>
          <w:p w14:paraId="4D993BD9" w14:textId="77777777" w:rsidR="003401EE" w:rsidRDefault="003401EE" w:rsidP="003401EE">
            <w:pPr>
              <w:pStyle w:val="BodyText"/>
              <w:spacing w:after="240" w:line="240" w:lineRule="auto"/>
              <w:jc w:val="left"/>
              <w:rPr>
                <w:b/>
              </w:rPr>
            </w:pPr>
            <w:r>
              <w:t xml:space="preserve">Fifth </w:t>
            </w:r>
            <w:r w:rsidRPr="00BC2C8D">
              <w:t>Cross-respondent:</w:t>
            </w:r>
          </w:p>
        </w:tc>
        <w:tc>
          <w:tcPr>
            <w:tcW w:w="5874" w:type="dxa"/>
            <w:tcMar>
              <w:left w:w="28" w:type="dxa"/>
            </w:tcMar>
          </w:tcPr>
          <w:p w14:paraId="0A99CB21" w14:textId="77777777" w:rsidR="003401EE" w:rsidRDefault="003401EE" w:rsidP="003401EE">
            <w:pPr>
              <w:pStyle w:val="BodyText"/>
              <w:spacing w:after="240" w:line="240" w:lineRule="auto"/>
              <w:jc w:val="left"/>
            </w:pPr>
            <w:r w:rsidRPr="006F5ACC">
              <w:t>MICHELLE KIM TREDENICK</w:t>
            </w:r>
          </w:p>
        </w:tc>
      </w:tr>
      <w:tr w:rsidR="003401EE" w14:paraId="73C8D192" w14:textId="77777777" w:rsidTr="00EB5E77">
        <w:trPr>
          <w:trHeight w:val="386"/>
        </w:trPr>
        <w:tc>
          <w:tcPr>
            <w:tcW w:w="3368" w:type="dxa"/>
          </w:tcPr>
          <w:p w14:paraId="5F68F4A3" w14:textId="77777777" w:rsidR="003401EE" w:rsidRDefault="003401EE" w:rsidP="003401EE">
            <w:pPr>
              <w:pStyle w:val="BodyText"/>
              <w:spacing w:after="240" w:line="240" w:lineRule="auto"/>
              <w:jc w:val="left"/>
              <w:rPr>
                <w:b/>
              </w:rPr>
            </w:pPr>
            <w:r>
              <w:t xml:space="preserve">Sixth </w:t>
            </w:r>
            <w:r w:rsidRPr="00BC2C8D">
              <w:t>Cross-respondent:</w:t>
            </w:r>
          </w:p>
        </w:tc>
        <w:tc>
          <w:tcPr>
            <w:tcW w:w="5874" w:type="dxa"/>
            <w:tcMar>
              <w:left w:w="28" w:type="dxa"/>
            </w:tcMar>
          </w:tcPr>
          <w:p w14:paraId="587DF910" w14:textId="77777777" w:rsidR="003401EE" w:rsidRDefault="003401EE" w:rsidP="003401EE">
            <w:pPr>
              <w:pStyle w:val="BodyText"/>
              <w:spacing w:after="240" w:line="240" w:lineRule="auto"/>
              <w:jc w:val="left"/>
            </w:pPr>
            <w:r w:rsidRPr="006F5ACC">
              <w:t>DOUGLAS JAMES HALLEY</w:t>
            </w:r>
          </w:p>
        </w:tc>
      </w:tr>
      <w:tr w:rsidR="003401EE" w14:paraId="18F12935" w14:textId="77777777" w:rsidTr="00EB5E77">
        <w:trPr>
          <w:trHeight w:val="386"/>
        </w:trPr>
        <w:tc>
          <w:tcPr>
            <w:tcW w:w="3368" w:type="dxa"/>
          </w:tcPr>
          <w:p w14:paraId="7A1CCA6B" w14:textId="77777777" w:rsidR="003401EE" w:rsidRDefault="003401EE" w:rsidP="003401EE">
            <w:pPr>
              <w:pStyle w:val="BodyText"/>
              <w:spacing w:after="240" w:line="240" w:lineRule="auto"/>
              <w:jc w:val="left"/>
              <w:rPr>
                <w:b/>
              </w:rPr>
            </w:pPr>
            <w:r>
              <w:t xml:space="preserve">Seventh </w:t>
            </w:r>
            <w:r w:rsidRPr="00BC2C8D">
              <w:t>Cross-respondent:</w:t>
            </w:r>
          </w:p>
        </w:tc>
        <w:tc>
          <w:tcPr>
            <w:tcW w:w="5874" w:type="dxa"/>
            <w:tcMar>
              <w:left w:w="28" w:type="dxa"/>
            </w:tcMar>
          </w:tcPr>
          <w:p w14:paraId="3D8E58CB" w14:textId="77777777" w:rsidR="003401EE" w:rsidRDefault="003401EE" w:rsidP="003401EE">
            <w:pPr>
              <w:pStyle w:val="BodyText"/>
              <w:spacing w:after="240" w:line="240" w:lineRule="auto"/>
              <w:jc w:val="left"/>
            </w:pPr>
            <w:r w:rsidRPr="006F5ACC">
              <w:t>VOCATION LIMITED (ACN 166 631 330)</w:t>
            </w:r>
          </w:p>
        </w:tc>
      </w:tr>
      <w:tr w:rsidR="003401EE" w14:paraId="148D6875" w14:textId="77777777" w:rsidTr="00EB5E77">
        <w:trPr>
          <w:trHeight w:val="386"/>
        </w:trPr>
        <w:tc>
          <w:tcPr>
            <w:tcW w:w="3368" w:type="dxa"/>
          </w:tcPr>
          <w:p w14:paraId="76C69856" w14:textId="77777777" w:rsidR="003401EE" w:rsidRDefault="003401EE" w:rsidP="003401EE">
            <w:pPr>
              <w:pStyle w:val="BodyText"/>
              <w:spacing w:after="240" w:line="240" w:lineRule="auto"/>
              <w:jc w:val="left"/>
            </w:pPr>
            <w:r>
              <w:rPr>
                <w:b/>
              </w:rPr>
              <w:t xml:space="preserve">Fourth </w:t>
            </w:r>
            <w:r w:rsidRPr="00752499">
              <w:rPr>
                <w:b/>
              </w:rPr>
              <w:t>Cross-Claim</w:t>
            </w:r>
          </w:p>
        </w:tc>
        <w:tc>
          <w:tcPr>
            <w:tcW w:w="5874" w:type="dxa"/>
            <w:tcMar>
              <w:left w:w="28" w:type="dxa"/>
            </w:tcMar>
          </w:tcPr>
          <w:p w14:paraId="3BCF2363" w14:textId="77777777" w:rsidR="003401EE" w:rsidRPr="006F5ACC" w:rsidRDefault="003401EE" w:rsidP="003401EE">
            <w:pPr>
              <w:pStyle w:val="BodyText"/>
              <w:spacing w:after="240" w:line="240" w:lineRule="auto"/>
              <w:jc w:val="left"/>
            </w:pPr>
          </w:p>
        </w:tc>
      </w:tr>
      <w:tr w:rsidR="003401EE" w14:paraId="619A1215" w14:textId="77777777" w:rsidTr="00EB5E77">
        <w:trPr>
          <w:trHeight w:val="386"/>
        </w:trPr>
        <w:tc>
          <w:tcPr>
            <w:tcW w:w="3368" w:type="dxa"/>
          </w:tcPr>
          <w:p w14:paraId="0FECFBAA" w14:textId="77777777" w:rsidR="003401EE" w:rsidRDefault="003401EE" w:rsidP="003401EE">
            <w:pPr>
              <w:pStyle w:val="BodyText"/>
              <w:spacing w:after="240" w:line="240" w:lineRule="auto"/>
              <w:jc w:val="left"/>
            </w:pPr>
            <w:r>
              <w:lastRenderedPageBreak/>
              <w:t>Cross-claimant:</w:t>
            </w:r>
          </w:p>
        </w:tc>
        <w:tc>
          <w:tcPr>
            <w:tcW w:w="5874" w:type="dxa"/>
            <w:tcMar>
              <w:left w:w="28" w:type="dxa"/>
            </w:tcMar>
          </w:tcPr>
          <w:p w14:paraId="117F7437" w14:textId="77777777" w:rsidR="003401EE" w:rsidRPr="006F5ACC" w:rsidRDefault="003401EE" w:rsidP="003401EE">
            <w:pPr>
              <w:pStyle w:val="BodyText"/>
              <w:spacing w:after="240" w:line="240" w:lineRule="auto"/>
              <w:jc w:val="left"/>
            </w:pPr>
            <w:r w:rsidRPr="006E1E3A">
              <w:t>JOHN SYDNEY DAWKINS</w:t>
            </w:r>
          </w:p>
        </w:tc>
      </w:tr>
      <w:tr w:rsidR="003401EE" w14:paraId="35F7F5C3" w14:textId="77777777" w:rsidTr="00EB5E77">
        <w:trPr>
          <w:trHeight w:val="386"/>
        </w:trPr>
        <w:tc>
          <w:tcPr>
            <w:tcW w:w="3368" w:type="dxa"/>
          </w:tcPr>
          <w:p w14:paraId="6EB4A0FE" w14:textId="77777777" w:rsidR="003401EE" w:rsidRDefault="003401EE" w:rsidP="003401EE">
            <w:pPr>
              <w:pStyle w:val="BodyText"/>
              <w:spacing w:after="240" w:line="240" w:lineRule="auto"/>
              <w:jc w:val="left"/>
            </w:pPr>
            <w:r>
              <w:t>Cross-respondent:</w:t>
            </w:r>
          </w:p>
        </w:tc>
        <w:tc>
          <w:tcPr>
            <w:tcW w:w="5874" w:type="dxa"/>
            <w:tcMar>
              <w:left w:w="28" w:type="dxa"/>
            </w:tcMar>
          </w:tcPr>
          <w:p w14:paraId="229129A9" w14:textId="77777777" w:rsidR="003401EE" w:rsidRPr="006F5ACC" w:rsidRDefault="003401EE" w:rsidP="003401EE">
            <w:pPr>
              <w:pStyle w:val="BodyText"/>
              <w:spacing w:after="240" w:line="240" w:lineRule="auto"/>
              <w:jc w:val="left"/>
            </w:pPr>
            <w:r w:rsidRPr="006E1E3A">
              <w:t>THE PARTNERS OF JOHNSON WINTER &amp; SLATTERY</w:t>
            </w:r>
          </w:p>
        </w:tc>
      </w:tr>
      <w:tr w:rsidR="003401EE" w14:paraId="247169B9" w14:textId="77777777" w:rsidTr="00EB5E77">
        <w:trPr>
          <w:trHeight w:val="386"/>
        </w:trPr>
        <w:tc>
          <w:tcPr>
            <w:tcW w:w="3368" w:type="dxa"/>
          </w:tcPr>
          <w:p w14:paraId="049C0A9E" w14:textId="77777777" w:rsidR="003401EE" w:rsidRPr="00533703" w:rsidRDefault="003401EE" w:rsidP="003401EE">
            <w:pPr>
              <w:pStyle w:val="BodyText"/>
              <w:spacing w:after="240" w:line="240" w:lineRule="auto"/>
              <w:jc w:val="left"/>
              <w:rPr>
                <w:b/>
              </w:rPr>
            </w:pPr>
            <w:r w:rsidRPr="00533703">
              <w:rPr>
                <w:b/>
              </w:rPr>
              <w:t>Fifth Cross-Claim</w:t>
            </w:r>
          </w:p>
        </w:tc>
        <w:tc>
          <w:tcPr>
            <w:tcW w:w="5874" w:type="dxa"/>
            <w:tcMar>
              <w:left w:w="28" w:type="dxa"/>
            </w:tcMar>
          </w:tcPr>
          <w:p w14:paraId="714FFB87" w14:textId="77777777" w:rsidR="003401EE" w:rsidRPr="006E1E3A" w:rsidRDefault="003401EE" w:rsidP="003401EE">
            <w:pPr>
              <w:pStyle w:val="BodyText"/>
              <w:spacing w:after="240" w:line="240" w:lineRule="auto"/>
              <w:jc w:val="left"/>
            </w:pPr>
          </w:p>
        </w:tc>
      </w:tr>
      <w:tr w:rsidR="003401EE" w14:paraId="163C556A" w14:textId="77777777" w:rsidTr="00EB5E77">
        <w:trPr>
          <w:trHeight w:val="386"/>
        </w:trPr>
        <w:tc>
          <w:tcPr>
            <w:tcW w:w="3368" w:type="dxa"/>
          </w:tcPr>
          <w:p w14:paraId="2DF1A577" w14:textId="77777777" w:rsidR="003401EE" w:rsidRPr="003401EE" w:rsidRDefault="003401EE" w:rsidP="003401EE">
            <w:pPr>
              <w:pStyle w:val="BodyText"/>
              <w:spacing w:after="240" w:line="240" w:lineRule="auto"/>
              <w:jc w:val="left"/>
              <w:rPr>
                <w:b/>
              </w:rPr>
            </w:pPr>
            <w:r w:rsidRPr="000D5CB0">
              <w:t>Cross-claimant:</w:t>
            </w:r>
          </w:p>
        </w:tc>
        <w:tc>
          <w:tcPr>
            <w:tcW w:w="5874" w:type="dxa"/>
            <w:tcMar>
              <w:left w:w="28" w:type="dxa"/>
            </w:tcMar>
          </w:tcPr>
          <w:p w14:paraId="2A65961B" w14:textId="4F520629" w:rsidR="003401EE" w:rsidRPr="006E1E3A" w:rsidRDefault="009470BE" w:rsidP="003401EE">
            <w:pPr>
              <w:pStyle w:val="BodyText"/>
              <w:spacing w:after="240" w:line="240" w:lineRule="auto"/>
              <w:jc w:val="left"/>
            </w:pPr>
            <w:r w:rsidRPr="009470BE">
              <w:t>THE PARTNERS OF JOHNSON WINTER &amp; SLATTERY</w:t>
            </w:r>
          </w:p>
        </w:tc>
      </w:tr>
      <w:tr w:rsidR="003401EE" w14:paraId="6A635750" w14:textId="77777777" w:rsidTr="00EB5E77">
        <w:trPr>
          <w:trHeight w:val="386"/>
        </w:trPr>
        <w:tc>
          <w:tcPr>
            <w:tcW w:w="3368" w:type="dxa"/>
          </w:tcPr>
          <w:p w14:paraId="23A5818D" w14:textId="77777777" w:rsidR="003401EE" w:rsidRPr="003401EE" w:rsidRDefault="003401EE" w:rsidP="003401EE">
            <w:pPr>
              <w:pStyle w:val="BodyText"/>
              <w:spacing w:after="240" w:line="240" w:lineRule="auto"/>
              <w:jc w:val="left"/>
              <w:rPr>
                <w:b/>
              </w:rPr>
            </w:pPr>
            <w:r w:rsidRPr="000D5CB0">
              <w:t>First Cross-respondent:</w:t>
            </w:r>
          </w:p>
        </w:tc>
        <w:tc>
          <w:tcPr>
            <w:tcW w:w="5874" w:type="dxa"/>
            <w:tcMar>
              <w:left w:w="28" w:type="dxa"/>
            </w:tcMar>
          </w:tcPr>
          <w:p w14:paraId="1F67C0FC" w14:textId="77777777" w:rsidR="003401EE" w:rsidRPr="006E1E3A" w:rsidRDefault="003401EE" w:rsidP="003401EE">
            <w:pPr>
              <w:pStyle w:val="BodyText"/>
              <w:spacing w:after="240" w:line="240" w:lineRule="auto"/>
              <w:jc w:val="left"/>
            </w:pPr>
            <w:r w:rsidRPr="00FE659B">
              <w:t>MARK EDWARD HUTCHINSON</w:t>
            </w:r>
          </w:p>
        </w:tc>
      </w:tr>
      <w:tr w:rsidR="003401EE" w14:paraId="1C87061D" w14:textId="77777777" w:rsidTr="00EB5E77">
        <w:trPr>
          <w:trHeight w:val="386"/>
        </w:trPr>
        <w:tc>
          <w:tcPr>
            <w:tcW w:w="3368" w:type="dxa"/>
          </w:tcPr>
          <w:p w14:paraId="00199B1E" w14:textId="77777777" w:rsidR="003401EE" w:rsidRPr="003401EE" w:rsidRDefault="003401EE" w:rsidP="003401EE">
            <w:pPr>
              <w:pStyle w:val="BodyText"/>
              <w:spacing w:after="240" w:line="240" w:lineRule="auto"/>
              <w:jc w:val="left"/>
              <w:rPr>
                <w:b/>
              </w:rPr>
            </w:pPr>
            <w:r w:rsidRPr="000D5CB0">
              <w:t>Second Cross-respondent:</w:t>
            </w:r>
          </w:p>
        </w:tc>
        <w:tc>
          <w:tcPr>
            <w:tcW w:w="5874" w:type="dxa"/>
            <w:tcMar>
              <w:left w:w="28" w:type="dxa"/>
            </w:tcMar>
          </w:tcPr>
          <w:p w14:paraId="71607575" w14:textId="77777777" w:rsidR="003401EE" w:rsidRPr="006E1E3A" w:rsidRDefault="003401EE" w:rsidP="003401EE">
            <w:pPr>
              <w:pStyle w:val="BodyText"/>
              <w:spacing w:after="240" w:line="240" w:lineRule="auto"/>
              <w:jc w:val="left"/>
            </w:pPr>
            <w:r w:rsidRPr="00FE659B">
              <w:t>MANVINDER GREWAL</w:t>
            </w:r>
          </w:p>
        </w:tc>
      </w:tr>
      <w:tr w:rsidR="003401EE" w14:paraId="169B7C66" w14:textId="77777777" w:rsidTr="00EB5E77">
        <w:trPr>
          <w:trHeight w:val="386"/>
        </w:trPr>
        <w:tc>
          <w:tcPr>
            <w:tcW w:w="3368" w:type="dxa"/>
          </w:tcPr>
          <w:p w14:paraId="03024A59" w14:textId="77777777" w:rsidR="003401EE" w:rsidRPr="003401EE" w:rsidRDefault="003401EE" w:rsidP="003401EE">
            <w:pPr>
              <w:pStyle w:val="BodyText"/>
              <w:spacing w:after="240" w:line="240" w:lineRule="auto"/>
              <w:jc w:val="left"/>
              <w:rPr>
                <w:b/>
              </w:rPr>
            </w:pPr>
            <w:r w:rsidRPr="000D5CB0">
              <w:t>Third Cross-respondent:</w:t>
            </w:r>
          </w:p>
        </w:tc>
        <w:tc>
          <w:tcPr>
            <w:tcW w:w="5874" w:type="dxa"/>
            <w:tcMar>
              <w:left w:w="28" w:type="dxa"/>
            </w:tcMar>
          </w:tcPr>
          <w:p w14:paraId="09EAFA93" w14:textId="77777777" w:rsidR="003401EE" w:rsidRPr="006E1E3A" w:rsidRDefault="003401EE" w:rsidP="003401EE">
            <w:pPr>
              <w:pStyle w:val="BodyText"/>
              <w:spacing w:after="240" w:line="240" w:lineRule="auto"/>
              <w:jc w:val="left"/>
            </w:pPr>
            <w:r w:rsidRPr="00FE659B">
              <w:t>JOHN SYDNEY DAWKINS</w:t>
            </w:r>
          </w:p>
        </w:tc>
      </w:tr>
      <w:tr w:rsidR="003401EE" w14:paraId="51CD629B" w14:textId="77777777" w:rsidTr="00EB5E77">
        <w:trPr>
          <w:trHeight w:val="386"/>
        </w:trPr>
        <w:tc>
          <w:tcPr>
            <w:tcW w:w="3368" w:type="dxa"/>
          </w:tcPr>
          <w:p w14:paraId="660018DA" w14:textId="77777777" w:rsidR="003401EE" w:rsidRPr="003401EE" w:rsidRDefault="003401EE" w:rsidP="003401EE">
            <w:pPr>
              <w:pStyle w:val="BodyText"/>
              <w:spacing w:after="240" w:line="240" w:lineRule="auto"/>
              <w:jc w:val="left"/>
              <w:rPr>
                <w:b/>
              </w:rPr>
            </w:pPr>
            <w:r w:rsidRPr="000D5CB0">
              <w:t>Fourth Cross-respondent:</w:t>
            </w:r>
          </w:p>
        </w:tc>
        <w:tc>
          <w:tcPr>
            <w:tcW w:w="5874" w:type="dxa"/>
            <w:tcMar>
              <w:left w:w="28" w:type="dxa"/>
            </w:tcMar>
          </w:tcPr>
          <w:p w14:paraId="2CC662E9" w14:textId="77777777" w:rsidR="003401EE" w:rsidRPr="006E1E3A" w:rsidRDefault="003401EE" w:rsidP="003401EE">
            <w:pPr>
              <w:pStyle w:val="BodyText"/>
              <w:spacing w:after="240" w:line="240" w:lineRule="auto"/>
              <w:jc w:val="left"/>
            </w:pPr>
            <w:r w:rsidRPr="00FE659B">
              <w:t>STEPHEN JOHN TUCKER</w:t>
            </w:r>
          </w:p>
        </w:tc>
      </w:tr>
      <w:tr w:rsidR="003401EE" w14:paraId="469A2F2D" w14:textId="77777777" w:rsidTr="00EB5E77">
        <w:trPr>
          <w:trHeight w:val="386"/>
        </w:trPr>
        <w:tc>
          <w:tcPr>
            <w:tcW w:w="3368" w:type="dxa"/>
          </w:tcPr>
          <w:p w14:paraId="4F4CA59B" w14:textId="77777777" w:rsidR="003401EE" w:rsidRPr="003401EE" w:rsidRDefault="003401EE" w:rsidP="003401EE">
            <w:pPr>
              <w:pStyle w:val="BodyText"/>
              <w:spacing w:after="240" w:line="240" w:lineRule="auto"/>
              <w:jc w:val="left"/>
              <w:rPr>
                <w:b/>
              </w:rPr>
            </w:pPr>
            <w:r w:rsidRPr="000D5CB0">
              <w:t>Fifth Cross-respondent:</w:t>
            </w:r>
          </w:p>
        </w:tc>
        <w:tc>
          <w:tcPr>
            <w:tcW w:w="5874" w:type="dxa"/>
            <w:tcMar>
              <w:left w:w="28" w:type="dxa"/>
            </w:tcMar>
          </w:tcPr>
          <w:p w14:paraId="4A7A0838" w14:textId="77777777" w:rsidR="003401EE" w:rsidRPr="006E1E3A" w:rsidRDefault="003401EE" w:rsidP="003401EE">
            <w:pPr>
              <w:pStyle w:val="BodyText"/>
              <w:spacing w:after="240" w:line="240" w:lineRule="auto"/>
              <w:jc w:val="left"/>
            </w:pPr>
            <w:r w:rsidRPr="00FE659B">
              <w:t>MICHELLE KIM TREDENICK</w:t>
            </w:r>
          </w:p>
        </w:tc>
      </w:tr>
      <w:tr w:rsidR="003401EE" w14:paraId="5D874AD9" w14:textId="77777777" w:rsidTr="00EB5E77">
        <w:trPr>
          <w:trHeight w:val="386"/>
        </w:trPr>
        <w:tc>
          <w:tcPr>
            <w:tcW w:w="3368" w:type="dxa"/>
          </w:tcPr>
          <w:p w14:paraId="24109B3B" w14:textId="77777777" w:rsidR="003401EE" w:rsidRPr="003401EE" w:rsidRDefault="003401EE" w:rsidP="003401EE">
            <w:pPr>
              <w:pStyle w:val="BodyText"/>
              <w:spacing w:after="240" w:line="240" w:lineRule="auto"/>
              <w:jc w:val="left"/>
              <w:rPr>
                <w:b/>
              </w:rPr>
            </w:pPr>
            <w:r w:rsidRPr="000D5CB0">
              <w:t>Sixth Cross-respondent:</w:t>
            </w:r>
          </w:p>
        </w:tc>
        <w:tc>
          <w:tcPr>
            <w:tcW w:w="5874" w:type="dxa"/>
            <w:tcMar>
              <w:left w:w="28" w:type="dxa"/>
            </w:tcMar>
          </w:tcPr>
          <w:p w14:paraId="2C1FDDA8" w14:textId="77777777" w:rsidR="003401EE" w:rsidRPr="006E1E3A" w:rsidRDefault="003401EE" w:rsidP="003401EE">
            <w:pPr>
              <w:pStyle w:val="BodyText"/>
              <w:spacing w:after="240" w:line="240" w:lineRule="auto"/>
              <w:jc w:val="left"/>
            </w:pPr>
            <w:r w:rsidRPr="00FE659B">
              <w:t>DOUGLAS JAMES HALLEY</w:t>
            </w:r>
          </w:p>
        </w:tc>
      </w:tr>
      <w:tr w:rsidR="003401EE" w14:paraId="4C0C055F" w14:textId="77777777" w:rsidTr="00EB5E77">
        <w:trPr>
          <w:trHeight w:val="386"/>
        </w:trPr>
        <w:tc>
          <w:tcPr>
            <w:tcW w:w="3368" w:type="dxa"/>
          </w:tcPr>
          <w:p w14:paraId="2A4F585A" w14:textId="77777777" w:rsidR="003401EE" w:rsidRPr="000D5CB0" w:rsidRDefault="003401EE" w:rsidP="003401EE">
            <w:pPr>
              <w:pStyle w:val="BodyText"/>
              <w:spacing w:after="240" w:line="240" w:lineRule="auto"/>
              <w:jc w:val="left"/>
            </w:pPr>
            <w:r>
              <w:t>Seventh Cross-respondent</w:t>
            </w:r>
          </w:p>
        </w:tc>
        <w:tc>
          <w:tcPr>
            <w:tcW w:w="5874" w:type="dxa"/>
            <w:tcMar>
              <w:left w:w="28" w:type="dxa"/>
            </w:tcMar>
          </w:tcPr>
          <w:p w14:paraId="40FD2F4A" w14:textId="77777777" w:rsidR="003401EE" w:rsidRPr="00FE659B" w:rsidRDefault="003401EE" w:rsidP="003401EE">
            <w:pPr>
              <w:pStyle w:val="BodyText"/>
              <w:spacing w:after="240" w:line="240" w:lineRule="auto"/>
              <w:jc w:val="left"/>
            </w:pPr>
            <w:r w:rsidRPr="006F5ACC">
              <w:t>VOCATION LIMITED (ACN 166 631 330)</w:t>
            </w:r>
          </w:p>
        </w:tc>
      </w:tr>
      <w:tr w:rsidR="003401EE" w14:paraId="3B5BBAAD" w14:textId="77777777" w:rsidTr="00EB5E77">
        <w:trPr>
          <w:trHeight w:val="386"/>
        </w:trPr>
        <w:tc>
          <w:tcPr>
            <w:tcW w:w="3368" w:type="dxa"/>
          </w:tcPr>
          <w:p w14:paraId="0436DF0A" w14:textId="77777777" w:rsidR="003401EE" w:rsidRDefault="003401EE" w:rsidP="003401EE">
            <w:pPr>
              <w:pStyle w:val="BodyText"/>
              <w:spacing w:after="240" w:line="240" w:lineRule="auto"/>
              <w:jc w:val="left"/>
            </w:pPr>
            <w:r>
              <w:rPr>
                <w:b/>
              </w:rPr>
              <w:t>Sixth</w:t>
            </w:r>
            <w:r w:rsidRPr="00752499">
              <w:rPr>
                <w:b/>
              </w:rPr>
              <w:t xml:space="preserve"> Cross-Claim</w:t>
            </w:r>
          </w:p>
        </w:tc>
        <w:tc>
          <w:tcPr>
            <w:tcW w:w="5874" w:type="dxa"/>
            <w:tcMar>
              <w:left w:w="28" w:type="dxa"/>
            </w:tcMar>
          </w:tcPr>
          <w:p w14:paraId="481727B9" w14:textId="77777777" w:rsidR="003401EE" w:rsidRPr="006F5ACC" w:rsidRDefault="003401EE" w:rsidP="003401EE">
            <w:pPr>
              <w:pStyle w:val="BodyText"/>
              <w:spacing w:after="240" w:line="240" w:lineRule="auto"/>
              <w:jc w:val="left"/>
            </w:pPr>
          </w:p>
        </w:tc>
      </w:tr>
      <w:tr w:rsidR="003401EE" w14:paraId="4AEB38B6" w14:textId="77777777" w:rsidTr="00EB5E77">
        <w:trPr>
          <w:trHeight w:val="386"/>
        </w:trPr>
        <w:tc>
          <w:tcPr>
            <w:tcW w:w="3368" w:type="dxa"/>
          </w:tcPr>
          <w:p w14:paraId="491549DA" w14:textId="77777777" w:rsidR="003401EE" w:rsidRDefault="003401EE" w:rsidP="003401EE">
            <w:pPr>
              <w:pStyle w:val="BodyText"/>
              <w:spacing w:after="240" w:line="240" w:lineRule="auto"/>
              <w:jc w:val="left"/>
              <w:rPr>
                <w:b/>
              </w:rPr>
            </w:pPr>
            <w:r w:rsidRPr="00235D10">
              <w:t>Cross-claimant:</w:t>
            </w:r>
          </w:p>
        </w:tc>
        <w:tc>
          <w:tcPr>
            <w:tcW w:w="5874" w:type="dxa"/>
            <w:tcMar>
              <w:left w:w="28" w:type="dxa"/>
            </w:tcMar>
          </w:tcPr>
          <w:p w14:paraId="50BF0337" w14:textId="77777777" w:rsidR="003401EE" w:rsidRPr="006F5ACC" w:rsidRDefault="003401EE" w:rsidP="003401EE">
            <w:pPr>
              <w:pStyle w:val="BodyText"/>
              <w:spacing w:after="240" w:line="240" w:lineRule="auto"/>
              <w:jc w:val="left"/>
            </w:pPr>
            <w:r w:rsidRPr="00FE659B">
              <w:t>MARK EDWARD HUTCHINSON</w:t>
            </w:r>
          </w:p>
        </w:tc>
      </w:tr>
      <w:tr w:rsidR="003401EE" w14:paraId="2BC89078" w14:textId="77777777" w:rsidTr="00EB5E77">
        <w:trPr>
          <w:trHeight w:val="386"/>
        </w:trPr>
        <w:tc>
          <w:tcPr>
            <w:tcW w:w="3368" w:type="dxa"/>
          </w:tcPr>
          <w:p w14:paraId="3CEB6EE4" w14:textId="77777777" w:rsidR="003401EE" w:rsidRDefault="003401EE" w:rsidP="003401EE">
            <w:pPr>
              <w:pStyle w:val="BodyText"/>
              <w:spacing w:after="240" w:line="240" w:lineRule="auto"/>
              <w:jc w:val="left"/>
              <w:rPr>
                <w:b/>
              </w:rPr>
            </w:pPr>
            <w:r w:rsidRPr="00235D10">
              <w:t>Cross-respondent:</w:t>
            </w:r>
          </w:p>
        </w:tc>
        <w:tc>
          <w:tcPr>
            <w:tcW w:w="5874" w:type="dxa"/>
            <w:tcMar>
              <w:left w:w="28" w:type="dxa"/>
            </w:tcMar>
          </w:tcPr>
          <w:p w14:paraId="2F09F353" w14:textId="77777777" w:rsidR="003401EE" w:rsidRPr="006F5ACC" w:rsidRDefault="003401EE" w:rsidP="003401EE">
            <w:pPr>
              <w:pStyle w:val="BodyText"/>
              <w:spacing w:after="240" w:line="240" w:lineRule="auto"/>
              <w:jc w:val="left"/>
            </w:pPr>
            <w:r w:rsidRPr="006E1E3A">
              <w:t>THE PARTNERS OF JOHNSON WINTER &amp; SLATTERY</w:t>
            </w:r>
          </w:p>
        </w:tc>
      </w:tr>
      <w:tr w:rsidR="003401EE" w14:paraId="34A24F25" w14:textId="77777777" w:rsidTr="00EB5E77">
        <w:trPr>
          <w:trHeight w:val="386"/>
        </w:trPr>
        <w:tc>
          <w:tcPr>
            <w:tcW w:w="3368" w:type="dxa"/>
          </w:tcPr>
          <w:p w14:paraId="485B12DA" w14:textId="77777777" w:rsidR="003401EE" w:rsidRPr="00235D10" w:rsidRDefault="003401EE" w:rsidP="003401EE">
            <w:pPr>
              <w:pStyle w:val="BodyText"/>
              <w:spacing w:after="240" w:line="240" w:lineRule="auto"/>
              <w:jc w:val="left"/>
            </w:pPr>
            <w:r>
              <w:rPr>
                <w:b/>
              </w:rPr>
              <w:t>Seventh</w:t>
            </w:r>
            <w:r w:rsidRPr="00752499">
              <w:rPr>
                <w:b/>
              </w:rPr>
              <w:t xml:space="preserve"> Cross-Claim</w:t>
            </w:r>
          </w:p>
        </w:tc>
        <w:tc>
          <w:tcPr>
            <w:tcW w:w="5874" w:type="dxa"/>
            <w:tcMar>
              <w:left w:w="28" w:type="dxa"/>
            </w:tcMar>
          </w:tcPr>
          <w:p w14:paraId="68EF0511" w14:textId="77777777" w:rsidR="003401EE" w:rsidRPr="006E1E3A" w:rsidRDefault="003401EE" w:rsidP="003401EE">
            <w:pPr>
              <w:pStyle w:val="BodyText"/>
              <w:spacing w:after="240" w:line="240" w:lineRule="auto"/>
              <w:jc w:val="left"/>
            </w:pPr>
          </w:p>
        </w:tc>
      </w:tr>
      <w:tr w:rsidR="003401EE" w14:paraId="469C4FF8" w14:textId="77777777" w:rsidTr="00EB5E77">
        <w:trPr>
          <w:trHeight w:val="386"/>
        </w:trPr>
        <w:tc>
          <w:tcPr>
            <w:tcW w:w="3368" w:type="dxa"/>
          </w:tcPr>
          <w:p w14:paraId="51C2FC7B" w14:textId="77777777" w:rsidR="003401EE" w:rsidRDefault="003401EE" w:rsidP="003401EE">
            <w:pPr>
              <w:pStyle w:val="BodyText"/>
              <w:spacing w:after="240" w:line="240" w:lineRule="auto"/>
              <w:jc w:val="left"/>
              <w:rPr>
                <w:b/>
              </w:rPr>
            </w:pPr>
            <w:r w:rsidRPr="00235D10">
              <w:t>Cross-claimant:</w:t>
            </w:r>
          </w:p>
        </w:tc>
        <w:tc>
          <w:tcPr>
            <w:tcW w:w="5874" w:type="dxa"/>
            <w:tcMar>
              <w:left w:w="28" w:type="dxa"/>
            </w:tcMar>
          </w:tcPr>
          <w:p w14:paraId="405CE3CF" w14:textId="77777777" w:rsidR="003401EE" w:rsidRPr="006E1E3A" w:rsidRDefault="003401EE" w:rsidP="003401EE">
            <w:pPr>
              <w:pStyle w:val="BodyText"/>
              <w:spacing w:after="240" w:line="240" w:lineRule="auto"/>
              <w:jc w:val="left"/>
            </w:pPr>
            <w:r w:rsidRPr="00FE659B">
              <w:t>MANVINDER GREWAL</w:t>
            </w:r>
          </w:p>
        </w:tc>
      </w:tr>
      <w:tr w:rsidR="003401EE" w14:paraId="318B595F" w14:textId="77777777" w:rsidTr="00EB5E77">
        <w:trPr>
          <w:trHeight w:val="386"/>
        </w:trPr>
        <w:tc>
          <w:tcPr>
            <w:tcW w:w="3368" w:type="dxa"/>
          </w:tcPr>
          <w:p w14:paraId="75B4B9C7" w14:textId="77777777" w:rsidR="003401EE" w:rsidRDefault="003401EE" w:rsidP="003401EE">
            <w:pPr>
              <w:pStyle w:val="BodyText"/>
              <w:spacing w:after="240" w:line="240" w:lineRule="auto"/>
              <w:jc w:val="left"/>
              <w:rPr>
                <w:b/>
              </w:rPr>
            </w:pPr>
            <w:r w:rsidRPr="00235D10">
              <w:t>Cross-respondent:</w:t>
            </w:r>
          </w:p>
        </w:tc>
        <w:tc>
          <w:tcPr>
            <w:tcW w:w="5874" w:type="dxa"/>
            <w:tcMar>
              <w:left w:w="28" w:type="dxa"/>
            </w:tcMar>
          </w:tcPr>
          <w:p w14:paraId="3147FB95" w14:textId="77777777" w:rsidR="003401EE" w:rsidRPr="006E1E3A" w:rsidRDefault="003401EE" w:rsidP="003401EE">
            <w:pPr>
              <w:pStyle w:val="BodyText"/>
              <w:spacing w:after="240" w:line="240" w:lineRule="auto"/>
              <w:jc w:val="left"/>
            </w:pPr>
            <w:r w:rsidRPr="006E1E3A">
              <w:t>THE PARTNERS OF JOHNSON WINTER &amp; SLATTERY</w:t>
            </w:r>
          </w:p>
        </w:tc>
      </w:tr>
    </w:tbl>
    <w:bookmarkEnd w:id="36"/>
    <w:p w14:paraId="49F06DF9" w14:textId="77777777" w:rsidR="00EB5E77" w:rsidRDefault="003401EE" w:rsidP="002B0E91">
      <w:pPr>
        <w:pStyle w:val="BodyText"/>
      </w:pPr>
      <w:r>
        <w:tab/>
      </w:r>
      <w:r>
        <w:tab/>
      </w:r>
    </w:p>
    <w:bookmarkEnd w:id="30"/>
    <w:p w14:paraId="27B7C8D8" w14:textId="77777777" w:rsidR="003401EE" w:rsidRDefault="003401EE" w:rsidP="003401EE">
      <w:pPr>
        <w:pStyle w:val="BodyText"/>
      </w:pPr>
    </w:p>
    <w:sectPr w:rsidR="003401EE" w:rsidSect="00A84FD0">
      <w:headerReference w:type="even" r:id="rId18"/>
      <w:headerReference w:type="default" r:id="rId19"/>
      <w:footerReference w:type="default" r:id="rId20"/>
      <w:headerReference w:type="first" r:id="rId21"/>
      <w:footerReference w:type="first" r:id="rId22"/>
      <w:endnotePr>
        <w:numFmt w:val="decimal"/>
      </w:endnotePr>
      <w:pgSz w:w="11907" w:h="16840" w:code="9"/>
      <w:pgMar w:top="1440" w:right="1440" w:bottom="1440" w:left="1440" w:header="851" w:footer="851"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8B33F8" w14:textId="77777777" w:rsidR="00543A8D" w:rsidRDefault="00543A8D">
      <w:pPr>
        <w:spacing w:line="20" w:lineRule="exact"/>
      </w:pPr>
    </w:p>
    <w:p w14:paraId="3355987F" w14:textId="77777777" w:rsidR="00543A8D" w:rsidRDefault="00543A8D"/>
    <w:p w14:paraId="75C80D16" w14:textId="77777777" w:rsidR="00543A8D" w:rsidRDefault="00543A8D"/>
  </w:endnote>
  <w:endnote w:type="continuationSeparator" w:id="0">
    <w:p w14:paraId="37555F1F" w14:textId="77777777" w:rsidR="00543A8D" w:rsidRDefault="00543A8D">
      <w:r>
        <w:t xml:space="preserve"> </w:t>
      </w:r>
    </w:p>
    <w:p w14:paraId="612EEA59" w14:textId="77777777" w:rsidR="00543A8D" w:rsidRDefault="00543A8D"/>
    <w:p w14:paraId="5FE13A1D" w14:textId="77777777" w:rsidR="00543A8D" w:rsidRDefault="00543A8D"/>
  </w:endnote>
  <w:endnote w:type="continuationNotice" w:id="1">
    <w:p w14:paraId="53AB45D5" w14:textId="77777777" w:rsidR="00543A8D" w:rsidRDefault="00543A8D">
      <w:r>
        <w:t xml:space="preserve"> </w:t>
      </w:r>
    </w:p>
    <w:p w14:paraId="6CA2CBF3" w14:textId="77777777" w:rsidR="00543A8D" w:rsidRDefault="00543A8D"/>
    <w:p w14:paraId="3C7725BC" w14:textId="77777777" w:rsidR="00543A8D" w:rsidRDefault="00543A8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tang">
    <w:altName w:val="바탕"/>
    <w:panose1 w:val="02030600000101010101"/>
    <w:charset w:val="81"/>
    <w:family w:val="roman"/>
    <w:pitch w:val="variable"/>
    <w:sig w:usb0="00000000"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663375" w14:textId="77777777" w:rsidR="00543A8D" w:rsidRDefault="00543A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93382B" w14:textId="00C10558" w:rsidR="00543A8D" w:rsidRPr="00C47B9D" w:rsidRDefault="00543A8D" w:rsidP="00B2435E">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59264" behindDoc="0" locked="0" layoutInCell="1" allowOverlap="1" wp14:anchorId="52750BFA" wp14:editId="6F5959C6">
              <wp:simplePos x="0" y="0"/>
              <wp:positionH relativeFrom="column">
                <wp:posOffset>-28575</wp:posOffset>
              </wp:positionH>
              <wp:positionV relativeFrom="paragraph">
                <wp:posOffset>-635</wp:posOffset>
              </wp:positionV>
              <wp:extent cx="2943225"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1B07EC93" id="Straight Connector 5"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25pt,-.05pt" to="229.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" strokecolor="black [3213]"/>
          </w:pict>
        </mc:Fallback>
      </mc:AlternateContent>
    </w:r>
    <w:sdt>
      <w:sdtPr>
        <w:rPr>
          <w:bCs/>
          <w:sz w:val="18"/>
          <w:szCs w:val="18"/>
        </w:rPr>
        <w:tag w:val="MNC"/>
        <w:id w:val="1707292070"/>
        <w:dataBinding w:prefixMappings="xmlns:ns0='http://schemas.globalmacros.com/FCA'" w:xpath="/ns0:root[1]/ns0:Name[1]" w:storeItemID="{687E7CCB-4AA5-44E7-B148-17BA2B6F57C0}"/>
        <w:text w:multiLine="1"/>
      </w:sdtPr>
      <w:sdtEndPr/>
      <w:sdtContent>
        <w:r>
          <w:rPr>
            <w:bCs/>
            <w:sz w:val="18"/>
            <w:szCs w:val="18"/>
          </w:rPr>
          <w:t xml:space="preserve">Whittenbury v Vocation Limited (in liquidation) [2021] FCA 829 </w:t>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22CAC3" w14:textId="1E99FC46" w:rsidR="00543A8D" w:rsidRPr="00A436E8" w:rsidRDefault="00543A8D" w:rsidP="00A436E8">
    <w:pPr>
      <w:pStyle w:val="Footer"/>
      <w:jc w:val="center"/>
      <w:rPr>
        <w:sz w:val="28"/>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DAA5EE" w14:textId="603403C3" w:rsidR="00543A8D" w:rsidRPr="00C47B9D" w:rsidRDefault="00543A8D" w:rsidP="00E94CBF">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63360" behindDoc="0" locked="0" layoutInCell="1" allowOverlap="1" wp14:anchorId="51D5E69B" wp14:editId="15FCB4E2">
              <wp:simplePos x="0" y="0"/>
              <wp:positionH relativeFrom="column">
                <wp:posOffset>-28575</wp:posOffset>
              </wp:positionH>
              <wp:positionV relativeFrom="paragraph">
                <wp:posOffset>21590</wp:posOffset>
              </wp:positionV>
              <wp:extent cx="2943225"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5E96F97E" id="Straight Connector 6"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2.25pt,1.7pt" to="22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" strokecolor="black [3213]"/>
          </w:pict>
        </mc:Fallback>
      </mc:AlternateContent>
    </w:r>
    <w:sdt>
      <w:sdtPr>
        <w:rPr>
          <w:bCs/>
          <w:sz w:val="18"/>
          <w:szCs w:val="18"/>
        </w:rPr>
        <w:tag w:val="MNC"/>
        <w:id w:val="-831216538"/>
        <w:placeholder>
          <w:docPart w:val="0FA1521A1A47404E94381583D6F35E95"/>
        </w:placeholder>
        <w:dataBinding w:prefixMappings="xmlns:ns0='http://schemas.globalmacros.com/FCA'" w:xpath="/ns0:root[1]/ns0:Name[1]" w:storeItemID="{687E7CCB-4AA5-44E7-B148-17BA2B6F57C0}"/>
        <w:text w:multiLine="1"/>
      </w:sdtPr>
      <w:sdtEndPr/>
      <w:sdtContent>
        <w:r>
          <w:rPr>
            <w:bCs/>
            <w:sz w:val="18"/>
            <w:szCs w:val="18"/>
          </w:rPr>
          <w:t xml:space="preserve">Whittenbury v Vocation Limited (in liquidation) [2021] FCA 829 </w:t>
        </w:r>
      </w:sdtContent>
    </w:sdt>
    <w:r>
      <w:rPr>
        <w:bCs/>
        <w:sz w:val="18"/>
        <w:szCs w:val="18"/>
      </w:rPr>
      <w:tab/>
    </w:r>
    <w:r w:rsidRPr="00EA7F6D">
      <w:rPr>
        <w:bCs/>
        <w:sz w:val="20"/>
      </w:rPr>
      <w:fldChar w:fldCharType="begin"/>
    </w:r>
    <w:r w:rsidRPr="00EA7F6D">
      <w:rPr>
        <w:bCs/>
        <w:sz w:val="20"/>
      </w:rPr>
      <w:instrText xml:space="preserve"> PAGE   \* MERGEFORMAT </w:instrText>
    </w:r>
    <w:r w:rsidRPr="00EA7F6D">
      <w:rPr>
        <w:bCs/>
        <w:sz w:val="20"/>
      </w:rPr>
      <w:fldChar w:fldCharType="separate"/>
    </w:r>
    <w:r w:rsidR="00DB7C9A">
      <w:rPr>
        <w:bCs/>
        <w:noProof/>
        <w:sz w:val="20"/>
      </w:rPr>
      <w:t>v</w:t>
    </w:r>
    <w:r w:rsidRPr="00EA7F6D">
      <w:rPr>
        <w:bCs/>
        <w:noProof/>
        <w:sz w:val="2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BEC806" w14:textId="7B13F4AD" w:rsidR="00543A8D" w:rsidRPr="00C47B9D" w:rsidRDefault="00543A8D" w:rsidP="00B2435E">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61312" behindDoc="0" locked="0" layoutInCell="1" allowOverlap="1" wp14:anchorId="1AB3FD26" wp14:editId="06035361">
              <wp:simplePos x="0" y="0"/>
              <wp:positionH relativeFrom="column">
                <wp:posOffset>-28575</wp:posOffset>
              </wp:positionH>
              <wp:positionV relativeFrom="paragraph">
                <wp:posOffset>21590</wp:posOffset>
              </wp:positionV>
              <wp:extent cx="2943225"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2C4D90A1"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25pt,1.7pt" to="22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" strokecolor="black [3213]"/>
          </w:pict>
        </mc:Fallback>
      </mc:AlternateContent>
    </w:r>
    <w:sdt>
      <w:sdtPr>
        <w:rPr>
          <w:bCs/>
          <w:sz w:val="18"/>
          <w:szCs w:val="18"/>
        </w:rPr>
        <w:tag w:val="MNC"/>
        <w:id w:val="510263260"/>
        <w:placeholder>
          <w:docPart w:val="F80982ACC7D646DCB8AAEC0BF0AB8CD4"/>
        </w:placeholder>
        <w:dataBinding w:prefixMappings="xmlns:ns0='http://schemas.globalmacros.com/FCA'" w:xpath="/ns0:root[1]/ns0:Name[1]" w:storeItemID="{687E7CCB-4AA5-44E7-B148-17BA2B6F57C0}"/>
        <w:text w:multiLine="1"/>
      </w:sdtPr>
      <w:sdtEndPr/>
      <w:sdtContent>
        <w:r>
          <w:rPr>
            <w:bCs/>
            <w:sz w:val="18"/>
            <w:szCs w:val="18"/>
          </w:rPr>
          <w:t xml:space="preserve">Whittenbury v Vocation Limited (in liquidation) [2021] FCA 829 </w:t>
        </w:r>
      </w:sdtContent>
    </w:sdt>
    <w:r>
      <w:rPr>
        <w:bCs/>
        <w:sz w:val="18"/>
        <w:szCs w:val="18"/>
      </w:rPr>
      <w:tab/>
    </w:r>
    <w:r w:rsidRPr="00EA7F6D">
      <w:rPr>
        <w:bCs/>
        <w:sz w:val="20"/>
      </w:rPr>
      <w:fldChar w:fldCharType="begin"/>
    </w:r>
    <w:r w:rsidRPr="00EA7F6D">
      <w:rPr>
        <w:bCs/>
        <w:sz w:val="20"/>
      </w:rPr>
      <w:instrText xml:space="preserve"> PAGE   \* MERGEFORMAT </w:instrText>
    </w:r>
    <w:r w:rsidRPr="00EA7F6D">
      <w:rPr>
        <w:bCs/>
        <w:sz w:val="20"/>
      </w:rPr>
      <w:fldChar w:fldCharType="separate"/>
    </w:r>
    <w:r w:rsidR="00DB7C9A">
      <w:rPr>
        <w:bCs/>
        <w:noProof/>
        <w:sz w:val="20"/>
      </w:rPr>
      <w:t>i</w:t>
    </w:r>
    <w:r w:rsidRPr="00EA7F6D">
      <w:rPr>
        <w:bCs/>
        <w:noProof/>
        <w:sz w:val="20"/>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082D4B" w14:textId="3A98F2B6" w:rsidR="00543A8D" w:rsidRPr="00C47B9D" w:rsidRDefault="00543A8D" w:rsidP="00B2435E">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67456" behindDoc="0" locked="0" layoutInCell="1" allowOverlap="1" wp14:anchorId="48A26909" wp14:editId="19A44BF9">
              <wp:simplePos x="0" y="0"/>
              <wp:positionH relativeFrom="column">
                <wp:posOffset>-28575</wp:posOffset>
              </wp:positionH>
              <wp:positionV relativeFrom="paragraph">
                <wp:posOffset>21590</wp:posOffset>
              </wp:positionV>
              <wp:extent cx="2943225"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3879BB24" id="Straight Connector 7"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2.25pt,1.7pt" to="22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" strokecolor="black [3213]"/>
          </w:pict>
        </mc:Fallback>
      </mc:AlternateContent>
    </w:r>
    <w:sdt>
      <w:sdtPr>
        <w:rPr>
          <w:bCs/>
          <w:sz w:val="18"/>
          <w:szCs w:val="18"/>
        </w:rPr>
        <w:tag w:val="MNC"/>
        <w:id w:val="1095746746"/>
        <w:placeholder>
          <w:docPart w:val="1DC59A100AED46B084ED483C69509645"/>
        </w:placeholder>
        <w:dataBinding w:prefixMappings="xmlns:ns0='http://schemas.globalmacros.com/FCA'" w:xpath="/ns0:root[1]/ns0:Name[1]" w:storeItemID="{687E7CCB-4AA5-44E7-B148-17BA2B6F57C0}"/>
        <w:text w:multiLine="1"/>
      </w:sdtPr>
      <w:sdtEndPr/>
      <w:sdtContent>
        <w:r>
          <w:rPr>
            <w:bCs/>
            <w:sz w:val="18"/>
            <w:szCs w:val="18"/>
          </w:rPr>
          <w:t xml:space="preserve">Whittenbury v Vocation Limited (in liquidation) [2021] FCA 829 </w:t>
        </w:r>
      </w:sdtContent>
    </w:sdt>
    <w:r>
      <w:rPr>
        <w:bCs/>
        <w:sz w:val="18"/>
        <w:szCs w:val="18"/>
      </w:rPr>
      <w:tab/>
    </w:r>
    <w:r w:rsidRPr="00EA7F6D">
      <w:rPr>
        <w:bCs/>
        <w:sz w:val="20"/>
      </w:rPr>
      <w:fldChar w:fldCharType="begin"/>
    </w:r>
    <w:r w:rsidRPr="00EA7F6D">
      <w:rPr>
        <w:bCs/>
        <w:sz w:val="20"/>
      </w:rPr>
      <w:instrText xml:space="preserve"> PAGE   \* MERGEFORMAT </w:instrText>
    </w:r>
    <w:r w:rsidRPr="00EA7F6D">
      <w:rPr>
        <w:bCs/>
        <w:sz w:val="20"/>
      </w:rPr>
      <w:fldChar w:fldCharType="separate"/>
    </w:r>
    <w:r w:rsidR="00DB7C9A">
      <w:rPr>
        <w:bCs/>
        <w:noProof/>
        <w:sz w:val="20"/>
      </w:rPr>
      <w:t>9</w:t>
    </w:r>
    <w:r w:rsidRPr="00EA7F6D">
      <w:rPr>
        <w:bCs/>
        <w:noProof/>
        <w:sz w:val="20"/>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E98886" w14:textId="6AC2377A" w:rsidR="00543A8D" w:rsidRPr="00C47B9D" w:rsidRDefault="00543A8D" w:rsidP="00B2435E">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65408" behindDoc="0" locked="0" layoutInCell="1" allowOverlap="1" wp14:anchorId="4F0350CB" wp14:editId="4D3F6492">
              <wp:simplePos x="0" y="0"/>
              <wp:positionH relativeFrom="column">
                <wp:posOffset>-28575</wp:posOffset>
              </wp:positionH>
              <wp:positionV relativeFrom="paragraph">
                <wp:posOffset>21590</wp:posOffset>
              </wp:positionV>
              <wp:extent cx="2943225"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44D4C7CD" id="Straight Connector 3"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2.25pt,1.7pt" to="22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" strokecolor="black [3213]"/>
          </w:pict>
        </mc:Fallback>
      </mc:AlternateContent>
    </w:r>
    <w:sdt>
      <w:sdtPr>
        <w:rPr>
          <w:bCs/>
          <w:sz w:val="18"/>
          <w:szCs w:val="18"/>
        </w:rPr>
        <w:tag w:val="MNC"/>
        <w:id w:val="-1532949365"/>
        <w:placeholder>
          <w:docPart w:val="30BE4A57817644A9A00FEC2FCFBCDD95"/>
        </w:placeholder>
        <w:dataBinding w:prefixMappings="xmlns:ns0='http://schemas.globalmacros.com/FCA'" w:xpath="/ns0:root[1]/ns0:Name[1]" w:storeItemID="{687E7CCB-4AA5-44E7-B148-17BA2B6F57C0}"/>
        <w:text w:multiLine="1"/>
      </w:sdtPr>
      <w:sdtEndPr/>
      <w:sdtContent>
        <w:r>
          <w:rPr>
            <w:bCs/>
            <w:sz w:val="18"/>
            <w:szCs w:val="18"/>
          </w:rPr>
          <w:t xml:space="preserve">Whittenbury v Vocation Limited (in liquidation) [2021] FCA 829 </w:t>
        </w:r>
      </w:sdtContent>
    </w:sdt>
    <w:r>
      <w:rPr>
        <w:bCs/>
        <w:sz w:val="18"/>
        <w:szCs w:val="18"/>
      </w:rPr>
      <w:tab/>
    </w:r>
    <w:r w:rsidRPr="00EA7F6D">
      <w:rPr>
        <w:bCs/>
        <w:sz w:val="20"/>
      </w:rPr>
      <w:fldChar w:fldCharType="begin"/>
    </w:r>
    <w:r w:rsidRPr="00EA7F6D">
      <w:rPr>
        <w:bCs/>
        <w:sz w:val="20"/>
      </w:rPr>
      <w:instrText xml:space="preserve"> PAGE   \* MERGEFORMAT </w:instrText>
    </w:r>
    <w:r w:rsidRPr="00EA7F6D">
      <w:rPr>
        <w:bCs/>
        <w:sz w:val="20"/>
      </w:rPr>
      <w:fldChar w:fldCharType="separate"/>
    </w:r>
    <w:r w:rsidR="00DB7C9A">
      <w:rPr>
        <w:bCs/>
        <w:noProof/>
        <w:sz w:val="20"/>
      </w:rPr>
      <w:t>1</w:t>
    </w:r>
    <w:r w:rsidRPr="00EA7F6D">
      <w:rPr>
        <w:bCs/>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AEBEB3" w14:textId="77777777" w:rsidR="00543A8D" w:rsidRDefault="00543A8D"/>
    <w:p w14:paraId="38D6A2AF" w14:textId="77777777" w:rsidR="00543A8D" w:rsidRDefault="00543A8D"/>
    <w:p w14:paraId="1D2BDC42" w14:textId="77777777" w:rsidR="00543A8D" w:rsidRDefault="00543A8D"/>
  </w:footnote>
  <w:footnote w:type="continuationSeparator" w:id="0">
    <w:p w14:paraId="3AB27E24" w14:textId="77777777" w:rsidR="00543A8D" w:rsidRDefault="00543A8D">
      <w:r>
        <w:continuationSeparator/>
      </w:r>
    </w:p>
    <w:p w14:paraId="6C9DF03C" w14:textId="77777777" w:rsidR="00543A8D" w:rsidRDefault="00543A8D"/>
    <w:p w14:paraId="021620BE" w14:textId="77777777" w:rsidR="00543A8D" w:rsidRDefault="00543A8D"/>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0C57D6" w14:textId="77777777" w:rsidR="00543A8D" w:rsidRDefault="00543A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6D48E2" w14:textId="77777777" w:rsidR="00543A8D" w:rsidRDefault="00543A8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015F32" w14:textId="77777777" w:rsidR="00543A8D" w:rsidRDefault="00543A8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66A43F" w14:textId="77777777" w:rsidR="00543A8D" w:rsidRDefault="00543A8D">
    <w:pPr>
      <w:tabs>
        <w:tab w:val="center" w:pos="4512"/>
      </w:tabs>
      <w:suppressAutoHyphens/>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C4B03B" w14:textId="77777777" w:rsidR="00543A8D" w:rsidRDefault="00543A8D">
    <w:pPr>
      <w:pStyle w:val="Header"/>
      <w:tabs>
        <w:tab w:val="clear" w:pos="4320"/>
        <w:tab w:val="clear" w:pos="8640"/>
      </w:tabs>
      <w:jc w:val="right"/>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0544AF" w14:textId="77777777" w:rsidR="00543A8D" w:rsidRDefault="00543A8D"/>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0BCA7E" w14:textId="77777777" w:rsidR="00543A8D" w:rsidRDefault="00543A8D">
    <w:pPr>
      <w:tabs>
        <w:tab w:val="center" w:pos="4512"/>
      </w:tabs>
      <w:suppressAutoHyphens/>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5F2386" w14:textId="77777777" w:rsidR="00543A8D" w:rsidRDefault="00543A8D" w:rsidP="00A436E8">
    <w:pPr>
      <w:pStyle w:val="Header"/>
      <w:tabs>
        <w:tab w:val="clear" w:pos="4320"/>
        <w:tab w:val="clear" w:pos="864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23ACBC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04AF16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63689C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B22946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8E2E98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726AA5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D947F0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C5AED4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5EC114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6DC146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4CB1E69"/>
    <w:multiLevelType w:val="hybridMultilevel"/>
    <w:tmpl w:val="AD644A0C"/>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1" w15:restartNumberingAfterBreak="0">
    <w:nsid w:val="059E2A2F"/>
    <w:multiLevelType w:val="multilevel"/>
    <w:tmpl w:val="F61AF490"/>
    <w:styleLink w:val="FCListNoalt"/>
    <w:lvl w:ilvl="0">
      <w:start w:val="1"/>
      <w:numFmt w:val="lowerLetter"/>
      <w:lvlRestart w:val="0"/>
      <w:pStyle w:val="ListNo1alt"/>
      <w:lvlText w:val="(%1)"/>
      <w:lvlJc w:val="left"/>
      <w:pPr>
        <w:tabs>
          <w:tab w:val="num" w:pos="720"/>
        </w:tabs>
        <w:ind w:left="720" w:hanging="720"/>
      </w:pPr>
      <w:rPr>
        <w:rFonts w:ascii="Times New Roman" w:hAnsi="Times New Roman" w:hint="default"/>
      </w:rPr>
    </w:lvl>
    <w:lvl w:ilvl="1">
      <w:start w:val="1"/>
      <w:numFmt w:val="lowerRoman"/>
      <w:pStyle w:val="ListNo2alt"/>
      <w:lvlText w:val="(%2)"/>
      <w:lvlJc w:val="left"/>
      <w:pPr>
        <w:tabs>
          <w:tab w:val="num" w:pos="1440"/>
        </w:tabs>
        <w:ind w:left="1440" w:hanging="720"/>
      </w:pPr>
      <w:rPr>
        <w:rFonts w:hint="default"/>
      </w:rPr>
    </w:lvl>
    <w:lvl w:ilvl="2">
      <w:start w:val="1"/>
      <w:numFmt w:val="upperLetter"/>
      <w:pStyle w:val="ListNo3alt"/>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2" w15:restartNumberingAfterBreak="0">
    <w:nsid w:val="0B9B7C7A"/>
    <w:multiLevelType w:val="hybridMultilevel"/>
    <w:tmpl w:val="0D8E828C"/>
    <w:lvl w:ilvl="0" w:tplc="E5462CDA">
      <w:start w:val="1"/>
      <w:numFmt w:val="bullet"/>
      <w:pStyle w:val="Quote2Bullet"/>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3" w15:restartNumberingAfterBreak="0">
    <w:nsid w:val="10A94D54"/>
    <w:multiLevelType w:val="hybridMultilevel"/>
    <w:tmpl w:val="CB52AB3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168F28D0"/>
    <w:multiLevelType w:val="multilevel"/>
    <w:tmpl w:val="93FA7D28"/>
    <w:lvl w:ilvl="0">
      <w:start w:val="1"/>
      <w:numFmt w:val="bullet"/>
      <w:pStyle w:val="FCBullets"/>
      <w:lvlText w:val=""/>
      <w:lvlJc w:val="left"/>
      <w:pPr>
        <w:tabs>
          <w:tab w:val="num" w:pos="720"/>
        </w:tabs>
        <w:ind w:left="720" w:hanging="720"/>
      </w:pPr>
      <w:rPr>
        <w:rFonts w:ascii="Symbol" w:hAnsi="Symbol"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5" w15:restartNumberingAfterBreak="0">
    <w:nsid w:val="1C1468D3"/>
    <w:multiLevelType w:val="multilevel"/>
    <w:tmpl w:val="0F0EC90E"/>
    <w:styleLink w:val="FCListNo"/>
    <w:lvl w:ilvl="0">
      <w:start w:val="1"/>
      <w:numFmt w:val="decimal"/>
      <w:lvlRestart w:val="0"/>
      <w:pStyle w:val="ListNo1"/>
      <w:lvlText w:val="(%1)"/>
      <w:lvlJc w:val="left"/>
      <w:pPr>
        <w:tabs>
          <w:tab w:val="num" w:pos="720"/>
        </w:tabs>
        <w:ind w:left="720" w:hanging="720"/>
      </w:pPr>
      <w:rPr>
        <w:rFonts w:ascii="Times New Roman" w:hAnsi="Times New Roman" w:hint="default"/>
      </w:rPr>
    </w:lvl>
    <w:lvl w:ilvl="1">
      <w:start w:val="1"/>
      <w:numFmt w:val="lowerLetter"/>
      <w:pStyle w:val="ListNo2"/>
      <w:lvlText w:val="(%2)"/>
      <w:lvlJc w:val="left"/>
      <w:pPr>
        <w:tabs>
          <w:tab w:val="num" w:pos="1440"/>
        </w:tabs>
        <w:ind w:left="1440" w:hanging="720"/>
      </w:pPr>
      <w:rPr>
        <w:rFonts w:hint="default"/>
      </w:rPr>
    </w:lvl>
    <w:lvl w:ilvl="2">
      <w:start w:val="1"/>
      <w:numFmt w:val="lowerRoman"/>
      <w:pStyle w:val="ListNo3"/>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6" w15:restartNumberingAfterBreak="0">
    <w:nsid w:val="29AE3DD1"/>
    <w:multiLevelType w:val="singleLevel"/>
    <w:tmpl w:val="5C92B9B0"/>
    <w:lvl w:ilvl="0">
      <w:start w:val="1"/>
      <w:numFmt w:val="decimal"/>
      <w:lvlRestart w:val="0"/>
      <w:pStyle w:val="ParaNumbering"/>
      <w:lvlText w:val="%1"/>
      <w:lvlJc w:val="left"/>
      <w:pPr>
        <w:tabs>
          <w:tab w:val="num" w:pos="720"/>
        </w:tabs>
        <w:ind w:left="0" w:hanging="720"/>
      </w:pPr>
      <w:rPr>
        <w:rFonts w:hint="default"/>
        <w:sz w:val="20"/>
      </w:rPr>
    </w:lvl>
  </w:abstractNum>
  <w:abstractNum w:abstractNumId="17" w15:restartNumberingAfterBreak="0">
    <w:nsid w:val="2AD4345C"/>
    <w:multiLevelType w:val="multilevel"/>
    <w:tmpl w:val="3670B1F6"/>
    <w:styleLink w:val="FCOrders"/>
    <w:lvl w:ilvl="0">
      <w:start w:val="1"/>
      <w:numFmt w:val="decimal"/>
      <w:pStyle w:val="Order1"/>
      <w:lvlText w:val="%1."/>
      <w:lvlJc w:val="left"/>
      <w:pPr>
        <w:tabs>
          <w:tab w:val="num" w:pos="720"/>
        </w:tabs>
        <w:ind w:left="720" w:hanging="720"/>
      </w:pPr>
      <w:rPr>
        <w:rFonts w:ascii="Times New Roman" w:hAnsi="Times New Roman" w:hint="default"/>
        <w:sz w:val="24"/>
      </w:rPr>
    </w:lvl>
    <w:lvl w:ilvl="1">
      <w:start w:val="1"/>
      <w:numFmt w:val="lowerLetter"/>
      <w:pStyle w:val="Order2"/>
      <w:lvlText w:val="(%2)"/>
      <w:lvlJc w:val="left"/>
      <w:pPr>
        <w:tabs>
          <w:tab w:val="num" w:pos="1440"/>
        </w:tabs>
        <w:ind w:left="1440" w:hanging="720"/>
      </w:pPr>
      <w:rPr>
        <w:rFonts w:hint="default"/>
      </w:rPr>
    </w:lvl>
    <w:lvl w:ilvl="2">
      <w:start w:val="1"/>
      <w:numFmt w:val="lowerRoman"/>
      <w:pStyle w:val="Order3"/>
      <w:lvlText w:val="(%3)"/>
      <w:lvlJc w:val="left"/>
      <w:pPr>
        <w:tabs>
          <w:tab w:val="num" w:pos="1440"/>
        </w:tabs>
        <w:ind w:left="2160" w:hanging="720"/>
      </w:pPr>
      <w:rPr>
        <w:rFonts w:hint="default"/>
      </w:rPr>
    </w:lvl>
    <w:lvl w:ilvl="3">
      <w:start w:val="1"/>
      <w:numFmt w:val="upperLetter"/>
      <w:pStyle w:val="Order4"/>
      <w:lvlText w:val="%4."/>
      <w:lvlJc w:val="left"/>
      <w:pPr>
        <w:tabs>
          <w:tab w:val="num" w:pos="2160"/>
        </w:tabs>
        <w:ind w:left="2880" w:hanging="720"/>
      </w:pPr>
      <w:rPr>
        <w:rFonts w:hint="default"/>
      </w:rPr>
    </w:lvl>
    <w:lvl w:ilvl="4">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18" w15:restartNumberingAfterBreak="0">
    <w:nsid w:val="2AF11FCB"/>
    <w:multiLevelType w:val="hybridMultilevel"/>
    <w:tmpl w:val="94A6534E"/>
    <w:lvl w:ilvl="0" w:tplc="31029F3C">
      <w:start w:val="1"/>
      <w:numFmt w:val="bullet"/>
      <w:pStyle w:val="Quote4Bullet"/>
      <w:lvlText w:val=""/>
      <w:lvlJc w:val="left"/>
      <w:pPr>
        <w:ind w:left="3600" w:hanging="360"/>
      </w:pPr>
      <w:rPr>
        <w:rFonts w:ascii="Symbol" w:hAnsi="Symbol" w:hint="default"/>
        <w:sz w:val="16"/>
      </w:rPr>
    </w:lvl>
    <w:lvl w:ilvl="1" w:tplc="0C090003" w:tentative="1">
      <w:start w:val="1"/>
      <w:numFmt w:val="bullet"/>
      <w:lvlText w:val="o"/>
      <w:lvlJc w:val="left"/>
      <w:pPr>
        <w:ind w:left="4320" w:hanging="360"/>
      </w:pPr>
      <w:rPr>
        <w:rFonts w:ascii="Courier New" w:hAnsi="Courier New" w:cs="Courier New" w:hint="default"/>
      </w:rPr>
    </w:lvl>
    <w:lvl w:ilvl="2" w:tplc="0C090005" w:tentative="1">
      <w:start w:val="1"/>
      <w:numFmt w:val="bullet"/>
      <w:lvlText w:val=""/>
      <w:lvlJc w:val="left"/>
      <w:pPr>
        <w:ind w:left="5040" w:hanging="360"/>
      </w:pPr>
      <w:rPr>
        <w:rFonts w:ascii="Wingdings" w:hAnsi="Wingdings" w:hint="default"/>
      </w:rPr>
    </w:lvl>
    <w:lvl w:ilvl="3" w:tplc="0C090001" w:tentative="1">
      <w:start w:val="1"/>
      <w:numFmt w:val="bullet"/>
      <w:lvlText w:val=""/>
      <w:lvlJc w:val="left"/>
      <w:pPr>
        <w:ind w:left="5760" w:hanging="360"/>
      </w:pPr>
      <w:rPr>
        <w:rFonts w:ascii="Symbol" w:hAnsi="Symbol" w:hint="default"/>
      </w:rPr>
    </w:lvl>
    <w:lvl w:ilvl="4" w:tplc="0C090003" w:tentative="1">
      <w:start w:val="1"/>
      <w:numFmt w:val="bullet"/>
      <w:lvlText w:val="o"/>
      <w:lvlJc w:val="left"/>
      <w:pPr>
        <w:ind w:left="6480" w:hanging="360"/>
      </w:pPr>
      <w:rPr>
        <w:rFonts w:ascii="Courier New" w:hAnsi="Courier New" w:cs="Courier New" w:hint="default"/>
      </w:rPr>
    </w:lvl>
    <w:lvl w:ilvl="5" w:tplc="0C090005" w:tentative="1">
      <w:start w:val="1"/>
      <w:numFmt w:val="bullet"/>
      <w:lvlText w:val=""/>
      <w:lvlJc w:val="left"/>
      <w:pPr>
        <w:ind w:left="7200" w:hanging="360"/>
      </w:pPr>
      <w:rPr>
        <w:rFonts w:ascii="Wingdings" w:hAnsi="Wingdings" w:hint="default"/>
      </w:rPr>
    </w:lvl>
    <w:lvl w:ilvl="6" w:tplc="0C090001" w:tentative="1">
      <w:start w:val="1"/>
      <w:numFmt w:val="bullet"/>
      <w:lvlText w:val=""/>
      <w:lvlJc w:val="left"/>
      <w:pPr>
        <w:ind w:left="7920" w:hanging="360"/>
      </w:pPr>
      <w:rPr>
        <w:rFonts w:ascii="Symbol" w:hAnsi="Symbol" w:hint="default"/>
      </w:rPr>
    </w:lvl>
    <w:lvl w:ilvl="7" w:tplc="0C090003" w:tentative="1">
      <w:start w:val="1"/>
      <w:numFmt w:val="bullet"/>
      <w:lvlText w:val="o"/>
      <w:lvlJc w:val="left"/>
      <w:pPr>
        <w:ind w:left="8640" w:hanging="360"/>
      </w:pPr>
      <w:rPr>
        <w:rFonts w:ascii="Courier New" w:hAnsi="Courier New" w:cs="Courier New" w:hint="default"/>
      </w:rPr>
    </w:lvl>
    <w:lvl w:ilvl="8" w:tplc="0C090005" w:tentative="1">
      <w:start w:val="1"/>
      <w:numFmt w:val="bullet"/>
      <w:lvlText w:val=""/>
      <w:lvlJc w:val="left"/>
      <w:pPr>
        <w:ind w:left="9360" w:hanging="360"/>
      </w:pPr>
      <w:rPr>
        <w:rFonts w:ascii="Wingdings" w:hAnsi="Wingdings" w:hint="default"/>
      </w:rPr>
    </w:lvl>
  </w:abstractNum>
  <w:abstractNum w:abstractNumId="19" w15:restartNumberingAfterBreak="0">
    <w:nsid w:val="3086465E"/>
    <w:multiLevelType w:val="hybridMultilevel"/>
    <w:tmpl w:val="9FB0ADC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33561E2E"/>
    <w:multiLevelType w:val="hybridMultilevel"/>
    <w:tmpl w:val="433821BE"/>
    <w:lvl w:ilvl="0" w:tplc="DE3AD0E2">
      <w:start w:val="1"/>
      <w:numFmt w:val="bullet"/>
      <w:pStyle w:val="Quote3Bullet"/>
      <w:lvlText w:val=""/>
      <w:lvlJc w:val="left"/>
      <w:pPr>
        <w:ind w:left="2880" w:hanging="360"/>
      </w:pPr>
      <w:rPr>
        <w:rFonts w:ascii="Wingdings" w:hAnsi="Wingdings" w:hint="default"/>
      </w:rPr>
    </w:lvl>
    <w:lvl w:ilvl="1" w:tplc="0C090003">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21" w15:restartNumberingAfterBreak="0">
    <w:nsid w:val="494817A7"/>
    <w:multiLevelType w:val="multilevel"/>
    <w:tmpl w:val="0F0EC90E"/>
    <w:numStyleLink w:val="FCListNo"/>
  </w:abstractNum>
  <w:abstractNum w:abstractNumId="22" w15:restartNumberingAfterBreak="0">
    <w:nsid w:val="49B30D2B"/>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49FF7416"/>
    <w:multiLevelType w:val="hybridMultilevel"/>
    <w:tmpl w:val="7326095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4A736C9D"/>
    <w:multiLevelType w:val="multilevel"/>
    <w:tmpl w:val="0C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5" w15:restartNumberingAfterBreak="0">
    <w:nsid w:val="587832EE"/>
    <w:multiLevelType w:val="hybridMultilevel"/>
    <w:tmpl w:val="F9D85FF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15:restartNumberingAfterBreak="0">
    <w:nsid w:val="668713D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7" w15:restartNumberingAfterBreak="0">
    <w:nsid w:val="6B9F00F1"/>
    <w:multiLevelType w:val="hybridMultilevel"/>
    <w:tmpl w:val="798C4C2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6F9B6398"/>
    <w:multiLevelType w:val="hybridMultilevel"/>
    <w:tmpl w:val="0E4CBD92"/>
    <w:lvl w:ilvl="0" w:tplc="907C4790">
      <w:start w:val="1"/>
      <w:numFmt w:val="bullet"/>
      <w:pStyle w:val="Quote1Bullet"/>
      <w:lvlText w:val=""/>
      <w:lvlJc w:val="left"/>
      <w:pPr>
        <w:ind w:left="1457" w:hanging="360"/>
      </w:pPr>
      <w:rPr>
        <w:rFonts w:ascii="Wingdings" w:hAnsi="Wingdings" w:hint="default"/>
      </w:rPr>
    </w:lvl>
    <w:lvl w:ilvl="1" w:tplc="0C090003" w:tentative="1">
      <w:start w:val="1"/>
      <w:numFmt w:val="bullet"/>
      <w:lvlText w:val="o"/>
      <w:lvlJc w:val="left"/>
      <w:pPr>
        <w:ind w:left="2177" w:hanging="360"/>
      </w:pPr>
      <w:rPr>
        <w:rFonts w:ascii="Courier New" w:hAnsi="Courier New" w:cs="Courier New" w:hint="default"/>
      </w:rPr>
    </w:lvl>
    <w:lvl w:ilvl="2" w:tplc="0C090005" w:tentative="1">
      <w:start w:val="1"/>
      <w:numFmt w:val="bullet"/>
      <w:lvlText w:val=""/>
      <w:lvlJc w:val="left"/>
      <w:pPr>
        <w:ind w:left="2897" w:hanging="360"/>
      </w:pPr>
      <w:rPr>
        <w:rFonts w:ascii="Wingdings" w:hAnsi="Wingdings" w:hint="default"/>
      </w:rPr>
    </w:lvl>
    <w:lvl w:ilvl="3" w:tplc="0C090001" w:tentative="1">
      <w:start w:val="1"/>
      <w:numFmt w:val="bullet"/>
      <w:lvlText w:val=""/>
      <w:lvlJc w:val="left"/>
      <w:pPr>
        <w:ind w:left="3617" w:hanging="360"/>
      </w:pPr>
      <w:rPr>
        <w:rFonts w:ascii="Symbol" w:hAnsi="Symbol" w:hint="default"/>
      </w:rPr>
    </w:lvl>
    <w:lvl w:ilvl="4" w:tplc="0C090003" w:tentative="1">
      <w:start w:val="1"/>
      <w:numFmt w:val="bullet"/>
      <w:lvlText w:val="o"/>
      <w:lvlJc w:val="left"/>
      <w:pPr>
        <w:ind w:left="4337" w:hanging="360"/>
      </w:pPr>
      <w:rPr>
        <w:rFonts w:ascii="Courier New" w:hAnsi="Courier New" w:cs="Courier New" w:hint="default"/>
      </w:rPr>
    </w:lvl>
    <w:lvl w:ilvl="5" w:tplc="0C090005" w:tentative="1">
      <w:start w:val="1"/>
      <w:numFmt w:val="bullet"/>
      <w:lvlText w:val=""/>
      <w:lvlJc w:val="left"/>
      <w:pPr>
        <w:ind w:left="5057" w:hanging="360"/>
      </w:pPr>
      <w:rPr>
        <w:rFonts w:ascii="Wingdings" w:hAnsi="Wingdings" w:hint="default"/>
      </w:rPr>
    </w:lvl>
    <w:lvl w:ilvl="6" w:tplc="0C090001" w:tentative="1">
      <w:start w:val="1"/>
      <w:numFmt w:val="bullet"/>
      <w:lvlText w:val=""/>
      <w:lvlJc w:val="left"/>
      <w:pPr>
        <w:ind w:left="5777" w:hanging="360"/>
      </w:pPr>
      <w:rPr>
        <w:rFonts w:ascii="Symbol" w:hAnsi="Symbol" w:hint="default"/>
      </w:rPr>
    </w:lvl>
    <w:lvl w:ilvl="7" w:tplc="0C090003" w:tentative="1">
      <w:start w:val="1"/>
      <w:numFmt w:val="bullet"/>
      <w:lvlText w:val="o"/>
      <w:lvlJc w:val="left"/>
      <w:pPr>
        <w:ind w:left="6497" w:hanging="360"/>
      </w:pPr>
      <w:rPr>
        <w:rFonts w:ascii="Courier New" w:hAnsi="Courier New" w:cs="Courier New" w:hint="default"/>
      </w:rPr>
    </w:lvl>
    <w:lvl w:ilvl="8" w:tplc="0C090005" w:tentative="1">
      <w:start w:val="1"/>
      <w:numFmt w:val="bullet"/>
      <w:lvlText w:val=""/>
      <w:lvlJc w:val="left"/>
      <w:pPr>
        <w:ind w:left="7217" w:hanging="360"/>
      </w:pPr>
      <w:rPr>
        <w:rFonts w:ascii="Wingdings" w:hAnsi="Wingdings" w:hint="default"/>
      </w:rPr>
    </w:lvl>
  </w:abstractNum>
  <w:abstractNum w:abstractNumId="29" w15:restartNumberingAfterBreak="0">
    <w:nsid w:val="78AF1372"/>
    <w:multiLevelType w:val="hybridMultilevel"/>
    <w:tmpl w:val="61AA4378"/>
    <w:lvl w:ilvl="0" w:tplc="0C09000F">
      <w:start w:val="1"/>
      <w:numFmt w:val="decimal"/>
      <w:lvlText w:val="%1."/>
      <w:lvlJc w:val="left"/>
      <w:pPr>
        <w:ind w:left="720" w:hanging="360"/>
      </w:pPr>
    </w:lvl>
    <w:lvl w:ilvl="1" w:tplc="85801118">
      <w:start w:val="1"/>
      <w:numFmt w:val="lowerLetter"/>
      <w:lvlText w:val="%2."/>
      <w:lvlJc w:val="left"/>
      <w:pPr>
        <w:ind w:left="1440" w:hanging="360"/>
      </w:pPr>
      <w:rPr>
        <w:b w:val="0"/>
        <w:i w:val="0"/>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7D0861FF"/>
    <w:multiLevelType w:val="multilevel"/>
    <w:tmpl w:val="1BC46E94"/>
    <w:lvl w:ilvl="0">
      <w:start w:val="1"/>
      <w:numFmt w:val="decimal"/>
      <w:lvlRestart w:val="0"/>
      <w:pStyle w:val="fcHeading1"/>
      <w:lvlText w:val="%1."/>
      <w:lvlJc w:val="left"/>
      <w:pPr>
        <w:tabs>
          <w:tab w:val="num" w:pos="1134"/>
        </w:tabs>
        <w:ind w:left="1134" w:hanging="1134"/>
      </w:pPr>
      <w:rPr>
        <w:rFonts w:hint="default"/>
      </w:rPr>
    </w:lvl>
    <w:lvl w:ilvl="1">
      <w:start w:val="1"/>
      <w:numFmt w:val="decimal"/>
      <w:pStyle w:val="fcHeading2"/>
      <w:lvlText w:val="%1.%2"/>
      <w:lvlJc w:val="left"/>
      <w:pPr>
        <w:tabs>
          <w:tab w:val="num" w:pos="1134"/>
        </w:tabs>
        <w:ind w:left="1134" w:hanging="1134"/>
      </w:pPr>
      <w:rPr>
        <w:rFonts w:hint="default"/>
      </w:rPr>
    </w:lvl>
    <w:lvl w:ilvl="2">
      <w:start w:val="1"/>
      <w:numFmt w:val="decimal"/>
      <w:pStyle w:val="fcHeading3"/>
      <w:lvlText w:val="%1.%2.%3"/>
      <w:lvlJc w:val="left"/>
      <w:pPr>
        <w:tabs>
          <w:tab w:val="num" w:pos="1134"/>
        </w:tabs>
        <w:ind w:left="1134" w:hanging="1134"/>
      </w:pPr>
      <w:rPr>
        <w:rFonts w:hint="default"/>
      </w:rPr>
    </w:lvl>
    <w:lvl w:ilvl="3">
      <w:start w:val="1"/>
      <w:numFmt w:val="decimal"/>
      <w:pStyle w:val="fcHeading4"/>
      <w:lvlText w:val="%1.%2.%3.%4"/>
      <w:lvlJc w:val="left"/>
      <w:pPr>
        <w:tabs>
          <w:tab w:val="num" w:pos="1134"/>
        </w:tabs>
        <w:ind w:left="1134" w:hanging="1134"/>
      </w:pPr>
      <w:rPr>
        <w:rFonts w:hint="default"/>
      </w:rPr>
    </w:lvl>
    <w:lvl w:ilvl="4">
      <w:start w:val="1"/>
      <w:numFmt w:val="decimal"/>
      <w:pStyle w:val="fcHeading5"/>
      <w:lvlText w:val="%1.%2.%3.%4.%5"/>
      <w:lvlJc w:val="left"/>
      <w:pPr>
        <w:tabs>
          <w:tab w:val="num" w:pos="1134"/>
        </w:tabs>
        <w:ind w:left="1134" w:hanging="113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num w:numId="1">
    <w:abstractNumId w:val="16"/>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6"/>
  </w:num>
  <w:num w:numId="14">
    <w:abstractNumId w:val="22"/>
  </w:num>
  <w:num w:numId="15">
    <w:abstractNumId w:val="24"/>
  </w:num>
  <w:num w:numId="16">
    <w:abstractNumId w:val="30"/>
  </w:num>
  <w:num w:numId="17">
    <w:abstractNumId w:val="15"/>
  </w:num>
  <w:num w:numId="18">
    <w:abstractNumId w:val="28"/>
  </w:num>
  <w:num w:numId="19">
    <w:abstractNumId w:val="12"/>
  </w:num>
  <w:num w:numId="20">
    <w:abstractNumId w:val="20"/>
  </w:num>
  <w:num w:numId="21">
    <w:abstractNumId w:val="17"/>
    <w:lvlOverride w:ilvl="1">
      <w:lvl w:ilvl="1">
        <w:start w:val="1"/>
        <w:numFmt w:val="lowerLetter"/>
        <w:pStyle w:val="Order2"/>
        <w:lvlText w:val="(%2)"/>
        <w:lvlJc w:val="left"/>
        <w:pPr>
          <w:tabs>
            <w:tab w:val="num" w:pos="1440"/>
          </w:tabs>
          <w:ind w:left="1440" w:hanging="720"/>
        </w:pPr>
        <w:rPr>
          <w:rFonts w:hint="default"/>
          <w:b w:val="0"/>
        </w:rPr>
      </w:lvl>
    </w:lvlOverride>
  </w:num>
  <w:num w:numId="22">
    <w:abstractNumId w:val="18"/>
  </w:num>
  <w:num w:numId="23">
    <w:abstractNumId w:val="21"/>
  </w:num>
  <w:num w:numId="24">
    <w:abstractNumId w:val="11"/>
  </w:num>
  <w:num w:numId="25">
    <w:abstractNumId w:val="11"/>
  </w:num>
  <w:num w:numId="26">
    <w:abstractNumId w:val="2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num>
  <w:num w:numId="28">
    <w:abstractNumId w:val="17"/>
  </w:num>
  <w:num w:numId="29">
    <w:abstractNumId w:val="25"/>
  </w:num>
  <w:num w:numId="30">
    <w:abstractNumId w:val="29"/>
  </w:num>
  <w:num w:numId="31">
    <w:abstractNumId w:val="19"/>
  </w:num>
  <w:num w:numId="32">
    <w:abstractNumId w:val="23"/>
  </w:num>
  <w:num w:numId="33">
    <w:abstractNumId w:val="13"/>
  </w:num>
  <w:num w:numId="34">
    <w:abstractNumId w:val="27"/>
  </w:num>
  <w:num w:numId="35">
    <w:abstractNumId w:val="2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1"/>
  </w:num>
  <w:num w:numId="41">
    <w:abstractNumId w:val="17"/>
    <w:lvlOverride w:ilvl="0">
      <w:startOverride w:val="1"/>
    </w:lvlOverride>
    <w:lvlOverride w:ilvl="1">
      <w:startOverride w:val="1"/>
    </w:lvlOverride>
    <w:lvlOverride w:ilvl="2">
      <w:startOverride w:val="1"/>
    </w:lvlOverride>
    <w:lvlOverride w:ilvl="3"/>
    <w:lvlOverride w:ilvl="4"/>
    <w:lvlOverride w:ilvl="5">
      <w:startOverride w:val="1"/>
    </w:lvlOverride>
    <w:lvlOverride w:ilvl="6">
      <w:startOverride w:val="1"/>
    </w:lvlOverride>
    <w:lvlOverride w:ilvl="7">
      <w:startOverride w:val="1"/>
    </w:lvlOverride>
    <w:lvlOverride w:ilvl="8">
      <w:startOverride w:val="1"/>
    </w:lvlOverride>
  </w:num>
  <w:num w:numId="42">
    <w:abstractNumId w:val="2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embedSystemFonts/>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activeWritingStyle w:appName="MSWord" w:lang="en-AU" w:vendorID="64" w:dllVersion="4096" w:nlCheck="1" w:checkStyle="0"/>
  <w:activeWritingStyle w:appName="MSWord" w:lang="en-US" w:vendorID="64" w:dllVersion="4096" w:nlCheck="1" w:checkStyle="0"/>
  <w:activeWritingStyle w:appName="MSWord" w:lang="en-AU" w:vendorID="64" w:dllVersion="131078" w:nlCheck="1" w:checkStyle="1"/>
  <w:activeWritingStyle w:appName="MSWord" w:lang="en-US" w:vendorID="64" w:dllVersion="131078" w:nlCheck="1" w:checkStyle="1"/>
  <w:activeWritingStyle w:appName="MSWord" w:lang="en-AU" w:vendorID="8" w:dllVersion="513" w:checkStyle="1"/>
  <w:proofState w:spelling="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32769"/>
  </w:hdrShapeDefaults>
  <w:footnotePr>
    <w:footnote w:id="-1"/>
    <w:footnote w:id="0"/>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PAndAnother" w:val="False"/>
    <w:docVar w:name="APPAndOthers" w:val="True"/>
    <w:docVar w:name="Applicant" w:val="Cheryl Whittenbury"/>
    <w:docVar w:name="CounselParties" w:val="Cross-Respondent"/>
    <w:docVar w:name="CounselType" w:val="Counsel for the "/>
    <w:docVar w:name="Court" w:val="Federal Court of Australia"/>
    <w:docVar w:name="Cross1AndAnother" w:val="True"/>
    <w:docVar w:name="Cross1AndOthers" w:val="False"/>
    <w:docVar w:name="Cross2AndAnother" w:val="False"/>
    <w:docVar w:name="Cross2AndOthers" w:val="True"/>
    <w:docVar w:name="Defenders" w:val="(and others named in the Schedule)"/>
    <w:docVar w:name="Division" w:val="General Division of the FCA"/>
    <w:docVar w:name="DocCreated" w:val="True"/>
    <w:docVar w:name="FileNumbers" w:val="VID 434 of 2015"/>
    <w:docVar w:name="grpRadioJudges" w:val="Justice"/>
    <w:docVar w:name="Initiators" w:val="(and another named in the Schedule)"/>
    <w:docVar w:name="Judgdate" w:val="##"/>
    <w:docVar w:name="Judge" w:val="Anastassiou"/>
    <w:docVar w:name="lstEntryList" w:val="-1"/>
    <w:docVar w:name="myEntryList" w:val="Counsel for the Applicant=Mr Attiwill QC and Mr W. A D Edwards|Solicitor for the Applicant=Maurice Blackburn and Slater &amp; Gordon|Counsel for the First Respondent=Ms S. Gory|Solicitor for the First Respondent=x|Counsel for the Second Respondent=Mr M. Garner|Solicitor for the Second Respondent=x|Counsel for the Third Respondent=Ms S. Lawrence|Solicitor for the Third Respondent=x|Counsel for the Fourth Respondent=Ms J. McLennan|Solicitor for the Fourth Respondent=x|Counsel for the Fifth Respondent=Mr A. Salgo|Solicitor for the Fifth Respondent=x"/>
    <w:docVar w:name="NSD" w:val="NSD "/>
    <w:docVar w:name="NumApps" w:val="1"/>
    <w:docVar w:name="NumApps_" w:val="0"/>
    <w:docVar w:name="NumCrossResps" w:val="0"/>
    <w:docVar w:name="NumDefs" w:val="5"/>
    <w:docVar w:name="NumOthers" w:val="0"/>
    <w:docVar w:name="OtherNum" w:val="0"/>
    <w:docVar w:name="Parties1" w:val="Applicant"/>
    <w:docVar w:name="Parties2" w:val="Respondent"/>
    <w:docVar w:name="Parties3" w:val="Cross-Claimant"/>
    <w:docVar w:name="Parties4" w:val="Cross-Respondent"/>
    <w:docVar w:name="Parties5" w:val="Intervener"/>
    <w:docVar w:name="Place" w:val="N/A FCA"/>
    <w:docVar w:name="PracticeArea" w:val="Commercial and Corporations"/>
    <w:docVar w:name="RadioJudge" w:val="False"/>
    <w:docVar w:name="RadioJustice" w:val="True"/>
    <w:docVar w:name="RadioJustices" w:val="False"/>
    <w:docVar w:name="RESAndAnother" w:val="False"/>
    <w:docVar w:name="RESAndOthers" w:val="True"/>
    <w:docVar w:name="Respondent" w:val="Vocation Limited (in liquidation)|Pricewaterhose Coopers (a firm) (ABN 52 780 433 757)|Mark Edward Hutchinson|Manvider Grewal|John Sydney Dawkins"/>
    <w:docVar w:name="ResState" w:val="Victoria"/>
    <w:docVar w:name="SubArea" w:val="Corporations and Corporate Insolvency (C &amp; C)"/>
  </w:docVars>
  <w:rsids>
    <w:rsidRoot w:val="00EB5E77"/>
    <w:rsid w:val="00000747"/>
    <w:rsid w:val="000115C5"/>
    <w:rsid w:val="00013AA8"/>
    <w:rsid w:val="0001469E"/>
    <w:rsid w:val="00015993"/>
    <w:rsid w:val="00021CCB"/>
    <w:rsid w:val="00022289"/>
    <w:rsid w:val="000222F5"/>
    <w:rsid w:val="00023BCD"/>
    <w:rsid w:val="00025DB5"/>
    <w:rsid w:val="00027398"/>
    <w:rsid w:val="0003201A"/>
    <w:rsid w:val="0003207A"/>
    <w:rsid w:val="00032F9F"/>
    <w:rsid w:val="00041C07"/>
    <w:rsid w:val="00045BB7"/>
    <w:rsid w:val="00055719"/>
    <w:rsid w:val="00055C30"/>
    <w:rsid w:val="0005641B"/>
    <w:rsid w:val="00057D8B"/>
    <w:rsid w:val="0006196A"/>
    <w:rsid w:val="000666B3"/>
    <w:rsid w:val="00075F65"/>
    <w:rsid w:val="00081497"/>
    <w:rsid w:val="00083D72"/>
    <w:rsid w:val="00085255"/>
    <w:rsid w:val="0009616B"/>
    <w:rsid w:val="00096F97"/>
    <w:rsid w:val="00097922"/>
    <w:rsid w:val="00097C13"/>
    <w:rsid w:val="000A2E76"/>
    <w:rsid w:val="000A4807"/>
    <w:rsid w:val="000A4BE4"/>
    <w:rsid w:val="000C023E"/>
    <w:rsid w:val="000C2335"/>
    <w:rsid w:val="000C5195"/>
    <w:rsid w:val="000C62EF"/>
    <w:rsid w:val="000C7B0F"/>
    <w:rsid w:val="000C7FA3"/>
    <w:rsid w:val="000D1F7A"/>
    <w:rsid w:val="000D2137"/>
    <w:rsid w:val="000D3331"/>
    <w:rsid w:val="000D3FD2"/>
    <w:rsid w:val="000D4B2E"/>
    <w:rsid w:val="000D61AC"/>
    <w:rsid w:val="000E1EDE"/>
    <w:rsid w:val="000E3FC8"/>
    <w:rsid w:val="000E7BAE"/>
    <w:rsid w:val="000F133D"/>
    <w:rsid w:val="0010536B"/>
    <w:rsid w:val="00110BC2"/>
    <w:rsid w:val="0011145C"/>
    <w:rsid w:val="001128BD"/>
    <w:rsid w:val="0011419D"/>
    <w:rsid w:val="00114B02"/>
    <w:rsid w:val="0011642A"/>
    <w:rsid w:val="00117C70"/>
    <w:rsid w:val="001226C0"/>
    <w:rsid w:val="001241DA"/>
    <w:rsid w:val="00126EC8"/>
    <w:rsid w:val="0012731C"/>
    <w:rsid w:val="00132054"/>
    <w:rsid w:val="00134964"/>
    <w:rsid w:val="001351B9"/>
    <w:rsid w:val="00135CC8"/>
    <w:rsid w:val="00145877"/>
    <w:rsid w:val="00151681"/>
    <w:rsid w:val="00154775"/>
    <w:rsid w:val="00155CD2"/>
    <w:rsid w:val="00166B4F"/>
    <w:rsid w:val="00171DC6"/>
    <w:rsid w:val="001727A4"/>
    <w:rsid w:val="0017376C"/>
    <w:rsid w:val="001738AB"/>
    <w:rsid w:val="001765E0"/>
    <w:rsid w:val="00177759"/>
    <w:rsid w:val="00180BB3"/>
    <w:rsid w:val="00184C77"/>
    <w:rsid w:val="00185E6B"/>
    <w:rsid w:val="00187BBC"/>
    <w:rsid w:val="001932F3"/>
    <w:rsid w:val="001A2B40"/>
    <w:rsid w:val="001A4309"/>
    <w:rsid w:val="001A46AE"/>
    <w:rsid w:val="001A6C52"/>
    <w:rsid w:val="001B1053"/>
    <w:rsid w:val="001B14AC"/>
    <w:rsid w:val="001B7940"/>
    <w:rsid w:val="001C171A"/>
    <w:rsid w:val="001C37CA"/>
    <w:rsid w:val="001C3DCE"/>
    <w:rsid w:val="001C4085"/>
    <w:rsid w:val="001D0B26"/>
    <w:rsid w:val="001D4303"/>
    <w:rsid w:val="001D6746"/>
    <w:rsid w:val="001E0705"/>
    <w:rsid w:val="001E0DE3"/>
    <w:rsid w:val="001E3B49"/>
    <w:rsid w:val="001E4A05"/>
    <w:rsid w:val="001E7388"/>
    <w:rsid w:val="001F13DD"/>
    <w:rsid w:val="001F2473"/>
    <w:rsid w:val="001F2DBC"/>
    <w:rsid w:val="001F637F"/>
    <w:rsid w:val="001F73E8"/>
    <w:rsid w:val="0020262C"/>
    <w:rsid w:val="002050A0"/>
    <w:rsid w:val="00206E03"/>
    <w:rsid w:val="00211A3E"/>
    <w:rsid w:val="00215BCA"/>
    <w:rsid w:val="0021675E"/>
    <w:rsid w:val="00217AC4"/>
    <w:rsid w:val="00220DCD"/>
    <w:rsid w:val="00221461"/>
    <w:rsid w:val="00224537"/>
    <w:rsid w:val="0022505A"/>
    <w:rsid w:val="00235956"/>
    <w:rsid w:val="0023608E"/>
    <w:rsid w:val="00243E5E"/>
    <w:rsid w:val="00247C9A"/>
    <w:rsid w:val="0025160C"/>
    <w:rsid w:val="0025355C"/>
    <w:rsid w:val="002535D0"/>
    <w:rsid w:val="002539B3"/>
    <w:rsid w:val="00256336"/>
    <w:rsid w:val="00257593"/>
    <w:rsid w:val="00257C3E"/>
    <w:rsid w:val="002602C2"/>
    <w:rsid w:val="00261DE9"/>
    <w:rsid w:val="00263BD0"/>
    <w:rsid w:val="002663E8"/>
    <w:rsid w:val="002666C9"/>
    <w:rsid w:val="00270136"/>
    <w:rsid w:val="00270FD7"/>
    <w:rsid w:val="00271932"/>
    <w:rsid w:val="00274F5B"/>
    <w:rsid w:val="00275513"/>
    <w:rsid w:val="00280836"/>
    <w:rsid w:val="00280E6C"/>
    <w:rsid w:val="00281ED9"/>
    <w:rsid w:val="00282E1A"/>
    <w:rsid w:val="002840F1"/>
    <w:rsid w:val="0029113B"/>
    <w:rsid w:val="002934C0"/>
    <w:rsid w:val="0029764C"/>
    <w:rsid w:val="002A1B50"/>
    <w:rsid w:val="002A4EC4"/>
    <w:rsid w:val="002A5D95"/>
    <w:rsid w:val="002B0E91"/>
    <w:rsid w:val="002B132C"/>
    <w:rsid w:val="002B3F23"/>
    <w:rsid w:val="002B4EB5"/>
    <w:rsid w:val="002B6779"/>
    <w:rsid w:val="002B71C0"/>
    <w:rsid w:val="002B7A34"/>
    <w:rsid w:val="002C31AD"/>
    <w:rsid w:val="002C546F"/>
    <w:rsid w:val="002C6769"/>
    <w:rsid w:val="002C7385"/>
    <w:rsid w:val="002D2DBB"/>
    <w:rsid w:val="002D37D8"/>
    <w:rsid w:val="002D54A6"/>
    <w:rsid w:val="002D7054"/>
    <w:rsid w:val="002E1C8E"/>
    <w:rsid w:val="002E2182"/>
    <w:rsid w:val="002E5BF9"/>
    <w:rsid w:val="002E6A7A"/>
    <w:rsid w:val="002F1E49"/>
    <w:rsid w:val="002F4E9C"/>
    <w:rsid w:val="002F5C60"/>
    <w:rsid w:val="00300549"/>
    <w:rsid w:val="00302F4E"/>
    <w:rsid w:val="00303675"/>
    <w:rsid w:val="00303B7B"/>
    <w:rsid w:val="00304F29"/>
    <w:rsid w:val="00305B25"/>
    <w:rsid w:val="0031096F"/>
    <w:rsid w:val="003116E9"/>
    <w:rsid w:val="0031256C"/>
    <w:rsid w:val="00314D6C"/>
    <w:rsid w:val="00316D2A"/>
    <w:rsid w:val="003215BB"/>
    <w:rsid w:val="00321918"/>
    <w:rsid w:val="00322A7C"/>
    <w:rsid w:val="00322EEC"/>
    <w:rsid w:val="00323061"/>
    <w:rsid w:val="00325CEB"/>
    <w:rsid w:val="00327EE5"/>
    <w:rsid w:val="0033770B"/>
    <w:rsid w:val="003401EE"/>
    <w:rsid w:val="003402D3"/>
    <w:rsid w:val="003415A0"/>
    <w:rsid w:val="00343ABC"/>
    <w:rsid w:val="003463FE"/>
    <w:rsid w:val="00347D41"/>
    <w:rsid w:val="00351CA2"/>
    <w:rsid w:val="003554B3"/>
    <w:rsid w:val="00356632"/>
    <w:rsid w:val="00357C7E"/>
    <w:rsid w:val="003653B6"/>
    <w:rsid w:val="00366427"/>
    <w:rsid w:val="00374CC4"/>
    <w:rsid w:val="003774B2"/>
    <w:rsid w:val="00380F2D"/>
    <w:rsid w:val="003845A9"/>
    <w:rsid w:val="003850C9"/>
    <w:rsid w:val="00390883"/>
    <w:rsid w:val="003922F8"/>
    <w:rsid w:val="00395B24"/>
    <w:rsid w:val="003A2D38"/>
    <w:rsid w:val="003A3366"/>
    <w:rsid w:val="003A7ECC"/>
    <w:rsid w:val="003B2C72"/>
    <w:rsid w:val="003B58B4"/>
    <w:rsid w:val="003C1333"/>
    <w:rsid w:val="003C20FF"/>
    <w:rsid w:val="003C3742"/>
    <w:rsid w:val="003C550A"/>
    <w:rsid w:val="003C6055"/>
    <w:rsid w:val="003C7241"/>
    <w:rsid w:val="003D1C22"/>
    <w:rsid w:val="003D2650"/>
    <w:rsid w:val="003D560C"/>
    <w:rsid w:val="003D5C00"/>
    <w:rsid w:val="003E2F18"/>
    <w:rsid w:val="003E3154"/>
    <w:rsid w:val="003E5107"/>
    <w:rsid w:val="003E5874"/>
    <w:rsid w:val="003E72D3"/>
    <w:rsid w:val="003F193E"/>
    <w:rsid w:val="003F242C"/>
    <w:rsid w:val="003F34F1"/>
    <w:rsid w:val="003F4D46"/>
    <w:rsid w:val="004008DE"/>
    <w:rsid w:val="00401928"/>
    <w:rsid w:val="004104B6"/>
    <w:rsid w:val="00411AE8"/>
    <w:rsid w:val="00412CA3"/>
    <w:rsid w:val="00413B74"/>
    <w:rsid w:val="004166E9"/>
    <w:rsid w:val="00432050"/>
    <w:rsid w:val="004342F3"/>
    <w:rsid w:val="00435C5F"/>
    <w:rsid w:val="00436155"/>
    <w:rsid w:val="00441E98"/>
    <w:rsid w:val="00450F3A"/>
    <w:rsid w:val="004532F7"/>
    <w:rsid w:val="00464D51"/>
    <w:rsid w:val="00472027"/>
    <w:rsid w:val="004757C7"/>
    <w:rsid w:val="004804CF"/>
    <w:rsid w:val="00483A92"/>
    <w:rsid w:val="00484962"/>
    <w:rsid w:val="00484F6D"/>
    <w:rsid w:val="00484FB7"/>
    <w:rsid w:val="0048504C"/>
    <w:rsid w:val="0048554D"/>
    <w:rsid w:val="0049338A"/>
    <w:rsid w:val="0049417F"/>
    <w:rsid w:val="00495E59"/>
    <w:rsid w:val="00496D41"/>
    <w:rsid w:val="004A11A5"/>
    <w:rsid w:val="004A6602"/>
    <w:rsid w:val="004B3EFA"/>
    <w:rsid w:val="004C22DE"/>
    <w:rsid w:val="004C2779"/>
    <w:rsid w:val="004C2A87"/>
    <w:rsid w:val="004C4D7B"/>
    <w:rsid w:val="004C4ED3"/>
    <w:rsid w:val="004C667B"/>
    <w:rsid w:val="004C7ECD"/>
    <w:rsid w:val="004D2460"/>
    <w:rsid w:val="004D2EA5"/>
    <w:rsid w:val="004D32A6"/>
    <w:rsid w:val="004D4A61"/>
    <w:rsid w:val="004D53E5"/>
    <w:rsid w:val="004D5942"/>
    <w:rsid w:val="004D5A74"/>
    <w:rsid w:val="004D5B9F"/>
    <w:rsid w:val="004E077E"/>
    <w:rsid w:val="004E6DC4"/>
    <w:rsid w:val="004E7984"/>
    <w:rsid w:val="004F21C1"/>
    <w:rsid w:val="004F22C7"/>
    <w:rsid w:val="00501A12"/>
    <w:rsid w:val="00502917"/>
    <w:rsid w:val="0050309C"/>
    <w:rsid w:val="0051327C"/>
    <w:rsid w:val="00513371"/>
    <w:rsid w:val="0051346D"/>
    <w:rsid w:val="00513EAE"/>
    <w:rsid w:val="0051434F"/>
    <w:rsid w:val="00516806"/>
    <w:rsid w:val="00520401"/>
    <w:rsid w:val="0052098C"/>
    <w:rsid w:val="00525A49"/>
    <w:rsid w:val="005262D1"/>
    <w:rsid w:val="00530876"/>
    <w:rsid w:val="00533703"/>
    <w:rsid w:val="00535613"/>
    <w:rsid w:val="005359EB"/>
    <w:rsid w:val="0054254A"/>
    <w:rsid w:val="00543A8D"/>
    <w:rsid w:val="0054500B"/>
    <w:rsid w:val="005466B5"/>
    <w:rsid w:val="00552CED"/>
    <w:rsid w:val="00554314"/>
    <w:rsid w:val="0055712E"/>
    <w:rsid w:val="00562829"/>
    <w:rsid w:val="005629B3"/>
    <w:rsid w:val="00562E4A"/>
    <w:rsid w:val="005645C7"/>
    <w:rsid w:val="005724F6"/>
    <w:rsid w:val="00573AC4"/>
    <w:rsid w:val="00574815"/>
    <w:rsid w:val="005801FC"/>
    <w:rsid w:val="00582D4E"/>
    <w:rsid w:val="00585BA9"/>
    <w:rsid w:val="00587359"/>
    <w:rsid w:val="00594EF3"/>
    <w:rsid w:val="00595016"/>
    <w:rsid w:val="00597AAE"/>
    <w:rsid w:val="005A222C"/>
    <w:rsid w:val="005A4DF8"/>
    <w:rsid w:val="005A78C8"/>
    <w:rsid w:val="005B1426"/>
    <w:rsid w:val="005B429E"/>
    <w:rsid w:val="005B52C2"/>
    <w:rsid w:val="005C08BF"/>
    <w:rsid w:val="005C0A8E"/>
    <w:rsid w:val="005C1767"/>
    <w:rsid w:val="005C185C"/>
    <w:rsid w:val="005C42EF"/>
    <w:rsid w:val="005C4CC0"/>
    <w:rsid w:val="005D6DF3"/>
    <w:rsid w:val="005E02F5"/>
    <w:rsid w:val="005E0510"/>
    <w:rsid w:val="005E176E"/>
    <w:rsid w:val="005E218E"/>
    <w:rsid w:val="005E35A0"/>
    <w:rsid w:val="005E6E08"/>
    <w:rsid w:val="005F0D1B"/>
    <w:rsid w:val="005F1865"/>
    <w:rsid w:val="005F5250"/>
    <w:rsid w:val="006007BD"/>
    <w:rsid w:val="006013C8"/>
    <w:rsid w:val="0060270D"/>
    <w:rsid w:val="00604611"/>
    <w:rsid w:val="00611586"/>
    <w:rsid w:val="00612D26"/>
    <w:rsid w:val="006147CB"/>
    <w:rsid w:val="00615855"/>
    <w:rsid w:val="00615A84"/>
    <w:rsid w:val="00617A54"/>
    <w:rsid w:val="00620DA8"/>
    <w:rsid w:val="00621887"/>
    <w:rsid w:val="00624520"/>
    <w:rsid w:val="006271F5"/>
    <w:rsid w:val="00632300"/>
    <w:rsid w:val="00632BB7"/>
    <w:rsid w:val="0063395D"/>
    <w:rsid w:val="00635B36"/>
    <w:rsid w:val="00636871"/>
    <w:rsid w:val="00640EE1"/>
    <w:rsid w:val="00640F4E"/>
    <w:rsid w:val="006421E0"/>
    <w:rsid w:val="00643DE0"/>
    <w:rsid w:val="0064437D"/>
    <w:rsid w:val="00644E85"/>
    <w:rsid w:val="00652C52"/>
    <w:rsid w:val="00653112"/>
    <w:rsid w:val="0066063F"/>
    <w:rsid w:val="00662BB0"/>
    <w:rsid w:val="00663878"/>
    <w:rsid w:val="00667773"/>
    <w:rsid w:val="00670743"/>
    <w:rsid w:val="00670C8B"/>
    <w:rsid w:val="00670E8F"/>
    <w:rsid w:val="00680A85"/>
    <w:rsid w:val="00681ADF"/>
    <w:rsid w:val="00684920"/>
    <w:rsid w:val="00690EE2"/>
    <w:rsid w:val="00693854"/>
    <w:rsid w:val="00694BEB"/>
    <w:rsid w:val="00696425"/>
    <w:rsid w:val="006A003B"/>
    <w:rsid w:val="006A0E20"/>
    <w:rsid w:val="006A24E3"/>
    <w:rsid w:val="006A5695"/>
    <w:rsid w:val="006B0439"/>
    <w:rsid w:val="006B3904"/>
    <w:rsid w:val="006B5B7D"/>
    <w:rsid w:val="006C592E"/>
    <w:rsid w:val="006C5B46"/>
    <w:rsid w:val="006C6381"/>
    <w:rsid w:val="006C6E39"/>
    <w:rsid w:val="006D0ECF"/>
    <w:rsid w:val="006D3D5B"/>
    <w:rsid w:val="006D4C92"/>
    <w:rsid w:val="006D4EB6"/>
    <w:rsid w:val="006E35BF"/>
    <w:rsid w:val="006E51F6"/>
    <w:rsid w:val="006E7850"/>
    <w:rsid w:val="006F46D6"/>
    <w:rsid w:val="007028D9"/>
    <w:rsid w:val="00702B7A"/>
    <w:rsid w:val="00702BAB"/>
    <w:rsid w:val="007062BF"/>
    <w:rsid w:val="007066BC"/>
    <w:rsid w:val="00707218"/>
    <w:rsid w:val="00710D04"/>
    <w:rsid w:val="00712B1D"/>
    <w:rsid w:val="00715751"/>
    <w:rsid w:val="00716934"/>
    <w:rsid w:val="007171BA"/>
    <w:rsid w:val="00717616"/>
    <w:rsid w:val="007264AD"/>
    <w:rsid w:val="007325D9"/>
    <w:rsid w:val="0073432A"/>
    <w:rsid w:val="0073583B"/>
    <w:rsid w:val="007360CA"/>
    <w:rsid w:val="00737605"/>
    <w:rsid w:val="00741F0A"/>
    <w:rsid w:val="00744215"/>
    <w:rsid w:val="007462B5"/>
    <w:rsid w:val="0074667B"/>
    <w:rsid w:val="007467DD"/>
    <w:rsid w:val="007470BD"/>
    <w:rsid w:val="00751DE3"/>
    <w:rsid w:val="00760EC0"/>
    <w:rsid w:val="007666E1"/>
    <w:rsid w:val="007711BD"/>
    <w:rsid w:val="0078003A"/>
    <w:rsid w:val="00780771"/>
    <w:rsid w:val="007929CF"/>
    <w:rsid w:val="007957EB"/>
    <w:rsid w:val="00796B2C"/>
    <w:rsid w:val="007A49E7"/>
    <w:rsid w:val="007A6C6D"/>
    <w:rsid w:val="007A6F28"/>
    <w:rsid w:val="007B03C6"/>
    <w:rsid w:val="007B0DB1"/>
    <w:rsid w:val="007B5673"/>
    <w:rsid w:val="007B7238"/>
    <w:rsid w:val="007B76FF"/>
    <w:rsid w:val="007C11CD"/>
    <w:rsid w:val="007C3BF6"/>
    <w:rsid w:val="007C67B3"/>
    <w:rsid w:val="007C7219"/>
    <w:rsid w:val="007D043C"/>
    <w:rsid w:val="007D0FD2"/>
    <w:rsid w:val="007D2EF8"/>
    <w:rsid w:val="007D561F"/>
    <w:rsid w:val="007D7FD2"/>
    <w:rsid w:val="007E0EBF"/>
    <w:rsid w:val="007E13D9"/>
    <w:rsid w:val="007E2AEC"/>
    <w:rsid w:val="007E41BE"/>
    <w:rsid w:val="007E4DB6"/>
    <w:rsid w:val="007E6468"/>
    <w:rsid w:val="007E6733"/>
    <w:rsid w:val="007E7CD4"/>
    <w:rsid w:val="007F12AC"/>
    <w:rsid w:val="007F4501"/>
    <w:rsid w:val="007F60DF"/>
    <w:rsid w:val="007F6A66"/>
    <w:rsid w:val="00801800"/>
    <w:rsid w:val="00801861"/>
    <w:rsid w:val="00801B5B"/>
    <w:rsid w:val="00805476"/>
    <w:rsid w:val="008056E6"/>
    <w:rsid w:val="008056F7"/>
    <w:rsid w:val="00805EB8"/>
    <w:rsid w:val="00806E3D"/>
    <w:rsid w:val="008161DF"/>
    <w:rsid w:val="008216E7"/>
    <w:rsid w:val="00825BE6"/>
    <w:rsid w:val="00826CB7"/>
    <w:rsid w:val="008276B4"/>
    <w:rsid w:val="00831927"/>
    <w:rsid w:val="00834732"/>
    <w:rsid w:val="00837288"/>
    <w:rsid w:val="00841BD3"/>
    <w:rsid w:val="0084273D"/>
    <w:rsid w:val="00844E3F"/>
    <w:rsid w:val="00845A83"/>
    <w:rsid w:val="00846BB9"/>
    <w:rsid w:val="00853AE1"/>
    <w:rsid w:val="008649D5"/>
    <w:rsid w:val="008712BB"/>
    <w:rsid w:val="008739C1"/>
    <w:rsid w:val="008750F1"/>
    <w:rsid w:val="0087651F"/>
    <w:rsid w:val="008830E7"/>
    <w:rsid w:val="00890EDE"/>
    <w:rsid w:val="00892B38"/>
    <w:rsid w:val="008932F8"/>
    <w:rsid w:val="008A1741"/>
    <w:rsid w:val="008A1869"/>
    <w:rsid w:val="008A2484"/>
    <w:rsid w:val="008A2D1B"/>
    <w:rsid w:val="008A52F3"/>
    <w:rsid w:val="008C26D9"/>
    <w:rsid w:val="008C4E4D"/>
    <w:rsid w:val="008C5EBD"/>
    <w:rsid w:val="008C6D50"/>
    <w:rsid w:val="008C7167"/>
    <w:rsid w:val="008C7503"/>
    <w:rsid w:val="008D1617"/>
    <w:rsid w:val="008D309F"/>
    <w:rsid w:val="008D330F"/>
    <w:rsid w:val="008D48C1"/>
    <w:rsid w:val="008E6315"/>
    <w:rsid w:val="008F07FC"/>
    <w:rsid w:val="008F11E0"/>
    <w:rsid w:val="008F3EA7"/>
    <w:rsid w:val="008F5075"/>
    <w:rsid w:val="008F78BC"/>
    <w:rsid w:val="008F7B63"/>
    <w:rsid w:val="008F7D6A"/>
    <w:rsid w:val="0090060D"/>
    <w:rsid w:val="00901C86"/>
    <w:rsid w:val="00903603"/>
    <w:rsid w:val="0090433F"/>
    <w:rsid w:val="009054CB"/>
    <w:rsid w:val="00911F8D"/>
    <w:rsid w:val="00912F94"/>
    <w:rsid w:val="009159FD"/>
    <w:rsid w:val="00916C53"/>
    <w:rsid w:val="009171BC"/>
    <w:rsid w:val="0092497E"/>
    <w:rsid w:val="0092590B"/>
    <w:rsid w:val="00925BF3"/>
    <w:rsid w:val="00925E60"/>
    <w:rsid w:val="009264B3"/>
    <w:rsid w:val="00931503"/>
    <w:rsid w:val="009365E0"/>
    <w:rsid w:val="00941EAA"/>
    <w:rsid w:val="00942BA2"/>
    <w:rsid w:val="009432B7"/>
    <w:rsid w:val="00944C86"/>
    <w:rsid w:val="009467E3"/>
    <w:rsid w:val="009470BE"/>
    <w:rsid w:val="00947C02"/>
    <w:rsid w:val="00950BE6"/>
    <w:rsid w:val="00954E33"/>
    <w:rsid w:val="00957DE8"/>
    <w:rsid w:val="00960ECB"/>
    <w:rsid w:val="009615D6"/>
    <w:rsid w:val="00967350"/>
    <w:rsid w:val="00967855"/>
    <w:rsid w:val="00974709"/>
    <w:rsid w:val="009768D3"/>
    <w:rsid w:val="00980736"/>
    <w:rsid w:val="00981A39"/>
    <w:rsid w:val="00982D56"/>
    <w:rsid w:val="00983DBF"/>
    <w:rsid w:val="00984B82"/>
    <w:rsid w:val="00985B40"/>
    <w:rsid w:val="00987097"/>
    <w:rsid w:val="00991123"/>
    <w:rsid w:val="00991CAB"/>
    <w:rsid w:val="00991CF3"/>
    <w:rsid w:val="009A1448"/>
    <w:rsid w:val="009A3921"/>
    <w:rsid w:val="009A3A9C"/>
    <w:rsid w:val="009A3E43"/>
    <w:rsid w:val="009A4D75"/>
    <w:rsid w:val="009A6148"/>
    <w:rsid w:val="009B046C"/>
    <w:rsid w:val="009B13FA"/>
    <w:rsid w:val="009B1E2D"/>
    <w:rsid w:val="009B4BAD"/>
    <w:rsid w:val="009B7028"/>
    <w:rsid w:val="009C59FB"/>
    <w:rsid w:val="009C6F3B"/>
    <w:rsid w:val="009D1467"/>
    <w:rsid w:val="009D592D"/>
    <w:rsid w:val="009E4FA6"/>
    <w:rsid w:val="009E7D93"/>
    <w:rsid w:val="009F3C34"/>
    <w:rsid w:val="009F462C"/>
    <w:rsid w:val="009F5C33"/>
    <w:rsid w:val="00A026F0"/>
    <w:rsid w:val="00A0316F"/>
    <w:rsid w:val="00A03EAC"/>
    <w:rsid w:val="00A04DBB"/>
    <w:rsid w:val="00A05625"/>
    <w:rsid w:val="00A07EA0"/>
    <w:rsid w:val="00A11CA6"/>
    <w:rsid w:val="00A164CF"/>
    <w:rsid w:val="00A20C49"/>
    <w:rsid w:val="00A22932"/>
    <w:rsid w:val="00A269CA"/>
    <w:rsid w:val="00A3341F"/>
    <w:rsid w:val="00A336EE"/>
    <w:rsid w:val="00A33F46"/>
    <w:rsid w:val="00A3427E"/>
    <w:rsid w:val="00A359AC"/>
    <w:rsid w:val="00A40F83"/>
    <w:rsid w:val="00A410FB"/>
    <w:rsid w:val="00A41413"/>
    <w:rsid w:val="00A431E6"/>
    <w:rsid w:val="00A4363D"/>
    <w:rsid w:val="00A436E8"/>
    <w:rsid w:val="00A43FF9"/>
    <w:rsid w:val="00A45FB1"/>
    <w:rsid w:val="00A466E5"/>
    <w:rsid w:val="00A46C32"/>
    <w:rsid w:val="00A46CCC"/>
    <w:rsid w:val="00A476D3"/>
    <w:rsid w:val="00A47996"/>
    <w:rsid w:val="00A51CFE"/>
    <w:rsid w:val="00A5204D"/>
    <w:rsid w:val="00A54FEB"/>
    <w:rsid w:val="00A61605"/>
    <w:rsid w:val="00A65F97"/>
    <w:rsid w:val="00A73250"/>
    <w:rsid w:val="00A76C13"/>
    <w:rsid w:val="00A81B4D"/>
    <w:rsid w:val="00A84FD0"/>
    <w:rsid w:val="00A85492"/>
    <w:rsid w:val="00A92E79"/>
    <w:rsid w:val="00A950B6"/>
    <w:rsid w:val="00A95D45"/>
    <w:rsid w:val="00AB41C1"/>
    <w:rsid w:val="00AB4CF2"/>
    <w:rsid w:val="00AB6CCA"/>
    <w:rsid w:val="00AC223F"/>
    <w:rsid w:val="00AC2755"/>
    <w:rsid w:val="00AC33B1"/>
    <w:rsid w:val="00AC7DAC"/>
    <w:rsid w:val="00AD12A8"/>
    <w:rsid w:val="00AD4A90"/>
    <w:rsid w:val="00AD5B56"/>
    <w:rsid w:val="00AE023F"/>
    <w:rsid w:val="00AF297C"/>
    <w:rsid w:val="00AF3577"/>
    <w:rsid w:val="00AF35F9"/>
    <w:rsid w:val="00B03BD2"/>
    <w:rsid w:val="00B0424C"/>
    <w:rsid w:val="00B05665"/>
    <w:rsid w:val="00B05C7D"/>
    <w:rsid w:val="00B10078"/>
    <w:rsid w:val="00B15D57"/>
    <w:rsid w:val="00B16347"/>
    <w:rsid w:val="00B17D6E"/>
    <w:rsid w:val="00B2435E"/>
    <w:rsid w:val="00B26A29"/>
    <w:rsid w:val="00B346C3"/>
    <w:rsid w:val="00B4005C"/>
    <w:rsid w:val="00B4227E"/>
    <w:rsid w:val="00B435C2"/>
    <w:rsid w:val="00B4471C"/>
    <w:rsid w:val="00B451A6"/>
    <w:rsid w:val="00B5085A"/>
    <w:rsid w:val="00B527E4"/>
    <w:rsid w:val="00B55E7B"/>
    <w:rsid w:val="00B56D6E"/>
    <w:rsid w:val="00B60ADF"/>
    <w:rsid w:val="00B64347"/>
    <w:rsid w:val="00B65DC6"/>
    <w:rsid w:val="00B67AC2"/>
    <w:rsid w:val="00B722DE"/>
    <w:rsid w:val="00B751E3"/>
    <w:rsid w:val="00B75BA6"/>
    <w:rsid w:val="00B76C44"/>
    <w:rsid w:val="00B8184A"/>
    <w:rsid w:val="00B82283"/>
    <w:rsid w:val="00B828D8"/>
    <w:rsid w:val="00B83F87"/>
    <w:rsid w:val="00B87CDC"/>
    <w:rsid w:val="00B910C1"/>
    <w:rsid w:val="00BA1E04"/>
    <w:rsid w:val="00BA2CA4"/>
    <w:rsid w:val="00BA2EFA"/>
    <w:rsid w:val="00BA3DBC"/>
    <w:rsid w:val="00BA707A"/>
    <w:rsid w:val="00BB1AFB"/>
    <w:rsid w:val="00BB27AE"/>
    <w:rsid w:val="00BB2DA2"/>
    <w:rsid w:val="00BB56DC"/>
    <w:rsid w:val="00BD329D"/>
    <w:rsid w:val="00BD550B"/>
    <w:rsid w:val="00BD5545"/>
    <w:rsid w:val="00BE0CC1"/>
    <w:rsid w:val="00BE183D"/>
    <w:rsid w:val="00BE5E25"/>
    <w:rsid w:val="00BF5D7A"/>
    <w:rsid w:val="00C01C2E"/>
    <w:rsid w:val="00C02D33"/>
    <w:rsid w:val="00C04B53"/>
    <w:rsid w:val="00C057F3"/>
    <w:rsid w:val="00C1232C"/>
    <w:rsid w:val="00C1492F"/>
    <w:rsid w:val="00C26C78"/>
    <w:rsid w:val="00C27C6B"/>
    <w:rsid w:val="00C30EC0"/>
    <w:rsid w:val="00C31862"/>
    <w:rsid w:val="00C3594D"/>
    <w:rsid w:val="00C36442"/>
    <w:rsid w:val="00C400CE"/>
    <w:rsid w:val="00C410FD"/>
    <w:rsid w:val="00C44B55"/>
    <w:rsid w:val="00C457DE"/>
    <w:rsid w:val="00C47DD3"/>
    <w:rsid w:val="00C532B9"/>
    <w:rsid w:val="00C53562"/>
    <w:rsid w:val="00C539FB"/>
    <w:rsid w:val="00C66E57"/>
    <w:rsid w:val="00C74150"/>
    <w:rsid w:val="00C75594"/>
    <w:rsid w:val="00C76826"/>
    <w:rsid w:val="00C85982"/>
    <w:rsid w:val="00CA0466"/>
    <w:rsid w:val="00CA2133"/>
    <w:rsid w:val="00CA246D"/>
    <w:rsid w:val="00CA2D43"/>
    <w:rsid w:val="00CA50D9"/>
    <w:rsid w:val="00CA771C"/>
    <w:rsid w:val="00CB0942"/>
    <w:rsid w:val="00CB2D24"/>
    <w:rsid w:val="00CB3054"/>
    <w:rsid w:val="00CB5636"/>
    <w:rsid w:val="00CC02F5"/>
    <w:rsid w:val="00CC3EE5"/>
    <w:rsid w:val="00CC5331"/>
    <w:rsid w:val="00CC539D"/>
    <w:rsid w:val="00CC650E"/>
    <w:rsid w:val="00CE425C"/>
    <w:rsid w:val="00CE58AC"/>
    <w:rsid w:val="00CF069C"/>
    <w:rsid w:val="00CF44F4"/>
    <w:rsid w:val="00CF5A80"/>
    <w:rsid w:val="00D045EE"/>
    <w:rsid w:val="00D05091"/>
    <w:rsid w:val="00D10CA6"/>
    <w:rsid w:val="00D10F21"/>
    <w:rsid w:val="00D134CF"/>
    <w:rsid w:val="00D1573B"/>
    <w:rsid w:val="00D159D2"/>
    <w:rsid w:val="00D24806"/>
    <w:rsid w:val="00D26C98"/>
    <w:rsid w:val="00D34040"/>
    <w:rsid w:val="00D34E69"/>
    <w:rsid w:val="00D36C78"/>
    <w:rsid w:val="00D375EE"/>
    <w:rsid w:val="00D40747"/>
    <w:rsid w:val="00D44E8D"/>
    <w:rsid w:val="00D46484"/>
    <w:rsid w:val="00D5004A"/>
    <w:rsid w:val="00D50558"/>
    <w:rsid w:val="00D55AE8"/>
    <w:rsid w:val="00D56056"/>
    <w:rsid w:val="00D60596"/>
    <w:rsid w:val="00D6085F"/>
    <w:rsid w:val="00D62699"/>
    <w:rsid w:val="00D74D16"/>
    <w:rsid w:val="00D778E9"/>
    <w:rsid w:val="00D812BF"/>
    <w:rsid w:val="00D82620"/>
    <w:rsid w:val="00D85707"/>
    <w:rsid w:val="00D934BE"/>
    <w:rsid w:val="00D94302"/>
    <w:rsid w:val="00D9725F"/>
    <w:rsid w:val="00DA01B1"/>
    <w:rsid w:val="00DA0373"/>
    <w:rsid w:val="00DA11A2"/>
    <w:rsid w:val="00DA14ED"/>
    <w:rsid w:val="00DA26D6"/>
    <w:rsid w:val="00DB2EF1"/>
    <w:rsid w:val="00DB3DE1"/>
    <w:rsid w:val="00DB5DA0"/>
    <w:rsid w:val="00DB716C"/>
    <w:rsid w:val="00DB7C9A"/>
    <w:rsid w:val="00DB7E4A"/>
    <w:rsid w:val="00DC5C85"/>
    <w:rsid w:val="00DC65E3"/>
    <w:rsid w:val="00DC7C5D"/>
    <w:rsid w:val="00DD3ACA"/>
    <w:rsid w:val="00DD4236"/>
    <w:rsid w:val="00DD44F1"/>
    <w:rsid w:val="00DD5EB0"/>
    <w:rsid w:val="00DD6957"/>
    <w:rsid w:val="00DD6AC8"/>
    <w:rsid w:val="00DD6E7A"/>
    <w:rsid w:val="00DE24F7"/>
    <w:rsid w:val="00DE3067"/>
    <w:rsid w:val="00DE5B5A"/>
    <w:rsid w:val="00DF3EEE"/>
    <w:rsid w:val="00DF75E1"/>
    <w:rsid w:val="00E027BC"/>
    <w:rsid w:val="00E10F0D"/>
    <w:rsid w:val="00E14EA5"/>
    <w:rsid w:val="00E15085"/>
    <w:rsid w:val="00E159EE"/>
    <w:rsid w:val="00E2070E"/>
    <w:rsid w:val="00E21133"/>
    <w:rsid w:val="00E22322"/>
    <w:rsid w:val="00E2327E"/>
    <w:rsid w:val="00E266EF"/>
    <w:rsid w:val="00E37DEA"/>
    <w:rsid w:val="00E41E78"/>
    <w:rsid w:val="00E428F9"/>
    <w:rsid w:val="00E47428"/>
    <w:rsid w:val="00E56C8E"/>
    <w:rsid w:val="00E5716B"/>
    <w:rsid w:val="00E57F1F"/>
    <w:rsid w:val="00E609FB"/>
    <w:rsid w:val="00E61477"/>
    <w:rsid w:val="00E66B9F"/>
    <w:rsid w:val="00E70A6A"/>
    <w:rsid w:val="00E710D6"/>
    <w:rsid w:val="00E73DA4"/>
    <w:rsid w:val="00E76E45"/>
    <w:rsid w:val="00E77712"/>
    <w:rsid w:val="00E777C9"/>
    <w:rsid w:val="00E81DA6"/>
    <w:rsid w:val="00E84212"/>
    <w:rsid w:val="00E9086C"/>
    <w:rsid w:val="00E90AAA"/>
    <w:rsid w:val="00E91A0F"/>
    <w:rsid w:val="00E94A71"/>
    <w:rsid w:val="00E94CBF"/>
    <w:rsid w:val="00EA03CE"/>
    <w:rsid w:val="00EA08D7"/>
    <w:rsid w:val="00EA2307"/>
    <w:rsid w:val="00EA23E5"/>
    <w:rsid w:val="00EA4E2E"/>
    <w:rsid w:val="00EB2417"/>
    <w:rsid w:val="00EB278B"/>
    <w:rsid w:val="00EB2CCB"/>
    <w:rsid w:val="00EB5E77"/>
    <w:rsid w:val="00EB7A25"/>
    <w:rsid w:val="00EC0161"/>
    <w:rsid w:val="00EC0F3E"/>
    <w:rsid w:val="00EC1158"/>
    <w:rsid w:val="00EC3774"/>
    <w:rsid w:val="00EC57A7"/>
    <w:rsid w:val="00ED0817"/>
    <w:rsid w:val="00ED0C88"/>
    <w:rsid w:val="00ED266F"/>
    <w:rsid w:val="00ED799E"/>
    <w:rsid w:val="00ED7DD9"/>
    <w:rsid w:val="00EE42F5"/>
    <w:rsid w:val="00EE445B"/>
    <w:rsid w:val="00EF3113"/>
    <w:rsid w:val="00EF3F84"/>
    <w:rsid w:val="00EF6FA3"/>
    <w:rsid w:val="00F055BD"/>
    <w:rsid w:val="00F176AC"/>
    <w:rsid w:val="00F2182B"/>
    <w:rsid w:val="00F22C70"/>
    <w:rsid w:val="00F26F28"/>
    <w:rsid w:val="00F27714"/>
    <w:rsid w:val="00F3276E"/>
    <w:rsid w:val="00F33D3C"/>
    <w:rsid w:val="00F37323"/>
    <w:rsid w:val="00F37A91"/>
    <w:rsid w:val="00F408A0"/>
    <w:rsid w:val="00F45CF5"/>
    <w:rsid w:val="00F472D8"/>
    <w:rsid w:val="00F47DB0"/>
    <w:rsid w:val="00F50C3F"/>
    <w:rsid w:val="00F50E34"/>
    <w:rsid w:val="00F53EF7"/>
    <w:rsid w:val="00F54BF2"/>
    <w:rsid w:val="00F71098"/>
    <w:rsid w:val="00F775AC"/>
    <w:rsid w:val="00F807DC"/>
    <w:rsid w:val="00F80C8A"/>
    <w:rsid w:val="00F81F87"/>
    <w:rsid w:val="00F92355"/>
    <w:rsid w:val="00F93963"/>
    <w:rsid w:val="00F94291"/>
    <w:rsid w:val="00FA298A"/>
    <w:rsid w:val="00FA5B66"/>
    <w:rsid w:val="00FA607F"/>
    <w:rsid w:val="00FB25EF"/>
    <w:rsid w:val="00FB30EB"/>
    <w:rsid w:val="00FB7982"/>
    <w:rsid w:val="00FC0734"/>
    <w:rsid w:val="00FC0E3E"/>
    <w:rsid w:val="00FC0FC5"/>
    <w:rsid w:val="00FC588F"/>
    <w:rsid w:val="00FC6879"/>
    <w:rsid w:val="00FC6A1D"/>
    <w:rsid w:val="00FC6E36"/>
    <w:rsid w:val="00FE1B30"/>
    <w:rsid w:val="00FE7B4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2EAB37C8"/>
  <w15:docId w15:val="{36507ED9-AB7B-4F8F-BF95-6832F5DA7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AU" w:eastAsia="en-AU"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765E0"/>
    <w:pPr>
      <w:spacing w:line="360" w:lineRule="auto"/>
      <w:jc w:val="both"/>
    </w:pPr>
    <w:rPr>
      <w:sz w:val="24"/>
      <w:lang w:eastAsia="en-US"/>
    </w:rPr>
  </w:style>
  <w:style w:type="paragraph" w:styleId="Heading1">
    <w:name w:val="heading 1"/>
    <w:basedOn w:val="Normal"/>
    <w:next w:val="ParaNumbering"/>
    <w:qFormat/>
    <w:pPr>
      <w:keepNext/>
      <w:spacing w:before="240" w:after="60" w:line="240" w:lineRule="auto"/>
      <w:outlineLvl w:val="0"/>
    </w:pPr>
    <w:rPr>
      <w:b/>
      <w:caps/>
      <w:kern w:val="28"/>
    </w:rPr>
  </w:style>
  <w:style w:type="paragraph" w:styleId="Heading2">
    <w:name w:val="heading 2"/>
    <w:basedOn w:val="Normal"/>
    <w:next w:val="ParaNumbering"/>
    <w:qFormat/>
    <w:pPr>
      <w:keepNext/>
      <w:spacing w:before="240" w:after="60" w:line="240" w:lineRule="auto"/>
      <w:outlineLvl w:val="1"/>
    </w:pPr>
    <w:rPr>
      <w:b/>
      <w:szCs w:val="24"/>
    </w:rPr>
  </w:style>
  <w:style w:type="paragraph" w:styleId="Heading3">
    <w:name w:val="heading 3"/>
    <w:basedOn w:val="Normal"/>
    <w:next w:val="ParaNumbering"/>
    <w:qFormat/>
    <w:pPr>
      <w:keepNext/>
      <w:spacing w:before="240" w:after="60" w:line="240" w:lineRule="auto"/>
      <w:outlineLvl w:val="2"/>
    </w:pPr>
    <w:rPr>
      <w:b/>
      <w:i/>
    </w:rPr>
  </w:style>
  <w:style w:type="paragraph" w:styleId="Heading4">
    <w:name w:val="heading 4"/>
    <w:basedOn w:val="Normal"/>
    <w:next w:val="ParaNumbering"/>
    <w:qFormat/>
    <w:rsid w:val="009F5C33"/>
    <w:pPr>
      <w:keepNext/>
      <w:spacing w:before="240" w:after="60" w:line="240" w:lineRule="auto"/>
      <w:jc w:val="left"/>
      <w:outlineLvl w:val="3"/>
    </w:pPr>
    <w:rPr>
      <w:i/>
      <w:szCs w:val="24"/>
    </w:rPr>
  </w:style>
  <w:style w:type="paragraph" w:styleId="Heading5">
    <w:name w:val="heading 5"/>
    <w:basedOn w:val="fcHeading1"/>
    <w:next w:val="ParaNumbering"/>
    <w:qFormat/>
    <w:rsid w:val="000E7BAE"/>
    <w:pPr>
      <w:outlineLvl w:val="4"/>
    </w:pPr>
    <w:rPr>
      <w:caps w:val="0"/>
    </w:rPr>
  </w:style>
  <w:style w:type="paragraph" w:styleId="Heading6">
    <w:name w:val="heading 6"/>
    <w:basedOn w:val="fcHeading2"/>
    <w:next w:val="ParaNumbering"/>
    <w:qFormat/>
    <w:pPr>
      <w:outlineLvl w:val="5"/>
    </w:pPr>
  </w:style>
  <w:style w:type="paragraph" w:styleId="Heading7">
    <w:name w:val="heading 7"/>
    <w:basedOn w:val="fcHeading3"/>
    <w:next w:val="ParaNumbering"/>
    <w:qFormat/>
    <w:rsid w:val="00635B36"/>
    <w:pPr>
      <w:outlineLvl w:val="6"/>
    </w:pPr>
    <w:rPr>
      <w:i w:val="0"/>
    </w:rPr>
  </w:style>
  <w:style w:type="paragraph" w:styleId="Heading8">
    <w:name w:val="heading 8"/>
    <w:basedOn w:val="fcHeading4"/>
    <w:next w:val="ParaNumbering"/>
    <w:rsid w:val="00635B36"/>
    <w:pPr>
      <w:outlineLvl w:val="7"/>
    </w:pPr>
    <w:rPr>
      <w:smallCaps w:val="0"/>
    </w:rPr>
  </w:style>
  <w:style w:type="paragraph" w:styleId="Heading9">
    <w:name w:val="heading 9"/>
    <w:basedOn w:val="fcHeading5"/>
    <w:next w:val="ParaNumbering"/>
    <w:rsid w:val="00635B36"/>
    <w:pPr>
      <w:outlineLvl w:val="8"/>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rsid w:val="00967855"/>
    <w:pPr>
      <w:numPr>
        <w:numId w:val="1"/>
      </w:numPr>
      <w:spacing w:before="180" w:after="180"/>
    </w:pPr>
  </w:style>
  <w:style w:type="paragraph" w:customStyle="1" w:styleId="Quote1">
    <w:name w:val="Quote1"/>
    <w:rsid w:val="00960ECB"/>
    <w:pPr>
      <w:widowControl w:val="0"/>
      <w:spacing w:after="180"/>
      <w:ind w:left="737" w:right="737"/>
      <w:jc w:val="both"/>
    </w:pPr>
    <w:rPr>
      <w:sz w:val="22"/>
      <w:lang w:eastAsia="en-US"/>
    </w:rPr>
  </w:style>
  <w:style w:type="paragraph" w:customStyle="1" w:styleId="NormalHeadings">
    <w:name w:val="Normal Headings"/>
    <w:link w:val="NormalHeadingsChar"/>
    <w:pPr>
      <w:widowControl w:val="0"/>
      <w:jc w:val="both"/>
    </w:pPr>
    <w:rPr>
      <w:b/>
      <w:sz w:val="24"/>
      <w:lang w:eastAsia="en-US"/>
    </w:rPr>
  </w:style>
  <w:style w:type="table" w:styleId="TableGrid">
    <w:name w:val="Table Grid"/>
    <w:basedOn w:val="TableNormal"/>
    <w:semiHidden/>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pPr>
      <w:numPr>
        <w:numId w:val="2"/>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rsid w:val="00681ADF"/>
    <w:pPr>
      <w:tabs>
        <w:tab w:val="right" w:leader="dot" w:pos="9072"/>
      </w:tabs>
      <w:spacing w:before="120" w:after="60" w:line="240" w:lineRule="auto"/>
      <w:jc w:val="left"/>
    </w:pPr>
    <w:rPr>
      <w:b/>
      <w:caps/>
      <w:kern w:val="28"/>
    </w:rPr>
  </w:style>
  <w:style w:type="paragraph" w:customStyle="1" w:styleId="ListNo1">
    <w:name w:val="List No 1"/>
    <w:basedOn w:val="Normal"/>
    <w:rsid w:val="0052098C"/>
    <w:pPr>
      <w:numPr>
        <w:numId w:val="40"/>
      </w:numPr>
      <w:spacing w:before="60" w:after="60"/>
    </w:pPr>
  </w:style>
  <w:style w:type="paragraph" w:customStyle="1" w:styleId="FTOC2">
    <w:name w:val="FTOC 2"/>
    <w:basedOn w:val="Normal"/>
    <w:semiHidden/>
    <w:rsid w:val="00681ADF"/>
    <w:pPr>
      <w:tabs>
        <w:tab w:val="right" w:leader="dot" w:pos="9072"/>
      </w:tabs>
      <w:spacing w:before="120" w:after="60" w:line="240" w:lineRule="auto"/>
      <w:ind w:left="238"/>
      <w:jc w:val="left"/>
    </w:pPr>
    <w:rPr>
      <w:b/>
    </w:rPr>
  </w:style>
  <w:style w:type="paragraph" w:customStyle="1" w:styleId="FTOC3">
    <w:name w:val="FTOC 3"/>
    <w:basedOn w:val="Normal"/>
    <w:semiHidden/>
    <w:rsid w:val="00681ADF"/>
    <w:pPr>
      <w:tabs>
        <w:tab w:val="right" w:leader="dot" w:pos="9072"/>
      </w:tabs>
      <w:spacing w:before="120" w:after="60" w:line="240" w:lineRule="auto"/>
      <w:ind w:left="482"/>
      <w:jc w:val="left"/>
    </w:pPr>
    <w:rPr>
      <w:b/>
      <w:i/>
    </w:rPr>
  </w:style>
  <w:style w:type="paragraph" w:customStyle="1" w:styleId="FTOC4">
    <w:name w:val="FTOC 4"/>
    <w:basedOn w:val="Normal"/>
    <w:semiHidden/>
    <w:rsid w:val="00681ADF"/>
    <w:pPr>
      <w:tabs>
        <w:tab w:val="right" w:leader="dot" w:pos="9072"/>
      </w:tabs>
      <w:spacing w:before="120" w:after="60" w:line="240" w:lineRule="auto"/>
      <w:ind w:left="720"/>
      <w:jc w:val="left"/>
    </w:pPr>
    <w:rPr>
      <w:i/>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3"/>
      </w:numPr>
    </w:pPr>
  </w:style>
  <w:style w:type="numbering" w:styleId="1ai">
    <w:name w:val="Outline List 1"/>
    <w:basedOn w:val="NoList"/>
    <w:semiHidden/>
    <w:pPr>
      <w:numPr>
        <w:numId w:val="14"/>
      </w:numPr>
    </w:pPr>
  </w:style>
  <w:style w:type="numbering" w:styleId="ArticleSection">
    <w:name w:val="Outline List 3"/>
    <w:basedOn w:val="NoList"/>
    <w:semiHidden/>
    <w:pPr>
      <w:numPr>
        <w:numId w:val="15"/>
      </w:numPr>
    </w:pPr>
  </w:style>
  <w:style w:type="paragraph" w:styleId="BodyText">
    <w:name w:val="Body Text"/>
    <w:basedOn w:val="Normal"/>
    <w:link w:val="BodyTextChar"/>
    <w:qFormat/>
    <w:rsid w:val="002B0E91"/>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semiHidden/>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3"/>
      </w:numPr>
    </w:pPr>
  </w:style>
  <w:style w:type="paragraph" w:styleId="ListBullet2">
    <w:name w:val="List Bullet 2"/>
    <w:basedOn w:val="Normal"/>
    <w:semiHidden/>
    <w:pPr>
      <w:numPr>
        <w:numId w:val="4"/>
      </w:numPr>
    </w:pPr>
  </w:style>
  <w:style w:type="paragraph" w:styleId="ListBullet3">
    <w:name w:val="List Bullet 3"/>
    <w:basedOn w:val="Normal"/>
    <w:semiHidden/>
    <w:pPr>
      <w:numPr>
        <w:numId w:val="5"/>
      </w:numPr>
    </w:pPr>
  </w:style>
  <w:style w:type="paragraph" w:styleId="ListBullet4">
    <w:name w:val="List Bullet 4"/>
    <w:basedOn w:val="Normal"/>
    <w:semiHidden/>
    <w:pPr>
      <w:numPr>
        <w:numId w:val="6"/>
      </w:numPr>
    </w:pPr>
  </w:style>
  <w:style w:type="paragraph" w:styleId="ListBullet5">
    <w:name w:val="List Bullet 5"/>
    <w:basedOn w:val="Normal"/>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semiHidden/>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rsid w:val="00323061"/>
    <w:pPr>
      <w:spacing w:before="120" w:after="60" w:line="240" w:lineRule="auto"/>
      <w:jc w:val="left"/>
    </w:pPr>
  </w:style>
  <w:style w:type="paragraph" w:customStyle="1" w:styleId="bTOC2">
    <w:name w:val="bTOC 2"/>
    <w:basedOn w:val="TOC2"/>
    <w:semiHidden/>
    <w:rsid w:val="00323061"/>
    <w:pPr>
      <w:spacing w:before="120" w:after="60" w:line="240" w:lineRule="auto"/>
      <w:ind w:left="238"/>
      <w:jc w:val="left"/>
    </w:pPr>
  </w:style>
  <w:style w:type="paragraph" w:customStyle="1" w:styleId="bTOC3">
    <w:name w:val="bTOC 3"/>
    <w:basedOn w:val="TOC3"/>
    <w:semiHidden/>
    <w:rsid w:val="00323061"/>
    <w:pPr>
      <w:spacing w:before="120" w:after="60" w:line="240" w:lineRule="auto"/>
      <w:ind w:left="482"/>
      <w:jc w:val="left"/>
    </w:pPr>
  </w:style>
  <w:style w:type="paragraph" w:customStyle="1" w:styleId="bTOC4">
    <w:name w:val="bTOC 4"/>
    <w:basedOn w:val="TOC4"/>
    <w:semiHidden/>
    <w:rsid w:val="00323061"/>
    <w:pPr>
      <w:spacing w:before="120" w:after="60" w:line="240" w:lineRule="auto"/>
      <w:jc w:val="left"/>
    </w:pPr>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16"/>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16"/>
      </w:numPr>
      <w:spacing w:before="240" w:after="60" w:line="240" w:lineRule="auto"/>
    </w:pPr>
    <w:rPr>
      <w:b/>
    </w:rPr>
  </w:style>
  <w:style w:type="paragraph" w:customStyle="1" w:styleId="fcHeading3">
    <w:name w:val="fcHeading 3"/>
    <w:basedOn w:val="Normal"/>
    <w:next w:val="ParaNumbering"/>
    <w:semiHidden/>
    <w:pPr>
      <w:keepNext/>
      <w:numPr>
        <w:ilvl w:val="2"/>
        <w:numId w:val="16"/>
      </w:numPr>
      <w:spacing w:before="240" w:after="60" w:line="240" w:lineRule="auto"/>
    </w:pPr>
    <w:rPr>
      <w:b/>
      <w:i/>
    </w:rPr>
  </w:style>
  <w:style w:type="paragraph" w:customStyle="1" w:styleId="fcHeading4">
    <w:name w:val="fcHeading 4"/>
    <w:basedOn w:val="Normal"/>
    <w:next w:val="ParaNumbering"/>
    <w:semiHidden/>
    <w:pPr>
      <w:keepNext/>
      <w:numPr>
        <w:ilvl w:val="3"/>
        <w:numId w:val="16"/>
      </w:numPr>
      <w:spacing w:before="240" w:after="60" w:line="240" w:lineRule="auto"/>
    </w:pPr>
    <w:rPr>
      <w:b/>
      <w:smallCaps/>
    </w:rPr>
  </w:style>
  <w:style w:type="paragraph" w:customStyle="1" w:styleId="fcHeading5">
    <w:name w:val="fcHeading 5"/>
    <w:basedOn w:val="Normal"/>
    <w:next w:val="ParaNumbering"/>
    <w:semiHidden/>
    <w:pPr>
      <w:keepNext/>
      <w:numPr>
        <w:ilvl w:val="4"/>
        <w:numId w:val="16"/>
      </w:numPr>
      <w:spacing w:before="240" w:after="60" w:line="240" w:lineRule="auto"/>
    </w:pPr>
    <w:rPr>
      <w:b/>
      <w:caps/>
    </w:rPr>
  </w:style>
  <w:style w:type="paragraph" w:customStyle="1" w:styleId="FTOC5">
    <w:name w:val="FTOC 5"/>
    <w:basedOn w:val="Normal"/>
    <w:semiHidden/>
    <w:rsid w:val="003774B2"/>
    <w:pPr>
      <w:tabs>
        <w:tab w:val="right" w:leader="dot" w:pos="9072"/>
      </w:tabs>
      <w:spacing w:before="120" w:after="60" w:line="240" w:lineRule="auto"/>
      <w:ind w:left="709" w:hanging="709"/>
      <w:jc w:val="left"/>
    </w:pPr>
    <w:rPr>
      <w:b/>
      <w:kern w:val="28"/>
    </w:rPr>
  </w:style>
  <w:style w:type="paragraph" w:customStyle="1" w:styleId="FTOC6">
    <w:name w:val="FTOC 6"/>
    <w:basedOn w:val="Normal"/>
    <w:semiHidden/>
    <w:rsid w:val="003774B2"/>
    <w:pPr>
      <w:tabs>
        <w:tab w:val="right" w:leader="dot" w:pos="9072"/>
      </w:tabs>
      <w:spacing w:before="120" w:after="60" w:line="240" w:lineRule="auto"/>
      <w:ind w:left="1418" w:hanging="709"/>
      <w:jc w:val="left"/>
    </w:pPr>
    <w:rPr>
      <w:b/>
    </w:rPr>
  </w:style>
  <w:style w:type="paragraph" w:customStyle="1" w:styleId="FTOC7">
    <w:name w:val="FTOC 7"/>
    <w:basedOn w:val="Normal"/>
    <w:semiHidden/>
    <w:rsid w:val="003774B2"/>
    <w:pPr>
      <w:tabs>
        <w:tab w:val="right" w:leader="dot" w:pos="9072"/>
      </w:tabs>
      <w:spacing w:before="120" w:after="60" w:line="240" w:lineRule="auto"/>
      <w:ind w:left="2127" w:hanging="709"/>
      <w:jc w:val="left"/>
    </w:pPr>
    <w:rPr>
      <w:b/>
    </w:rPr>
  </w:style>
  <w:style w:type="paragraph" w:customStyle="1" w:styleId="FTOC8">
    <w:name w:val="FTOC 8"/>
    <w:basedOn w:val="Normal"/>
    <w:semiHidden/>
    <w:rsid w:val="003774B2"/>
    <w:pPr>
      <w:tabs>
        <w:tab w:val="right" w:leader="dot" w:pos="9072"/>
      </w:tabs>
      <w:spacing w:before="120" w:after="60" w:line="240" w:lineRule="auto"/>
      <w:ind w:left="3260" w:hanging="1134"/>
      <w:jc w:val="left"/>
    </w:pPr>
    <w:rPr>
      <w:b/>
    </w:rPr>
  </w:style>
  <w:style w:type="paragraph" w:customStyle="1" w:styleId="FTOC9">
    <w:name w:val="FTOC 9"/>
    <w:basedOn w:val="Normal"/>
    <w:semiHidden/>
    <w:rsid w:val="003774B2"/>
    <w:pPr>
      <w:tabs>
        <w:tab w:val="right" w:leader="dot" w:pos="9072"/>
      </w:tabs>
      <w:spacing w:before="120" w:after="60" w:line="240" w:lineRule="auto"/>
      <w:ind w:left="3969" w:hanging="1134"/>
      <w:jc w:val="left"/>
    </w:pPr>
    <w:rPr>
      <w:b/>
    </w:rPr>
  </w:style>
  <w:style w:type="paragraph" w:customStyle="1" w:styleId="bTOC5">
    <w:name w:val="bTOC 5"/>
    <w:basedOn w:val="Normal"/>
    <w:semiHidden/>
    <w:rsid w:val="00323061"/>
    <w:pPr>
      <w:tabs>
        <w:tab w:val="right" w:leader="dot" w:pos="9072"/>
      </w:tabs>
      <w:spacing w:before="120" w:after="60" w:line="240" w:lineRule="auto"/>
      <w:ind w:left="709" w:hanging="709"/>
      <w:jc w:val="left"/>
    </w:pPr>
  </w:style>
  <w:style w:type="paragraph" w:customStyle="1" w:styleId="bTOC6">
    <w:name w:val="bTOC 6"/>
    <w:basedOn w:val="Normal"/>
    <w:semiHidden/>
    <w:rsid w:val="00323061"/>
    <w:pPr>
      <w:tabs>
        <w:tab w:val="right" w:leader="dot" w:pos="9072"/>
      </w:tabs>
      <w:spacing w:before="120" w:after="60" w:line="240" w:lineRule="auto"/>
      <w:ind w:left="1418" w:hanging="709"/>
      <w:jc w:val="left"/>
    </w:pPr>
  </w:style>
  <w:style w:type="paragraph" w:customStyle="1" w:styleId="bTOC7">
    <w:name w:val="bTOC 7"/>
    <w:basedOn w:val="Normal"/>
    <w:semiHidden/>
    <w:rsid w:val="00323061"/>
    <w:pPr>
      <w:tabs>
        <w:tab w:val="right" w:leader="dot" w:pos="9072"/>
      </w:tabs>
      <w:spacing w:before="120" w:after="60" w:line="240" w:lineRule="auto"/>
      <w:ind w:left="2127" w:hanging="709"/>
      <w:jc w:val="left"/>
    </w:pPr>
  </w:style>
  <w:style w:type="paragraph" w:customStyle="1" w:styleId="bTOC8">
    <w:name w:val="bTOC 8"/>
    <w:basedOn w:val="Normal"/>
    <w:semiHidden/>
    <w:rsid w:val="00323061"/>
    <w:pPr>
      <w:keepNext/>
      <w:tabs>
        <w:tab w:val="right" w:leader="dot" w:pos="9072"/>
      </w:tabs>
      <w:spacing w:before="120" w:after="60" w:line="240" w:lineRule="auto"/>
      <w:ind w:left="3260" w:hanging="1134"/>
      <w:jc w:val="left"/>
    </w:pPr>
  </w:style>
  <w:style w:type="paragraph" w:customStyle="1" w:styleId="bTOC9">
    <w:name w:val="bTOC 9"/>
    <w:basedOn w:val="Normal"/>
    <w:semiHidden/>
    <w:rsid w:val="00323061"/>
    <w:pPr>
      <w:keepNext/>
      <w:tabs>
        <w:tab w:val="right" w:leader="dot" w:pos="9072"/>
      </w:tabs>
      <w:spacing w:before="120" w:after="60" w:line="240" w:lineRule="auto"/>
      <w:ind w:left="3969" w:hanging="1134"/>
      <w:jc w:val="left"/>
    </w:pPr>
  </w:style>
  <w:style w:type="paragraph" w:customStyle="1" w:styleId="ListNo2">
    <w:name w:val="List No 2"/>
    <w:basedOn w:val="ListNo1"/>
    <w:rsid w:val="0052098C"/>
    <w:pPr>
      <w:numPr>
        <w:ilvl w:val="1"/>
      </w:numPr>
    </w:pPr>
  </w:style>
  <w:style w:type="paragraph" w:customStyle="1" w:styleId="ListNo3">
    <w:name w:val="List No 3"/>
    <w:basedOn w:val="ListNo2"/>
    <w:rsid w:val="0052098C"/>
    <w:pPr>
      <w:numPr>
        <w:ilvl w:val="2"/>
      </w:numPr>
    </w:pPr>
  </w:style>
  <w:style w:type="numbering" w:customStyle="1" w:styleId="FCListNo">
    <w:name w:val="FCListNo"/>
    <w:uiPriority w:val="99"/>
    <w:rsid w:val="0052098C"/>
    <w:pPr>
      <w:numPr>
        <w:numId w:val="17"/>
      </w:numPr>
    </w:pPr>
  </w:style>
  <w:style w:type="paragraph" w:customStyle="1" w:styleId="SingleSpace">
    <w:name w:val="SingleSpace"/>
    <w:basedOn w:val="Normal"/>
    <w:rsid w:val="00055719"/>
    <w:pPr>
      <w:spacing w:line="240" w:lineRule="auto"/>
    </w:pPr>
    <w:rPr>
      <w:szCs w:val="22"/>
    </w:rPr>
  </w:style>
  <w:style w:type="paragraph" w:customStyle="1" w:styleId="Quote1Bullet">
    <w:name w:val="Quote1 Bullet"/>
    <w:basedOn w:val="Quote1"/>
    <w:rsid w:val="00EF3F84"/>
    <w:pPr>
      <w:numPr>
        <w:numId w:val="18"/>
      </w:numPr>
      <w:ind w:left="1440" w:hanging="720"/>
    </w:pPr>
  </w:style>
  <w:style w:type="paragraph" w:customStyle="1" w:styleId="Quote2Bullet">
    <w:name w:val="Quote2 Bullet"/>
    <w:basedOn w:val="Quote2"/>
    <w:rsid w:val="00EF3F84"/>
    <w:pPr>
      <w:numPr>
        <w:numId w:val="19"/>
      </w:numPr>
      <w:ind w:hanging="720"/>
    </w:pPr>
  </w:style>
  <w:style w:type="paragraph" w:customStyle="1" w:styleId="Quote3Bullet">
    <w:name w:val="Quote3 Bullet"/>
    <w:basedOn w:val="Quote3"/>
    <w:rsid w:val="00EE445B"/>
    <w:pPr>
      <w:numPr>
        <w:numId w:val="20"/>
      </w:numPr>
      <w:ind w:hanging="720"/>
    </w:pPr>
  </w:style>
  <w:style w:type="paragraph" w:customStyle="1" w:styleId="Order1">
    <w:name w:val="Order 1"/>
    <w:basedOn w:val="Normal"/>
    <w:rsid w:val="004104B6"/>
    <w:pPr>
      <w:numPr>
        <w:numId w:val="21"/>
      </w:numPr>
      <w:spacing w:before="60" w:after="60"/>
    </w:pPr>
  </w:style>
  <w:style w:type="numbering" w:customStyle="1" w:styleId="FCOrders">
    <w:name w:val="FCOrders"/>
    <w:uiPriority w:val="99"/>
    <w:rsid w:val="004104B6"/>
    <w:pPr>
      <w:numPr>
        <w:numId w:val="28"/>
      </w:numPr>
    </w:pPr>
  </w:style>
  <w:style w:type="paragraph" w:customStyle="1" w:styleId="BodyTextBold">
    <w:name w:val="Body Text Bold"/>
    <w:basedOn w:val="BodyText"/>
    <w:rsid w:val="00484F6D"/>
    <w:rPr>
      <w:b/>
    </w:rPr>
  </w:style>
  <w:style w:type="paragraph" w:customStyle="1" w:styleId="GeneralHeading">
    <w:name w:val="General Heading"/>
    <w:basedOn w:val="BodyTextBold"/>
    <w:next w:val="BodyText"/>
    <w:rsid w:val="008C7167"/>
    <w:pPr>
      <w:spacing w:line="480" w:lineRule="auto"/>
      <w:jc w:val="center"/>
    </w:pPr>
    <w:rPr>
      <w:sz w:val="28"/>
    </w:rPr>
  </w:style>
  <w:style w:type="paragraph" w:customStyle="1" w:styleId="ReasonJudge">
    <w:name w:val="Reason Judge"/>
    <w:basedOn w:val="BodyText"/>
    <w:next w:val="BodyText"/>
    <w:rsid w:val="008C7167"/>
    <w:pPr>
      <w:jc w:val="left"/>
    </w:pPr>
    <w:rPr>
      <w:b/>
      <w:sz w:val="26"/>
    </w:rPr>
  </w:style>
  <w:style w:type="paragraph" w:customStyle="1" w:styleId="FileNo">
    <w:name w:val="FileNo"/>
    <w:basedOn w:val="NormalHeadings"/>
    <w:rsid w:val="007E4DB6"/>
    <w:pPr>
      <w:tabs>
        <w:tab w:val="right" w:pos="3609"/>
      </w:tabs>
      <w:spacing w:line="276" w:lineRule="auto"/>
      <w:jc w:val="right"/>
    </w:pPr>
    <w:rPr>
      <w:szCs w:val="24"/>
    </w:rPr>
  </w:style>
  <w:style w:type="paragraph" w:customStyle="1" w:styleId="CasesLegislationAppealFrom">
    <w:name w:val="Cases Legislation Appeal From"/>
    <w:basedOn w:val="Normal1linespace"/>
    <w:rsid w:val="000C023E"/>
    <w:pPr>
      <w:widowControl w:val="0"/>
      <w:spacing w:after="100"/>
      <w:jc w:val="left"/>
    </w:pPr>
  </w:style>
  <w:style w:type="paragraph" w:customStyle="1" w:styleId="PartyName">
    <w:name w:val="Party Name"/>
    <w:basedOn w:val="NormalHeadings"/>
    <w:rsid w:val="00A45FB1"/>
    <w:pPr>
      <w:jc w:val="left"/>
    </w:pPr>
    <w:rPr>
      <w:szCs w:val="24"/>
    </w:rPr>
  </w:style>
  <w:style w:type="paragraph" w:customStyle="1" w:styleId="PartyType">
    <w:name w:val="Party Type"/>
    <w:basedOn w:val="PartyName"/>
    <w:rsid w:val="00A45FB1"/>
    <w:rPr>
      <w:b w:val="0"/>
    </w:rPr>
  </w:style>
  <w:style w:type="paragraph" w:customStyle="1" w:styleId="Small-TableswithinQuotes">
    <w:name w:val="Small - Tables within Quotes"/>
    <w:basedOn w:val="BodyText"/>
    <w:rsid w:val="005E0510"/>
    <w:pPr>
      <w:spacing w:line="240" w:lineRule="auto"/>
      <w:jc w:val="left"/>
    </w:pPr>
    <w:rPr>
      <w:sz w:val="22"/>
    </w:rPr>
  </w:style>
  <w:style w:type="character" w:customStyle="1" w:styleId="BodyTextChar">
    <w:name w:val="Body Text Char"/>
    <w:basedOn w:val="DefaultParagraphFont"/>
    <w:link w:val="BodyText"/>
    <w:rsid w:val="00E91A0F"/>
    <w:rPr>
      <w:sz w:val="24"/>
      <w:lang w:eastAsia="en-US"/>
    </w:rPr>
  </w:style>
  <w:style w:type="character" w:customStyle="1" w:styleId="NormalHeadingsChar">
    <w:name w:val="Normal Headings Char"/>
    <w:basedOn w:val="DefaultParagraphFont"/>
    <w:link w:val="NormalHeadings"/>
    <w:rsid w:val="00E91A0F"/>
    <w:rPr>
      <w:b/>
      <w:sz w:val="24"/>
      <w:lang w:eastAsia="en-US"/>
    </w:rPr>
  </w:style>
  <w:style w:type="paragraph" w:customStyle="1" w:styleId="CourtTitle">
    <w:name w:val="CourtTitle"/>
    <w:basedOn w:val="NormalHeadings"/>
    <w:rsid w:val="00A22932"/>
    <w:pPr>
      <w:jc w:val="center"/>
    </w:pPr>
    <w:rPr>
      <w:caps/>
      <w:sz w:val="32"/>
    </w:rPr>
  </w:style>
  <w:style w:type="paragraph" w:customStyle="1" w:styleId="MNC">
    <w:name w:val="MNC"/>
    <w:basedOn w:val="MediaNeutralStyle"/>
    <w:rsid w:val="00085255"/>
    <w:pPr>
      <w:spacing w:after="240"/>
    </w:pPr>
    <w:rPr>
      <w:sz w:val="28"/>
    </w:rPr>
  </w:style>
  <w:style w:type="paragraph" w:customStyle="1" w:styleId="Quote4">
    <w:name w:val="Quote4"/>
    <w:basedOn w:val="Quote1"/>
    <w:rsid w:val="00DF75E1"/>
    <w:pPr>
      <w:ind w:left="2880"/>
    </w:pPr>
  </w:style>
  <w:style w:type="paragraph" w:customStyle="1" w:styleId="Quote4Bullet">
    <w:name w:val="Quote4 Bullet"/>
    <w:basedOn w:val="Quote4"/>
    <w:rsid w:val="00EE445B"/>
    <w:pPr>
      <w:numPr>
        <w:numId w:val="22"/>
      </w:numPr>
      <w:ind w:hanging="720"/>
    </w:pPr>
  </w:style>
  <w:style w:type="character" w:styleId="PlaceholderText">
    <w:name w:val="Placeholder Text"/>
    <w:basedOn w:val="DefaultParagraphFont"/>
    <w:uiPriority w:val="99"/>
    <w:semiHidden/>
    <w:rsid w:val="00CF5A80"/>
    <w:rPr>
      <w:color w:val="808080"/>
    </w:rPr>
  </w:style>
  <w:style w:type="paragraph" w:customStyle="1" w:styleId="Order2">
    <w:name w:val="Order 2"/>
    <w:basedOn w:val="Order1"/>
    <w:rsid w:val="001351B9"/>
    <w:pPr>
      <w:numPr>
        <w:ilvl w:val="1"/>
      </w:numPr>
      <w:tabs>
        <w:tab w:val="clear" w:pos="1440"/>
      </w:tabs>
    </w:pPr>
  </w:style>
  <w:style w:type="paragraph" w:customStyle="1" w:styleId="Order3">
    <w:name w:val="Order 3"/>
    <w:basedOn w:val="Order2"/>
    <w:rsid w:val="00DD6957"/>
    <w:pPr>
      <w:numPr>
        <w:ilvl w:val="2"/>
      </w:numPr>
    </w:pPr>
  </w:style>
  <w:style w:type="paragraph" w:customStyle="1" w:styleId="ListNo1alt">
    <w:name w:val="List No 1 (alt)"/>
    <w:basedOn w:val="Normal"/>
    <w:rsid w:val="008A1741"/>
    <w:pPr>
      <w:numPr>
        <w:numId w:val="25"/>
      </w:numPr>
      <w:spacing w:before="60" w:after="60"/>
    </w:pPr>
  </w:style>
  <w:style w:type="paragraph" w:customStyle="1" w:styleId="ListNo2alt">
    <w:name w:val="List No 2 (alt)"/>
    <w:basedOn w:val="ListNo1alt"/>
    <w:rsid w:val="008A1741"/>
    <w:pPr>
      <w:numPr>
        <w:ilvl w:val="1"/>
      </w:numPr>
    </w:pPr>
  </w:style>
  <w:style w:type="paragraph" w:customStyle="1" w:styleId="ListNo3alt">
    <w:name w:val="List No 3 (alt)"/>
    <w:basedOn w:val="ListNo2alt"/>
    <w:rsid w:val="008A1741"/>
    <w:pPr>
      <w:numPr>
        <w:ilvl w:val="2"/>
      </w:numPr>
    </w:pPr>
  </w:style>
  <w:style w:type="numbering" w:customStyle="1" w:styleId="FCListNoalt">
    <w:name w:val="FC List No (alt)"/>
    <w:uiPriority w:val="99"/>
    <w:rsid w:val="008A1741"/>
    <w:pPr>
      <w:numPr>
        <w:numId w:val="24"/>
      </w:numPr>
    </w:pPr>
  </w:style>
  <w:style w:type="paragraph" w:customStyle="1" w:styleId="Order4">
    <w:name w:val="Order 4"/>
    <w:basedOn w:val="Order3"/>
    <w:rsid w:val="004104B6"/>
    <w:pPr>
      <w:numPr>
        <w:ilvl w:val="3"/>
      </w:numPr>
    </w:pPr>
  </w:style>
  <w:style w:type="paragraph" w:styleId="ListParagraph">
    <w:name w:val="List Paragraph"/>
    <w:basedOn w:val="Normal"/>
    <w:uiPriority w:val="34"/>
    <w:rsid w:val="00DE24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ksoy3f\AppData\Roaming\Microsoft\Templates\Judg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500A58C7B2D4D4D9C6A39C0789C802A"/>
        <w:category>
          <w:name w:val="General"/>
          <w:gallery w:val="placeholder"/>
        </w:category>
        <w:types>
          <w:type w:val="bbPlcHdr"/>
        </w:types>
        <w:behaviors>
          <w:behavior w:val="content"/>
        </w:behaviors>
        <w:guid w:val="{F0AE8D0F-76B9-48BF-84A6-D9E044E08D75}"/>
      </w:docPartPr>
      <w:docPartBody>
        <w:p w:rsidR="00A40B83" w:rsidRDefault="00A40B83">
          <w:pPr>
            <w:pStyle w:val="1500A58C7B2D4D4D9C6A39C0789C802A"/>
          </w:pPr>
          <w:r>
            <w:rPr>
              <w:rStyle w:val="PlaceholderText"/>
            </w:rPr>
            <w:t>MNC Text</w:t>
          </w:r>
        </w:p>
      </w:docPartBody>
    </w:docPart>
    <w:docPart>
      <w:docPartPr>
        <w:name w:val="0FA1521A1A47404E94381583D6F35E95"/>
        <w:category>
          <w:name w:val="General"/>
          <w:gallery w:val="placeholder"/>
        </w:category>
        <w:types>
          <w:type w:val="bbPlcHdr"/>
        </w:types>
        <w:behaviors>
          <w:behavior w:val="content"/>
        </w:behaviors>
        <w:guid w:val="{2838371E-EA2A-437F-AA18-E4E43715BB6C}"/>
      </w:docPartPr>
      <w:docPartBody>
        <w:p w:rsidR="00A40B83" w:rsidRDefault="00A40B83">
          <w:pPr>
            <w:pStyle w:val="0FA1521A1A47404E94381583D6F35E95"/>
          </w:pPr>
          <w:r w:rsidRPr="005C44BE">
            <w:rPr>
              <w:rStyle w:val="PlaceholderText"/>
            </w:rPr>
            <w:t>Click or tap here to enter text.</w:t>
          </w:r>
        </w:p>
      </w:docPartBody>
    </w:docPart>
    <w:docPart>
      <w:docPartPr>
        <w:name w:val="F80982ACC7D646DCB8AAEC0BF0AB8CD4"/>
        <w:category>
          <w:name w:val="General"/>
          <w:gallery w:val="placeholder"/>
        </w:category>
        <w:types>
          <w:type w:val="bbPlcHdr"/>
        </w:types>
        <w:behaviors>
          <w:behavior w:val="content"/>
        </w:behaviors>
        <w:guid w:val="{68A08686-D683-4BD4-BCD4-511AE974C2C6}"/>
      </w:docPartPr>
      <w:docPartBody>
        <w:p w:rsidR="00A40B83" w:rsidRDefault="00A40B83">
          <w:pPr>
            <w:pStyle w:val="F80982ACC7D646DCB8AAEC0BF0AB8CD4"/>
          </w:pPr>
          <w:r w:rsidRPr="005C44BE">
            <w:rPr>
              <w:rStyle w:val="PlaceholderText"/>
            </w:rPr>
            <w:t>Click or tap here to enter text.</w:t>
          </w:r>
        </w:p>
      </w:docPartBody>
    </w:docPart>
    <w:docPart>
      <w:docPartPr>
        <w:name w:val="1DC59A100AED46B084ED483C69509645"/>
        <w:category>
          <w:name w:val="General"/>
          <w:gallery w:val="placeholder"/>
        </w:category>
        <w:types>
          <w:type w:val="bbPlcHdr"/>
        </w:types>
        <w:behaviors>
          <w:behavior w:val="content"/>
        </w:behaviors>
        <w:guid w:val="{0DFA9BAD-B55A-43C1-87D2-4BB7D2392385}"/>
      </w:docPartPr>
      <w:docPartBody>
        <w:p w:rsidR="00A40B83" w:rsidRDefault="00A40B83">
          <w:pPr>
            <w:pStyle w:val="1DC59A100AED46B084ED483C69509645"/>
          </w:pPr>
          <w:r w:rsidRPr="005C44BE">
            <w:rPr>
              <w:rStyle w:val="PlaceholderText"/>
            </w:rPr>
            <w:t>Click or tap here to enter text.</w:t>
          </w:r>
        </w:p>
      </w:docPartBody>
    </w:docPart>
    <w:docPart>
      <w:docPartPr>
        <w:name w:val="30BE4A57817644A9A00FEC2FCFBCDD95"/>
        <w:category>
          <w:name w:val="General"/>
          <w:gallery w:val="placeholder"/>
        </w:category>
        <w:types>
          <w:type w:val="bbPlcHdr"/>
        </w:types>
        <w:behaviors>
          <w:behavior w:val="content"/>
        </w:behaviors>
        <w:guid w:val="{5DDEC615-80C0-49DA-8CBA-A259868D0D61}"/>
      </w:docPartPr>
      <w:docPartBody>
        <w:p w:rsidR="00A40B83" w:rsidRDefault="00A40B83">
          <w:pPr>
            <w:pStyle w:val="30BE4A57817644A9A00FEC2FCFBCDD95"/>
          </w:pPr>
          <w:r w:rsidRPr="005C44B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tang">
    <w:altName w:val="바탕"/>
    <w:panose1 w:val="02030600000101010101"/>
    <w:charset w:val="81"/>
    <w:family w:val="roman"/>
    <w:pitch w:val="variable"/>
    <w:sig w:usb0="00000000"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0B83"/>
    <w:rsid w:val="0001207A"/>
    <w:rsid w:val="00070C37"/>
    <w:rsid w:val="005E581E"/>
    <w:rsid w:val="00620726"/>
    <w:rsid w:val="00733F16"/>
    <w:rsid w:val="007F5FF8"/>
    <w:rsid w:val="008F17B4"/>
    <w:rsid w:val="00A40B83"/>
    <w:rsid w:val="00C847B7"/>
    <w:rsid w:val="00EE190A"/>
    <w:rsid w:val="00EE746A"/>
    <w:rsid w:val="00F57FB4"/>
    <w:rsid w:val="00FA7D2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1500A58C7B2D4D4D9C6A39C0789C802A">
    <w:name w:val="1500A58C7B2D4D4D9C6A39C0789C802A"/>
  </w:style>
  <w:style w:type="paragraph" w:customStyle="1" w:styleId="0FA1521A1A47404E94381583D6F35E95">
    <w:name w:val="0FA1521A1A47404E94381583D6F35E95"/>
  </w:style>
  <w:style w:type="paragraph" w:customStyle="1" w:styleId="F80982ACC7D646DCB8AAEC0BF0AB8CD4">
    <w:name w:val="F80982ACC7D646DCB8AAEC0BF0AB8CD4"/>
  </w:style>
  <w:style w:type="paragraph" w:customStyle="1" w:styleId="1DC59A100AED46B084ED483C69509645">
    <w:name w:val="1DC59A100AED46B084ED483C69509645"/>
  </w:style>
  <w:style w:type="paragraph" w:customStyle="1" w:styleId="30BE4A57817644A9A00FEC2FCFBCDD95">
    <w:name w:val="30BE4A57817644A9A00FEC2FCFBCDD9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root xmlns="http://schemas.globalmacros.com/FCA">
  <Name>Whittenbury v Vocation Limited (in liquidation) [2021] FCA 829 </Name>
</root>
</file>

<file path=customXml/itemProps1.xml><?xml version="1.0" encoding="utf-8"?>
<ds:datastoreItem xmlns:ds="http://schemas.openxmlformats.org/officeDocument/2006/customXml" ds:itemID="{687E7CCB-4AA5-44E7-B148-17BA2B6F57C0}">
  <ds:schemaRefs>
    <ds:schemaRef ds:uri="http://schemas.globalmacros.com/FCA"/>
  </ds:schemaRefs>
</ds:datastoreItem>
</file>

<file path=docProps/app.xml><?xml version="1.0" encoding="utf-8"?>
<Properties xmlns="http://schemas.openxmlformats.org/officeDocument/2006/extended-properties" xmlns:vt="http://schemas.openxmlformats.org/officeDocument/2006/docPropsVTypes">
  <Template>Judgment</Template>
  <TotalTime>7</TotalTime>
  <Pages>26</Pages>
  <Words>8597</Words>
  <Characters>45810</Characters>
  <Application>Microsoft Office Word</Application>
  <DocSecurity>0</DocSecurity>
  <Lines>381</Lines>
  <Paragraphs>108</Paragraphs>
  <ScaleCrop>false</ScaleCrop>
  <HeadingPairs>
    <vt:vector size="2" baseType="variant">
      <vt:variant>
        <vt:lpstr>Title</vt:lpstr>
      </vt:variant>
      <vt:variant>
        <vt:i4>1</vt:i4>
      </vt:variant>
    </vt:vector>
  </HeadingPairs>
  <TitlesOfParts>
    <vt:vector size="1" baseType="lpstr">
      <vt:lpstr>Whittenbury v Vocation Limited (in liquidation) [2021] FCA 829 </vt:lpstr>
    </vt:vector>
  </TitlesOfParts>
  <Company>Federal Court of Australia</Company>
  <LinksUpToDate>false</LinksUpToDate>
  <CharactersWithSpaces>54299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Whittenbury v Vocation Limited (in liquidation) [2021] FCA 829</dc:title>
  <dc:creator>Federal Court of Australia</dc:creator>
  <cp:lastModifiedBy>Feyhan Peksoylu</cp:lastModifiedBy>
  <cp:revision>5</cp:revision>
  <cp:lastPrinted>2021-07-22T10:48:00Z</cp:lastPrinted>
  <dcterms:created xsi:type="dcterms:W3CDTF">2021-07-23T03:17:00Z</dcterms:created>
  <dcterms:modified xsi:type="dcterms:W3CDTF">2021-07-23T03:54:00Z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licant">
    <vt:lpwstr> </vt:lpwstr>
  </property>
  <property fmtid="{D5CDD505-2E9C-101B-9397-08002B2CF9AE}" pid="3" name="Distribution">
    <vt:lpwstr>GENERAL DISTRIBUTION</vt:lpwstr>
  </property>
  <property fmtid="{D5CDD505-2E9C-101B-9397-08002B2CF9AE}" pid="4" name="MNC">
    <vt:lpwstr> </vt:lpwstr>
  </property>
  <property fmtid="{D5CDD505-2E9C-101B-9397-08002B2CF9AE}" pid="5" name="Pages">
    <vt:lpwstr>1</vt:lpwstr>
  </property>
  <property fmtid="{D5CDD505-2E9C-101B-9397-08002B2CF9AE}" pid="6" name="Parties">
    <vt:lpwstr> </vt:lpwstr>
  </property>
  <property fmtid="{D5CDD505-2E9C-101B-9397-08002B2CF9AE}" pid="7" name="Place">
    <vt:lpwstr>N/A FCA</vt:lpwstr>
  </property>
  <property fmtid="{D5CDD505-2E9C-101B-9397-08002B2CF9AE}" pid="8" name="Respondent">
    <vt:lpwstr> </vt:lpwstr>
  </property>
  <property fmtid="{D5CDD505-2E9C-101B-9397-08002B2CF9AE}" pid="9" name="Year">
    <vt:lpwstr>2020</vt:lpwstr>
  </property>
  <property fmtid="{D5CDD505-2E9C-101B-9397-08002B2CF9AE}" pid="10" name="Judgment Template">
    <vt:lpwstr>True</vt:lpwstr>
  </property>
  <property fmtid="{D5CDD505-2E9C-101B-9397-08002B2CF9AE}" pid="11" name="VERSION">
    <vt:lpwstr>1.0</vt:lpwstr>
  </property>
  <property fmtid="{D5CDD505-2E9C-101B-9397-08002B2CF9AE}" pid="12" name="Registry">
    <vt:lpwstr>Victoria</vt:lpwstr>
  </property>
  <property fmtid="{D5CDD505-2E9C-101B-9397-08002B2CF9AE}" pid="13" name="Division">
    <vt:lpwstr>General Division</vt:lpwstr>
  </property>
  <property fmtid="{D5CDD505-2E9C-101B-9397-08002B2CF9AE}" pid="14" name="FileNo">
    <vt:lpwstr>&lt;FILE NO&gt;</vt:lpwstr>
  </property>
  <property fmtid="{D5CDD505-2E9C-101B-9397-08002B2CF9AE}" pid="15" name="Practice Area">
    <vt:lpwstr>Commercial and Corporations</vt:lpwstr>
  </property>
  <property fmtid="{D5CDD505-2E9C-101B-9397-08002B2CF9AE}" pid="16" name="Court">
    <vt:lpwstr>Federal Court of Australia</vt:lpwstr>
  </property>
  <property fmtid="{D5CDD505-2E9C-101B-9397-08002B2CF9AE}" pid="17" name="Sub Area">
    <vt:lpwstr>Corporations and Corporate Insolvency</vt:lpwstr>
  </property>
  <property fmtid="{D5CDD505-2E9C-101B-9397-08002B2CF9AE}" pid="18" name="AppealFrom">
    <vt:lpwstr>&lt;AppealFrom&gt;</vt:lpwstr>
  </property>
  <property fmtid="{D5CDD505-2E9C-101B-9397-08002B2CF9AE}" pid="19" name="Judge">
    <vt:lpwstr>Judge</vt:lpwstr>
  </property>
  <property fmtid="{D5CDD505-2E9C-101B-9397-08002B2CF9AE}" pid="20" name="Judgment_dated">
    <vt:lpwstr>Judgment_dated</vt:lpwstr>
  </property>
  <property fmtid="{D5CDD505-2E9C-101B-9397-08002B2CF9AE}" pid="21" name="Legislation">
    <vt:lpwstr>Legislation</vt:lpwstr>
  </property>
  <property fmtid="{D5CDD505-2E9C-101B-9397-08002B2CF9AE}" pid="22" name="Catchwords">
    <vt:lpwstr>Catchwords</vt:lpwstr>
  </property>
  <property fmtid="{D5CDD505-2E9C-101B-9397-08002B2CF9AE}" pid="23" name="Words_Phrases">
    <vt:lpwstr>WordsPhrases</vt:lpwstr>
  </property>
  <property fmtid="{D5CDD505-2E9C-101B-9397-08002B2CF9AE}" pid="24" name="Cases_Cited">
    <vt:lpwstr>CasesCited</vt:lpwstr>
  </property>
  <property fmtid="{D5CDD505-2E9C-101B-9397-08002B2CF9AE}" pid="25" name="File_Number">
    <vt:lpwstr>Num</vt:lpwstr>
  </property>
  <property fmtid="{D5CDD505-2E9C-101B-9397-08002B2CF9AE}" pid="26" name="State">
    <vt:lpwstr>State</vt:lpwstr>
  </property>
</Properties>
</file>