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777A6" w:rsidP="00A22932">
      <w:pPr>
        <w:pStyle w:val="CourtTitle"/>
      </w:pPr>
      <w:r>
        <w:fldChar w:fldCharType="begin" w:fldLock="1"/>
      </w:r>
      <w:r>
        <w:instrText xml:space="preserve"> DOCPROPERTY  Court  \* MERGEFORMAT </w:instrText>
      </w:r>
      <w:r>
        <w:fldChar w:fldCharType="separate"/>
      </w:r>
      <w:r w:rsidR="00D00E4C">
        <w:t>Federal Court of Australia</w:t>
      </w:r>
      <w:r>
        <w:fldChar w:fldCharType="end"/>
      </w:r>
    </w:p>
    <w:p w:rsidR="00395B24" w:rsidRDefault="00395B24">
      <w:pPr>
        <w:pStyle w:val="NormalHeadings"/>
        <w:jc w:val="center"/>
        <w:rPr>
          <w:sz w:val="32"/>
        </w:rPr>
      </w:pPr>
    </w:p>
    <w:bookmarkStart w:id="0" w:name="MNC"/>
    <w:p w:rsidR="00374CC4" w:rsidRDefault="0093791E" w:rsidP="001A2B40">
      <w:pPr>
        <w:pStyle w:val="MNC"/>
      </w:pPr>
      <w:sdt>
        <w:sdtPr>
          <w:alias w:val="MNC"/>
          <w:tag w:val="MNC"/>
          <w:id w:val="343289786"/>
          <w:lock w:val="sdtLocked"/>
          <w:placeholder>
            <w:docPart w:val="488D187935D042D4853CB0DACC9FEE4D"/>
          </w:placeholder>
          <w:dataBinding w:prefixMappings="xmlns:ns0='http://schemas.globalmacros.com/FCA'" w:xpath="/ns0:root[1]/ns0:Name[1]" w:storeItemID="{687E7CCB-4AA5-44E7-B148-17BA2B6F57C0}"/>
          <w:text w:multiLine="1"/>
        </w:sdtPr>
        <w:sdtEndPr/>
        <w:sdtContent>
          <w:r w:rsidR="00D00E4C">
            <w:t>DOF16 v Minister for Immigration, Citizenship, Migrant Services and Mult</w:t>
          </w:r>
          <w:r w:rsidR="000A14DF">
            <w:t>icultural Affairs [2020] FCA 13</w:t>
          </w:r>
          <w:r w:rsidR="00696D68">
            <w:t>8</w:t>
          </w:r>
          <w:r w:rsidR="000A14DF">
            <w:t>5</w:t>
          </w:r>
          <w:r w:rsidR="00D00E4C">
            <w:t xml:space="preserve">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6F6581">
        <w:tc>
          <w:tcPr>
            <w:tcW w:w="3084" w:type="dxa"/>
            <w:shd w:val="clear" w:color="auto" w:fill="auto"/>
          </w:tcPr>
          <w:p w:rsidR="00395B24" w:rsidRDefault="00D00E4C" w:rsidP="00663878">
            <w:pPr>
              <w:pStyle w:val="Normal1linespace"/>
              <w:widowControl w:val="0"/>
              <w:jc w:val="left"/>
            </w:pPr>
            <w:r>
              <w:t>Appeal from:</w:t>
            </w:r>
          </w:p>
        </w:tc>
        <w:tc>
          <w:tcPr>
            <w:tcW w:w="5989" w:type="dxa"/>
            <w:shd w:val="clear" w:color="auto" w:fill="auto"/>
          </w:tcPr>
          <w:p w:rsidR="00395B24" w:rsidRPr="00D00E4C" w:rsidRDefault="003878B3" w:rsidP="00D00E4C">
            <w:pPr>
              <w:pStyle w:val="Normal1linespace"/>
              <w:jc w:val="left"/>
            </w:pPr>
            <w:r w:rsidRPr="00EF1968">
              <w:rPr>
                <w:i/>
              </w:rPr>
              <w:t>DOF16 v Minister for Immigration, Citizenship, Migrant Services and Multicultural Affairs</w:t>
            </w:r>
            <w:r>
              <w:t xml:space="preserve"> [2019] FCCA 3539</w:t>
            </w:r>
            <w:r w:rsidR="00393B90">
              <w:fldChar w:fldCharType="begin" w:fldLock="1"/>
            </w:r>
            <w:r w:rsidR="00393B90">
              <w:instrText xml:space="preserve"> REF  FileNo  \* MERGEFORMAT </w:instrText>
            </w:r>
            <w:r w:rsidR="00393B90">
              <w:fldChar w:fldCharType="end"/>
            </w:r>
          </w:p>
        </w:tc>
      </w:tr>
      <w:tr w:rsidR="00D00E4C" w:rsidTr="006F6581">
        <w:tc>
          <w:tcPr>
            <w:tcW w:w="3084" w:type="dxa"/>
            <w:shd w:val="clear" w:color="auto" w:fill="auto"/>
          </w:tcPr>
          <w:p w:rsidR="00D00E4C" w:rsidRDefault="00D00E4C" w:rsidP="00663878">
            <w:pPr>
              <w:pStyle w:val="Normal1linespace"/>
              <w:widowControl w:val="0"/>
              <w:jc w:val="left"/>
            </w:pPr>
          </w:p>
        </w:tc>
        <w:tc>
          <w:tcPr>
            <w:tcW w:w="5989" w:type="dxa"/>
            <w:shd w:val="clear" w:color="auto" w:fill="auto"/>
          </w:tcPr>
          <w:p w:rsidR="00D00E4C" w:rsidRPr="00D00E4C" w:rsidRDefault="00D00E4C" w:rsidP="00D00E4C">
            <w:pPr>
              <w:pStyle w:val="Normal1linespace"/>
              <w:jc w:val="left"/>
            </w:pPr>
          </w:p>
        </w:tc>
      </w:tr>
      <w:tr w:rsidR="00D00E4C" w:rsidTr="006F6581">
        <w:tc>
          <w:tcPr>
            <w:tcW w:w="3084" w:type="dxa"/>
            <w:shd w:val="clear" w:color="auto" w:fill="auto"/>
          </w:tcPr>
          <w:p w:rsidR="00D00E4C" w:rsidRDefault="002E511D" w:rsidP="00D00E4C">
            <w:pPr>
              <w:pStyle w:val="Normal1linespace"/>
              <w:widowControl w:val="0"/>
              <w:jc w:val="left"/>
            </w:pPr>
            <w:r>
              <w:t>File number</w:t>
            </w:r>
            <w:r w:rsidR="00D00E4C">
              <w:t>:</w:t>
            </w:r>
          </w:p>
        </w:tc>
        <w:tc>
          <w:tcPr>
            <w:tcW w:w="5989" w:type="dxa"/>
            <w:shd w:val="clear" w:color="auto" w:fill="auto"/>
          </w:tcPr>
          <w:p w:rsidR="00D00E4C" w:rsidRPr="00D00E4C" w:rsidRDefault="0093791E" w:rsidP="00D00E4C">
            <w:pPr>
              <w:pStyle w:val="Normal1linespace"/>
              <w:jc w:val="left"/>
            </w:pPr>
            <w:r>
              <w:fldChar w:fldCharType="begin" w:fldLock="1"/>
            </w:r>
            <w:r>
              <w:instrText xml:space="preserve"> REF  FileNo  \* MERGEFORMAT </w:instrText>
            </w:r>
            <w:r>
              <w:fldChar w:fldCharType="separate"/>
            </w:r>
            <w:r w:rsidR="00D00E4C" w:rsidRPr="00D00E4C">
              <w:t>NSD 2111 of 2019</w:t>
            </w:r>
            <w:r>
              <w:fldChar w:fldCharType="end"/>
            </w:r>
          </w:p>
        </w:tc>
      </w:tr>
      <w:tr w:rsidR="00D00E4C" w:rsidTr="006F6581">
        <w:tc>
          <w:tcPr>
            <w:tcW w:w="3084" w:type="dxa"/>
            <w:shd w:val="clear" w:color="auto" w:fill="auto"/>
          </w:tcPr>
          <w:p w:rsidR="00D00E4C" w:rsidRDefault="00D00E4C" w:rsidP="00D00E4C">
            <w:pPr>
              <w:pStyle w:val="Normal1linespace"/>
              <w:widowControl w:val="0"/>
              <w:jc w:val="left"/>
            </w:pPr>
          </w:p>
        </w:tc>
        <w:tc>
          <w:tcPr>
            <w:tcW w:w="5989" w:type="dxa"/>
            <w:shd w:val="clear" w:color="auto" w:fill="auto"/>
          </w:tcPr>
          <w:p w:rsidR="00D00E4C" w:rsidRDefault="00D00E4C" w:rsidP="00D00E4C">
            <w:pPr>
              <w:pStyle w:val="Normal1linespace"/>
              <w:widowControl w:val="0"/>
              <w:jc w:val="left"/>
            </w:pPr>
          </w:p>
        </w:tc>
      </w:tr>
      <w:tr w:rsidR="00D00E4C" w:rsidTr="006F6581">
        <w:tc>
          <w:tcPr>
            <w:tcW w:w="3084" w:type="dxa"/>
            <w:shd w:val="clear" w:color="auto" w:fill="auto"/>
          </w:tcPr>
          <w:p w:rsidR="00D00E4C" w:rsidRDefault="00D00E4C" w:rsidP="00D00E4C">
            <w:pPr>
              <w:pStyle w:val="Normal1linespace"/>
              <w:widowControl w:val="0"/>
              <w:jc w:val="left"/>
            </w:pPr>
            <w:r>
              <w:t>Judgment of:</w:t>
            </w:r>
          </w:p>
        </w:tc>
        <w:tc>
          <w:tcPr>
            <w:tcW w:w="5989" w:type="dxa"/>
            <w:shd w:val="clear" w:color="auto" w:fill="auto"/>
          </w:tcPr>
          <w:p w:rsidR="00D00E4C" w:rsidRDefault="00D00E4C" w:rsidP="00D00E4C">
            <w:pPr>
              <w:pStyle w:val="Normal1linespace"/>
              <w:widowControl w:val="0"/>
              <w:jc w:val="left"/>
              <w:rPr>
                <w:b/>
              </w:rPr>
            </w:pPr>
            <w:r w:rsidRPr="00D00E4C">
              <w:rPr>
                <w:b/>
              </w:rPr>
              <w:fldChar w:fldCharType="begin" w:fldLock="1"/>
            </w:r>
            <w:r w:rsidRPr="00D00E4C">
              <w:rPr>
                <w:b/>
              </w:rPr>
              <w:instrText xml:space="preserve"> REF  Judge  \* MERGEFORMAT </w:instrText>
            </w:r>
            <w:r w:rsidRPr="00D00E4C">
              <w:rPr>
                <w:b/>
              </w:rPr>
              <w:fldChar w:fldCharType="separate"/>
            </w:r>
            <w:r w:rsidRPr="00D00E4C">
              <w:rPr>
                <w:b/>
                <w:caps/>
                <w:szCs w:val="24"/>
              </w:rPr>
              <w:t>LEE J</w:t>
            </w:r>
            <w:r w:rsidRPr="00D00E4C">
              <w:rPr>
                <w:b/>
              </w:rPr>
              <w:fldChar w:fldCharType="end"/>
            </w:r>
          </w:p>
        </w:tc>
      </w:tr>
      <w:tr w:rsidR="00D00E4C" w:rsidTr="006F6581">
        <w:tc>
          <w:tcPr>
            <w:tcW w:w="3084" w:type="dxa"/>
            <w:shd w:val="clear" w:color="auto" w:fill="auto"/>
          </w:tcPr>
          <w:p w:rsidR="00D00E4C" w:rsidRDefault="00D00E4C" w:rsidP="00D00E4C">
            <w:pPr>
              <w:pStyle w:val="Normal1linespace"/>
              <w:widowControl w:val="0"/>
              <w:jc w:val="left"/>
            </w:pPr>
          </w:p>
        </w:tc>
        <w:tc>
          <w:tcPr>
            <w:tcW w:w="5989" w:type="dxa"/>
            <w:shd w:val="clear" w:color="auto" w:fill="auto"/>
          </w:tcPr>
          <w:p w:rsidR="00D00E4C" w:rsidRDefault="00D00E4C" w:rsidP="00D00E4C">
            <w:pPr>
              <w:pStyle w:val="Normal1linespace"/>
              <w:widowControl w:val="0"/>
              <w:jc w:val="left"/>
            </w:pPr>
          </w:p>
        </w:tc>
      </w:tr>
      <w:tr w:rsidR="00D00E4C" w:rsidTr="006F6581">
        <w:tc>
          <w:tcPr>
            <w:tcW w:w="3084" w:type="dxa"/>
            <w:shd w:val="clear" w:color="auto" w:fill="auto"/>
          </w:tcPr>
          <w:p w:rsidR="00D00E4C" w:rsidRDefault="00D00E4C" w:rsidP="00D00E4C">
            <w:pPr>
              <w:pStyle w:val="Normal1linespace"/>
              <w:widowControl w:val="0"/>
              <w:jc w:val="left"/>
            </w:pPr>
            <w:r>
              <w:t>Date of judgment:</w:t>
            </w:r>
          </w:p>
        </w:tc>
        <w:tc>
          <w:tcPr>
            <w:tcW w:w="5989" w:type="dxa"/>
            <w:shd w:val="clear" w:color="auto" w:fill="auto"/>
          </w:tcPr>
          <w:p w:rsidR="00D00E4C" w:rsidRDefault="003878B3" w:rsidP="00D00E4C">
            <w:pPr>
              <w:pStyle w:val="Normal1linespace"/>
              <w:widowControl w:val="0"/>
              <w:jc w:val="left"/>
            </w:pPr>
            <w:r>
              <w:t>21 September 2020</w:t>
            </w:r>
          </w:p>
        </w:tc>
      </w:tr>
      <w:tr w:rsidR="00D00E4C" w:rsidTr="006F6581">
        <w:tc>
          <w:tcPr>
            <w:tcW w:w="3084" w:type="dxa"/>
            <w:shd w:val="clear" w:color="auto" w:fill="auto"/>
          </w:tcPr>
          <w:p w:rsidR="00D00E4C" w:rsidRDefault="00D00E4C" w:rsidP="00D00E4C">
            <w:pPr>
              <w:pStyle w:val="Normal1linespace"/>
              <w:widowControl w:val="0"/>
              <w:jc w:val="left"/>
            </w:pPr>
          </w:p>
        </w:tc>
        <w:tc>
          <w:tcPr>
            <w:tcW w:w="5989" w:type="dxa"/>
            <w:shd w:val="clear" w:color="auto" w:fill="auto"/>
          </w:tcPr>
          <w:p w:rsidR="00D00E4C" w:rsidRDefault="00D00E4C" w:rsidP="00D00E4C">
            <w:pPr>
              <w:pStyle w:val="Normal1linespace"/>
              <w:widowControl w:val="0"/>
              <w:jc w:val="left"/>
            </w:pPr>
            <w:bookmarkStart w:id="1" w:name="_GoBack"/>
            <w:bookmarkEnd w:id="1"/>
          </w:p>
        </w:tc>
      </w:tr>
      <w:tr w:rsidR="00D00E4C" w:rsidTr="006F6581">
        <w:tc>
          <w:tcPr>
            <w:tcW w:w="3084" w:type="dxa"/>
            <w:shd w:val="clear" w:color="auto" w:fill="auto"/>
          </w:tcPr>
          <w:p w:rsidR="00D00E4C" w:rsidRDefault="00D00E4C" w:rsidP="00D00E4C">
            <w:pPr>
              <w:pStyle w:val="Normal1linespace"/>
              <w:widowControl w:val="0"/>
              <w:jc w:val="left"/>
            </w:pPr>
            <w:r>
              <w:t>Catchwords:</w:t>
            </w:r>
          </w:p>
        </w:tc>
        <w:tc>
          <w:tcPr>
            <w:tcW w:w="5989" w:type="dxa"/>
            <w:shd w:val="clear" w:color="auto" w:fill="auto"/>
          </w:tcPr>
          <w:p w:rsidR="00D00E4C" w:rsidRDefault="00BE1AFA" w:rsidP="006E3BAD">
            <w:pPr>
              <w:pStyle w:val="Normal1linespace"/>
              <w:widowControl w:val="0"/>
              <w:jc w:val="left"/>
            </w:pPr>
            <w:bookmarkStart w:id="2" w:name="Catchwords"/>
            <w:r w:rsidRPr="00BE1AFA">
              <w:rPr>
                <w:b/>
              </w:rPr>
              <w:t>MIGRATION</w:t>
            </w:r>
            <w:r>
              <w:t xml:space="preserve"> –</w:t>
            </w:r>
            <w:r w:rsidR="00C12ADC">
              <w:t xml:space="preserve"> </w:t>
            </w:r>
            <w:r>
              <w:t xml:space="preserve">cricket not the delight of everyone </w:t>
            </w:r>
            <w:r w:rsidR="0072718E">
              <w:t>–</w:t>
            </w:r>
            <w:r>
              <w:t xml:space="preserve"> Sri Lankan national</w:t>
            </w:r>
            <w:r w:rsidR="007F4CEE">
              <w:t xml:space="preserve"> –</w:t>
            </w:r>
            <w:r>
              <w:t xml:space="preserve"> application for </w:t>
            </w:r>
            <w:r w:rsidR="007F4CEE">
              <w:t xml:space="preserve">Safe Haven </w:t>
            </w:r>
            <w:r w:rsidR="003A19E3">
              <w:t xml:space="preserve">Enterprise </w:t>
            </w:r>
            <w:r w:rsidR="007F4CEE">
              <w:t xml:space="preserve">Visa </w:t>
            </w:r>
            <w:r w:rsidR="001320E7">
              <w:t>– adverse credibility finding</w:t>
            </w:r>
            <w:r>
              <w:t xml:space="preserve"> based on inconsistency in evidence concerning </w:t>
            </w:r>
            <w:r w:rsidRPr="0013777E">
              <w:rPr>
                <w:shd w:val="clear" w:color="auto" w:fill="FFFFFF"/>
              </w:rPr>
              <w:t xml:space="preserve">incident at a cricket </w:t>
            </w:r>
            <w:r w:rsidR="006E3BAD">
              <w:rPr>
                <w:shd w:val="clear" w:color="auto" w:fill="FFFFFF"/>
              </w:rPr>
              <w:t>ground</w:t>
            </w:r>
            <w:r w:rsidR="007F4CEE">
              <w:rPr>
                <w:shd w:val="clear" w:color="auto" w:fill="FFFFFF"/>
              </w:rPr>
              <w:t xml:space="preserve"> </w:t>
            </w:r>
            <w:r>
              <w:rPr>
                <w:shd w:val="clear" w:color="auto" w:fill="FFFFFF"/>
              </w:rPr>
              <w:t>– whether merely elaboration and expansion</w:t>
            </w:r>
            <w:r w:rsidR="00981247">
              <w:rPr>
                <w:shd w:val="clear" w:color="auto" w:fill="FFFFFF"/>
              </w:rPr>
              <w:t xml:space="preserve"> on earlier evidence</w:t>
            </w:r>
            <w:r>
              <w:rPr>
                <w:shd w:val="clear" w:color="auto" w:fill="FFFFFF"/>
              </w:rPr>
              <w:t xml:space="preserve"> – </w:t>
            </w:r>
            <w:r w:rsidR="007F4CEE">
              <w:rPr>
                <w:shd w:val="clear" w:color="auto" w:fill="FFFFFF"/>
              </w:rPr>
              <w:t xml:space="preserve">other evidence </w:t>
            </w:r>
            <w:r w:rsidR="00981247">
              <w:rPr>
                <w:shd w:val="clear" w:color="auto" w:fill="FFFFFF"/>
              </w:rPr>
              <w:t xml:space="preserve">generally </w:t>
            </w:r>
            <w:r w:rsidR="007F4CEE">
              <w:rPr>
                <w:shd w:val="clear" w:color="auto" w:fill="FFFFFF"/>
              </w:rPr>
              <w:t xml:space="preserve">accepted by Authority – whether adverse credibility finding legally unreasonable – </w:t>
            </w:r>
            <w:r>
              <w:rPr>
                <w:shd w:val="clear" w:color="auto" w:fill="FFFFFF"/>
              </w:rPr>
              <w:t>rational and intelligible reasons provided – identification of inconsistency not illogical or irrational – appeal dismissed</w:t>
            </w:r>
            <w:r w:rsidR="00D00E4C">
              <w:t xml:space="preserve"> </w:t>
            </w:r>
            <w:bookmarkEnd w:id="2"/>
          </w:p>
        </w:tc>
      </w:tr>
      <w:tr w:rsidR="00D00E4C" w:rsidTr="006F6581">
        <w:tc>
          <w:tcPr>
            <w:tcW w:w="3084" w:type="dxa"/>
            <w:shd w:val="clear" w:color="auto" w:fill="auto"/>
          </w:tcPr>
          <w:p w:rsidR="00D00E4C" w:rsidRDefault="00D00E4C" w:rsidP="00D00E4C">
            <w:pPr>
              <w:pStyle w:val="Normal1linespace"/>
              <w:widowControl w:val="0"/>
              <w:jc w:val="left"/>
            </w:pPr>
          </w:p>
        </w:tc>
        <w:tc>
          <w:tcPr>
            <w:tcW w:w="5989" w:type="dxa"/>
            <w:shd w:val="clear" w:color="auto" w:fill="auto"/>
          </w:tcPr>
          <w:p w:rsidR="00D00E4C" w:rsidRDefault="00D00E4C" w:rsidP="00D00E4C">
            <w:pPr>
              <w:pStyle w:val="Normal1linespace"/>
              <w:widowControl w:val="0"/>
              <w:jc w:val="left"/>
            </w:pPr>
          </w:p>
        </w:tc>
      </w:tr>
      <w:tr w:rsidR="00D00E4C" w:rsidTr="006F6581">
        <w:tc>
          <w:tcPr>
            <w:tcW w:w="3084" w:type="dxa"/>
            <w:shd w:val="clear" w:color="auto" w:fill="auto"/>
          </w:tcPr>
          <w:p w:rsidR="00D00E4C" w:rsidRDefault="00D00E4C" w:rsidP="00D00E4C">
            <w:pPr>
              <w:pStyle w:val="Normal1linespace"/>
              <w:widowControl w:val="0"/>
              <w:jc w:val="left"/>
            </w:pPr>
            <w:r>
              <w:t>Legislation:</w:t>
            </w:r>
          </w:p>
        </w:tc>
        <w:tc>
          <w:tcPr>
            <w:tcW w:w="5989" w:type="dxa"/>
            <w:shd w:val="clear" w:color="auto" w:fill="auto"/>
          </w:tcPr>
          <w:p w:rsidR="00D00E4C" w:rsidRDefault="001E15C0" w:rsidP="00D00E4C">
            <w:pPr>
              <w:pStyle w:val="CasesLegislationAppealFrom"/>
              <w:spacing w:after="60"/>
            </w:pPr>
            <w:bookmarkStart w:id="3" w:name="Legislation"/>
            <w:r w:rsidRPr="00DC30CA">
              <w:rPr>
                <w:i/>
              </w:rPr>
              <w:t>Migration Act 1958</w:t>
            </w:r>
            <w:r>
              <w:t xml:space="preserve"> (</w:t>
            </w:r>
            <w:proofErr w:type="spellStart"/>
            <w:r>
              <w:t>Cth</w:t>
            </w:r>
            <w:proofErr w:type="spellEnd"/>
            <w:r>
              <w:t xml:space="preserve">) </w:t>
            </w:r>
            <w:proofErr w:type="spellStart"/>
            <w:r>
              <w:t>ss</w:t>
            </w:r>
            <w:proofErr w:type="spellEnd"/>
            <w:r>
              <w:t xml:space="preserve"> 5H, 36, 473DC</w:t>
            </w:r>
            <w:r w:rsidR="00D00E4C">
              <w:t xml:space="preserve">   </w:t>
            </w:r>
            <w:bookmarkEnd w:id="3"/>
          </w:p>
        </w:tc>
      </w:tr>
      <w:tr w:rsidR="001E15C0" w:rsidTr="006F6581">
        <w:tc>
          <w:tcPr>
            <w:tcW w:w="3084" w:type="dxa"/>
            <w:shd w:val="clear" w:color="auto" w:fill="auto"/>
          </w:tcPr>
          <w:p w:rsidR="001E15C0" w:rsidRDefault="001E15C0" w:rsidP="00D00E4C">
            <w:pPr>
              <w:pStyle w:val="Normal1linespace"/>
              <w:widowControl w:val="0"/>
              <w:jc w:val="left"/>
            </w:pPr>
          </w:p>
        </w:tc>
        <w:tc>
          <w:tcPr>
            <w:tcW w:w="5989" w:type="dxa"/>
            <w:shd w:val="clear" w:color="auto" w:fill="auto"/>
          </w:tcPr>
          <w:p w:rsidR="001E15C0" w:rsidRDefault="001E15C0" w:rsidP="00D00E4C">
            <w:pPr>
              <w:pStyle w:val="CasesLegislationAppealFrom"/>
              <w:spacing w:after="60"/>
            </w:pPr>
          </w:p>
        </w:tc>
      </w:tr>
      <w:tr w:rsidR="00D00E4C" w:rsidTr="006F6581">
        <w:tc>
          <w:tcPr>
            <w:tcW w:w="3084" w:type="dxa"/>
            <w:shd w:val="clear" w:color="auto" w:fill="auto"/>
          </w:tcPr>
          <w:p w:rsidR="00D00E4C" w:rsidRDefault="00D00E4C" w:rsidP="00D00E4C">
            <w:pPr>
              <w:pStyle w:val="Normal1linespace"/>
              <w:widowControl w:val="0"/>
              <w:jc w:val="left"/>
            </w:pPr>
            <w:r>
              <w:t>Cases cited:</w:t>
            </w:r>
          </w:p>
        </w:tc>
        <w:tc>
          <w:tcPr>
            <w:tcW w:w="5989" w:type="dxa"/>
            <w:shd w:val="clear" w:color="auto" w:fill="auto"/>
          </w:tcPr>
          <w:p w:rsidR="001E15C0" w:rsidRDefault="001E15C0" w:rsidP="001E15C0">
            <w:pPr>
              <w:pStyle w:val="CasesLegislationAppealFrom"/>
              <w:spacing w:after="60"/>
              <w:rPr>
                <w:color w:val="000000"/>
                <w:szCs w:val="24"/>
                <w:shd w:val="clear" w:color="auto" w:fill="FFFFFF"/>
              </w:rPr>
            </w:pPr>
            <w:bookmarkStart w:id="4" w:name="Cases_Cited"/>
            <w:r w:rsidRPr="007F4CEE">
              <w:rPr>
                <w:i/>
                <w:color w:val="000000"/>
                <w:szCs w:val="24"/>
                <w:shd w:val="clear" w:color="auto" w:fill="FFFFFF"/>
              </w:rPr>
              <w:t>Applicant NAFF of 2002 v Minister for Immigration and Multicultural and Indigenous Affairs</w:t>
            </w:r>
            <w:r w:rsidRPr="007F4CEE">
              <w:rPr>
                <w:color w:val="000000"/>
                <w:szCs w:val="24"/>
                <w:shd w:val="clear" w:color="auto" w:fill="FFFFFF"/>
              </w:rPr>
              <w:t xml:space="preserve"> [2004] HCA 62; (2004) 221 CLR 1</w:t>
            </w:r>
          </w:p>
          <w:p w:rsidR="001E15C0" w:rsidRDefault="001E15C0" w:rsidP="001E15C0">
            <w:pPr>
              <w:pStyle w:val="CasesLegislationAppealFrom"/>
              <w:spacing w:after="60"/>
              <w:rPr>
                <w:shd w:val="clear" w:color="auto" w:fill="FFFFFF"/>
              </w:rPr>
            </w:pPr>
            <w:r w:rsidRPr="00B77CAD">
              <w:rPr>
                <w:i/>
                <w:shd w:val="clear" w:color="auto" w:fill="FFFFFF"/>
              </w:rPr>
              <w:t>CQG15 v Minister for Immigration and Border Protection</w:t>
            </w:r>
            <w:r>
              <w:rPr>
                <w:shd w:val="clear" w:color="auto" w:fill="FFFFFF"/>
              </w:rPr>
              <w:t xml:space="preserve"> </w:t>
            </w:r>
            <w:r w:rsidRPr="009615E6">
              <w:rPr>
                <w:shd w:val="clear" w:color="auto" w:fill="FFFFFF"/>
              </w:rPr>
              <w:t>[2016] FCAFC 146</w:t>
            </w:r>
            <w:r>
              <w:rPr>
                <w:shd w:val="clear" w:color="auto" w:fill="FFFFFF"/>
              </w:rPr>
              <w:t xml:space="preserve">; </w:t>
            </w:r>
            <w:r w:rsidRPr="00B77CAD">
              <w:rPr>
                <w:color w:val="000000"/>
                <w:shd w:val="clear" w:color="auto" w:fill="FFFFFF"/>
              </w:rPr>
              <w:t>(2016) 253 FCR 496</w:t>
            </w:r>
            <w:r w:rsidRPr="009615E6">
              <w:rPr>
                <w:shd w:val="clear" w:color="auto" w:fill="FFFFFF"/>
              </w:rPr>
              <w:t xml:space="preserve"> </w:t>
            </w:r>
          </w:p>
          <w:p w:rsidR="001E15C0" w:rsidRDefault="00152682" w:rsidP="00D00E4C">
            <w:pPr>
              <w:pStyle w:val="CasesLegislationAppealFrom"/>
              <w:spacing w:after="60"/>
            </w:pPr>
            <w:r>
              <w:rPr>
                <w:i/>
              </w:rPr>
              <w:t>DGZ16 v Minister for I</w:t>
            </w:r>
            <w:r w:rsidR="001E15C0" w:rsidRPr="00BA2E03">
              <w:rPr>
                <w:i/>
              </w:rPr>
              <w:t>mmigration and Border Protection</w:t>
            </w:r>
            <w:r w:rsidR="001E15C0">
              <w:t xml:space="preserve"> [2018] FCAFC 12; (2018) 258 FCR 551</w:t>
            </w:r>
          </w:p>
          <w:p w:rsidR="001E15C0" w:rsidRPr="00E715D7" w:rsidRDefault="001E15C0" w:rsidP="00D00E4C">
            <w:pPr>
              <w:pStyle w:val="CasesLegislationAppealFrom"/>
              <w:spacing w:after="60"/>
            </w:pPr>
            <w:r w:rsidRPr="00EF1968">
              <w:rPr>
                <w:i/>
              </w:rPr>
              <w:t xml:space="preserve">DOF16 v </w:t>
            </w:r>
            <w:r w:rsidRPr="00E715D7">
              <w:rPr>
                <w:i/>
              </w:rPr>
              <w:t>Minister for Immigration, Citizenship, Migrant Services and Multicultural Affairs</w:t>
            </w:r>
            <w:r w:rsidRPr="00E715D7">
              <w:t xml:space="preserve"> [2019] FCCA 3539</w:t>
            </w:r>
          </w:p>
          <w:p w:rsidR="001E15C0" w:rsidRPr="00E715D7" w:rsidRDefault="001E15C0" w:rsidP="00D00E4C">
            <w:pPr>
              <w:pStyle w:val="CasesLegislationAppealFrom"/>
              <w:spacing w:after="60"/>
              <w:rPr>
                <w:shd w:val="clear" w:color="auto" w:fill="FFFFFF"/>
              </w:rPr>
            </w:pPr>
            <w:r w:rsidRPr="00E715D7">
              <w:rPr>
                <w:i/>
              </w:rPr>
              <w:t xml:space="preserve">Miller v </w:t>
            </w:r>
            <w:r w:rsidRPr="00E715D7">
              <w:rPr>
                <w:i/>
                <w:shd w:val="clear" w:color="auto" w:fill="FFFFFF"/>
              </w:rPr>
              <w:t>Jackson</w:t>
            </w:r>
            <w:r w:rsidRPr="00E715D7">
              <w:rPr>
                <w:shd w:val="clear" w:color="auto" w:fill="FFFFFF"/>
              </w:rPr>
              <w:t xml:space="preserve"> [1977] QB 966</w:t>
            </w:r>
          </w:p>
          <w:p w:rsidR="001E15C0" w:rsidRDefault="001E15C0" w:rsidP="001E15C0">
            <w:pPr>
              <w:pStyle w:val="CasesLegislationAppealFrom"/>
              <w:spacing w:after="60"/>
            </w:pPr>
            <w:r w:rsidRPr="00E715D7">
              <w:rPr>
                <w:i/>
                <w:shd w:val="clear" w:color="auto" w:fill="FFFFFF"/>
              </w:rPr>
              <w:t>Minister for Immigration and Citizenship v SZMDS</w:t>
            </w:r>
            <w:r w:rsidRPr="00E715D7">
              <w:rPr>
                <w:shd w:val="clear" w:color="auto" w:fill="FFFFFF"/>
              </w:rPr>
              <w:t xml:space="preserve"> [2010] HCA 16; (2010) 240 CLR 611 </w:t>
            </w:r>
            <w:r w:rsidRPr="00E715D7">
              <w:t xml:space="preserve">  </w:t>
            </w:r>
          </w:p>
          <w:p w:rsidR="00563117" w:rsidRPr="00E715D7" w:rsidRDefault="00563117" w:rsidP="001E15C0">
            <w:pPr>
              <w:pStyle w:val="CasesLegislationAppealFrom"/>
              <w:spacing w:after="60"/>
            </w:pPr>
            <w:r w:rsidRPr="00563117">
              <w:rPr>
                <w:i/>
              </w:rPr>
              <w:t>Minister for Immigration and Ethnic Affairs v Wu Shan Liang</w:t>
            </w:r>
            <w:r>
              <w:t xml:space="preserve"> (1996) 185 CLR 259</w:t>
            </w:r>
          </w:p>
          <w:p w:rsidR="001E15C0" w:rsidRPr="00E715D7" w:rsidRDefault="001E15C0" w:rsidP="001E15C0">
            <w:pPr>
              <w:pStyle w:val="CasesLegislationAppealFrom"/>
              <w:spacing w:after="60"/>
              <w:rPr>
                <w:szCs w:val="24"/>
                <w:shd w:val="clear" w:color="auto" w:fill="FFFFFF"/>
              </w:rPr>
            </w:pPr>
            <w:r w:rsidRPr="00E715D7">
              <w:rPr>
                <w:i/>
                <w:szCs w:val="24"/>
                <w:shd w:val="clear" w:color="auto" w:fill="FFFFFF"/>
              </w:rPr>
              <w:t xml:space="preserve">Re Refugee Review Tribunal; Ex parte </w:t>
            </w:r>
            <w:proofErr w:type="spellStart"/>
            <w:r w:rsidRPr="00E715D7">
              <w:rPr>
                <w:i/>
                <w:szCs w:val="24"/>
                <w:shd w:val="clear" w:color="auto" w:fill="FFFFFF"/>
              </w:rPr>
              <w:t>Aala</w:t>
            </w:r>
            <w:proofErr w:type="spellEnd"/>
            <w:r w:rsidRPr="00E715D7">
              <w:rPr>
                <w:szCs w:val="24"/>
                <w:shd w:val="clear" w:color="auto" w:fill="FFFFFF"/>
              </w:rPr>
              <w:t xml:space="preserve"> [2000] HCA 57; (2000) 204 CLR 82</w:t>
            </w:r>
          </w:p>
          <w:p w:rsidR="001E15C0" w:rsidRPr="00E715D7" w:rsidRDefault="001E15C0" w:rsidP="001E15C0">
            <w:pPr>
              <w:pStyle w:val="CasesLegislationAppealFrom"/>
              <w:spacing w:after="60"/>
              <w:rPr>
                <w:shd w:val="clear" w:color="auto" w:fill="FFFFFF"/>
              </w:rPr>
            </w:pPr>
            <w:r w:rsidRPr="00E715D7">
              <w:rPr>
                <w:i/>
                <w:shd w:val="clear" w:color="auto" w:fill="FFFFFF"/>
              </w:rPr>
              <w:t>SZSHV v Minister for Immigration and Border Protection</w:t>
            </w:r>
            <w:r w:rsidRPr="00E715D7">
              <w:rPr>
                <w:shd w:val="clear" w:color="auto" w:fill="FFFFFF"/>
              </w:rPr>
              <w:t xml:space="preserve"> [2014] FCA 253</w:t>
            </w:r>
          </w:p>
          <w:p w:rsidR="001E15C0" w:rsidRDefault="001E15C0" w:rsidP="00D00E4C">
            <w:pPr>
              <w:pStyle w:val="CasesLegislationAppealFrom"/>
              <w:spacing w:after="60"/>
              <w:rPr>
                <w:color w:val="000000"/>
                <w:shd w:val="clear" w:color="auto" w:fill="FFFFFF"/>
              </w:rPr>
            </w:pPr>
            <w:r w:rsidRPr="00E715D7">
              <w:rPr>
                <w:i/>
              </w:rPr>
              <w:t xml:space="preserve">SZTFQ </w:t>
            </w:r>
            <w:r w:rsidRPr="00E715D7">
              <w:rPr>
                <w:i/>
                <w:shd w:val="clear" w:color="auto" w:fill="FFFFFF"/>
              </w:rPr>
              <w:t xml:space="preserve">v Minister for Immigration </w:t>
            </w:r>
            <w:r w:rsidRPr="007F4CEE">
              <w:rPr>
                <w:i/>
                <w:color w:val="000000"/>
                <w:shd w:val="clear" w:color="auto" w:fill="FFFFFF"/>
              </w:rPr>
              <w:t>and Border Protection</w:t>
            </w:r>
            <w:r w:rsidRPr="007F4CEE">
              <w:rPr>
                <w:color w:val="000000"/>
                <w:shd w:val="clear" w:color="auto" w:fill="FFFFFF"/>
              </w:rPr>
              <w:t xml:space="preserve"> </w:t>
            </w:r>
            <w:r w:rsidRPr="007F4CEE">
              <w:rPr>
                <w:color w:val="000000"/>
                <w:shd w:val="clear" w:color="auto" w:fill="FFFFFF"/>
              </w:rPr>
              <w:lastRenderedPageBreak/>
              <w:t>[2017] FCA 562</w:t>
            </w:r>
          </w:p>
          <w:bookmarkEnd w:id="4"/>
          <w:p w:rsidR="00D00E4C" w:rsidRDefault="001E15C0" w:rsidP="001E15C0">
            <w:pPr>
              <w:pStyle w:val="CasesLegislationAppealFrom"/>
              <w:spacing w:after="60"/>
            </w:pPr>
            <w:r w:rsidRPr="007F4CEE">
              <w:rPr>
                <w:i/>
                <w:color w:val="000000"/>
                <w:shd w:val="clear" w:color="auto" w:fill="FFFFFF"/>
              </w:rPr>
              <w:t>VAAD v Minister for Immigration &amp; Multicultural Affairs</w:t>
            </w:r>
            <w:r>
              <w:rPr>
                <w:color w:val="000000"/>
                <w:shd w:val="clear" w:color="auto" w:fill="FFFFFF"/>
              </w:rPr>
              <w:t xml:space="preserve"> [2005] FCAFC 117</w:t>
            </w:r>
          </w:p>
        </w:tc>
      </w:tr>
      <w:tr w:rsidR="00D00E4C" w:rsidTr="006F6581">
        <w:tc>
          <w:tcPr>
            <w:tcW w:w="3084" w:type="dxa"/>
            <w:shd w:val="clear" w:color="auto" w:fill="auto"/>
          </w:tcPr>
          <w:p w:rsidR="00D00E4C" w:rsidRDefault="00D00E4C" w:rsidP="00D00E4C">
            <w:pPr>
              <w:pStyle w:val="Normal1linespace"/>
              <w:widowControl w:val="0"/>
            </w:pPr>
          </w:p>
        </w:tc>
        <w:tc>
          <w:tcPr>
            <w:tcW w:w="5989" w:type="dxa"/>
            <w:shd w:val="clear" w:color="auto" w:fill="auto"/>
          </w:tcPr>
          <w:p w:rsidR="00D00E4C" w:rsidRDefault="00D00E4C" w:rsidP="00D00E4C">
            <w:pPr>
              <w:pStyle w:val="Normal1linespace"/>
              <w:widowControl w:val="0"/>
              <w:jc w:val="left"/>
            </w:pPr>
          </w:p>
        </w:tc>
      </w:tr>
      <w:tr w:rsidR="00D00E4C" w:rsidTr="006F6581">
        <w:tc>
          <w:tcPr>
            <w:tcW w:w="3084" w:type="dxa"/>
            <w:shd w:val="clear" w:color="auto" w:fill="auto"/>
          </w:tcPr>
          <w:p w:rsidR="00D00E4C" w:rsidRDefault="00D00E4C" w:rsidP="00D00E4C">
            <w:pPr>
              <w:pStyle w:val="Normal1linespace"/>
              <w:widowControl w:val="0"/>
            </w:pPr>
            <w:r>
              <w:t>Division:</w:t>
            </w:r>
          </w:p>
        </w:tc>
        <w:tc>
          <w:tcPr>
            <w:tcW w:w="5989" w:type="dxa"/>
            <w:shd w:val="clear" w:color="auto" w:fill="auto"/>
          </w:tcPr>
          <w:p w:rsidR="00D00E4C" w:rsidRPr="00F17599" w:rsidRDefault="0093791E" w:rsidP="00D00E4C">
            <w:pPr>
              <w:pStyle w:val="Normal1linespace"/>
              <w:widowControl w:val="0"/>
              <w:jc w:val="left"/>
            </w:pPr>
            <w:r>
              <w:fldChar w:fldCharType="begin" w:fldLock="1"/>
            </w:r>
            <w:r>
              <w:instrText xml:space="preserve"> DOCPROPERTY  Division </w:instrText>
            </w:r>
            <w:r>
              <w:fldChar w:fldCharType="separate"/>
            </w:r>
            <w:r w:rsidR="00D00E4C">
              <w:t>General Division</w:t>
            </w:r>
            <w:r>
              <w:fldChar w:fldCharType="end"/>
            </w:r>
          </w:p>
        </w:tc>
      </w:tr>
      <w:tr w:rsidR="00D00E4C" w:rsidTr="006F6581">
        <w:tc>
          <w:tcPr>
            <w:tcW w:w="3084" w:type="dxa"/>
            <w:shd w:val="clear" w:color="auto" w:fill="auto"/>
          </w:tcPr>
          <w:p w:rsidR="00D00E4C" w:rsidRDefault="00D00E4C" w:rsidP="00D00E4C">
            <w:pPr>
              <w:pStyle w:val="Normal1linespace"/>
              <w:widowControl w:val="0"/>
            </w:pPr>
            <w:bookmarkStart w:id="5" w:name="Registry_rows" w:colFirst="0" w:colLast="1"/>
          </w:p>
        </w:tc>
        <w:tc>
          <w:tcPr>
            <w:tcW w:w="5989" w:type="dxa"/>
            <w:shd w:val="clear" w:color="auto" w:fill="auto"/>
          </w:tcPr>
          <w:p w:rsidR="00D00E4C" w:rsidRDefault="00D00E4C" w:rsidP="00D00E4C">
            <w:pPr>
              <w:pStyle w:val="Normal1linespace"/>
              <w:widowControl w:val="0"/>
              <w:jc w:val="left"/>
            </w:pPr>
          </w:p>
        </w:tc>
      </w:tr>
      <w:tr w:rsidR="00D00E4C" w:rsidTr="006F6581">
        <w:tc>
          <w:tcPr>
            <w:tcW w:w="3084" w:type="dxa"/>
            <w:shd w:val="clear" w:color="auto" w:fill="auto"/>
          </w:tcPr>
          <w:p w:rsidR="00D00E4C" w:rsidRDefault="00D00E4C" w:rsidP="00D00E4C">
            <w:pPr>
              <w:pStyle w:val="Normal1linespace"/>
              <w:widowControl w:val="0"/>
            </w:pPr>
            <w:r>
              <w:t>Registry:</w:t>
            </w:r>
          </w:p>
        </w:tc>
        <w:tc>
          <w:tcPr>
            <w:tcW w:w="5989" w:type="dxa"/>
            <w:shd w:val="clear" w:color="auto" w:fill="auto"/>
          </w:tcPr>
          <w:p w:rsidR="00D00E4C" w:rsidRPr="00F17599" w:rsidRDefault="0093791E" w:rsidP="00D00E4C">
            <w:pPr>
              <w:pStyle w:val="Normal1linespace"/>
              <w:widowControl w:val="0"/>
              <w:jc w:val="left"/>
            </w:pPr>
            <w:r>
              <w:fldChar w:fldCharType="begin" w:fldLock="1"/>
            </w:r>
            <w:r>
              <w:instrText xml:space="preserve"> DOCPROPERTY  Registry </w:instrText>
            </w:r>
            <w:r>
              <w:fldChar w:fldCharType="separate"/>
            </w:r>
            <w:r w:rsidR="00D00E4C">
              <w:t>New South Wales</w:t>
            </w:r>
            <w:r>
              <w:fldChar w:fldCharType="end"/>
            </w:r>
          </w:p>
        </w:tc>
      </w:tr>
      <w:tr w:rsidR="00BB6969" w:rsidTr="006F6581">
        <w:tc>
          <w:tcPr>
            <w:tcW w:w="3084" w:type="dxa"/>
            <w:shd w:val="clear" w:color="auto" w:fill="auto"/>
          </w:tcPr>
          <w:p w:rsidR="00BB6969" w:rsidRDefault="00BB6969" w:rsidP="00D00E4C">
            <w:pPr>
              <w:pStyle w:val="Normal1linespace"/>
              <w:widowControl w:val="0"/>
            </w:pPr>
          </w:p>
        </w:tc>
        <w:tc>
          <w:tcPr>
            <w:tcW w:w="5989" w:type="dxa"/>
            <w:shd w:val="clear" w:color="auto" w:fill="auto"/>
          </w:tcPr>
          <w:p w:rsidR="00BB6969" w:rsidRDefault="00BB6969" w:rsidP="00D00E4C">
            <w:pPr>
              <w:pStyle w:val="Normal1linespace"/>
              <w:widowControl w:val="0"/>
              <w:jc w:val="left"/>
            </w:pPr>
          </w:p>
        </w:tc>
      </w:tr>
      <w:bookmarkEnd w:id="5"/>
      <w:tr w:rsidR="00BB6969" w:rsidRPr="00F17599" w:rsidTr="00BB6969">
        <w:tc>
          <w:tcPr>
            <w:tcW w:w="3084" w:type="dxa"/>
            <w:shd w:val="clear" w:color="auto" w:fill="auto"/>
          </w:tcPr>
          <w:p w:rsidR="00BB6969" w:rsidRDefault="00BB6969" w:rsidP="00E46309">
            <w:pPr>
              <w:pStyle w:val="Normal1linespace"/>
              <w:widowControl w:val="0"/>
            </w:pPr>
            <w:r>
              <w:t>National Practice Area:</w:t>
            </w:r>
          </w:p>
        </w:tc>
        <w:tc>
          <w:tcPr>
            <w:tcW w:w="5989" w:type="dxa"/>
            <w:shd w:val="clear" w:color="auto" w:fill="auto"/>
          </w:tcPr>
          <w:p w:rsidR="00BB6969" w:rsidRPr="00BB6969" w:rsidRDefault="0093791E" w:rsidP="00E46309">
            <w:pPr>
              <w:pStyle w:val="Normal1linespace"/>
              <w:widowControl w:val="0"/>
              <w:jc w:val="left"/>
            </w:pPr>
            <w:r>
              <w:fldChar w:fldCharType="begin" w:fldLock="1"/>
            </w:r>
            <w:r>
              <w:instrText xml:space="preserve"> DOCPROPERTY  "Practice Area"  \* MERGEFORMAT </w:instrText>
            </w:r>
            <w:r>
              <w:fldChar w:fldCharType="separate"/>
            </w:r>
            <w:r w:rsidR="00BB6969">
              <w:t>Administrative and Constitutional Law and Human Rights</w:t>
            </w:r>
            <w:r>
              <w:fldChar w:fldCharType="end"/>
            </w:r>
          </w:p>
        </w:tc>
      </w:tr>
      <w:tr w:rsidR="00BB6969" w:rsidTr="00BB6969">
        <w:tc>
          <w:tcPr>
            <w:tcW w:w="3084" w:type="dxa"/>
            <w:shd w:val="clear" w:color="auto" w:fill="auto"/>
          </w:tcPr>
          <w:p w:rsidR="00BB6969" w:rsidRDefault="00BB6969" w:rsidP="00E46309">
            <w:pPr>
              <w:pStyle w:val="Normal1linespace"/>
              <w:widowControl w:val="0"/>
            </w:pPr>
          </w:p>
        </w:tc>
        <w:tc>
          <w:tcPr>
            <w:tcW w:w="5989" w:type="dxa"/>
            <w:shd w:val="clear" w:color="auto" w:fill="auto"/>
          </w:tcPr>
          <w:p w:rsidR="00BB6969" w:rsidRDefault="00BB6969" w:rsidP="00E46309">
            <w:pPr>
              <w:pStyle w:val="Normal1linespace"/>
              <w:widowControl w:val="0"/>
              <w:jc w:val="left"/>
            </w:pPr>
          </w:p>
        </w:tc>
      </w:tr>
      <w:tr w:rsidR="00BB6969" w:rsidTr="00BB6969">
        <w:tc>
          <w:tcPr>
            <w:tcW w:w="3084" w:type="dxa"/>
            <w:shd w:val="clear" w:color="auto" w:fill="auto"/>
          </w:tcPr>
          <w:p w:rsidR="00BB6969" w:rsidRDefault="00BB6969" w:rsidP="00E46309">
            <w:pPr>
              <w:pStyle w:val="Normal1linespace"/>
              <w:widowControl w:val="0"/>
            </w:pPr>
            <w:r>
              <w:t>Number of paragraphs:</w:t>
            </w:r>
          </w:p>
        </w:tc>
        <w:tc>
          <w:tcPr>
            <w:tcW w:w="5989" w:type="dxa"/>
            <w:shd w:val="clear" w:color="auto" w:fill="auto"/>
          </w:tcPr>
          <w:p w:rsidR="00BB6969" w:rsidRDefault="00BB6969" w:rsidP="00E46309">
            <w:pPr>
              <w:pStyle w:val="Normal1linespace"/>
              <w:widowControl w:val="0"/>
              <w:jc w:val="left"/>
            </w:pPr>
            <w:bookmarkStart w:id="6" w:name="PlaceCategoryParagraphs"/>
            <w:r>
              <w:t>2</w:t>
            </w:r>
            <w:bookmarkEnd w:id="6"/>
            <w:r w:rsidR="00597644">
              <w:t>3</w:t>
            </w:r>
          </w:p>
        </w:tc>
      </w:tr>
      <w:tr w:rsidR="00BB6969" w:rsidTr="00BB6969">
        <w:tc>
          <w:tcPr>
            <w:tcW w:w="3084" w:type="dxa"/>
            <w:shd w:val="clear" w:color="auto" w:fill="auto"/>
          </w:tcPr>
          <w:p w:rsidR="00BB6969" w:rsidRDefault="00BB6969" w:rsidP="00BB6969">
            <w:pPr>
              <w:pStyle w:val="Normal1linespace"/>
              <w:widowControl w:val="0"/>
            </w:pPr>
          </w:p>
        </w:tc>
        <w:tc>
          <w:tcPr>
            <w:tcW w:w="5989" w:type="dxa"/>
            <w:shd w:val="clear" w:color="auto" w:fill="auto"/>
          </w:tcPr>
          <w:p w:rsidR="00BB6969" w:rsidRDefault="00BB6969" w:rsidP="00E46309">
            <w:pPr>
              <w:pStyle w:val="Normal1linespace"/>
              <w:widowControl w:val="0"/>
              <w:jc w:val="left"/>
            </w:pPr>
          </w:p>
        </w:tc>
      </w:tr>
      <w:tr w:rsidR="00BB6969" w:rsidTr="00BB6969">
        <w:tc>
          <w:tcPr>
            <w:tcW w:w="3084" w:type="dxa"/>
            <w:shd w:val="clear" w:color="auto" w:fill="auto"/>
          </w:tcPr>
          <w:p w:rsidR="00BB6969" w:rsidRDefault="00BB6969" w:rsidP="00BB6969">
            <w:pPr>
              <w:pStyle w:val="Normal1linespace"/>
              <w:widowControl w:val="0"/>
            </w:pPr>
            <w:r w:rsidRPr="006A24E3">
              <w:t>Date of hearing:</w:t>
            </w:r>
          </w:p>
        </w:tc>
        <w:tc>
          <w:tcPr>
            <w:tcW w:w="5989" w:type="dxa"/>
            <w:shd w:val="clear" w:color="auto" w:fill="auto"/>
          </w:tcPr>
          <w:p w:rsidR="00BB6969" w:rsidRDefault="00BB6969" w:rsidP="00E46309">
            <w:pPr>
              <w:pStyle w:val="Normal1linespace"/>
              <w:widowControl w:val="0"/>
              <w:jc w:val="left"/>
            </w:pPr>
            <w:bookmarkStart w:id="7" w:name="HearingDate"/>
            <w:r>
              <w:t xml:space="preserve">21 September 2020 </w:t>
            </w:r>
            <w:bookmarkEnd w:id="7"/>
          </w:p>
        </w:tc>
      </w:tr>
      <w:tr w:rsidR="00BB6969" w:rsidTr="00BB6969">
        <w:tc>
          <w:tcPr>
            <w:tcW w:w="3084" w:type="dxa"/>
            <w:shd w:val="clear" w:color="auto" w:fill="auto"/>
          </w:tcPr>
          <w:p w:rsidR="00BB6969" w:rsidRDefault="00BB6969" w:rsidP="00BB6969">
            <w:pPr>
              <w:pStyle w:val="Normal1linespace"/>
              <w:widowControl w:val="0"/>
            </w:pPr>
          </w:p>
        </w:tc>
        <w:tc>
          <w:tcPr>
            <w:tcW w:w="5989" w:type="dxa"/>
            <w:shd w:val="clear" w:color="auto" w:fill="auto"/>
          </w:tcPr>
          <w:p w:rsidR="00BB6969" w:rsidRDefault="00BB6969" w:rsidP="00E46309">
            <w:pPr>
              <w:pStyle w:val="Normal1linespace"/>
              <w:widowControl w:val="0"/>
              <w:jc w:val="left"/>
            </w:pPr>
          </w:p>
        </w:tc>
      </w:tr>
      <w:tr w:rsidR="00BB6969" w:rsidTr="00BB6969">
        <w:tc>
          <w:tcPr>
            <w:tcW w:w="3084" w:type="dxa"/>
            <w:shd w:val="clear" w:color="auto" w:fill="auto"/>
          </w:tcPr>
          <w:p w:rsidR="00BB6969" w:rsidRDefault="00BB6969" w:rsidP="00BB6969">
            <w:pPr>
              <w:pStyle w:val="Normal1linespace"/>
              <w:widowControl w:val="0"/>
            </w:pPr>
            <w:r>
              <w:t>Counsel for the Appellant:</w:t>
            </w:r>
          </w:p>
        </w:tc>
        <w:tc>
          <w:tcPr>
            <w:tcW w:w="5989" w:type="dxa"/>
            <w:shd w:val="clear" w:color="auto" w:fill="auto"/>
          </w:tcPr>
          <w:p w:rsidR="00BB6969" w:rsidRDefault="001E15C0" w:rsidP="00BB6969">
            <w:pPr>
              <w:pStyle w:val="Normal1linespace"/>
              <w:widowControl w:val="0"/>
              <w:jc w:val="left"/>
            </w:pPr>
            <w:r>
              <w:t>Mr G Foster</w:t>
            </w:r>
          </w:p>
        </w:tc>
      </w:tr>
      <w:tr w:rsidR="00BB6969" w:rsidTr="00BB6969">
        <w:tc>
          <w:tcPr>
            <w:tcW w:w="3084" w:type="dxa"/>
            <w:shd w:val="clear" w:color="auto" w:fill="auto"/>
          </w:tcPr>
          <w:p w:rsidR="00BB6969" w:rsidRDefault="00BB6969" w:rsidP="00BB6969">
            <w:pPr>
              <w:pStyle w:val="Normal1linespace"/>
              <w:widowControl w:val="0"/>
            </w:pPr>
          </w:p>
        </w:tc>
        <w:tc>
          <w:tcPr>
            <w:tcW w:w="5989" w:type="dxa"/>
            <w:shd w:val="clear" w:color="auto" w:fill="auto"/>
          </w:tcPr>
          <w:p w:rsidR="00BB6969" w:rsidRDefault="00BB6969" w:rsidP="00BB6969">
            <w:pPr>
              <w:pStyle w:val="Normal1linespace"/>
              <w:widowControl w:val="0"/>
              <w:jc w:val="left"/>
            </w:pPr>
          </w:p>
        </w:tc>
      </w:tr>
      <w:tr w:rsidR="00BB6969" w:rsidTr="00BB6969">
        <w:tc>
          <w:tcPr>
            <w:tcW w:w="3084" w:type="dxa"/>
            <w:shd w:val="clear" w:color="auto" w:fill="auto"/>
          </w:tcPr>
          <w:p w:rsidR="00BB6969" w:rsidRDefault="00BB6969" w:rsidP="00BB6969">
            <w:pPr>
              <w:pStyle w:val="Normal1linespace"/>
              <w:widowControl w:val="0"/>
            </w:pPr>
            <w:r>
              <w:t>Solicitor for the Appellant:</w:t>
            </w:r>
          </w:p>
        </w:tc>
        <w:tc>
          <w:tcPr>
            <w:tcW w:w="5989" w:type="dxa"/>
            <w:shd w:val="clear" w:color="auto" w:fill="auto"/>
          </w:tcPr>
          <w:p w:rsidR="00BB6969" w:rsidRDefault="001E15C0" w:rsidP="00BB6969">
            <w:pPr>
              <w:pStyle w:val="Normal1linespace"/>
            </w:pPr>
            <w:proofErr w:type="spellStart"/>
            <w:r>
              <w:t>Sentil</w:t>
            </w:r>
            <w:proofErr w:type="spellEnd"/>
            <w:r>
              <w:t xml:space="preserve"> Solicitor</w:t>
            </w:r>
          </w:p>
        </w:tc>
      </w:tr>
      <w:tr w:rsidR="00BB6969" w:rsidTr="00BB6969">
        <w:tc>
          <w:tcPr>
            <w:tcW w:w="3084" w:type="dxa"/>
            <w:shd w:val="clear" w:color="auto" w:fill="auto"/>
          </w:tcPr>
          <w:p w:rsidR="00BB6969" w:rsidRDefault="00BB6969" w:rsidP="00BB6969">
            <w:pPr>
              <w:pStyle w:val="Normal1linespace"/>
              <w:widowControl w:val="0"/>
            </w:pPr>
          </w:p>
        </w:tc>
        <w:tc>
          <w:tcPr>
            <w:tcW w:w="5989" w:type="dxa"/>
            <w:shd w:val="clear" w:color="auto" w:fill="auto"/>
          </w:tcPr>
          <w:p w:rsidR="00BB6969" w:rsidRDefault="00BB6969" w:rsidP="00BB6969">
            <w:pPr>
              <w:pStyle w:val="Normal1linespace"/>
            </w:pPr>
          </w:p>
        </w:tc>
      </w:tr>
      <w:tr w:rsidR="00BB6969" w:rsidTr="00BB6969">
        <w:tc>
          <w:tcPr>
            <w:tcW w:w="3084" w:type="dxa"/>
            <w:shd w:val="clear" w:color="auto" w:fill="auto"/>
          </w:tcPr>
          <w:p w:rsidR="00BB6969" w:rsidRDefault="00BB6969" w:rsidP="00BB6969">
            <w:pPr>
              <w:pStyle w:val="Normal1linespace"/>
              <w:widowControl w:val="0"/>
              <w:jc w:val="left"/>
            </w:pPr>
            <w:r>
              <w:t>Counsel for the First Respondent:</w:t>
            </w:r>
          </w:p>
        </w:tc>
        <w:tc>
          <w:tcPr>
            <w:tcW w:w="5989" w:type="dxa"/>
            <w:shd w:val="clear" w:color="auto" w:fill="auto"/>
          </w:tcPr>
          <w:p w:rsidR="00BB6969" w:rsidRDefault="001E15C0" w:rsidP="00BB6969">
            <w:pPr>
              <w:pStyle w:val="Normal1linespace"/>
            </w:pPr>
            <w:r>
              <w:t>Mr G Johnson</w:t>
            </w:r>
          </w:p>
        </w:tc>
      </w:tr>
      <w:tr w:rsidR="00BB6969" w:rsidTr="00BB6969">
        <w:tc>
          <w:tcPr>
            <w:tcW w:w="3084" w:type="dxa"/>
            <w:shd w:val="clear" w:color="auto" w:fill="auto"/>
          </w:tcPr>
          <w:p w:rsidR="00BB6969" w:rsidRDefault="00BB6969" w:rsidP="00BB6969">
            <w:pPr>
              <w:pStyle w:val="Normal1linespace"/>
              <w:widowControl w:val="0"/>
            </w:pPr>
          </w:p>
        </w:tc>
        <w:tc>
          <w:tcPr>
            <w:tcW w:w="5989" w:type="dxa"/>
            <w:shd w:val="clear" w:color="auto" w:fill="auto"/>
          </w:tcPr>
          <w:p w:rsidR="00BB6969" w:rsidRDefault="00BB6969" w:rsidP="00BB6969">
            <w:pPr>
              <w:pStyle w:val="Normal1linespace"/>
            </w:pPr>
          </w:p>
        </w:tc>
      </w:tr>
      <w:tr w:rsidR="00BB6969" w:rsidTr="00BB6969">
        <w:tc>
          <w:tcPr>
            <w:tcW w:w="3084" w:type="dxa"/>
            <w:shd w:val="clear" w:color="auto" w:fill="auto"/>
          </w:tcPr>
          <w:p w:rsidR="00BB6969" w:rsidRDefault="00BB6969" w:rsidP="00BB6969">
            <w:pPr>
              <w:pStyle w:val="Normal1linespace"/>
              <w:widowControl w:val="0"/>
              <w:jc w:val="left"/>
            </w:pPr>
            <w:r>
              <w:t>Solicitor for the First Respondent:</w:t>
            </w:r>
          </w:p>
        </w:tc>
        <w:tc>
          <w:tcPr>
            <w:tcW w:w="5989" w:type="dxa"/>
            <w:shd w:val="clear" w:color="auto" w:fill="auto"/>
          </w:tcPr>
          <w:p w:rsidR="00BB6969" w:rsidRDefault="001E15C0" w:rsidP="00BB6969">
            <w:pPr>
              <w:pStyle w:val="Normal1linespace"/>
              <w:jc w:val="left"/>
            </w:pPr>
            <w:r>
              <w:t xml:space="preserve">HWL </w:t>
            </w:r>
            <w:proofErr w:type="spellStart"/>
            <w:r>
              <w:t>Ebsworth</w:t>
            </w:r>
            <w:proofErr w:type="spellEnd"/>
            <w:r w:rsidR="00E403FB">
              <w:t xml:space="preserve"> Lawyers</w:t>
            </w:r>
          </w:p>
        </w:tc>
      </w:tr>
      <w:tr w:rsidR="00624C6E" w:rsidTr="00BB6969">
        <w:tc>
          <w:tcPr>
            <w:tcW w:w="3084" w:type="dxa"/>
            <w:shd w:val="clear" w:color="auto" w:fill="auto"/>
          </w:tcPr>
          <w:p w:rsidR="00624C6E" w:rsidRDefault="00624C6E" w:rsidP="00BB6969">
            <w:pPr>
              <w:pStyle w:val="Normal1linespace"/>
              <w:widowControl w:val="0"/>
              <w:jc w:val="left"/>
            </w:pPr>
          </w:p>
        </w:tc>
        <w:tc>
          <w:tcPr>
            <w:tcW w:w="5989" w:type="dxa"/>
            <w:shd w:val="clear" w:color="auto" w:fill="auto"/>
          </w:tcPr>
          <w:p w:rsidR="00624C6E" w:rsidRDefault="00624C6E" w:rsidP="00BB6969">
            <w:pPr>
              <w:pStyle w:val="Normal1linespace"/>
              <w:jc w:val="left"/>
            </w:pPr>
          </w:p>
        </w:tc>
      </w:tr>
      <w:tr w:rsidR="00624C6E" w:rsidTr="00BB6969">
        <w:tc>
          <w:tcPr>
            <w:tcW w:w="3084" w:type="dxa"/>
            <w:shd w:val="clear" w:color="auto" w:fill="auto"/>
          </w:tcPr>
          <w:p w:rsidR="00624C6E" w:rsidRDefault="00624C6E" w:rsidP="00BB6969">
            <w:pPr>
              <w:pStyle w:val="Normal1linespace"/>
              <w:widowControl w:val="0"/>
              <w:jc w:val="left"/>
            </w:pPr>
            <w:r>
              <w:t>Counsel for the Second Respondent</w:t>
            </w:r>
          </w:p>
        </w:tc>
        <w:tc>
          <w:tcPr>
            <w:tcW w:w="5989" w:type="dxa"/>
            <w:shd w:val="clear" w:color="auto" w:fill="auto"/>
          </w:tcPr>
          <w:p w:rsidR="00624C6E" w:rsidRDefault="00624C6E" w:rsidP="00BB6969">
            <w:pPr>
              <w:pStyle w:val="Normal1linespace"/>
              <w:jc w:val="left"/>
            </w:pPr>
            <w:r w:rsidRPr="00624C6E">
              <w:t>The Second Respondent entered a submitting notice save as to costs</w:t>
            </w:r>
          </w:p>
        </w:tc>
      </w:tr>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footerReference w:type="default" r:id="rId8"/>
          <w:footerReference w:type="first" r:id="rId9"/>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D00E4C" w:rsidP="00F92355">
            <w:pPr>
              <w:pStyle w:val="NormalHeadings"/>
              <w:jc w:val="right"/>
            </w:pPr>
            <w:bookmarkStart w:id="8" w:name="FileNo"/>
            <w:r>
              <w:t>NSD 2111 of 2019</w:t>
            </w:r>
            <w:bookmarkEnd w:id="8"/>
          </w:p>
        </w:tc>
      </w:tr>
      <w:tr w:rsidR="00A76C13" w:rsidTr="00BE1AFA">
        <w:tc>
          <w:tcPr>
            <w:tcW w:w="9242" w:type="dxa"/>
            <w:gridSpan w:val="3"/>
          </w:tcPr>
          <w:p w:rsidR="00A76C13" w:rsidRPr="00A76C13" w:rsidRDefault="00D00E4C" w:rsidP="00D00E4C">
            <w:pPr>
              <w:pStyle w:val="NormalHeadings"/>
              <w:jc w:val="left"/>
            </w:pPr>
            <w:bookmarkStart w:id="9" w:name="InTheMatterOf"/>
            <w:r>
              <w:t xml:space="preserve"> </w:t>
            </w:r>
            <w:bookmarkEnd w:id="9"/>
          </w:p>
        </w:tc>
      </w:tr>
      <w:tr w:rsidR="00A46CCC" w:rsidTr="00BE1AFA">
        <w:trPr>
          <w:trHeight w:val="386"/>
        </w:trPr>
        <w:tc>
          <w:tcPr>
            <w:tcW w:w="2376" w:type="dxa"/>
          </w:tcPr>
          <w:p w:rsidR="00A46CCC" w:rsidRDefault="00A46CCC" w:rsidP="00BE1AFA">
            <w:pPr>
              <w:pStyle w:val="NormalHeadings"/>
              <w:jc w:val="left"/>
              <w:rPr>
                <w:caps/>
                <w:szCs w:val="24"/>
              </w:rPr>
            </w:pPr>
            <w:bookmarkStart w:id="10" w:name="Parties"/>
            <w:r>
              <w:rPr>
                <w:caps/>
                <w:szCs w:val="24"/>
              </w:rPr>
              <w:t>BETWEEN:</w:t>
            </w:r>
          </w:p>
        </w:tc>
        <w:tc>
          <w:tcPr>
            <w:tcW w:w="6866" w:type="dxa"/>
            <w:gridSpan w:val="2"/>
          </w:tcPr>
          <w:p w:rsidR="00D00E4C" w:rsidRDefault="00D00E4C" w:rsidP="00D00E4C">
            <w:pPr>
              <w:pStyle w:val="NormalHeadings"/>
              <w:jc w:val="left"/>
            </w:pPr>
            <w:bookmarkStart w:id="11" w:name="Applicant"/>
            <w:r>
              <w:t>DOF16</w:t>
            </w:r>
          </w:p>
          <w:p w:rsidR="00D00E4C" w:rsidRDefault="000A14DF" w:rsidP="00D00E4C">
            <w:pPr>
              <w:pStyle w:val="PartyType"/>
            </w:pPr>
            <w:r>
              <w:t>Appellant</w:t>
            </w:r>
          </w:p>
          <w:bookmarkEnd w:id="11"/>
          <w:p w:rsidR="00A46CCC" w:rsidRPr="006555B4" w:rsidRDefault="00A46CCC" w:rsidP="00BE1AFA">
            <w:pPr>
              <w:pStyle w:val="NormalHeadings"/>
              <w:jc w:val="left"/>
            </w:pPr>
          </w:p>
        </w:tc>
      </w:tr>
      <w:tr w:rsidR="00A46CCC" w:rsidTr="00BE1AFA">
        <w:trPr>
          <w:trHeight w:val="386"/>
        </w:trPr>
        <w:tc>
          <w:tcPr>
            <w:tcW w:w="2376" w:type="dxa"/>
          </w:tcPr>
          <w:p w:rsidR="00A46CCC" w:rsidRDefault="00A46CCC" w:rsidP="00BE1AFA">
            <w:pPr>
              <w:pStyle w:val="NormalHeadings"/>
              <w:jc w:val="left"/>
              <w:rPr>
                <w:caps/>
                <w:szCs w:val="24"/>
              </w:rPr>
            </w:pPr>
            <w:r>
              <w:rPr>
                <w:caps/>
                <w:szCs w:val="24"/>
              </w:rPr>
              <w:t>AND:</w:t>
            </w:r>
          </w:p>
        </w:tc>
        <w:tc>
          <w:tcPr>
            <w:tcW w:w="6866" w:type="dxa"/>
            <w:gridSpan w:val="2"/>
          </w:tcPr>
          <w:p w:rsidR="00D00E4C" w:rsidRDefault="00D00E4C" w:rsidP="00D00E4C">
            <w:pPr>
              <w:pStyle w:val="NormalHeadings"/>
              <w:jc w:val="left"/>
            </w:pPr>
            <w:bookmarkStart w:id="12" w:name="Respondent"/>
            <w:r>
              <w:t>MINISTER FOR IMMIGRATION, CITIZENSHIP, MIGRANT SERVICES AND MULTICULTURAL AFFAIRS</w:t>
            </w:r>
          </w:p>
          <w:p w:rsidR="00D00E4C" w:rsidRDefault="00D00E4C" w:rsidP="00D00E4C">
            <w:pPr>
              <w:pStyle w:val="PartyType"/>
            </w:pPr>
            <w:r>
              <w:t>First Respondent</w:t>
            </w:r>
          </w:p>
          <w:p w:rsidR="00D00E4C" w:rsidRDefault="00D00E4C" w:rsidP="00BE1AFA">
            <w:pPr>
              <w:pStyle w:val="NormalHeadings"/>
              <w:jc w:val="left"/>
              <w:rPr>
                <w:szCs w:val="24"/>
              </w:rPr>
            </w:pPr>
          </w:p>
          <w:p w:rsidR="00D00E4C" w:rsidRDefault="00D00E4C" w:rsidP="00D00E4C">
            <w:pPr>
              <w:pStyle w:val="NormalHeadings"/>
              <w:jc w:val="left"/>
            </w:pPr>
            <w:r>
              <w:t>IMMIGRATION ASSESSMENT AUTHORITY</w:t>
            </w:r>
          </w:p>
          <w:p w:rsidR="00D00E4C" w:rsidRDefault="00D00E4C" w:rsidP="00D00E4C">
            <w:pPr>
              <w:pStyle w:val="PartyType"/>
            </w:pPr>
            <w:r>
              <w:t>Second Respondent</w:t>
            </w:r>
          </w:p>
          <w:bookmarkEnd w:id="12"/>
          <w:p w:rsidR="00A46CCC" w:rsidRPr="006555B4" w:rsidRDefault="00A46CCC" w:rsidP="00BE1AFA">
            <w:pPr>
              <w:pStyle w:val="NormalHeadings"/>
              <w:jc w:val="left"/>
            </w:pPr>
          </w:p>
        </w:tc>
      </w:tr>
    </w:tbl>
    <w:p w:rsidR="00395B24" w:rsidRDefault="00395B24">
      <w:pPr>
        <w:pStyle w:val="NormalHeadings"/>
      </w:pPr>
      <w:bookmarkStart w:id="13" w:name="CrossClaimPosition"/>
      <w:bookmarkEnd w:id="10"/>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4" w:name="JudgeText"/>
            <w:r>
              <w:rPr>
                <w:caps/>
                <w:szCs w:val="24"/>
              </w:rPr>
              <w:t>order made by</w:t>
            </w:r>
            <w:bookmarkEnd w:id="14"/>
            <w:r w:rsidR="002C7385">
              <w:rPr>
                <w:caps/>
                <w:szCs w:val="24"/>
              </w:rPr>
              <w:t>:</w:t>
            </w:r>
          </w:p>
        </w:tc>
        <w:tc>
          <w:tcPr>
            <w:tcW w:w="6866" w:type="dxa"/>
          </w:tcPr>
          <w:p w:rsidR="00395B24" w:rsidRDefault="00D00E4C">
            <w:pPr>
              <w:pStyle w:val="NormalHeadings"/>
              <w:jc w:val="left"/>
              <w:rPr>
                <w:caps/>
                <w:szCs w:val="24"/>
              </w:rPr>
            </w:pPr>
            <w:bookmarkStart w:id="15" w:name="Judge"/>
            <w:r>
              <w:rPr>
                <w:caps/>
                <w:szCs w:val="24"/>
              </w:rPr>
              <w:t>LEE J</w:t>
            </w:r>
            <w:bookmarkEnd w:id="15"/>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597644">
            <w:pPr>
              <w:pStyle w:val="NormalHeadings"/>
              <w:jc w:val="left"/>
              <w:rPr>
                <w:caps/>
                <w:szCs w:val="24"/>
              </w:rPr>
            </w:pPr>
            <w:r>
              <w:rPr>
                <w:caps/>
                <w:szCs w:val="24"/>
              </w:rPr>
              <w:t>21 September 2020</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3A1A9E" w:rsidRDefault="003A1A9E" w:rsidP="003A1A9E">
      <w:pPr>
        <w:pStyle w:val="Order1"/>
      </w:pPr>
      <w:r>
        <w:t xml:space="preserve">The appeal be dismissed with costs. </w:t>
      </w:r>
      <w:r w:rsidR="00C57F33">
        <w:t xml:space="preserve"> </w:t>
      </w:r>
    </w:p>
    <w:p w:rsidR="001A6C52" w:rsidRDefault="003A1A9E" w:rsidP="003A1A9E">
      <w:pPr>
        <w:pStyle w:val="Order1"/>
      </w:pPr>
      <w:r>
        <w:t xml:space="preserve">Order 1 </w:t>
      </w:r>
      <w:r w:rsidR="00E715D7">
        <w:t>take effect upon</w:t>
      </w:r>
      <w:r>
        <w:t xml:space="preserve"> </w:t>
      </w:r>
      <w:r w:rsidR="00E715D7">
        <w:t>the</w:t>
      </w:r>
      <w:r>
        <w:t xml:space="preserve"> publication of the revised reasons. </w:t>
      </w:r>
    </w:p>
    <w:p w:rsidR="00A431E6" w:rsidRDefault="00A431E6" w:rsidP="001A6C52">
      <w:pPr>
        <w:pStyle w:val="BodyText"/>
      </w:pPr>
    </w:p>
    <w:p w:rsidR="003A1A9E" w:rsidRDefault="003A1A9E" w:rsidP="001A6C52">
      <w:pPr>
        <w:pStyle w:val="BodyText"/>
      </w:pPr>
    </w:p>
    <w:p w:rsidR="0050309C" w:rsidRDefault="00D00E4C" w:rsidP="004D53E5">
      <w:pPr>
        <w:pStyle w:val="SingleSpace"/>
      </w:pPr>
      <w:bookmarkStart w:id="16" w:name="OrdersStatement"/>
      <w:r>
        <w:t>Note:</w:t>
      </w:r>
      <w:r>
        <w:tab/>
        <w:t xml:space="preserve">Entry of orders is dealt with in Rule 39.32 of the </w:t>
      </w:r>
      <w:r>
        <w:rPr>
          <w:i/>
        </w:rPr>
        <w:t>Federal Court Rules 2011</w:t>
      </w:r>
      <w:r>
        <w:t>.</w:t>
      </w:r>
      <w:bookmarkEnd w:id="16"/>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17" w:name="ReasonsPage"/>
      <w:bookmarkEnd w:id="17"/>
      <w:r w:rsidRPr="00045BB7">
        <w:rPr>
          <w:sz w:val="28"/>
          <w:szCs w:val="28"/>
        </w:rPr>
        <w:lastRenderedPageBreak/>
        <w:t>REASONS FOR JUDGMENT</w:t>
      </w:r>
    </w:p>
    <w:p w:rsidR="00A77049" w:rsidRPr="00045BB7" w:rsidRDefault="00A77049" w:rsidP="00045BB7">
      <w:pPr>
        <w:pStyle w:val="NormalHeadings"/>
        <w:spacing w:line="480" w:lineRule="auto"/>
        <w:jc w:val="center"/>
        <w:rPr>
          <w:sz w:val="28"/>
          <w:szCs w:val="28"/>
        </w:rPr>
      </w:pPr>
      <w:r>
        <w:rPr>
          <w:sz w:val="28"/>
          <w:szCs w:val="28"/>
        </w:rPr>
        <w:t xml:space="preserve">(Revised from </w:t>
      </w:r>
      <w:r w:rsidR="00F26734">
        <w:rPr>
          <w:sz w:val="28"/>
          <w:szCs w:val="28"/>
        </w:rPr>
        <w:t xml:space="preserve">the </w:t>
      </w:r>
      <w:r w:rsidR="00173A5C">
        <w:rPr>
          <w:sz w:val="28"/>
          <w:szCs w:val="28"/>
        </w:rPr>
        <w:t>T</w:t>
      </w:r>
      <w:r>
        <w:rPr>
          <w:sz w:val="28"/>
          <w:szCs w:val="28"/>
        </w:rPr>
        <w:t>ranscript)</w:t>
      </w:r>
    </w:p>
    <w:p w:rsidR="00694BEB" w:rsidRDefault="00D00E4C" w:rsidP="005E0510">
      <w:pPr>
        <w:pStyle w:val="NormalHeadings"/>
        <w:spacing w:line="360" w:lineRule="auto"/>
        <w:jc w:val="left"/>
        <w:rPr>
          <w:sz w:val="26"/>
          <w:szCs w:val="26"/>
        </w:rPr>
      </w:pPr>
      <w:r>
        <w:rPr>
          <w:sz w:val="26"/>
          <w:szCs w:val="26"/>
        </w:rPr>
        <w:t>LEE J</w:t>
      </w:r>
      <w:r w:rsidR="00FF7A69">
        <w:rPr>
          <w:sz w:val="26"/>
          <w:szCs w:val="26"/>
        </w:rPr>
        <w:t>:</w:t>
      </w:r>
    </w:p>
    <w:p w:rsidR="00D00E4C" w:rsidRPr="005319B4" w:rsidRDefault="00D00E4C" w:rsidP="00FF7A69">
      <w:pPr>
        <w:pStyle w:val="Heading1"/>
      </w:pPr>
      <w:r>
        <w:t>A</w:t>
      </w:r>
      <w:r>
        <w:tab/>
        <w:t xml:space="preserve">INTRODUCTION AND </w:t>
      </w:r>
      <w:r w:rsidRPr="005319B4">
        <w:t>BACKGROUND</w:t>
      </w:r>
    </w:p>
    <w:p w:rsidR="001466F0" w:rsidRDefault="00D00E4C" w:rsidP="0013777E">
      <w:pPr>
        <w:pStyle w:val="ParaNumbering"/>
        <w:rPr>
          <w:color w:val="111111"/>
          <w:shd w:val="clear" w:color="auto" w:fill="FFFFFF"/>
        </w:rPr>
      </w:pPr>
      <w:r>
        <w:t xml:space="preserve">According to the appellant, at least in one Sri Lankan summer, village cricket was not the delight of everyone: </w:t>
      </w:r>
      <w:proofErr w:type="spellStart"/>
      <w:r>
        <w:t>cf</w:t>
      </w:r>
      <w:proofErr w:type="spellEnd"/>
      <w:r>
        <w:t xml:space="preserve"> </w:t>
      </w:r>
      <w:r w:rsidRPr="005319B4">
        <w:rPr>
          <w:i/>
        </w:rPr>
        <w:t xml:space="preserve">Miller v </w:t>
      </w:r>
      <w:r w:rsidRPr="005319B4">
        <w:rPr>
          <w:i/>
          <w:color w:val="111111"/>
          <w:shd w:val="clear" w:color="auto" w:fill="FFFFFF"/>
        </w:rPr>
        <w:t>Jackson</w:t>
      </w:r>
      <w:r w:rsidRPr="000A0BEA">
        <w:rPr>
          <w:color w:val="111111"/>
          <w:shd w:val="clear" w:color="auto" w:fill="FFFFFF"/>
        </w:rPr>
        <w:t xml:space="preserve"> [1977] QB 966</w:t>
      </w:r>
      <w:r>
        <w:rPr>
          <w:color w:val="111111"/>
          <w:shd w:val="clear" w:color="auto" w:fill="FFFFFF"/>
        </w:rPr>
        <w:t xml:space="preserve"> (at 976 per </w:t>
      </w:r>
      <w:r w:rsidR="001B1214">
        <w:rPr>
          <w:color w:val="111111"/>
          <w:shd w:val="clear" w:color="auto" w:fill="FFFFFF"/>
        </w:rPr>
        <w:t xml:space="preserve">Lord </w:t>
      </w:r>
      <w:r>
        <w:rPr>
          <w:color w:val="111111"/>
          <w:shd w:val="clear" w:color="auto" w:fill="FFFFFF"/>
        </w:rPr>
        <w:t>Denning MR).</w:t>
      </w:r>
      <w:r w:rsidR="0013777E">
        <w:rPr>
          <w:color w:val="111111"/>
          <w:shd w:val="clear" w:color="auto" w:fill="FFFFFF"/>
        </w:rPr>
        <w:t xml:space="preserve"> </w:t>
      </w:r>
    </w:p>
    <w:p w:rsidR="00D00E4C" w:rsidRPr="0013777E" w:rsidRDefault="007F4CEE" w:rsidP="0013777E">
      <w:pPr>
        <w:pStyle w:val="ParaNumbering"/>
        <w:rPr>
          <w:color w:val="111111"/>
          <w:shd w:val="clear" w:color="auto" w:fill="FFFFFF"/>
        </w:rPr>
      </w:pPr>
      <w:r>
        <w:rPr>
          <w:shd w:val="clear" w:color="auto" w:fill="FFFFFF"/>
        </w:rPr>
        <w:t>Indeed, a</w:t>
      </w:r>
      <w:r w:rsidR="00D00E4C" w:rsidRPr="0013777E">
        <w:rPr>
          <w:shd w:val="clear" w:color="auto" w:fill="FFFFFF"/>
        </w:rPr>
        <w:t xml:space="preserve">s the appellant made clear, </w:t>
      </w:r>
      <w:r w:rsidR="00D00E4C" w:rsidRPr="00C12ADC">
        <w:rPr>
          <w:shd w:val="clear" w:color="auto" w:fill="FFFFFF"/>
        </w:rPr>
        <w:t>this appeal is “centrally concerned” with the</w:t>
      </w:r>
      <w:r w:rsidR="00D00E4C" w:rsidRPr="0013777E">
        <w:rPr>
          <w:shd w:val="clear" w:color="auto" w:fill="FFFFFF"/>
        </w:rPr>
        <w:t xml:space="preserve"> contention that the primary judge failed to find that the reasoning process of the second respondent (</w:t>
      </w:r>
      <w:r w:rsidR="00D00E4C" w:rsidRPr="0013777E">
        <w:rPr>
          <w:b/>
          <w:shd w:val="clear" w:color="auto" w:fill="FFFFFF"/>
        </w:rPr>
        <w:t>Authority</w:t>
      </w:r>
      <w:r w:rsidR="00D00E4C" w:rsidRPr="0013777E">
        <w:rPr>
          <w:shd w:val="clear" w:color="auto" w:fill="FFFFFF"/>
        </w:rPr>
        <w:t>)</w:t>
      </w:r>
      <w:r w:rsidR="0013777E">
        <w:rPr>
          <w:shd w:val="clear" w:color="auto" w:fill="FFFFFF"/>
        </w:rPr>
        <w:t>,</w:t>
      </w:r>
      <w:r w:rsidR="00D00E4C" w:rsidRPr="0013777E">
        <w:rPr>
          <w:shd w:val="clear" w:color="auto" w:fill="FFFFFF"/>
        </w:rPr>
        <w:t xml:space="preserve"> in relation to the appellant’s claims concerning an incident at a cricket </w:t>
      </w:r>
      <w:r w:rsidR="00C272F8">
        <w:rPr>
          <w:shd w:val="clear" w:color="auto" w:fill="FFFFFF"/>
        </w:rPr>
        <w:t>ground</w:t>
      </w:r>
      <w:r w:rsidR="0013777E">
        <w:rPr>
          <w:shd w:val="clear" w:color="auto" w:fill="FFFFFF"/>
        </w:rPr>
        <w:t>,</w:t>
      </w:r>
      <w:r w:rsidR="00D00E4C" w:rsidRPr="0013777E">
        <w:rPr>
          <w:shd w:val="clear" w:color="auto" w:fill="FFFFFF"/>
        </w:rPr>
        <w:t xml:space="preserve"> was illogical or irrational.</w:t>
      </w:r>
    </w:p>
    <w:p w:rsidR="00D00E4C" w:rsidRPr="00D76905" w:rsidRDefault="00D00E4C" w:rsidP="00B46441">
      <w:pPr>
        <w:pStyle w:val="ParaNumbering"/>
        <w:rPr>
          <w:color w:val="111111"/>
          <w:shd w:val="clear" w:color="auto" w:fill="FFFFFF"/>
        </w:rPr>
      </w:pPr>
      <w:r>
        <w:t xml:space="preserve">The background to the proceeding is set out in some detail in the reasons of the primary judge:  </w:t>
      </w:r>
      <w:r w:rsidR="0013777E">
        <w:t xml:space="preserve">see </w:t>
      </w:r>
      <w:r w:rsidRPr="00EF1968">
        <w:rPr>
          <w:i/>
        </w:rPr>
        <w:t>DOF16 v Minister for Immigration, Citizenship, Migrant Services and Multicultural Affairs</w:t>
      </w:r>
      <w:r w:rsidR="00BE1AFA">
        <w:t xml:space="preserve"> [2019]</w:t>
      </w:r>
      <w:r>
        <w:t xml:space="preserve"> FCCA 3539 (at [3]–[36]). </w:t>
      </w:r>
      <w:r w:rsidR="00946396">
        <w:t>For present purposes, there is no need</w:t>
      </w:r>
      <w:r>
        <w:t xml:space="preserve"> to </w:t>
      </w:r>
      <w:r w:rsidR="00946396">
        <w:t xml:space="preserve">recount </w:t>
      </w:r>
      <w:r w:rsidR="007A0B1C">
        <w:t xml:space="preserve">all </w:t>
      </w:r>
      <w:r w:rsidR="00946396">
        <w:t>the details set out there</w:t>
      </w:r>
      <w:r>
        <w:t xml:space="preserve">, save for noting that the appellant is a Sri Lankan who came to Australia in 2012 and, in 2016, </w:t>
      </w:r>
      <w:r w:rsidRPr="00D76905">
        <w:rPr>
          <w:szCs w:val="24"/>
        </w:rPr>
        <w:t>applied for a Safe Haven Enterprise Visa (</w:t>
      </w:r>
      <w:r w:rsidRPr="00D76905">
        <w:rPr>
          <w:b/>
          <w:szCs w:val="24"/>
        </w:rPr>
        <w:t>SHEV</w:t>
      </w:r>
      <w:r w:rsidRPr="00D76905">
        <w:rPr>
          <w:szCs w:val="24"/>
        </w:rPr>
        <w:t>)</w:t>
      </w:r>
      <w:r w:rsidR="00946396" w:rsidRPr="00D76905">
        <w:rPr>
          <w:szCs w:val="24"/>
        </w:rPr>
        <w:t xml:space="preserve">; the basis </w:t>
      </w:r>
      <w:r w:rsidR="00DF270C">
        <w:rPr>
          <w:szCs w:val="24"/>
        </w:rPr>
        <w:t xml:space="preserve">for the application </w:t>
      </w:r>
      <w:r w:rsidR="00946396" w:rsidRPr="00D76905">
        <w:rPr>
          <w:szCs w:val="24"/>
        </w:rPr>
        <w:t xml:space="preserve">being </w:t>
      </w:r>
      <w:r w:rsidRPr="00D76905">
        <w:rPr>
          <w:szCs w:val="24"/>
        </w:rPr>
        <w:t>that the appellant claimed to fear</w:t>
      </w:r>
      <w:r w:rsidR="00183269">
        <w:rPr>
          <w:szCs w:val="24"/>
        </w:rPr>
        <w:t xml:space="preserve"> being abused, tortured or killed by the </w:t>
      </w:r>
      <w:r w:rsidR="00D76905" w:rsidRPr="00D76905">
        <w:rPr>
          <w:szCs w:val="24"/>
          <w:lang w:eastAsia="en-AU"/>
        </w:rPr>
        <w:t>Sri Lankan Army (</w:t>
      </w:r>
      <w:r w:rsidR="00D76905" w:rsidRPr="00D76905">
        <w:rPr>
          <w:b/>
          <w:szCs w:val="24"/>
          <w:lang w:eastAsia="en-AU"/>
        </w:rPr>
        <w:t>SLA</w:t>
      </w:r>
      <w:r w:rsidR="00D76905" w:rsidRPr="00D76905">
        <w:rPr>
          <w:szCs w:val="24"/>
          <w:lang w:eastAsia="en-AU"/>
        </w:rPr>
        <w:t>)</w:t>
      </w:r>
      <w:r w:rsidR="00183269">
        <w:rPr>
          <w:szCs w:val="24"/>
          <w:lang w:eastAsia="en-AU"/>
        </w:rPr>
        <w:t xml:space="preserve"> if he was to return to Sri Lanka due to</w:t>
      </w:r>
      <w:r w:rsidR="00DF270C">
        <w:rPr>
          <w:szCs w:val="24"/>
          <w:lang w:eastAsia="en-AU"/>
        </w:rPr>
        <w:t xml:space="preserve"> an</w:t>
      </w:r>
      <w:r w:rsidR="00183269">
        <w:rPr>
          <w:szCs w:val="24"/>
          <w:lang w:eastAsia="en-AU"/>
        </w:rPr>
        <w:t xml:space="preserve"> </w:t>
      </w:r>
      <w:r w:rsidR="00DF270C">
        <w:rPr>
          <w:color w:val="111111"/>
          <w:szCs w:val="24"/>
          <w:shd w:val="clear" w:color="auto" w:fill="FFFFFF"/>
        </w:rPr>
        <w:t>imputed political opinion</w:t>
      </w:r>
      <w:r w:rsidR="00183269">
        <w:rPr>
          <w:color w:val="111111"/>
          <w:szCs w:val="24"/>
          <w:shd w:val="clear" w:color="auto" w:fill="FFFFFF"/>
        </w:rPr>
        <w:t xml:space="preserve"> arising from family affiliation</w:t>
      </w:r>
      <w:r w:rsidR="00DF270C">
        <w:rPr>
          <w:color w:val="111111"/>
          <w:szCs w:val="24"/>
          <w:shd w:val="clear" w:color="auto" w:fill="FFFFFF"/>
        </w:rPr>
        <w:t>s</w:t>
      </w:r>
      <w:r w:rsidR="00183269">
        <w:rPr>
          <w:color w:val="111111"/>
          <w:szCs w:val="24"/>
          <w:shd w:val="clear" w:color="auto" w:fill="FFFFFF"/>
        </w:rPr>
        <w:t xml:space="preserve"> with the </w:t>
      </w:r>
      <w:r>
        <w:t>Liberation Tigers of Tamil Eelam (</w:t>
      </w:r>
      <w:r w:rsidRPr="00D76905">
        <w:rPr>
          <w:b/>
        </w:rPr>
        <w:t>LTTE</w:t>
      </w:r>
      <w:r>
        <w:t>).</w:t>
      </w:r>
      <w:r w:rsidR="00946396">
        <w:t xml:space="preserve"> Indeed, t</w:t>
      </w:r>
      <w:r w:rsidR="004F0435">
        <w:t>he appellant claimed</w:t>
      </w:r>
      <w:r w:rsidR="00510D40">
        <w:t xml:space="preserve"> that</w:t>
      </w:r>
      <w:r w:rsidR="004F0435">
        <w:t xml:space="preserve">, </w:t>
      </w:r>
      <w:r w:rsidR="004F0435" w:rsidRPr="00D76905">
        <w:rPr>
          <w:i/>
        </w:rPr>
        <w:t>inter alia</w:t>
      </w:r>
      <w:r w:rsidR="00B46441">
        <w:t>:</w:t>
      </w:r>
      <w:r w:rsidR="004F0435">
        <w:t xml:space="preserve"> </w:t>
      </w:r>
      <w:r>
        <w:t xml:space="preserve">his cousin was </w:t>
      </w:r>
      <w:r w:rsidR="00B46441">
        <w:t>arrested for financing the LTTE;</w:t>
      </w:r>
      <w:r>
        <w:t xml:space="preserve"> his father </w:t>
      </w:r>
      <w:r w:rsidR="00D877C5">
        <w:t xml:space="preserve">was forced to work </w:t>
      </w:r>
      <w:r>
        <w:t>f</w:t>
      </w:r>
      <w:r w:rsidR="00B46441">
        <w:t>or the LTTE;</w:t>
      </w:r>
      <w:r>
        <w:t xml:space="preserve"> </w:t>
      </w:r>
      <w:r w:rsidR="00B46441">
        <w:t>he</w:t>
      </w:r>
      <w:r w:rsidR="00B46441" w:rsidRPr="00B46441">
        <w:t xml:space="preserve"> was arrested, detained and beaten in 2008 following a bomb blast</w:t>
      </w:r>
      <w:r w:rsidR="00B46441">
        <w:t xml:space="preserve">; and </w:t>
      </w:r>
      <w:r w:rsidR="007F4CEE">
        <w:t xml:space="preserve">he was </w:t>
      </w:r>
      <w:r w:rsidR="00BE1AFA">
        <w:t>again</w:t>
      </w:r>
      <w:r w:rsidR="007F4CEE">
        <w:t xml:space="preserve"> arrested, </w:t>
      </w:r>
      <w:r w:rsidR="00DF270C">
        <w:t>detained</w:t>
      </w:r>
      <w:r w:rsidR="007F4CEE">
        <w:t xml:space="preserve"> and beaten</w:t>
      </w:r>
      <w:r w:rsidR="00BE1AFA">
        <w:t xml:space="preserve"> in 2009 after he was found at his grandmother’s house while the </w:t>
      </w:r>
      <w:r w:rsidR="000833A2">
        <w:t>SLA were looking for his cousin</w:t>
      </w:r>
      <w:r w:rsidR="00BE1AFA">
        <w:t xml:space="preserve">, after which he </w:t>
      </w:r>
      <w:r w:rsidR="007F4CEE">
        <w:t>w</w:t>
      </w:r>
      <w:r w:rsidR="00BE1AFA">
        <w:t xml:space="preserve">as, until February 2010, </w:t>
      </w:r>
      <w:r w:rsidR="00E539ED">
        <w:t xml:space="preserve">subject to </w:t>
      </w:r>
      <w:r w:rsidR="003F2B60">
        <w:t>reporting requirement</w:t>
      </w:r>
      <w:r w:rsidR="00E539ED">
        <w:t>s</w:t>
      </w:r>
      <w:r w:rsidR="003F2B60">
        <w:t xml:space="preserve"> </w:t>
      </w:r>
      <w:r w:rsidR="007F4CEE">
        <w:t>by</w:t>
      </w:r>
      <w:r w:rsidR="000833A2">
        <w:t xml:space="preserve"> the</w:t>
      </w:r>
      <w:r w:rsidR="007F4CEE">
        <w:t xml:space="preserve"> authorities.</w:t>
      </w:r>
    </w:p>
    <w:p w:rsidR="00D00E4C" w:rsidRPr="00650509" w:rsidRDefault="00650509" w:rsidP="00650509">
      <w:pPr>
        <w:pStyle w:val="ParaNumbering"/>
        <w:rPr>
          <w:color w:val="111111"/>
          <w:shd w:val="clear" w:color="auto" w:fill="FFFFFF"/>
        </w:rPr>
      </w:pPr>
      <w:r>
        <w:t>It is necessary</w:t>
      </w:r>
      <w:r w:rsidR="00BE1AFA">
        <w:t>, however, to recount in more detail</w:t>
      </w:r>
      <w:r>
        <w:t xml:space="preserve"> the</w:t>
      </w:r>
      <w:r w:rsidR="00315473">
        <w:t xml:space="preserve"> incident contended to have occurred at the cricket </w:t>
      </w:r>
      <w:r w:rsidR="000833A2">
        <w:t>ground</w:t>
      </w:r>
      <w:r w:rsidR="00315473">
        <w:t xml:space="preserve">, </w:t>
      </w:r>
      <w:r>
        <w:t>around which the appeal is centred. D</w:t>
      </w:r>
      <w:r w:rsidR="00D00E4C">
        <w:t>uring his arrival interview</w:t>
      </w:r>
      <w:r>
        <w:t>,</w:t>
      </w:r>
      <w:r w:rsidR="00D00E4C">
        <w:t xml:space="preserve"> the appellant contended that in around May 2012 there was a problem at a cricket ground used by the Tamil people. The following details were given of the incident, namely that: </w:t>
      </w:r>
      <w:r>
        <w:t xml:space="preserve">(a) </w:t>
      </w:r>
      <w:r w:rsidR="00D00E4C">
        <w:t xml:space="preserve">one of </w:t>
      </w:r>
      <w:r w:rsidR="00B75671">
        <w:t xml:space="preserve">the people who used </w:t>
      </w:r>
      <w:r w:rsidR="00014665">
        <w:t xml:space="preserve">to </w:t>
      </w:r>
      <w:r w:rsidR="00B75671">
        <w:t xml:space="preserve">play </w:t>
      </w:r>
      <w:r w:rsidR="00034636">
        <w:t xml:space="preserve">cricket </w:t>
      </w:r>
      <w:r w:rsidR="00B75671">
        <w:t>was a</w:t>
      </w:r>
      <w:r w:rsidR="00D00E4C">
        <w:t xml:space="preserve"> </w:t>
      </w:r>
      <w:r w:rsidR="00993EE7">
        <w:t xml:space="preserve">Tamil </w:t>
      </w:r>
      <w:r w:rsidR="00B75671">
        <w:t>“</w:t>
      </w:r>
      <w:r w:rsidR="00D00E4C">
        <w:t>pro-government supporter”;</w:t>
      </w:r>
      <w:r>
        <w:t xml:space="preserve"> (b) </w:t>
      </w:r>
      <w:r w:rsidR="00D00E4C">
        <w:t xml:space="preserve">some people had been drinking (albeit, not the </w:t>
      </w:r>
      <w:r w:rsidR="002777A6">
        <w:t>appellant</w:t>
      </w:r>
      <w:r w:rsidR="00D00E4C">
        <w:t xml:space="preserve">) and an argument </w:t>
      </w:r>
      <w:r w:rsidR="00BE1AFA">
        <w:t>ensued</w:t>
      </w:r>
      <w:r w:rsidR="00D00E4C">
        <w:t xml:space="preserve"> regarding whether everyon</w:t>
      </w:r>
      <w:r w:rsidR="001F2AC1">
        <w:t>e had to learn Singhalese</w:t>
      </w:r>
      <w:r w:rsidR="00D00E4C">
        <w:t xml:space="preserve">; </w:t>
      </w:r>
      <w:r>
        <w:t xml:space="preserve">(c) </w:t>
      </w:r>
      <w:r w:rsidR="00D00E4C">
        <w:t xml:space="preserve">the </w:t>
      </w:r>
      <w:r w:rsidR="00BE1AFA">
        <w:t>argument</w:t>
      </w:r>
      <w:r w:rsidR="00D00E4C">
        <w:t xml:space="preserve"> escalated and the pro-government supporter brought </w:t>
      </w:r>
      <w:r w:rsidR="00D00E4C">
        <w:lastRenderedPageBreak/>
        <w:t xml:space="preserve">army personnel and told them that “we were all LTTE supporters”, after which they were all </w:t>
      </w:r>
      <w:r w:rsidR="006D24CA">
        <w:t>arrested</w:t>
      </w:r>
      <w:r w:rsidR="00D00E4C">
        <w:t xml:space="preserve"> (clarified to mean that there were nine people, but only three were detained)</w:t>
      </w:r>
      <w:r w:rsidR="009445D6">
        <w:t xml:space="preserve"> and the appellant was, for the period of a week, subject to reporting requirements</w:t>
      </w:r>
      <w:r w:rsidR="00D00E4C">
        <w:t>;</w:t>
      </w:r>
      <w:r w:rsidR="004A69C7">
        <w:t xml:space="preserve"> (d) at this point, the appellant had been playing cricket for three years at the ground without incident, and it was only after the pro-government supporter came along three to four months prior to the relevant incident that the racial problems started;</w:t>
      </w:r>
      <w:r w:rsidR="00D00E4C">
        <w:t xml:space="preserve"> </w:t>
      </w:r>
      <w:r w:rsidR="0023171A">
        <w:t>(e) when questioned by</w:t>
      </w:r>
      <w:r w:rsidR="002B0A88">
        <w:t xml:space="preserve"> the</w:t>
      </w:r>
      <w:r w:rsidR="0023171A">
        <w:t xml:space="preserve"> authorities, the appellant was accused of threatening to kill and harm the pro-government supporter; </w:t>
      </w:r>
      <w:r w:rsidR="00F753FA">
        <w:t>and</w:t>
      </w:r>
      <w:r w:rsidR="00D92677">
        <w:t xml:space="preserve"> (f</w:t>
      </w:r>
      <w:r>
        <w:t xml:space="preserve">) </w:t>
      </w:r>
      <w:r w:rsidR="00D00E4C" w:rsidRPr="00650509">
        <w:rPr>
          <w:szCs w:val="24"/>
        </w:rPr>
        <w:t xml:space="preserve">as to why the appellant was detained, but others released, the following </w:t>
      </w:r>
      <w:r w:rsidR="0067476E">
        <w:rPr>
          <w:szCs w:val="24"/>
        </w:rPr>
        <w:t>explanation was</w:t>
      </w:r>
      <w:r w:rsidR="00D00E4C" w:rsidRPr="00650509">
        <w:rPr>
          <w:szCs w:val="24"/>
        </w:rPr>
        <w:t xml:space="preserve"> given: </w:t>
      </w:r>
      <w:r w:rsidR="008067D2">
        <w:rPr>
          <w:szCs w:val="24"/>
        </w:rPr>
        <w:t xml:space="preserve"> </w:t>
      </w:r>
    </w:p>
    <w:p w:rsidR="00D00E4C" w:rsidRPr="00DC389D" w:rsidRDefault="00D00E4C" w:rsidP="00023DD9">
      <w:pPr>
        <w:pStyle w:val="Quote1"/>
      </w:pPr>
      <w:r w:rsidRPr="00195803">
        <w:t>I think it was because I talked back to him and when we play</w:t>
      </w:r>
      <w:r w:rsidR="007929CB">
        <w:t xml:space="preserve">ed cricket against the army </w:t>
      </w:r>
      <w:r w:rsidRPr="00195803">
        <w:t xml:space="preserve">I used to take a lot of </w:t>
      </w:r>
      <w:r w:rsidR="00DC389D">
        <w:t>wickets and I was known to them</w:t>
      </w:r>
      <w:r w:rsidR="00023DD9">
        <w:t xml:space="preserve">. </w:t>
      </w:r>
      <w:r w:rsidR="00B51757">
        <w:t>…</w:t>
      </w:r>
      <w:r w:rsidR="002A5487">
        <w:t xml:space="preserve"> I</w:t>
      </w:r>
      <w:r w:rsidRPr="00195803">
        <w:t xml:space="preserve">f we won against them they would not [be] happy, if we lost </w:t>
      </w:r>
      <w:r w:rsidRPr="00FF7A69">
        <w:t>they</w:t>
      </w:r>
      <w:r w:rsidRPr="00195803">
        <w:t xml:space="preserve"> would be and we thought if we did not play against them it would be best but that was not an option.</w:t>
      </w:r>
    </w:p>
    <w:p w:rsidR="009C03A7" w:rsidRPr="009C03A7" w:rsidRDefault="009C03A7" w:rsidP="009C03A7">
      <w:pPr>
        <w:pStyle w:val="ParaNumbering"/>
        <w:numPr>
          <w:ilvl w:val="0"/>
          <w:numId w:val="0"/>
        </w:numPr>
        <w:rPr>
          <w:color w:val="111111"/>
          <w:shd w:val="clear" w:color="auto" w:fill="FFFFFF"/>
        </w:rPr>
      </w:pPr>
      <w:r w:rsidRPr="001F2AC1">
        <w:rPr>
          <w:color w:val="111111"/>
          <w:shd w:val="clear" w:color="auto" w:fill="FFFFFF"/>
        </w:rPr>
        <w:t xml:space="preserve">The appellant also stated that following the cricket ground incident, he moved to Colombo for </w:t>
      </w:r>
      <w:r w:rsidR="00495D6F" w:rsidRPr="001F2AC1">
        <w:rPr>
          <w:color w:val="111111"/>
          <w:shd w:val="clear" w:color="auto" w:fill="FFFFFF"/>
        </w:rPr>
        <w:t>a short period</w:t>
      </w:r>
      <w:r w:rsidRPr="001F2AC1">
        <w:rPr>
          <w:color w:val="111111"/>
          <w:shd w:val="clear" w:color="auto" w:fill="FFFFFF"/>
        </w:rPr>
        <w:t xml:space="preserve"> before leaving for Malaysia on 1 September 2012.</w:t>
      </w:r>
    </w:p>
    <w:p w:rsidR="00D00E4C" w:rsidRPr="003A1E3B" w:rsidRDefault="00D00E4C" w:rsidP="001F2AC1">
      <w:pPr>
        <w:pStyle w:val="ParaNumbering"/>
        <w:tabs>
          <w:tab w:val="clear" w:pos="720"/>
        </w:tabs>
        <w:rPr>
          <w:color w:val="111111"/>
          <w:shd w:val="clear" w:color="auto" w:fill="FFFFFF"/>
        </w:rPr>
      </w:pPr>
      <w:r>
        <w:t>In the appellant’s SHEV application</w:t>
      </w:r>
      <w:r w:rsidR="00D96344">
        <w:t xml:space="preserve"> and subsequent interview</w:t>
      </w:r>
      <w:r>
        <w:t xml:space="preserve">, he indicated the </w:t>
      </w:r>
      <w:r w:rsidR="00C12ADC">
        <w:t>following</w:t>
      </w:r>
      <w:r>
        <w:t xml:space="preserve"> in relation to the cricket ground incident, recorded (at [21]) in the Authority’s reasons:</w:t>
      </w:r>
    </w:p>
    <w:p w:rsidR="006D00D2" w:rsidRPr="006D00D2" w:rsidRDefault="00D00E4C" w:rsidP="00B5422E">
      <w:pPr>
        <w:pStyle w:val="Quote1"/>
      </w:pPr>
      <w:r w:rsidRPr="006D00D2">
        <w:t xml:space="preserve">… </w:t>
      </w:r>
      <w:r w:rsidR="002635E5">
        <w:t>In his SHEV application he stated … he</w:t>
      </w:r>
      <w:r w:rsidRPr="006D00D2">
        <w:t xml:space="preserve"> and his friends were involved in an altercation with a pro-government supporter over racial-related comments; that he was taken for questioning by the SLA, and the pro-government supporter also told the SLA he had threatened the pro-government supporter; he was then released on reporting conditions; after a week of reporting he and his Sinhala speaking cousin spoke to the Senior SLA officer who warned the SLA officer; after this the SLA officer was worked up and threatened him when he saw him in public and he left for Colombo, where he was from June 2012; and due to monitoring by the SLA he had to travel back to Jaffna every month to report, before leaving for Malaysia on 1 September 2012. At the SHEV interview he initially said the cricket ground incident occurred during May, June, July or August 2012, he was in charge of the ground but there was one person from a paramilitary group, the EPDP, who wanted to play cricket with him and his friends but they wouldn’t let him; as it was a school cricket field, the paramilitary man spoke to the school principal, lied and said they drank on the grounds but the principal declined to do anything; the paramilitary man was close to the SLA officer who was second in charge and took the matter to him, including saying the applicant threatened to kill or harm him; the SLA officer came to the ground to speak to them and told them the paramilitary man must be allowed to play; they refused; the applicant was made to report to the SLA from 8am to 4pm every day for a week; and the applicant told the SLA he had to attend an exam and during the night without informi</w:t>
      </w:r>
      <w:r w:rsidR="00175545">
        <w:t>ng anyone he left for Malaysia.</w:t>
      </w:r>
      <w:r w:rsidR="006D00D2" w:rsidRPr="006D00D2">
        <w:t xml:space="preserve"> </w:t>
      </w:r>
      <w:r w:rsidR="006D00D2" w:rsidRPr="006D00D2">
        <w:rPr>
          <w:lang w:eastAsia="en-AU"/>
        </w:rPr>
        <w:t>At the SHEV interview, after</w:t>
      </w:r>
      <w:r w:rsidR="006D00D2" w:rsidRPr="006D00D2">
        <w:t xml:space="preserve"> </w:t>
      </w:r>
      <w:r w:rsidR="006D00D2" w:rsidRPr="006D00D2">
        <w:rPr>
          <w:lang w:eastAsia="en-AU"/>
        </w:rPr>
        <w:t>the delegate reminded the applicant what he said in his arrival interview and stated in his SHEV</w:t>
      </w:r>
      <w:r w:rsidR="006D00D2" w:rsidRPr="006D00D2">
        <w:t xml:space="preserve"> </w:t>
      </w:r>
      <w:r w:rsidR="006D00D2" w:rsidRPr="006D00D2">
        <w:rPr>
          <w:lang w:eastAsia="en-AU"/>
        </w:rPr>
        <w:t>application about the cricket ground incident, he said after the Senior SLA officer went, the SLA</w:t>
      </w:r>
      <w:r w:rsidR="006D00D2" w:rsidRPr="006D00D2">
        <w:t xml:space="preserve"> </w:t>
      </w:r>
      <w:r w:rsidR="006D00D2" w:rsidRPr="006D00D2">
        <w:rPr>
          <w:lang w:eastAsia="en-AU"/>
        </w:rPr>
        <w:t xml:space="preserve">officer always came and threatened him; one day he was in a shop looking at </w:t>
      </w:r>
      <w:proofErr w:type="spellStart"/>
      <w:r w:rsidR="006D00D2" w:rsidRPr="006D00D2">
        <w:rPr>
          <w:lang w:eastAsia="en-AU"/>
        </w:rPr>
        <w:t>facebook</w:t>
      </w:r>
      <w:proofErr w:type="spellEnd"/>
      <w:r w:rsidR="006D00D2" w:rsidRPr="006D00D2">
        <w:rPr>
          <w:lang w:eastAsia="en-AU"/>
        </w:rPr>
        <w:t xml:space="preserve"> and</w:t>
      </w:r>
      <w:r w:rsidR="006D00D2" w:rsidRPr="006D00D2">
        <w:t xml:space="preserve"> </w:t>
      </w:r>
      <w:r w:rsidR="006D00D2" w:rsidRPr="006D00D2">
        <w:rPr>
          <w:lang w:eastAsia="en-AU"/>
        </w:rPr>
        <w:t>didn’t see the SLA officer enter so he didn’t stand up and the SLA Officer was angry and made</w:t>
      </w:r>
      <w:r w:rsidR="006D00D2" w:rsidRPr="006D00D2">
        <w:t xml:space="preserve"> </w:t>
      </w:r>
      <w:r w:rsidR="006D00D2" w:rsidRPr="006D00D2">
        <w:rPr>
          <w:lang w:eastAsia="en-AU"/>
        </w:rPr>
        <w:t>to hit him but didn’t hit him; even a month before (approximately August 2016) a thorough</w:t>
      </w:r>
      <w:r w:rsidR="006D00D2" w:rsidRPr="006D00D2">
        <w:t xml:space="preserve"> </w:t>
      </w:r>
      <w:r w:rsidR="006D00D2" w:rsidRPr="006D00D2">
        <w:rPr>
          <w:lang w:eastAsia="en-AU"/>
        </w:rPr>
        <w:t>search was done of his family home, although not just his family’s home; and the SLA Officer</w:t>
      </w:r>
      <w:r w:rsidR="006D00D2" w:rsidRPr="006D00D2">
        <w:t xml:space="preserve"> </w:t>
      </w:r>
      <w:r w:rsidR="006D00D2" w:rsidRPr="006D00D2">
        <w:rPr>
          <w:lang w:eastAsia="en-AU"/>
        </w:rPr>
        <w:t>and the EPDP man keep saying to his mum that they will kill him.</w:t>
      </w:r>
    </w:p>
    <w:p w:rsidR="00D00E4C" w:rsidRPr="0051691C" w:rsidRDefault="001F2AC1" w:rsidP="0051691C">
      <w:pPr>
        <w:pStyle w:val="ParaNumbering"/>
        <w:rPr>
          <w:color w:val="111111"/>
          <w:shd w:val="clear" w:color="auto" w:fill="FFFFFF"/>
        </w:rPr>
      </w:pPr>
      <w:r>
        <w:lastRenderedPageBreak/>
        <w:t>I</w:t>
      </w:r>
      <w:r w:rsidR="0051691C">
        <w:t xml:space="preserve">t was the “changes and inconsistences in the applicant’s evidence”, which led the Authority to conclude that it did not find </w:t>
      </w:r>
      <w:r w:rsidR="002028C2">
        <w:t>“him t</w:t>
      </w:r>
      <w:r w:rsidR="0051691C">
        <w:t>o be a credible witness in relation</w:t>
      </w:r>
      <w:r w:rsidR="001466F0">
        <w:t xml:space="preserve"> to the cricket ground incident</w:t>
      </w:r>
      <w:r w:rsidR="0051691C">
        <w:t>”</w:t>
      </w:r>
      <w:r w:rsidR="00032D27">
        <w:t xml:space="preserve">: see </w:t>
      </w:r>
      <w:r w:rsidR="00E41971">
        <w:t>Authority Reasons</w:t>
      </w:r>
      <w:r w:rsidR="006C6DE4">
        <w:t xml:space="preserve"> (at [22])</w:t>
      </w:r>
      <w:r w:rsidR="003E4778">
        <w:t>.</w:t>
      </w:r>
    </w:p>
    <w:p w:rsidR="00D00E4C" w:rsidRPr="00DC30CA" w:rsidRDefault="00D00E4C" w:rsidP="00FF7A69">
      <w:pPr>
        <w:pStyle w:val="Heading1"/>
      </w:pPr>
      <w:r>
        <w:t>B</w:t>
      </w:r>
      <w:r>
        <w:tab/>
      </w:r>
      <w:r w:rsidR="00353404">
        <w:t>THE PROCEEDING</w:t>
      </w:r>
      <w:r w:rsidRPr="00DC30CA">
        <w:t xml:space="preserve"> BELOW</w:t>
      </w:r>
    </w:p>
    <w:p w:rsidR="00D00E4C" w:rsidRDefault="00D00E4C" w:rsidP="00D00E4C">
      <w:pPr>
        <w:pStyle w:val="ParaNumbering"/>
      </w:pPr>
      <w:r>
        <w:t>The case as advanced before the primary judge was somewhat different to the case advanced on appeal. Below th</w:t>
      </w:r>
      <w:r w:rsidR="008E0A2E">
        <w:t>e appellant contended that the A</w:t>
      </w:r>
      <w:r>
        <w:t xml:space="preserve">uthority had acted unreasonably in failing to put an adverse credibility finding to him for comment under s 473DC(3) of the </w:t>
      </w:r>
      <w:r w:rsidRPr="00DC30CA">
        <w:rPr>
          <w:i/>
        </w:rPr>
        <w:t>Migration Act 1958</w:t>
      </w:r>
      <w:r>
        <w:t xml:space="preserve"> (</w:t>
      </w:r>
      <w:proofErr w:type="spellStart"/>
      <w:r>
        <w:t>Cth</w:t>
      </w:r>
      <w:proofErr w:type="spellEnd"/>
      <w:r>
        <w:t>) (</w:t>
      </w:r>
      <w:r w:rsidRPr="00B5157C">
        <w:rPr>
          <w:b/>
        </w:rPr>
        <w:t>Act</w:t>
      </w:r>
      <w:r>
        <w:t>). An allegation of a reasonable apprehensio</w:t>
      </w:r>
      <w:r w:rsidR="001466F0">
        <w:t>n of bias was also made</w:t>
      </w:r>
      <w:r>
        <w:t>.</w:t>
      </w:r>
    </w:p>
    <w:p w:rsidR="00D00E4C" w:rsidRDefault="00D00E4C" w:rsidP="00E135DD">
      <w:pPr>
        <w:pStyle w:val="ParaNumbering"/>
      </w:pPr>
      <w:r>
        <w:t>The primary judge rejected each of these contentions. Correctly, the primary judge noted</w:t>
      </w:r>
      <w:r w:rsidR="002028C2">
        <w:t xml:space="preserve"> </w:t>
      </w:r>
      <w:r>
        <w:t xml:space="preserve">that it was unnecessary for the authority to </w:t>
      </w:r>
      <w:r w:rsidR="001466F0">
        <w:t xml:space="preserve">have </w:t>
      </w:r>
      <w:r>
        <w:t>put its adverse credibil</w:t>
      </w:r>
      <w:r w:rsidR="007F4CEE">
        <w:t>ity finding</w:t>
      </w:r>
      <w:r w:rsidR="002028C2">
        <w:t xml:space="preserve"> to the appellant</w:t>
      </w:r>
      <w:r w:rsidR="006A72CE">
        <w:t xml:space="preserve"> (see</w:t>
      </w:r>
      <w:r w:rsidR="00BA2E03">
        <w:t xml:space="preserve"> </w:t>
      </w:r>
      <w:r w:rsidR="00BA2E03" w:rsidRPr="00BA2E03">
        <w:rPr>
          <w:i/>
        </w:rPr>
        <w:t>DGZ16 v Minister for immigration and Border Protection</w:t>
      </w:r>
      <w:r w:rsidR="00BA2E03">
        <w:t xml:space="preserve"> [2018] FCAFC 12; (2018) 258 FCR 551 (at 569 [72] per Reeves, Robertson and </w:t>
      </w:r>
      <w:proofErr w:type="spellStart"/>
      <w:r w:rsidR="00BA2E03">
        <w:t>Rangiah</w:t>
      </w:r>
      <w:proofErr w:type="spellEnd"/>
      <w:r w:rsidR="00BA2E03">
        <w:t xml:space="preserve"> JJ)</w:t>
      </w:r>
      <w:r w:rsidR="009761E4">
        <w:t>)</w:t>
      </w:r>
      <w:r w:rsidR="00BA2E03">
        <w:t>.</w:t>
      </w:r>
      <w:r w:rsidR="006A72CE">
        <w:t xml:space="preserve"> </w:t>
      </w:r>
      <w:r>
        <w:t xml:space="preserve">This point </w:t>
      </w:r>
      <w:r w:rsidR="002028C2">
        <w:t>was not</w:t>
      </w:r>
      <w:r w:rsidR="00217D1C">
        <w:t xml:space="preserve"> pressed on appeal.</w:t>
      </w:r>
      <w:r w:rsidR="00AE3E8D">
        <w:t xml:space="preserve"> </w:t>
      </w:r>
      <w:r w:rsidR="002E04F2">
        <w:t xml:space="preserve">His Honour further found that there could not be said to have been an absence of an evident and intelligible justification for the Authority’s non-consideration of the </w:t>
      </w:r>
      <w:r w:rsidR="00FB2E69">
        <w:t>exercise</w:t>
      </w:r>
      <w:r w:rsidR="002E04F2">
        <w:t xml:space="preserve"> of power under s 473DC of the Act,</w:t>
      </w:r>
      <w:r w:rsidR="00FB2E69">
        <w:t xml:space="preserve"> in circumstances</w:t>
      </w:r>
      <w:r w:rsidR="002E04F2">
        <w:t xml:space="preserve"> where the delegate had made a fin</w:t>
      </w:r>
      <w:r w:rsidR="006B52EC">
        <w:t>d</w:t>
      </w:r>
      <w:r w:rsidR="002E04F2">
        <w:t xml:space="preserve">ing identifying the appellant </w:t>
      </w:r>
      <w:r w:rsidR="00100D91">
        <w:t>had fabricated an element of his claim</w:t>
      </w:r>
      <w:r w:rsidR="002E04F2">
        <w:t xml:space="preserve"> in relation to the alleged cricket </w:t>
      </w:r>
      <w:r w:rsidR="00D44747">
        <w:t xml:space="preserve">ground </w:t>
      </w:r>
      <w:r w:rsidR="002E04F2">
        <w:t>incident.</w:t>
      </w:r>
      <w:r w:rsidR="00E135DD">
        <w:t xml:space="preserve"> </w:t>
      </w:r>
      <w:r w:rsidR="00A668D2">
        <w:t xml:space="preserve">The primary judge also </w:t>
      </w:r>
      <w:r w:rsidR="00100D91">
        <w:t>found</w:t>
      </w:r>
      <w:r w:rsidR="00A668D2">
        <w:t xml:space="preserve"> </w:t>
      </w:r>
      <w:r w:rsidR="00100D91">
        <w:t>that</w:t>
      </w:r>
      <w:r w:rsidR="00A668D2">
        <w:t xml:space="preserve"> the </w:t>
      </w:r>
      <w:r w:rsidR="00587BD9">
        <w:t>Authority</w:t>
      </w:r>
      <w:r w:rsidR="00100D91">
        <w:t xml:space="preserve"> had</w:t>
      </w:r>
      <w:r w:rsidR="00587BD9">
        <w:t xml:space="preserve"> provided </w:t>
      </w:r>
      <w:r w:rsidR="00AE536A">
        <w:t>l</w:t>
      </w:r>
      <w:r w:rsidR="00587BD9">
        <w:t>ogical and intelligible reasons</w:t>
      </w:r>
      <w:r w:rsidR="00100D91">
        <w:t xml:space="preserve"> in support of its finding as to the appellant’s credibility in relation to the cricket ground incident</w:t>
      </w:r>
      <w:r w:rsidR="00587BD9">
        <w:t>.</w:t>
      </w:r>
      <w:r w:rsidR="00A668D2">
        <w:t xml:space="preserve"> </w:t>
      </w:r>
      <w:r w:rsidR="00100D91">
        <w:t>The</w:t>
      </w:r>
      <w:r w:rsidR="00A668D2">
        <w:t xml:space="preserve"> primary judge </w:t>
      </w:r>
      <w:r w:rsidR="00100D91">
        <w:t>similarly rejected</w:t>
      </w:r>
      <w:r w:rsidR="00A668D2">
        <w:t xml:space="preserve"> </w:t>
      </w:r>
      <w:r>
        <w:t xml:space="preserve">the </w:t>
      </w:r>
      <w:r w:rsidR="00E03986">
        <w:t>appellant’s assertion that the A</w:t>
      </w:r>
      <w:r>
        <w:t>uthority’s reasoning gave rise to a reasonab</w:t>
      </w:r>
      <w:r w:rsidR="00E03986">
        <w:t>le apprehension of bias</w:t>
      </w:r>
      <w:r w:rsidR="00304A74">
        <w:t>,</w:t>
      </w:r>
      <w:r w:rsidR="00E03986">
        <w:t xml:space="preserve"> which, </w:t>
      </w:r>
      <w:r>
        <w:t xml:space="preserve">as the argument </w:t>
      </w:r>
      <w:r w:rsidR="00E03986">
        <w:t xml:space="preserve">was </w:t>
      </w:r>
      <w:r>
        <w:t xml:space="preserve">put to the primary judge, was said to arise by </w:t>
      </w:r>
      <w:r w:rsidR="00304A74">
        <w:t>virtue</w:t>
      </w:r>
      <w:r>
        <w:t xml:space="preserve"> of errors </w:t>
      </w:r>
      <w:r w:rsidR="000D2AFB">
        <w:t>in</w:t>
      </w:r>
      <w:r>
        <w:t xml:space="preserve"> </w:t>
      </w:r>
      <w:r w:rsidR="007F4CEE">
        <w:t>A</w:t>
      </w:r>
      <w:r>
        <w:t xml:space="preserve">uthority’s </w:t>
      </w:r>
      <w:r w:rsidR="00E506F1">
        <w:t>findings</w:t>
      </w:r>
      <w:r>
        <w:t xml:space="preserve"> as to the credibility of the appellant.</w:t>
      </w:r>
    </w:p>
    <w:p w:rsidR="00D00E4C" w:rsidRPr="00642074" w:rsidRDefault="00D00E4C" w:rsidP="00FF7A69">
      <w:pPr>
        <w:pStyle w:val="Heading1"/>
      </w:pPr>
      <w:r w:rsidRPr="00642074">
        <w:t>C</w:t>
      </w:r>
      <w:r w:rsidRPr="00642074">
        <w:tab/>
        <w:t xml:space="preserve">THE </w:t>
      </w:r>
      <w:r w:rsidR="00353404">
        <w:t>PROCEEDING ON APPEAL</w:t>
      </w:r>
    </w:p>
    <w:p w:rsidR="00D00E4C" w:rsidRPr="00C748B6" w:rsidRDefault="00E03986" w:rsidP="00D00E4C">
      <w:pPr>
        <w:pStyle w:val="ParaNumbering"/>
      </w:pPr>
      <w:r w:rsidRPr="00C748B6">
        <w:t xml:space="preserve">The argument on appeal </w:t>
      </w:r>
      <w:r w:rsidR="00D00E4C" w:rsidRPr="00C748B6">
        <w:t xml:space="preserve">has been somewhat refined. Mr Foster, </w:t>
      </w:r>
      <w:r w:rsidR="00F07DD1">
        <w:t>counsel for</w:t>
      </w:r>
      <w:r w:rsidR="00D00E4C" w:rsidRPr="00C748B6">
        <w:t xml:space="preserve"> the appellant, sensibly, if I may say so, accepted that the apprehended bias argument below was framed in such a way that it did not amount to an independent basis upon which his client could obtain relief. Given it was said that the apprehension of bias arose by reason of the illogicality or unreasonableness of the decision-making relating to the cricket ground incident, if that </w:t>
      </w:r>
      <w:r w:rsidR="00C12ADC">
        <w:t>reasoning process</w:t>
      </w:r>
      <w:r w:rsidR="00EB43B9">
        <w:t xml:space="preserve"> was successfully impugned </w:t>
      </w:r>
      <w:r w:rsidR="00D00E4C" w:rsidRPr="00C748B6">
        <w:t>then the appellant would be entitled to relief irrespective of any contenti</w:t>
      </w:r>
      <w:r w:rsidR="00C748B6">
        <w:t>on as to apprehended</w:t>
      </w:r>
      <w:r w:rsidRPr="00C748B6">
        <w:t xml:space="preserve"> bias. </w:t>
      </w:r>
      <w:r w:rsidR="00D00E4C" w:rsidRPr="00C748B6">
        <w:t xml:space="preserve">Accordingly, </w:t>
      </w:r>
      <w:r w:rsidR="001F2AC1">
        <w:t xml:space="preserve">it was accepted that </w:t>
      </w:r>
      <w:r w:rsidR="00D00E4C" w:rsidRPr="00C748B6">
        <w:t>the allegation of bias can be put to one side.</w:t>
      </w:r>
    </w:p>
    <w:p w:rsidR="00D00E4C" w:rsidRPr="00C748B6" w:rsidRDefault="00D00E4C" w:rsidP="00D00E4C">
      <w:pPr>
        <w:pStyle w:val="ParaNumbering"/>
      </w:pPr>
      <w:r w:rsidRPr="00C748B6">
        <w:lastRenderedPageBreak/>
        <w:t>The focus of the appellant’s argument was refined as constituting an assertion that the primary judge</w:t>
      </w:r>
      <w:r w:rsidR="0080697E">
        <w:t xml:space="preserve"> erred in</w:t>
      </w:r>
      <w:r w:rsidRPr="00C748B6">
        <w:t xml:space="preserve"> </w:t>
      </w:r>
      <w:r w:rsidR="007F4CEE">
        <w:t>failing</w:t>
      </w:r>
      <w:r w:rsidRPr="00C748B6">
        <w:t xml:space="preserve"> to </w:t>
      </w:r>
      <w:r w:rsidR="00EB43B9">
        <w:t>find</w:t>
      </w:r>
      <w:r w:rsidRPr="00C748B6">
        <w:t xml:space="preserve"> th</w:t>
      </w:r>
      <w:r w:rsidR="001466F0">
        <w:t>at the A</w:t>
      </w:r>
      <w:r w:rsidRPr="00C748B6">
        <w:t>uthority committed jurisdictional error in making a credibility finding</w:t>
      </w:r>
      <w:r w:rsidR="005E6C02" w:rsidRPr="00C748B6">
        <w:t xml:space="preserve"> </w:t>
      </w:r>
      <w:r w:rsidR="0080697E">
        <w:t>on the basis of the</w:t>
      </w:r>
      <w:r w:rsidR="005E6C02" w:rsidRPr="00C748B6">
        <w:t xml:space="preserve"> evidence concerning the cricket ground incident. Such </w:t>
      </w:r>
      <w:r w:rsidR="001F2AC1">
        <w:t xml:space="preserve">a </w:t>
      </w:r>
      <w:r w:rsidR="005E6C02" w:rsidRPr="00C748B6">
        <w:t>finding is</w:t>
      </w:r>
      <w:r w:rsidRPr="00C748B6">
        <w:t xml:space="preserve"> seen most directly in the following paragraph of the Authority’s reasons (at [22]):</w:t>
      </w:r>
    </w:p>
    <w:p w:rsidR="00D00E4C" w:rsidRPr="00642074" w:rsidRDefault="00D00E4C" w:rsidP="00FF7A69">
      <w:pPr>
        <w:pStyle w:val="Quote1"/>
      </w:pPr>
      <w:r w:rsidRPr="00642074">
        <w:t>Given the changes and inconsistencies in the applicant’s evidence, I do not find him to be a credible witness in relation to the cricket ground incident. In particular, even accepting what he said at the arrival interview as a summary, the applicant has been largely inconsistent on the details of the incident. He changed his evidence about the reason for the SLA becoming interested in the matter; whether he was detained; what reporting conditions applied; whether he resided in Colombo prior to leaving for Malaysia; raised an additional incident with the SLA officer; and extended the death threats made against him after he left Sri Lanka to his mother to both the SLA officer and the paramilitary man from the cricket ground. The difficulties with his evidence are to such an extent that I am not satisfied that the applicant is a witness of truth on this matter and I reject his evidence that he was involved in an incident at the cricket ground in 2012 that led to further attention from the SLA, including the SLA officer, or that he was detained, questioned, placed on reporting conditions and/or threatened as a result. It follows that I also do not accept that after he left Sri Lanka the SLA Officer, or anyone else, made threats against the applicant to his parents or threatened his parents with arrest.</w:t>
      </w:r>
    </w:p>
    <w:p w:rsidR="00D00E4C" w:rsidRPr="003E4778" w:rsidRDefault="00D00E4C" w:rsidP="00D00E4C">
      <w:pPr>
        <w:pStyle w:val="ParaNumbering"/>
      </w:pPr>
      <w:r w:rsidRPr="003E4778">
        <w:t xml:space="preserve">The appellant submits that the </w:t>
      </w:r>
      <w:r w:rsidR="000B4819" w:rsidRPr="003E4778">
        <w:t>“</w:t>
      </w:r>
      <w:r w:rsidRPr="003E4778">
        <w:t>change</w:t>
      </w:r>
      <w:r w:rsidR="000B4819" w:rsidRPr="003E4778">
        <w:t>s</w:t>
      </w:r>
      <w:r w:rsidRPr="003E4778">
        <w:t xml:space="preserve"> </w:t>
      </w:r>
      <w:r w:rsidR="000B4819" w:rsidRPr="003E4778">
        <w:t>and</w:t>
      </w:r>
      <w:r w:rsidRPr="003E4778">
        <w:t xml:space="preserve"> inconsistencies</w:t>
      </w:r>
      <w:r w:rsidR="000B4819" w:rsidRPr="003E4778">
        <w:t>”</w:t>
      </w:r>
      <w:r w:rsidRPr="003E4778">
        <w:t xml:space="preserve"> </w:t>
      </w:r>
      <w:r w:rsidR="00EB43B9" w:rsidRPr="003E4778">
        <w:t xml:space="preserve">asserted </w:t>
      </w:r>
      <w:r w:rsidRPr="003E4778">
        <w:t>were minor and, in any event, wer</w:t>
      </w:r>
      <w:r w:rsidR="000B4819" w:rsidRPr="003E4778">
        <w:t>e explicable on a number of base</w:t>
      </w:r>
      <w:r w:rsidRPr="003E4778">
        <w:t>s which would, if accepted, not have led the Authority to make the adverse credibility finding in relation to the cricket ground incident. As this</w:t>
      </w:r>
      <w:r w:rsidR="007F4CEE" w:rsidRPr="003E4778">
        <w:t xml:space="preserve"> contention</w:t>
      </w:r>
      <w:r w:rsidRPr="003E4778">
        <w:t xml:space="preserve"> was developed during the course of oral submissions, Mr Foster noted that the </w:t>
      </w:r>
      <w:r w:rsidR="001F2AC1">
        <w:t>“</w:t>
      </w:r>
      <w:r w:rsidRPr="003E4778">
        <w:t>majority</w:t>
      </w:r>
      <w:r w:rsidR="001F2AC1">
        <w:t>”</w:t>
      </w:r>
      <w:r w:rsidRPr="003E4778">
        <w:t xml:space="preserve"> of </w:t>
      </w:r>
      <w:r w:rsidR="00287991">
        <w:t xml:space="preserve">the </w:t>
      </w:r>
      <w:r w:rsidRPr="003E4778">
        <w:t>so-called inconsistencies should</w:t>
      </w:r>
      <w:r w:rsidR="00CE0E83" w:rsidRPr="003E4778">
        <w:t xml:space="preserve"> instead</w:t>
      </w:r>
      <w:r w:rsidRPr="003E4778">
        <w:t xml:space="preserve"> be perceived as expanding </w:t>
      </w:r>
      <w:r w:rsidR="001F2AC1">
        <w:t>up</w:t>
      </w:r>
      <w:r w:rsidR="006E4630" w:rsidRPr="003E4778">
        <w:t xml:space="preserve">on, </w:t>
      </w:r>
      <w:r w:rsidRPr="003E4778">
        <w:t>or providing additional detail in relation to</w:t>
      </w:r>
      <w:r w:rsidR="006E4630" w:rsidRPr="003E4778">
        <w:t>,</w:t>
      </w:r>
      <w:r w:rsidRPr="003E4778">
        <w:t xml:space="preserve"> aspects of the appellant’s contentions as to the cricket ground incident; a </w:t>
      </w:r>
      <w:r w:rsidR="007F4CEE" w:rsidRPr="003E4778">
        <w:t>proposition</w:t>
      </w:r>
      <w:r w:rsidRPr="003E4778">
        <w:t xml:space="preserve"> which was said to be hardly surprising given the lapse of time since the date of the incident. Indeed, it was submitted that </w:t>
      </w:r>
      <w:r w:rsidR="00CE0E83" w:rsidRPr="003E4778">
        <w:t xml:space="preserve">the Authority, </w:t>
      </w:r>
      <w:r w:rsidR="005040ED" w:rsidRPr="003E4778">
        <w:t>in</w:t>
      </w:r>
      <w:r w:rsidRPr="003E4778">
        <w:t xml:space="preserve"> reaching a conclusion that the appellant had been “largely inconsistent on </w:t>
      </w:r>
      <w:r w:rsidR="00E41971">
        <w:t xml:space="preserve">the </w:t>
      </w:r>
      <w:r w:rsidRPr="003E4778">
        <w:t>details of the incident” and hence lacked credi</w:t>
      </w:r>
      <w:r w:rsidR="00CE0E83" w:rsidRPr="003E4778">
        <w:t xml:space="preserve">bility, </w:t>
      </w:r>
      <w:r w:rsidRPr="003E4778">
        <w:t>proceeded in an irrational, illogical and legally unreasonable way.</w:t>
      </w:r>
    </w:p>
    <w:p w:rsidR="007F4CEE" w:rsidRDefault="00D00E4C" w:rsidP="00B25BAE">
      <w:pPr>
        <w:pStyle w:val="ParaNumbering"/>
      </w:pPr>
      <w:r w:rsidRPr="005040ED">
        <w:t>As is evident from the primary judge’s reasons, this more refined argument was</w:t>
      </w:r>
      <w:r w:rsidR="009A26CB">
        <w:t xml:space="preserve"> not expressly advanced in the C</w:t>
      </w:r>
      <w:r w:rsidRPr="005040ED">
        <w:t xml:space="preserve">ourt below. Yet, as the Minister correctly </w:t>
      </w:r>
      <w:r w:rsidR="001466F0">
        <w:t>concedes</w:t>
      </w:r>
      <w:r w:rsidRPr="005040ED">
        <w:t xml:space="preserve">, no prejudice </w:t>
      </w:r>
      <w:r w:rsidR="00F542C6" w:rsidRPr="005040ED">
        <w:t xml:space="preserve">is occasioned </w:t>
      </w:r>
      <w:r w:rsidR="006A72CE" w:rsidRPr="005040ED">
        <w:t>in</w:t>
      </w:r>
      <w:r w:rsidR="00B47A43">
        <w:t xml:space="preserve"> the appellant advancing such</w:t>
      </w:r>
      <w:r w:rsidRPr="005040ED">
        <w:t xml:space="preserve"> </w:t>
      </w:r>
      <w:r w:rsidR="00B05960">
        <w:t xml:space="preserve">a </w:t>
      </w:r>
      <w:r w:rsidRPr="005040ED">
        <w:t>contention on appeal</w:t>
      </w:r>
      <w:r w:rsidR="00F542C6" w:rsidRPr="005040ED">
        <w:t>. I therefore</w:t>
      </w:r>
      <w:r w:rsidRPr="005040ED">
        <w:t xml:space="preserve"> </w:t>
      </w:r>
      <w:r w:rsidR="005040ED" w:rsidRPr="005040ED">
        <w:t>granted</w:t>
      </w:r>
      <w:r w:rsidRPr="005040ED">
        <w:t xml:space="preserve"> leave for the</w:t>
      </w:r>
      <w:r w:rsidR="00F542C6" w:rsidRPr="005040ED">
        <w:t xml:space="preserve"> notice of appeal to be amended</w:t>
      </w:r>
      <w:r w:rsidR="007F4CEE">
        <w:t>.</w:t>
      </w:r>
    </w:p>
    <w:p w:rsidR="00AA1DCF" w:rsidRPr="00AA1DCF" w:rsidRDefault="00D00E4C" w:rsidP="00B25BAE">
      <w:pPr>
        <w:pStyle w:val="ParaNumbering"/>
      </w:pPr>
      <w:r>
        <w:t xml:space="preserve">What is important to </w:t>
      </w:r>
      <w:r w:rsidR="001466F0">
        <w:t>stress</w:t>
      </w:r>
      <w:r>
        <w:t xml:space="preserve"> at the outset is that this is not a case such as </w:t>
      </w:r>
      <w:r w:rsidRPr="007F4CEE">
        <w:rPr>
          <w:i/>
        </w:rPr>
        <w:t xml:space="preserve">SZTFQ </w:t>
      </w:r>
      <w:r w:rsidRPr="007F4CEE">
        <w:rPr>
          <w:i/>
          <w:color w:val="000000"/>
          <w:shd w:val="clear" w:color="auto" w:fill="FFFFFF"/>
        </w:rPr>
        <w:t>v Minister for Immigration and Border Protection</w:t>
      </w:r>
      <w:r w:rsidR="009A452F" w:rsidRPr="007F4CEE">
        <w:rPr>
          <w:color w:val="000000"/>
          <w:shd w:val="clear" w:color="auto" w:fill="FFFFFF"/>
        </w:rPr>
        <w:t xml:space="preserve"> [2017] FCA 562</w:t>
      </w:r>
      <w:r w:rsidRPr="007F4CEE">
        <w:rPr>
          <w:color w:val="000000"/>
          <w:shd w:val="clear" w:color="auto" w:fill="FFFFFF"/>
        </w:rPr>
        <w:t xml:space="preserve">, where it is necessary to have regard to the fact that the assessment of credibility is impressionistic, and emphatic adverse findings on credibility may well, expressly or implicitly, be linked with one another so that it would not be </w:t>
      </w:r>
      <w:r w:rsidRPr="007F4CEE">
        <w:rPr>
          <w:color w:val="000000"/>
          <w:shd w:val="clear" w:color="auto" w:fill="FFFFFF"/>
        </w:rPr>
        <w:lastRenderedPageBreak/>
        <w:t xml:space="preserve">possible or realistic for a reviewing court to be confident that an error in one strand of credibility reasoning does not infect other strands. </w:t>
      </w:r>
      <w:r w:rsidR="001D2D16" w:rsidRPr="007F4CEE">
        <w:rPr>
          <w:shd w:val="clear" w:color="auto" w:fill="FFFFFF"/>
        </w:rPr>
        <w:t>As I stated in that case</w:t>
      </w:r>
      <w:r w:rsidR="00AA1DCF" w:rsidRPr="007F4CEE">
        <w:rPr>
          <w:shd w:val="clear" w:color="auto" w:fill="FFFFFF"/>
        </w:rPr>
        <w:t xml:space="preserve"> </w:t>
      </w:r>
      <w:r w:rsidRPr="007F4CEE">
        <w:rPr>
          <w:shd w:val="clear" w:color="auto" w:fill="FFFFFF"/>
        </w:rPr>
        <w:t xml:space="preserve">(at [44]–[45]), credibility findings can often not be put into “hermetically sealed boxes” and that to </w:t>
      </w:r>
      <w:r w:rsidR="001D2D16" w:rsidRPr="007F4CEE">
        <w:rPr>
          <w:shd w:val="clear" w:color="auto" w:fill="FFFFFF"/>
        </w:rPr>
        <w:t>compartmentalise</w:t>
      </w:r>
      <w:r w:rsidRPr="007F4CEE">
        <w:rPr>
          <w:shd w:val="clear" w:color="auto" w:fill="FFFFFF"/>
        </w:rPr>
        <w:t xml:space="preserve"> deci</w:t>
      </w:r>
      <w:r w:rsidR="001D2D16" w:rsidRPr="007F4CEE">
        <w:rPr>
          <w:shd w:val="clear" w:color="auto" w:fill="FFFFFF"/>
        </w:rPr>
        <w:t>sion-</w:t>
      </w:r>
      <w:r w:rsidRPr="007F4CEE">
        <w:rPr>
          <w:shd w:val="clear" w:color="auto" w:fill="FFFFFF"/>
        </w:rPr>
        <w:t xml:space="preserve">making is to “underplay the complexity of the anatomy” of such </w:t>
      </w:r>
      <w:r w:rsidR="007A0B1C">
        <w:rPr>
          <w:shd w:val="clear" w:color="auto" w:fill="FFFFFF"/>
        </w:rPr>
        <w:t xml:space="preserve">a </w:t>
      </w:r>
      <w:r w:rsidRPr="007F4CEE">
        <w:rPr>
          <w:shd w:val="clear" w:color="auto" w:fill="FFFFFF"/>
        </w:rPr>
        <w:t xml:space="preserve">process: see </w:t>
      </w:r>
      <w:r w:rsidR="009A452F" w:rsidRPr="007F4CEE">
        <w:rPr>
          <w:shd w:val="clear" w:color="auto" w:fill="FFFFFF"/>
        </w:rPr>
        <w:t xml:space="preserve">also </w:t>
      </w:r>
      <w:r w:rsidRPr="007F4CEE">
        <w:rPr>
          <w:i/>
          <w:color w:val="000000"/>
          <w:shd w:val="clear" w:color="auto" w:fill="FFFFFF"/>
        </w:rPr>
        <w:t>VAAD v Minister for Immigration &amp; Multicultural Affairs</w:t>
      </w:r>
      <w:r w:rsidRPr="007F4CEE">
        <w:rPr>
          <w:color w:val="000000"/>
          <w:shd w:val="clear" w:color="auto" w:fill="FFFFFF"/>
        </w:rPr>
        <w:t xml:space="preserve"> [2005] FCAFC 117 (</w:t>
      </w:r>
      <w:r w:rsidRPr="007F4CEE">
        <w:rPr>
          <w:color w:val="000000"/>
          <w:szCs w:val="24"/>
          <w:shd w:val="clear" w:color="auto" w:fill="FFFFFF"/>
        </w:rPr>
        <w:t xml:space="preserve">at [79] </w:t>
      </w:r>
      <w:r w:rsidRPr="003E4778">
        <w:rPr>
          <w:szCs w:val="24"/>
          <w:shd w:val="clear" w:color="auto" w:fill="FFFFFF"/>
        </w:rPr>
        <w:t xml:space="preserve">per Hill, </w:t>
      </w:r>
      <w:proofErr w:type="spellStart"/>
      <w:r w:rsidRPr="003E4778">
        <w:rPr>
          <w:szCs w:val="24"/>
          <w:shd w:val="clear" w:color="auto" w:fill="FFFFFF"/>
        </w:rPr>
        <w:t>Sundberg</w:t>
      </w:r>
      <w:proofErr w:type="spellEnd"/>
      <w:r w:rsidRPr="003E4778">
        <w:rPr>
          <w:szCs w:val="24"/>
          <w:shd w:val="clear" w:color="auto" w:fill="FFFFFF"/>
        </w:rPr>
        <w:t xml:space="preserve"> and Stone JJ); </w:t>
      </w:r>
      <w:r w:rsidRPr="007F4CEE">
        <w:rPr>
          <w:i/>
          <w:color w:val="000000"/>
          <w:szCs w:val="24"/>
          <w:shd w:val="clear" w:color="auto" w:fill="FFFFFF"/>
        </w:rPr>
        <w:t xml:space="preserve">Re Refugee Review Tribunal; Ex parte </w:t>
      </w:r>
      <w:proofErr w:type="spellStart"/>
      <w:r w:rsidRPr="007F4CEE">
        <w:rPr>
          <w:i/>
          <w:color w:val="000000"/>
          <w:szCs w:val="24"/>
          <w:shd w:val="clear" w:color="auto" w:fill="FFFFFF"/>
        </w:rPr>
        <w:t>Aala</w:t>
      </w:r>
      <w:proofErr w:type="spellEnd"/>
      <w:r w:rsidRPr="007F4CEE">
        <w:rPr>
          <w:color w:val="000000"/>
          <w:szCs w:val="24"/>
          <w:shd w:val="clear" w:color="auto" w:fill="FFFFFF"/>
        </w:rPr>
        <w:t xml:space="preserve"> </w:t>
      </w:r>
      <w:r w:rsidR="009A452F" w:rsidRPr="007F4CEE">
        <w:rPr>
          <w:color w:val="000000"/>
          <w:szCs w:val="24"/>
          <w:shd w:val="clear" w:color="auto" w:fill="FFFFFF"/>
        </w:rPr>
        <w:t xml:space="preserve">[2000] HCA 57; </w:t>
      </w:r>
      <w:r w:rsidRPr="007F4CEE">
        <w:rPr>
          <w:color w:val="000000"/>
          <w:szCs w:val="24"/>
          <w:shd w:val="clear" w:color="auto" w:fill="FFFFFF"/>
        </w:rPr>
        <w:t xml:space="preserve">(2000) 204 CLR 82 (at 89 per Gleeson CJ); </w:t>
      </w:r>
      <w:r w:rsidRPr="007F4CEE">
        <w:rPr>
          <w:i/>
          <w:color w:val="000000"/>
          <w:szCs w:val="24"/>
          <w:shd w:val="clear" w:color="auto" w:fill="FFFFFF"/>
        </w:rPr>
        <w:t>Applicant NAFF of 2002 v Minister for Immigration and Multicultural and Indigenous Affairs</w:t>
      </w:r>
      <w:r w:rsidRPr="007F4CEE">
        <w:rPr>
          <w:color w:val="000000"/>
          <w:szCs w:val="24"/>
          <w:shd w:val="clear" w:color="auto" w:fill="FFFFFF"/>
        </w:rPr>
        <w:t xml:space="preserve"> </w:t>
      </w:r>
      <w:r w:rsidR="009A452F" w:rsidRPr="007F4CEE">
        <w:rPr>
          <w:color w:val="000000"/>
          <w:szCs w:val="24"/>
          <w:shd w:val="clear" w:color="auto" w:fill="FFFFFF"/>
        </w:rPr>
        <w:t xml:space="preserve">[2004] HCA 62; </w:t>
      </w:r>
      <w:r w:rsidRPr="007F4CEE">
        <w:rPr>
          <w:color w:val="000000"/>
          <w:szCs w:val="24"/>
          <w:shd w:val="clear" w:color="auto" w:fill="FFFFFF"/>
        </w:rPr>
        <w:t>(2004) 221 CLR 1 (at 23</w:t>
      </w:r>
      <w:r w:rsidR="009A452F" w:rsidRPr="007F4CEE">
        <w:rPr>
          <w:color w:val="000000"/>
          <w:szCs w:val="24"/>
          <w:shd w:val="clear" w:color="auto" w:fill="FFFFFF"/>
        </w:rPr>
        <w:t>–4</w:t>
      </w:r>
      <w:r w:rsidRPr="007F4CEE">
        <w:rPr>
          <w:color w:val="000000"/>
          <w:szCs w:val="24"/>
          <w:shd w:val="clear" w:color="auto" w:fill="FFFFFF"/>
        </w:rPr>
        <w:t xml:space="preserve"> [81] per Kirby J)</w:t>
      </w:r>
      <w:r w:rsidRPr="007F4CEE">
        <w:rPr>
          <w:shd w:val="clear" w:color="auto" w:fill="FFFFFF"/>
        </w:rPr>
        <w:t xml:space="preserve">. </w:t>
      </w:r>
    </w:p>
    <w:p w:rsidR="00D00E4C" w:rsidRPr="009615E6" w:rsidRDefault="00AA1DCF" w:rsidP="00AA1DCF">
      <w:pPr>
        <w:pStyle w:val="ParaNumbering"/>
      </w:pPr>
      <w:r>
        <w:rPr>
          <w:shd w:val="clear" w:color="auto" w:fill="FFFFFF"/>
        </w:rPr>
        <w:t>The reason why this case is different</w:t>
      </w:r>
      <w:r w:rsidR="00D00E4C" w:rsidRPr="00C007C6">
        <w:rPr>
          <w:shd w:val="clear" w:color="auto" w:fill="FFFFFF"/>
        </w:rPr>
        <w:t xml:space="preserve"> is because </w:t>
      </w:r>
      <w:r>
        <w:rPr>
          <w:shd w:val="clear" w:color="auto" w:fill="FFFFFF"/>
        </w:rPr>
        <w:t>here</w:t>
      </w:r>
      <w:r w:rsidR="007A0B1C">
        <w:rPr>
          <w:shd w:val="clear" w:color="auto" w:fill="FFFFFF"/>
        </w:rPr>
        <w:t>,</w:t>
      </w:r>
      <w:r>
        <w:rPr>
          <w:shd w:val="clear" w:color="auto" w:fill="FFFFFF"/>
        </w:rPr>
        <w:t xml:space="preserve"> the appellant</w:t>
      </w:r>
      <w:r w:rsidR="00085FD1">
        <w:rPr>
          <w:shd w:val="clear" w:color="auto" w:fill="FFFFFF"/>
        </w:rPr>
        <w:t>’s evidence</w:t>
      </w:r>
      <w:r>
        <w:rPr>
          <w:shd w:val="clear" w:color="auto" w:fill="FFFFFF"/>
        </w:rPr>
        <w:t xml:space="preserve"> was</w:t>
      </w:r>
      <w:r w:rsidR="00D00E4C" w:rsidRPr="00C007C6">
        <w:rPr>
          <w:shd w:val="clear" w:color="auto" w:fill="FFFFFF"/>
        </w:rPr>
        <w:t xml:space="preserve"> otherwise accepted in relation to what might be described as the </w:t>
      </w:r>
      <w:r w:rsidR="00D00E4C">
        <w:rPr>
          <w:shd w:val="clear" w:color="auto" w:fill="FFFFFF"/>
        </w:rPr>
        <w:t>“</w:t>
      </w:r>
      <w:r w:rsidR="00D00E4C" w:rsidRPr="00C007C6">
        <w:rPr>
          <w:shd w:val="clear" w:color="auto" w:fill="FFFFFF"/>
        </w:rPr>
        <w:t>core aspects</w:t>
      </w:r>
      <w:r w:rsidR="00D00E4C">
        <w:rPr>
          <w:shd w:val="clear" w:color="auto" w:fill="FFFFFF"/>
        </w:rPr>
        <w:t>”</w:t>
      </w:r>
      <w:r w:rsidR="00D00E4C" w:rsidRPr="00C007C6">
        <w:rPr>
          <w:shd w:val="clear" w:color="auto" w:fill="FFFFFF"/>
        </w:rPr>
        <w:t xml:space="preserve"> o</w:t>
      </w:r>
      <w:r w:rsidR="00D00E4C">
        <w:rPr>
          <w:shd w:val="clear" w:color="auto" w:fill="FFFFFF"/>
        </w:rPr>
        <w:t xml:space="preserve">f </w:t>
      </w:r>
      <w:r w:rsidR="00085FD1">
        <w:rPr>
          <w:shd w:val="clear" w:color="auto" w:fill="FFFFFF"/>
        </w:rPr>
        <w:t>that</w:t>
      </w:r>
      <w:r w:rsidR="00D00E4C">
        <w:rPr>
          <w:shd w:val="clear" w:color="auto" w:fill="FFFFFF"/>
        </w:rPr>
        <w:t xml:space="preserve"> </w:t>
      </w:r>
      <w:r w:rsidR="00C12ADC">
        <w:rPr>
          <w:shd w:val="clear" w:color="auto" w:fill="FFFFFF"/>
        </w:rPr>
        <w:t>evidence</w:t>
      </w:r>
      <w:r w:rsidR="00D00E4C">
        <w:rPr>
          <w:shd w:val="clear" w:color="auto" w:fill="FFFFFF"/>
        </w:rPr>
        <w:t xml:space="preserve">. </w:t>
      </w:r>
      <w:r w:rsidR="00D00E4C" w:rsidRPr="00AA1DCF">
        <w:rPr>
          <w:shd w:val="clear" w:color="auto" w:fill="FFFFFF"/>
        </w:rPr>
        <w:t xml:space="preserve">Indeed, based on generally consistent evidence </w:t>
      </w:r>
      <w:r w:rsidR="008514C9">
        <w:rPr>
          <w:shd w:val="clear" w:color="auto" w:fill="FFFFFF"/>
        </w:rPr>
        <w:t>in relation to</w:t>
      </w:r>
      <w:r w:rsidR="00D00E4C" w:rsidRPr="00AA1DCF">
        <w:rPr>
          <w:shd w:val="clear" w:color="auto" w:fill="FFFFFF"/>
        </w:rPr>
        <w:t xml:space="preserve"> other incidents and </w:t>
      </w:r>
      <w:r w:rsidR="008514C9">
        <w:rPr>
          <w:shd w:val="clear" w:color="auto" w:fill="FFFFFF"/>
        </w:rPr>
        <w:t xml:space="preserve">the </w:t>
      </w:r>
      <w:r w:rsidR="00D00E4C" w:rsidRPr="00AA1DCF">
        <w:rPr>
          <w:shd w:val="clear" w:color="auto" w:fill="FFFFFF"/>
        </w:rPr>
        <w:t xml:space="preserve">country information, the Authority (at [23]) was prepared to accept </w:t>
      </w:r>
      <w:r w:rsidR="001F10C6">
        <w:rPr>
          <w:shd w:val="clear" w:color="auto" w:fill="FFFFFF"/>
        </w:rPr>
        <w:t>that:</w:t>
      </w:r>
      <w:r w:rsidR="00D00E4C" w:rsidRPr="00AA1DCF">
        <w:rPr>
          <w:shd w:val="clear" w:color="auto" w:fill="FFFFFF"/>
        </w:rPr>
        <w:t xml:space="preserve"> the appe</w:t>
      </w:r>
      <w:r w:rsidR="005718D2">
        <w:rPr>
          <w:shd w:val="clear" w:color="auto" w:fill="FFFFFF"/>
        </w:rPr>
        <w:t>llant and his family lived in a</w:t>
      </w:r>
      <w:r w:rsidR="00D00E4C" w:rsidRPr="00AA1DCF">
        <w:rPr>
          <w:shd w:val="clear" w:color="auto" w:fill="FFFFFF"/>
        </w:rPr>
        <w:t xml:space="preserve"> LTTE controlled area at times during the war; he was aware of a number of deaths of people he knew or which happened nearby his house during the war; his father was forced to do work for the LTTE; his mother’s cousin worked for the LTTE as a broadcaster and actor; his cousin did work for the LTTE painting vehicles, was placed in a camp towards the end of the war and had to bribe his way out of the camp; </w:t>
      </w:r>
      <w:r w:rsidR="005718D2">
        <w:rPr>
          <w:shd w:val="clear" w:color="auto" w:fill="FFFFFF"/>
        </w:rPr>
        <w:t xml:space="preserve">and </w:t>
      </w:r>
      <w:r w:rsidR="00D00E4C" w:rsidRPr="00AA1DCF">
        <w:rPr>
          <w:shd w:val="clear" w:color="auto" w:fill="FFFFFF"/>
        </w:rPr>
        <w:t xml:space="preserve">another cousin was arrested in 2008 for financing the LTTE but was subsequently released after a successful court action.  </w:t>
      </w:r>
    </w:p>
    <w:p w:rsidR="00D00E4C" w:rsidRPr="00E5290E" w:rsidRDefault="008514C9" w:rsidP="00D00E4C">
      <w:pPr>
        <w:pStyle w:val="ParaNumbering"/>
      </w:pPr>
      <w:r>
        <w:rPr>
          <w:color w:val="000000"/>
          <w:shd w:val="clear" w:color="auto" w:fill="FFFFFF"/>
        </w:rPr>
        <w:t>Moreover</w:t>
      </w:r>
      <w:r w:rsidR="00D00E4C">
        <w:rPr>
          <w:color w:val="000000"/>
          <w:shd w:val="clear" w:color="auto" w:fill="FFFFFF"/>
        </w:rPr>
        <w:t>,</w:t>
      </w:r>
      <w:r>
        <w:rPr>
          <w:color w:val="000000"/>
          <w:shd w:val="clear" w:color="auto" w:fill="FFFFFF"/>
        </w:rPr>
        <w:t xml:space="preserve"> </w:t>
      </w:r>
      <w:r w:rsidR="00D00E4C">
        <w:rPr>
          <w:color w:val="000000"/>
          <w:shd w:val="clear" w:color="auto" w:fill="FFFFFF"/>
        </w:rPr>
        <w:t>t</w:t>
      </w:r>
      <w:r>
        <w:rPr>
          <w:color w:val="000000"/>
          <w:shd w:val="clear" w:color="auto" w:fill="FFFFFF"/>
        </w:rPr>
        <w:t>he Authority accepted the appellant’s contention</w:t>
      </w:r>
      <w:r w:rsidR="00D00E4C" w:rsidRPr="009615E6">
        <w:rPr>
          <w:color w:val="000000"/>
          <w:shd w:val="clear" w:color="auto" w:fill="FFFFFF"/>
        </w:rPr>
        <w:t xml:space="preserve"> that</w:t>
      </w:r>
      <w:r>
        <w:rPr>
          <w:color w:val="000000"/>
          <w:shd w:val="clear" w:color="auto" w:fill="FFFFFF"/>
        </w:rPr>
        <w:t xml:space="preserve"> </w:t>
      </w:r>
      <w:r w:rsidR="00D00E4C" w:rsidRPr="009615E6">
        <w:rPr>
          <w:color w:val="000000"/>
          <w:shd w:val="clear" w:color="auto" w:fill="FFFFFF"/>
        </w:rPr>
        <w:t xml:space="preserve">he was detained, questioned, seriously mistreated and subsequently released </w:t>
      </w:r>
      <w:r w:rsidRPr="009615E6">
        <w:rPr>
          <w:color w:val="000000"/>
          <w:shd w:val="clear" w:color="auto" w:fill="FFFFFF"/>
        </w:rPr>
        <w:t xml:space="preserve">after a few days </w:t>
      </w:r>
      <w:r w:rsidR="005718D2">
        <w:rPr>
          <w:color w:val="000000"/>
          <w:shd w:val="clear" w:color="auto" w:fill="FFFFFF"/>
        </w:rPr>
        <w:t>by the SLA in 200</w:t>
      </w:r>
      <w:r w:rsidR="00D00E4C" w:rsidRPr="009615E6">
        <w:rPr>
          <w:color w:val="000000"/>
          <w:shd w:val="clear" w:color="auto" w:fill="FFFFFF"/>
        </w:rPr>
        <w:t xml:space="preserve">8 </w:t>
      </w:r>
      <w:r>
        <w:rPr>
          <w:color w:val="000000"/>
          <w:shd w:val="clear" w:color="auto" w:fill="FFFFFF"/>
        </w:rPr>
        <w:t>following</w:t>
      </w:r>
      <w:r w:rsidR="00D00E4C">
        <w:rPr>
          <w:color w:val="000000"/>
          <w:shd w:val="clear" w:color="auto" w:fill="FFFFFF"/>
        </w:rPr>
        <w:t xml:space="preserve"> a bomb blast. </w:t>
      </w:r>
      <w:r>
        <w:rPr>
          <w:color w:val="000000"/>
          <w:shd w:val="clear" w:color="auto" w:fill="FFFFFF"/>
        </w:rPr>
        <w:t>The Authority also accepted the appellant’s contention</w:t>
      </w:r>
      <w:r w:rsidRPr="009615E6">
        <w:rPr>
          <w:color w:val="000000"/>
          <w:shd w:val="clear" w:color="auto" w:fill="FFFFFF"/>
        </w:rPr>
        <w:t xml:space="preserve"> that</w:t>
      </w:r>
      <w:r>
        <w:rPr>
          <w:color w:val="000000"/>
          <w:shd w:val="clear" w:color="auto" w:fill="FFFFFF"/>
        </w:rPr>
        <w:t xml:space="preserve"> </w:t>
      </w:r>
      <w:r w:rsidRPr="009615E6">
        <w:rPr>
          <w:color w:val="000000"/>
          <w:shd w:val="clear" w:color="auto" w:fill="FFFFFF"/>
        </w:rPr>
        <w:t>he</w:t>
      </w:r>
      <w:r>
        <w:rPr>
          <w:color w:val="000000"/>
          <w:shd w:val="clear" w:color="auto" w:fill="FFFFFF"/>
        </w:rPr>
        <w:t xml:space="preserve"> </w:t>
      </w:r>
      <w:r w:rsidR="00D00E4C" w:rsidRPr="009615E6">
        <w:rPr>
          <w:color w:val="000000"/>
          <w:shd w:val="clear" w:color="auto" w:fill="FFFFFF"/>
        </w:rPr>
        <w:t>was detained, questioned, seriously mistreated and subsequently released after two to three weeks by the SLA in 2009</w:t>
      </w:r>
      <w:r w:rsidR="00D00E4C">
        <w:rPr>
          <w:color w:val="000000"/>
          <w:shd w:val="clear" w:color="auto" w:fill="FFFFFF"/>
        </w:rPr>
        <w:t>,</w:t>
      </w:r>
      <w:r w:rsidR="00D00E4C" w:rsidRPr="009615E6">
        <w:rPr>
          <w:color w:val="000000"/>
          <w:shd w:val="clear" w:color="auto" w:fill="FFFFFF"/>
        </w:rPr>
        <w:t xml:space="preserve"> after he was found at his grandmother’s house </w:t>
      </w:r>
      <w:r w:rsidR="00BA3D17">
        <w:rPr>
          <w:color w:val="000000"/>
          <w:shd w:val="clear" w:color="auto" w:fill="FFFFFF"/>
        </w:rPr>
        <w:t>while</w:t>
      </w:r>
      <w:r w:rsidR="00D00E4C" w:rsidRPr="009615E6">
        <w:rPr>
          <w:color w:val="000000"/>
          <w:shd w:val="clear" w:color="auto" w:fill="FFFFFF"/>
        </w:rPr>
        <w:t xml:space="preserve"> the SLA </w:t>
      </w:r>
      <w:r w:rsidR="00A24AFC">
        <w:rPr>
          <w:color w:val="000000"/>
          <w:shd w:val="clear" w:color="auto" w:fill="FFFFFF"/>
        </w:rPr>
        <w:t>were</w:t>
      </w:r>
      <w:r w:rsidR="00D00E4C" w:rsidRPr="009615E6">
        <w:rPr>
          <w:color w:val="000000"/>
          <w:shd w:val="clear" w:color="auto" w:fill="FFFFFF"/>
        </w:rPr>
        <w:t xml:space="preserve"> looking for his cousin</w:t>
      </w:r>
      <w:r w:rsidR="00D00E4C">
        <w:rPr>
          <w:color w:val="000000"/>
          <w:shd w:val="clear" w:color="auto" w:fill="FFFFFF"/>
        </w:rPr>
        <w:t>,</w:t>
      </w:r>
      <w:r w:rsidR="00D00E4C" w:rsidRPr="009615E6">
        <w:rPr>
          <w:color w:val="000000"/>
          <w:shd w:val="clear" w:color="auto" w:fill="FFFFFF"/>
        </w:rPr>
        <w:t xml:space="preserve"> and was thereafter required to report to the army on</w:t>
      </w:r>
      <w:r w:rsidR="00D00E4C">
        <w:rPr>
          <w:color w:val="000000"/>
          <w:shd w:val="clear" w:color="auto" w:fill="FFFFFF"/>
        </w:rPr>
        <w:t xml:space="preserve">ce a week until February 2010. The Authority </w:t>
      </w:r>
      <w:r w:rsidR="00BA3D17">
        <w:rPr>
          <w:color w:val="000000"/>
          <w:shd w:val="clear" w:color="auto" w:fill="FFFFFF"/>
        </w:rPr>
        <w:t>similarly</w:t>
      </w:r>
      <w:r w:rsidR="00D00E4C">
        <w:rPr>
          <w:color w:val="000000"/>
          <w:shd w:val="clear" w:color="auto" w:fill="FFFFFF"/>
        </w:rPr>
        <w:t xml:space="preserve"> accepted the appellant</w:t>
      </w:r>
      <w:r w:rsidR="00BA3D17">
        <w:rPr>
          <w:color w:val="000000"/>
          <w:shd w:val="clear" w:color="auto" w:fill="FFFFFF"/>
        </w:rPr>
        <w:t>’</w:t>
      </w:r>
      <w:r w:rsidR="00D00E4C">
        <w:rPr>
          <w:color w:val="000000"/>
          <w:shd w:val="clear" w:color="auto" w:fill="FFFFFF"/>
        </w:rPr>
        <w:t>s evidence that he paid money in 2010</w:t>
      </w:r>
      <w:r w:rsidR="00D00E4C" w:rsidRPr="009615E6">
        <w:rPr>
          <w:color w:val="000000"/>
          <w:shd w:val="clear" w:color="auto" w:fill="FFFFFF"/>
        </w:rPr>
        <w:t xml:space="preserve"> and 2011 when he tried to organise a visa to study in London, </w:t>
      </w:r>
      <w:r w:rsidR="005718D2">
        <w:rPr>
          <w:color w:val="000000"/>
          <w:shd w:val="clear" w:color="auto" w:fill="FFFFFF"/>
        </w:rPr>
        <w:t xml:space="preserve">that </w:t>
      </w:r>
      <w:r w:rsidR="00D00E4C" w:rsidRPr="009615E6">
        <w:rPr>
          <w:color w:val="000000"/>
          <w:shd w:val="clear" w:color="auto" w:fill="FFFFFF"/>
        </w:rPr>
        <w:t>the institution involved did not have proper accreditation</w:t>
      </w:r>
      <w:r w:rsidR="00D00E4C">
        <w:rPr>
          <w:color w:val="000000"/>
          <w:shd w:val="clear" w:color="auto" w:fill="FFFFFF"/>
        </w:rPr>
        <w:t>,</w:t>
      </w:r>
      <w:r w:rsidR="00D00E4C" w:rsidRPr="009615E6">
        <w:rPr>
          <w:color w:val="000000"/>
          <w:shd w:val="clear" w:color="auto" w:fill="FFFFFF"/>
        </w:rPr>
        <w:t xml:space="preserve"> </w:t>
      </w:r>
      <w:r w:rsidR="005718D2">
        <w:rPr>
          <w:color w:val="000000"/>
          <w:shd w:val="clear" w:color="auto" w:fill="FFFFFF"/>
        </w:rPr>
        <w:t xml:space="preserve">that </w:t>
      </w:r>
      <w:r w:rsidR="00D00E4C" w:rsidRPr="009615E6">
        <w:rPr>
          <w:color w:val="000000"/>
          <w:shd w:val="clear" w:color="auto" w:fill="FFFFFF"/>
        </w:rPr>
        <w:t>he was warned by some SLA personnel on behalf of the institution and</w:t>
      </w:r>
      <w:r w:rsidR="00D00E4C">
        <w:rPr>
          <w:color w:val="000000"/>
          <w:shd w:val="clear" w:color="auto" w:fill="FFFFFF"/>
        </w:rPr>
        <w:t>,</w:t>
      </w:r>
      <w:r w:rsidR="00D00E4C" w:rsidRPr="009615E6">
        <w:rPr>
          <w:color w:val="000000"/>
          <w:shd w:val="clear" w:color="auto" w:fill="FFFFFF"/>
        </w:rPr>
        <w:t xml:space="preserve"> after approaching the police and courts about the matter</w:t>
      </w:r>
      <w:r w:rsidR="00D00E4C">
        <w:rPr>
          <w:color w:val="000000"/>
          <w:shd w:val="clear" w:color="auto" w:fill="FFFFFF"/>
        </w:rPr>
        <w:t>,</w:t>
      </w:r>
      <w:r w:rsidR="00D00E4C" w:rsidRPr="009615E6">
        <w:rPr>
          <w:color w:val="000000"/>
          <w:shd w:val="clear" w:color="auto" w:fill="FFFFFF"/>
        </w:rPr>
        <w:t xml:space="preserve"> he received some of his </w:t>
      </w:r>
      <w:r w:rsidR="00BA3D17">
        <w:rPr>
          <w:color w:val="000000"/>
          <w:shd w:val="clear" w:color="auto" w:fill="FFFFFF"/>
        </w:rPr>
        <w:t xml:space="preserve">money back through the police. </w:t>
      </w:r>
      <w:r w:rsidR="00D00E4C" w:rsidRPr="00E5290E">
        <w:rPr>
          <w:color w:val="000000"/>
          <w:shd w:val="clear" w:color="auto" w:fill="FFFFFF"/>
        </w:rPr>
        <w:t>Various other allegations concerning harassment by SLA personnel were accepted</w:t>
      </w:r>
      <w:r w:rsidR="00BA3D17">
        <w:rPr>
          <w:color w:val="000000"/>
          <w:shd w:val="clear" w:color="auto" w:fill="FFFFFF"/>
        </w:rPr>
        <w:t>,</w:t>
      </w:r>
      <w:r w:rsidR="00D00E4C" w:rsidRPr="00E5290E">
        <w:rPr>
          <w:color w:val="000000"/>
          <w:shd w:val="clear" w:color="auto" w:fill="FFFFFF"/>
        </w:rPr>
        <w:t xml:space="preserve"> as were various personal matters relating to </w:t>
      </w:r>
      <w:r w:rsidR="00406328">
        <w:rPr>
          <w:color w:val="000000"/>
          <w:shd w:val="clear" w:color="auto" w:fill="FFFFFF"/>
        </w:rPr>
        <w:t>the appellant’s</w:t>
      </w:r>
      <w:r w:rsidR="00D00E4C" w:rsidRPr="00E5290E">
        <w:rPr>
          <w:color w:val="000000"/>
          <w:shd w:val="clear" w:color="auto" w:fill="FFFFFF"/>
        </w:rPr>
        <w:t xml:space="preserve"> health condition.  </w:t>
      </w:r>
    </w:p>
    <w:p w:rsidR="00D00E4C" w:rsidRPr="009615E6" w:rsidRDefault="00D00E4C" w:rsidP="00E4306C">
      <w:pPr>
        <w:pStyle w:val="ParaNumbering"/>
      </w:pPr>
      <w:r w:rsidRPr="009615E6">
        <w:rPr>
          <w:color w:val="000000"/>
          <w:shd w:val="clear" w:color="auto" w:fill="FFFFFF"/>
        </w:rPr>
        <w:lastRenderedPageBreak/>
        <w:t>Hence</w:t>
      </w:r>
      <w:r>
        <w:rPr>
          <w:color w:val="000000"/>
          <w:shd w:val="clear" w:color="auto" w:fill="FFFFFF"/>
        </w:rPr>
        <w:t>,</w:t>
      </w:r>
      <w:r w:rsidRPr="009615E6">
        <w:rPr>
          <w:color w:val="000000"/>
          <w:shd w:val="clear" w:color="auto" w:fill="FFFFFF"/>
        </w:rPr>
        <w:t xml:space="preserve"> although there was a finding adverse to the appellant by reason of what is said to be the “changes and inconsistencies” in the appellant’s evidence as t</w:t>
      </w:r>
      <w:r w:rsidR="00BA3D17">
        <w:rPr>
          <w:color w:val="000000"/>
          <w:shd w:val="clear" w:color="auto" w:fill="FFFFFF"/>
        </w:rPr>
        <w:t>o the cricket ground incident</w:t>
      </w:r>
      <w:r>
        <w:rPr>
          <w:color w:val="000000"/>
          <w:shd w:val="clear" w:color="auto" w:fill="FFFFFF"/>
        </w:rPr>
        <w:t>,</w:t>
      </w:r>
      <w:r w:rsidR="007F4CEE">
        <w:rPr>
          <w:color w:val="000000"/>
          <w:shd w:val="clear" w:color="auto" w:fill="FFFFFF"/>
        </w:rPr>
        <w:t xml:space="preserve"> the A</w:t>
      </w:r>
      <w:r w:rsidRPr="009615E6">
        <w:rPr>
          <w:color w:val="000000"/>
          <w:shd w:val="clear" w:color="auto" w:fill="FFFFFF"/>
        </w:rPr>
        <w:t xml:space="preserve">uthority made clear that the </w:t>
      </w:r>
      <w:r w:rsidR="001466F0">
        <w:rPr>
          <w:color w:val="000000"/>
          <w:shd w:val="clear" w:color="auto" w:fill="FFFFFF"/>
        </w:rPr>
        <w:t xml:space="preserve">adverse </w:t>
      </w:r>
      <w:r w:rsidRPr="009615E6">
        <w:rPr>
          <w:color w:val="000000"/>
          <w:shd w:val="clear" w:color="auto" w:fill="FFFFFF"/>
        </w:rPr>
        <w:t>finding as to his credibility was</w:t>
      </w:r>
      <w:r w:rsidR="00BA3D17">
        <w:rPr>
          <w:color w:val="000000"/>
          <w:shd w:val="clear" w:color="auto" w:fill="FFFFFF"/>
        </w:rPr>
        <w:t xml:space="preserve"> solely</w:t>
      </w:r>
      <w:r w:rsidRPr="009615E6">
        <w:rPr>
          <w:color w:val="000000"/>
          <w:shd w:val="clear" w:color="auto" w:fill="FFFFFF"/>
        </w:rPr>
        <w:t xml:space="preserve"> in relation</w:t>
      </w:r>
      <w:r>
        <w:rPr>
          <w:color w:val="000000"/>
          <w:shd w:val="clear" w:color="auto" w:fill="FFFFFF"/>
        </w:rPr>
        <w:t xml:space="preserve"> to </w:t>
      </w:r>
      <w:r w:rsidR="00BA3D17">
        <w:rPr>
          <w:color w:val="000000"/>
          <w:shd w:val="clear" w:color="auto" w:fill="FFFFFF"/>
        </w:rPr>
        <w:t>that</w:t>
      </w:r>
      <w:r>
        <w:rPr>
          <w:color w:val="000000"/>
          <w:shd w:val="clear" w:color="auto" w:fill="FFFFFF"/>
        </w:rPr>
        <w:t xml:space="preserve"> </w:t>
      </w:r>
      <w:r w:rsidR="007F286B">
        <w:rPr>
          <w:color w:val="000000"/>
          <w:shd w:val="clear" w:color="auto" w:fill="FFFFFF"/>
        </w:rPr>
        <w:t xml:space="preserve">specific </w:t>
      </w:r>
      <w:r>
        <w:rPr>
          <w:color w:val="000000"/>
          <w:shd w:val="clear" w:color="auto" w:fill="FFFFFF"/>
        </w:rPr>
        <w:t>incident</w:t>
      </w:r>
      <w:r w:rsidR="00BA3D17">
        <w:rPr>
          <w:color w:val="000000"/>
          <w:shd w:val="clear" w:color="auto" w:fill="FFFFFF"/>
        </w:rPr>
        <w:t xml:space="preserve">. </w:t>
      </w:r>
      <w:r w:rsidRPr="009615E6">
        <w:rPr>
          <w:color w:val="000000"/>
          <w:shd w:val="clear" w:color="auto" w:fill="FFFFFF"/>
        </w:rPr>
        <w:t xml:space="preserve">This credibility finding then flowed on to a rejection of </w:t>
      </w:r>
      <w:r w:rsidR="007F4CEE">
        <w:rPr>
          <w:color w:val="000000"/>
          <w:shd w:val="clear" w:color="auto" w:fill="FFFFFF"/>
        </w:rPr>
        <w:t xml:space="preserve">the appellant’s evidence as to the cricket ground incident </w:t>
      </w:r>
      <w:r w:rsidR="00A24AFC">
        <w:rPr>
          <w:color w:val="000000"/>
          <w:shd w:val="clear" w:color="auto" w:fill="FFFFFF"/>
        </w:rPr>
        <w:t xml:space="preserve">and </w:t>
      </w:r>
      <w:r w:rsidR="00C12ADC">
        <w:rPr>
          <w:color w:val="000000"/>
          <w:shd w:val="clear" w:color="auto" w:fill="FFFFFF"/>
        </w:rPr>
        <w:t>any claim to the extent it was based on this incident</w:t>
      </w:r>
      <w:r w:rsidR="001466F0">
        <w:rPr>
          <w:color w:val="000000"/>
          <w:shd w:val="clear" w:color="auto" w:fill="FFFFFF"/>
        </w:rPr>
        <w:t xml:space="preserve"> and its aftermath</w:t>
      </w:r>
      <w:r w:rsidR="00A24AFC">
        <w:rPr>
          <w:color w:val="000000"/>
          <w:shd w:val="clear" w:color="auto" w:fill="FFFFFF"/>
        </w:rPr>
        <w:t>.</w:t>
      </w:r>
    </w:p>
    <w:p w:rsidR="00D00E4C" w:rsidRPr="002E511D" w:rsidRDefault="00D00E4C" w:rsidP="00727DEF">
      <w:pPr>
        <w:pStyle w:val="ParaNumbering"/>
      </w:pPr>
      <w:r w:rsidRPr="006F6581">
        <w:rPr>
          <w:color w:val="000000"/>
          <w:shd w:val="clear" w:color="auto" w:fill="FFFFFF"/>
        </w:rPr>
        <w:t xml:space="preserve">Notwithstanding </w:t>
      </w:r>
      <w:r w:rsidR="00E128B2">
        <w:rPr>
          <w:color w:val="000000"/>
          <w:shd w:val="clear" w:color="auto" w:fill="FFFFFF"/>
        </w:rPr>
        <w:t xml:space="preserve">that </w:t>
      </w:r>
      <w:r w:rsidR="002E511D">
        <w:rPr>
          <w:color w:val="000000"/>
          <w:shd w:val="clear" w:color="auto" w:fill="FFFFFF"/>
        </w:rPr>
        <w:t>the Authority generally</w:t>
      </w:r>
      <w:r w:rsidRPr="006F6581">
        <w:rPr>
          <w:color w:val="000000"/>
          <w:shd w:val="clear" w:color="auto" w:fill="FFFFFF"/>
        </w:rPr>
        <w:t xml:space="preserve"> accepted a number </w:t>
      </w:r>
      <w:r w:rsidR="00C1774F" w:rsidRPr="006F6581">
        <w:rPr>
          <w:color w:val="000000"/>
          <w:shd w:val="clear" w:color="auto" w:fill="FFFFFF"/>
        </w:rPr>
        <w:t xml:space="preserve">of </w:t>
      </w:r>
      <w:r w:rsidR="00C12ADC">
        <w:rPr>
          <w:color w:val="000000"/>
          <w:shd w:val="clear" w:color="auto" w:fill="FFFFFF"/>
        </w:rPr>
        <w:t>assertions</w:t>
      </w:r>
      <w:r w:rsidR="00C1774F" w:rsidRPr="006F6581">
        <w:rPr>
          <w:color w:val="000000"/>
          <w:shd w:val="clear" w:color="auto" w:fill="FFFFFF"/>
        </w:rPr>
        <w:t xml:space="preserve"> made by the appellant, </w:t>
      </w:r>
      <w:r w:rsidR="002E511D">
        <w:rPr>
          <w:color w:val="000000"/>
          <w:shd w:val="clear" w:color="auto" w:fill="FFFFFF"/>
        </w:rPr>
        <w:t>it</w:t>
      </w:r>
      <w:r w:rsidRPr="006F6581">
        <w:rPr>
          <w:color w:val="000000"/>
          <w:shd w:val="clear" w:color="auto" w:fill="FFFFFF"/>
        </w:rPr>
        <w:t xml:space="preserve"> </w:t>
      </w:r>
      <w:r w:rsidR="00260BA6" w:rsidRPr="006F6581">
        <w:rPr>
          <w:color w:val="000000"/>
          <w:shd w:val="clear" w:color="auto" w:fill="FFFFFF"/>
        </w:rPr>
        <w:t>concluded (at [42] and [49])</w:t>
      </w:r>
      <w:r w:rsidRPr="006F6581">
        <w:rPr>
          <w:color w:val="000000"/>
          <w:shd w:val="clear" w:color="auto" w:fill="FFFFFF"/>
        </w:rPr>
        <w:t xml:space="preserve">, </w:t>
      </w:r>
      <w:r w:rsidR="00C0560B">
        <w:rPr>
          <w:color w:val="000000"/>
          <w:shd w:val="clear" w:color="auto" w:fill="FFFFFF"/>
        </w:rPr>
        <w:t xml:space="preserve">on the basis of findings and </w:t>
      </w:r>
      <w:r w:rsidRPr="006F6581">
        <w:rPr>
          <w:color w:val="000000"/>
          <w:shd w:val="clear" w:color="auto" w:fill="FFFFFF"/>
        </w:rPr>
        <w:t xml:space="preserve">for reasons which were not the subject of </w:t>
      </w:r>
      <w:r w:rsidR="00C12ADC">
        <w:rPr>
          <w:color w:val="000000"/>
          <w:shd w:val="clear" w:color="auto" w:fill="FFFFFF"/>
        </w:rPr>
        <w:t xml:space="preserve">any direct </w:t>
      </w:r>
      <w:r w:rsidRPr="006F6581">
        <w:rPr>
          <w:color w:val="000000"/>
          <w:shd w:val="clear" w:color="auto" w:fill="FFFFFF"/>
        </w:rPr>
        <w:t>challenge on appeal, that</w:t>
      </w:r>
      <w:r w:rsidR="00260BA6" w:rsidRPr="006F6581">
        <w:rPr>
          <w:color w:val="000000"/>
          <w:shd w:val="clear" w:color="auto" w:fill="FFFFFF"/>
        </w:rPr>
        <w:t>: (a)</w:t>
      </w:r>
      <w:r w:rsidRPr="006F6581">
        <w:rPr>
          <w:color w:val="000000"/>
          <w:shd w:val="clear" w:color="auto" w:fill="FFFFFF"/>
        </w:rPr>
        <w:t xml:space="preserve"> </w:t>
      </w:r>
      <w:r w:rsidR="002E511D">
        <w:rPr>
          <w:color w:val="000000"/>
          <w:shd w:val="clear" w:color="auto" w:fill="FFFFFF"/>
        </w:rPr>
        <w:t xml:space="preserve">it </w:t>
      </w:r>
      <w:r w:rsidR="00CA6F06">
        <w:rPr>
          <w:color w:val="000000"/>
          <w:shd w:val="clear" w:color="auto" w:fill="FFFFFF"/>
        </w:rPr>
        <w:t xml:space="preserve">was </w:t>
      </w:r>
      <w:r w:rsidR="002E511D">
        <w:rPr>
          <w:color w:val="000000"/>
          <w:shd w:val="clear" w:color="auto" w:fill="FFFFFF"/>
        </w:rPr>
        <w:t xml:space="preserve">satisfied </w:t>
      </w:r>
      <w:r w:rsidR="00CA6F06">
        <w:rPr>
          <w:color w:val="000000"/>
          <w:shd w:val="clear" w:color="auto" w:fill="FFFFFF"/>
        </w:rPr>
        <w:t xml:space="preserve">that the appellant will not </w:t>
      </w:r>
      <w:r w:rsidRPr="006F6581">
        <w:rPr>
          <w:color w:val="000000"/>
          <w:shd w:val="clear" w:color="auto" w:fill="FFFFFF"/>
        </w:rPr>
        <w:t>face a real chance of harm from the Sri Lankan authorities due to any links to the LTTE on return to Sri Lanka now or in the reasonably foreseeable future</w:t>
      </w:r>
      <w:r w:rsidR="00260BA6" w:rsidRPr="006F6581">
        <w:rPr>
          <w:color w:val="000000"/>
          <w:shd w:val="clear" w:color="auto" w:fill="FFFFFF"/>
        </w:rPr>
        <w:t>; and (b)</w:t>
      </w:r>
      <w:r w:rsidRPr="006F6581">
        <w:rPr>
          <w:color w:val="000000"/>
          <w:shd w:val="clear" w:color="auto" w:fill="FFFFFF"/>
        </w:rPr>
        <w:t xml:space="preserve"> </w:t>
      </w:r>
      <w:r w:rsidR="00034885">
        <w:rPr>
          <w:color w:val="000000"/>
          <w:shd w:val="clear" w:color="auto" w:fill="FFFFFF"/>
        </w:rPr>
        <w:t>it was not satisfied that there is a</w:t>
      </w:r>
      <w:r w:rsidRPr="006F6581">
        <w:rPr>
          <w:color w:val="000000"/>
          <w:shd w:val="clear" w:color="auto" w:fill="FFFFFF"/>
        </w:rPr>
        <w:t xml:space="preserve"> real chance the appellant would face serious harm on his return as a failed Tamil asylum seeker from Australia now or in the reasonably foreseeable future.</w:t>
      </w:r>
      <w:r w:rsidR="00727DEF" w:rsidRPr="006F6581">
        <w:t xml:space="preserve"> </w:t>
      </w:r>
      <w:r w:rsidR="00E715F5">
        <w:rPr>
          <w:color w:val="000000"/>
          <w:shd w:val="clear" w:color="auto" w:fill="FFFFFF"/>
        </w:rPr>
        <w:t>T</w:t>
      </w:r>
      <w:r w:rsidR="00727DEF" w:rsidRPr="003E4778">
        <w:rPr>
          <w:color w:val="000000"/>
          <w:shd w:val="clear" w:color="auto" w:fill="FFFFFF"/>
        </w:rPr>
        <w:t>here was no</w:t>
      </w:r>
      <w:r w:rsidR="001466F0">
        <w:rPr>
          <w:color w:val="000000"/>
          <w:shd w:val="clear" w:color="auto" w:fill="FFFFFF"/>
        </w:rPr>
        <w:t xml:space="preserve"> </w:t>
      </w:r>
      <w:r w:rsidR="00E715F5">
        <w:rPr>
          <w:color w:val="000000"/>
          <w:shd w:val="clear" w:color="auto" w:fill="FFFFFF"/>
        </w:rPr>
        <w:t xml:space="preserve">real </w:t>
      </w:r>
      <w:r w:rsidR="001466F0">
        <w:rPr>
          <w:color w:val="000000"/>
          <w:shd w:val="clear" w:color="auto" w:fill="FFFFFF"/>
        </w:rPr>
        <w:t>attempt</w:t>
      </w:r>
      <w:r w:rsidR="00E715F5">
        <w:rPr>
          <w:color w:val="000000"/>
          <w:shd w:val="clear" w:color="auto" w:fill="FFFFFF"/>
        </w:rPr>
        <w:t xml:space="preserve"> by the appellant </w:t>
      </w:r>
      <w:r w:rsidR="001466F0">
        <w:rPr>
          <w:color w:val="000000"/>
          <w:shd w:val="clear" w:color="auto" w:fill="FFFFFF"/>
        </w:rPr>
        <w:t>to</w:t>
      </w:r>
      <w:r w:rsidR="00727DEF" w:rsidRPr="003E4778">
        <w:rPr>
          <w:color w:val="000000"/>
          <w:shd w:val="clear" w:color="auto" w:fill="FFFFFF"/>
        </w:rPr>
        <w:t xml:space="preserve"> </w:t>
      </w:r>
      <w:r w:rsidR="001466F0">
        <w:rPr>
          <w:color w:val="000000"/>
          <w:shd w:val="clear" w:color="auto" w:fill="FFFFFF"/>
        </w:rPr>
        <w:t>demonstrate</w:t>
      </w:r>
      <w:r w:rsidR="00727DEF" w:rsidRPr="003E4778">
        <w:rPr>
          <w:color w:val="000000"/>
          <w:shd w:val="clear" w:color="auto" w:fill="FFFFFF"/>
        </w:rPr>
        <w:t xml:space="preserve"> </w:t>
      </w:r>
      <w:r w:rsidR="001466F0">
        <w:rPr>
          <w:color w:val="000000"/>
          <w:shd w:val="clear" w:color="auto" w:fill="FFFFFF"/>
        </w:rPr>
        <w:t xml:space="preserve">any </w:t>
      </w:r>
      <w:r w:rsidR="00E715F5">
        <w:rPr>
          <w:color w:val="000000"/>
          <w:shd w:val="clear" w:color="auto" w:fill="FFFFFF"/>
        </w:rPr>
        <w:t xml:space="preserve">substantive </w:t>
      </w:r>
      <w:r w:rsidR="00727DEF" w:rsidRPr="003E4778">
        <w:rPr>
          <w:color w:val="000000"/>
          <w:shd w:val="clear" w:color="auto" w:fill="FFFFFF"/>
        </w:rPr>
        <w:t>connexio</w:t>
      </w:r>
      <w:r w:rsidRPr="003E4778">
        <w:rPr>
          <w:color w:val="000000"/>
          <w:shd w:val="clear" w:color="auto" w:fill="FFFFFF"/>
        </w:rPr>
        <w:t xml:space="preserve">n between the </w:t>
      </w:r>
      <w:r w:rsidR="003E4778">
        <w:rPr>
          <w:color w:val="000000"/>
          <w:shd w:val="clear" w:color="auto" w:fill="FFFFFF"/>
        </w:rPr>
        <w:t xml:space="preserve">rejection of the </w:t>
      </w:r>
      <w:r w:rsidR="00744F21" w:rsidRPr="003E4778">
        <w:rPr>
          <w:color w:val="000000"/>
          <w:shd w:val="clear" w:color="auto" w:fill="FFFFFF"/>
        </w:rPr>
        <w:t xml:space="preserve">cricket ground incident </w:t>
      </w:r>
      <w:r w:rsidR="001D353F" w:rsidRPr="003E4778">
        <w:rPr>
          <w:color w:val="000000"/>
          <w:shd w:val="clear" w:color="auto" w:fill="FFFFFF"/>
        </w:rPr>
        <w:t>and</w:t>
      </w:r>
      <w:r w:rsidRPr="003E4778">
        <w:rPr>
          <w:color w:val="000000"/>
          <w:shd w:val="clear" w:color="auto" w:fill="FFFFFF"/>
        </w:rPr>
        <w:t xml:space="preserve"> the</w:t>
      </w:r>
      <w:r w:rsidR="003E4778">
        <w:rPr>
          <w:color w:val="000000"/>
          <w:shd w:val="clear" w:color="auto" w:fill="FFFFFF"/>
        </w:rPr>
        <w:t xml:space="preserve"> ultima</w:t>
      </w:r>
      <w:r w:rsidR="0015208C">
        <w:rPr>
          <w:color w:val="000000"/>
          <w:shd w:val="clear" w:color="auto" w:fill="FFFFFF"/>
        </w:rPr>
        <w:t>te disposition o</w:t>
      </w:r>
      <w:r w:rsidR="003E4778">
        <w:rPr>
          <w:color w:val="000000"/>
          <w:shd w:val="clear" w:color="auto" w:fill="FFFFFF"/>
        </w:rPr>
        <w:t xml:space="preserve">f the appellant’s case on the basis </w:t>
      </w:r>
      <w:r w:rsidR="0015208C">
        <w:rPr>
          <w:color w:val="000000"/>
          <w:shd w:val="clear" w:color="auto" w:fill="FFFFFF"/>
        </w:rPr>
        <w:t xml:space="preserve">that </w:t>
      </w:r>
      <w:r w:rsidR="003E4778">
        <w:rPr>
          <w:color w:val="000000"/>
          <w:shd w:val="clear" w:color="auto" w:fill="FFFFFF"/>
        </w:rPr>
        <w:t xml:space="preserve">he did not meet the </w:t>
      </w:r>
      <w:r w:rsidR="0015208C">
        <w:rPr>
          <w:color w:val="000000"/>
          <w:shd w:val="clear" w:color="auto" w:fill="FFFFFF"/>
        </w:rPr>
        <w:t>requirements of the</w:t>
      </w:r>
      <w:r w:rsidRPr="003E4778">
        <w:rPr>
          <w:color w:val="000000"/>
          <w:shd w:val="clear" w:color="auto" w:fill="FFFFFF"/>
        </w:rPr>
        <w:t xml:space="preserve"> definition of a refugee in s</w:t>
      </w:r>
      <w:r w:rsidR="00727DEF" w:rsidRPr="003E4778">
        <w:rPr>
          <w:color w:val="000000"/>
          <w:shd w:val="clear" w:color="auto" w:fill="FFFFFF"/>
        </w:rPr>
        <w:t xml:space="preserve"> 5H</w:t>
      </w:r>
      <w:r w:rsidR="007D47A4" w:rsidRPr="003E4778">
        <w:rPr>
          <w:color w:val="000000"/>
          <w:shd w:val="clear" w:color="auto" w:fill="FFFFFF"/>
        </w:rPr>
        <w:t>(1) of the Act, nor the requirements in</w:t>
      </w:r>
      <w:r w:rsidRPr="003E4778">
        <w:rPr>
          <w:color w:val="000000"/>
          <w:shd w:val="clear" w:color="auto" w:fill="FFFFFF"/>
        </w:rPr>
        <w:t xml:space="preserve"> s</w:t>
      </w:r>
      <w:r w:rsidR="00ED5371">
        <w:rPr>
          <w:color w:val="000000"/>
          <w:shd w:val="clear" w:color="auto" w:fill="FFFFFF"/>
        </w:rPr>
        <w:t xml:space="preserve"> 3</w:t>
      </w:r>
      <w:r w:rsidR="001466F0">
        <w:rPr>
          <w:color w:val="000000"/>
          <w:shd w:val="clear" w:color="auto" w:fill="FFFFFF"/>
        </w:rPr>
        <w:t xml:space="preserve">6(2)(a) of the Act. </w:t>
      </w:r>
      <w:r w:rsidR="00E715F5">
        <w:rPr>
          <w:color w:val="000000"/>
          <w:shd w:val="clear" w:color="auto" w:fill="FFFFFF"/>
        </w:rPr>
        <w:t xml:space="preserve">Perhaps </w:t>
      </w:r>
      <w:r w:rsidR="000D2AF8">
        <w:rPr>
          <w:color w:val="000000"/>
          <w:shd w:val="clear" w:color="auto" w:fill="FFFFFF"/>
        </w:rPr>
        <w:t xml:space="preserve">it </w:t>
      </w:r>
      <w:r w:rsidR="00E715F5">
        <w:rPr>
          <w:color w:val="000000"/>
          <w:shd w:val="clear" w:color="auto" w:fill="FFFFFF"/>
        </w:rPr>
        <w:t>is understandable</w:t>
      </w:r>
      <w:r w:rsidR="000D2AF8">
        <w:rPr>
          <w:color w:val="000000"/>
          <w:shd w:val="clear" w:color="auto" w:fill="FFFFFF"/>
        </w:rPr>
        <w:t xml:space="preserve"> this task was eschewed</w:t>
      </w:r>
      <w:r w:rsidR="00E715F5">
        <w:rPr>
          <w:color w:val="000000"/>
          <w:shd w:val="clear" w:color="auto" w:fill="FFFFFF"/>
        </w:rPr>
        <w:t xml:space="preserve">, because </w:t>
      </w:r>
      <w:r w:rsidR="001466F0">
        <w:rPr>
          <w:color w:val="000000"/>
          <w:shd w:val="clear" w:color="auto" w:fill="FFFFFF"/>
        </w:rPr>
        <w:t xml:space="preserve">given a review of the Authority’s </w:t>
      </w:r>
      <w:r w:rsidR="00C0560B">
        <w:rPr>
          <w:color w:val="000000"/>
          <w:shd w:val="clear" w:color="auto" w:fill="FFFFFF"/>
        </w:rPr>
        <w:t xml:space="preserve">findings and </w:t>
      </w:r>
      <w:r w:rsidR="001466F0">
        <w:rPr>
          <w:color w:val="000000"/>
          <w:shd w:val="clear" w:color="auto" w:fill="FFFFFF"/>
        </w:rPr>
        <w:t xml:space="preserve">reasons as a whole, </w:t>
      </w:r>
      <w:r w:rsidR="0015208C">
        <w:rPr>
          <w:color w:val="000000"/>
          <w:shd w:val="clear" w:color="auto" w:fill="FFFFFF"/>
        </w:rPr>
        <w:t xml:space="preserve">it </w:t>
      </w:r>
      <w:r w:rsidR="00ED5371">
        <w:rPr>
          <w:color w:val="000000"/>
          <w:shd w:val="clear" w:color="auto" w:fill="FFFFFF"/>
        </w:rPr>
        <w:t>is</w:t>
      </w:r>
      <w:r w:rsidR="003E4778">
        <w:rPr>
          <w:color w:val="000000"/>
          <w:shd w:val="clear" w:color="auto" w:fill="FFFFFF"/>
        </w:rPr>
        <w:t xml:space="preserve"> difficult to see how the rejection of the evidence in relation to the cricket ground incident was </w:t>
      </w:r>
      <w:r w:rsidR="00E715F5">
        <w:rPr>
          <w:color w:val="000000"/>
          <w:shd w:val="clear" w:color="auto" w:fill="FFFFFF"/>
        </w:rPr>
        <w:t xml:space="preserve">likely to be </w:t>
      </w:r>
      <w:r w:rsidR="0027440E">
        <w:rPr>
          <w:color w:val="000000"/>
          <w:shd w:val="clear" w:color="auto" w:fill="FFFFFF"/>
        </w:rPr>
        <w:t>determinative of</w:t>
      </w:r>
      <w:r w:rsidR="003E4778">
        <w:rPr>
          <w:color w:val="000000"/>
          <w:shd w:val="clear" w:color="auto" w:fill="FFFFFF"/>
        </w:rPr>
        <w:t xml:space="preserve"> the ultimate conclusion reached by the Authority. </w:t>
      </w:r>
      <w:r w:rsidR="00E715F5">
        <w:rPr>
          <w:color w:val="000000"/>
          <w:shd w:val="clear" w:color="auto" w:fill="FFFFFF"/>
        </w:rPr>
        <w:t xml:space="preserve">But having noted this, </w:t>
      </w:r>
      <w:r w:rsidR="000D2AF8">
        <w:rPr>
          <w:color w:val="000000"/>
          <w:shd w:val="clear" w:color="auto" w:fill="FFFFFF"/>
        </w:rPr>
        <w:t xml:space="preserve">the </w:t>
      </w:r>
      <w:r w:rsidR="00E715F5">
        <w:rPr>
          <w:color w:val="000000"/>
          <w:shd w:val="clear" w:color="auto" w:fill="FFFFFF"/>
        </w:rPr>
        <w:t xml:space="preserve">argument </w:t>
      </w:r>
      <w:r w:rsidR="000D2AF8">
        <w:rPr>
          <w:color w:val="000000"/>
          <w:shd w:val="clear" w:color="auto" w:fill="FFFFFF"/>
        </w:rPr>
        <w:t xml:space="preserve">of the appellant </w:t>
      </w:r>
      <w:r w:rsidR="00E715F5">
        <w:rPr>
          <w:color w:val="000000"/>
          <w:shd w:val="clear" w:color="auto" w:fill="FFFFFF"/>
        </w:rPr>
        <w:t xml:space="preserve">proceeded on the </w:t>
      </w:r>
      <w:r w:rsidR="00C0560B">
        <w:rPr>
          <w:color w:val="000000"/>
          <w:shd w:val="clear" w:color="auto" w:fill="FFFFFF"/>
        </w:rPr>
        <w:t xml:space="preserve">unarticulated but perhaps </w:t>
      </w:r>
      <w:r w:rsidR="00E715F5">
        <w:rPr>
          <w:color w:val="000000"/>
          <w:shd w:val="clear" w:color="auto" w:fill="FFFFFF"/>
        </w:rPr>
        <w:t>dubious basis that</w:t>
      </w:r>
      <w:r w:rsidRPr="003E4778">
        <w:rPr>
          <w:color w:val="000000"/>
          <w:shd w:val="clear" w:color="auto" w:fill="FFFFFF"/>
        </w:rPr>
        <w:t xml:space="preserve"> </w:t>
      </w:r>
      <w:r w:rsidR="00E715F5">
        <w:rPr>
          <w:color w:val="000000"/>
          <w:shd w:val="clear" w:color="auto" w:fill="FFFFFF"/>
        </w:rPr>
        <w:t>acceptance</w:t>
      </w:r>
      <w:r w:rsidRPr="003E4778">
        <w:rPr>
          <w:color w:val="000000"/>
          <w:shd w:val="clear" w:color="auto" w:fill="FFFFFF"/>
        </w:rPr>
        <w:t xml:space="preserve"> of the claim relating to the cricket ground incident </w:t>
      </w:r>
      <w:r w:rsidR="00C0560B">
        <w:rPr>
          <w:color w:val="000000"/>
          <w:shd w:val="clear" w:color="auto" w:fill="FFFFFF"/>
        </w:rPr>
        <w:t>(</w:t>
      </w:r>
      <w:r w:rsidR="00E715F5">
        <w:rPr>
          <w:color w:val="000000"/>
          <w:shd w:val="clear" w:color="auto" w:fill="FFFFFF"/>
        </w:rPr>
        <w:t xml:space="preserve">and </w:t>
      </w:r>
      <w:r w:rsidR="00E715F5" w:rsidRPr="00E715F5">
        <w:rPr>
          <w:color w:val="000000"/>
          <w:shd w:val="clear" w:color="auto" w:fill="FFFFFF"/>
        </w:rPr>
        <w:t>its sequelae</w:t>
      </w:r>
      <w:r w:rsidR="00C0560B">
        <w:rPr>
          <w:color w:val="000000"/>
          <w:shd w:val="clear" w:color="auto" w:fill="FFFFFF"/>
        </w:rPr>
        <w:t>)</w:t>
      </w:r>
      <w:r w:rsidR="00E715F5" w:rsidRPr="00E715F5">
        <w:rPr>
          <w:color w:val="000000"/>
          <w:shd w:val="clear" w:color="auto" w:fill="FFFFFF"/>
        </w:rPr>
        <w:t xml:space="preserve"> </w:t>
      </w:r>
      <w:r w:rsidRPr="00E715F5">
        <w:rPr>
          <w:color w:val="000000"/>
          <w:shd w:val="clear" w:color="auto" w:fill="FFFFFF"/>
        </w:rPr>
        <w:t>would</w:t>
      </w:r>
      <w:r w:rsidRPr="003E4778">
        <w:rPr>
          <w:color w:val="000000"/>
          <w:shd w:val="clear" w:color="auto" w:fill="FFFFFF"/>
        </w:rPr>
        <w:t xml:space="preserve"> </w:t>
      </w:r>
      <w:r w:rsidR="00E715F5">
        <w:rPr>
          <w:color w:val="000000"/>
          <w:shd w:val="clear" w:color="auto" w:fill="FFFFFF"/>
        </w:rPr>
        <w:t xml:space="preserve">necessarily </w:t>
      </w:r>
      <w:r w:rsidR="000D2AF8">
        <w:rPr>
          <w:color w:val="000000"/>
          <w:shd w:val="clear" w:color="auto" w:fill="FFFFFF"/>
        </w:rPr>
        <w:t xml:space="preserve">and inevitably </w:t>
      </w:r>
      <w:r w:rsidRPr="003E4778">
        <w:rPr>
          <w:color w:val="000000"/>
          <w:shd w:val="clear" w:color="auto" w:fill="FFFFFF"/>
        </w:rPr>
        <w:t xml:space="preserve">have led to the conclusion that </w:t>
      </w:r>
      <w:r w:rsidR="00EA45FE">
        <w:rPr>
          <w:color w:val="000000"/>
          <w:shd w:val="clear" w:color="auto" w:fill="FFFFFF"/>
        </w:rPr>
        <w:t>the appellant</w:t>
      </w:r>
      <w:r w:rsidRPr="003E4778">
        <w:rPr>
          <w:color w:val="000000"/>
          <w:shd w:val="clear" w:color="auto" w:fill="FFFFFF"/>
        </w:rPr>
        <w:t xml:space="preserve"> </w:t>
      </w:r>
      <w:r w:rsidR="00C0560B" w:rsidRPr="006F6581">
        <w:rPr>
          <w:color w:val="000000"/>
          <w:shd w:val="clear" w:color="auto" w:fill="FFFFFF"/>
        </w:rPr>
        <w:t>now</w:t>
      </w:r>
      <w:r w:rsidR="00C0560B">
        <w:rPr>
          <w:color w:val="000000"/>
          <w:shd w:val="clear" w:color="auto" w:fill="FFFFFF"/>
        </w:rPr>
        <w:t>,</w:t>
      </w:r>
      <w:r w:rsidR="00C0560B" w:rsidRPr="006F6581">
        <w:rPr>
          <w:color w:val="000000"/>
          <w:shd w:val="clear" w:color="auto" w:fill="FFFFFF"/>
        </w:rPr>
        <w:t xml:space="preserve"> or in the reasonably foreseeable future</w:t>
      </w:r>
      <w:r w:rsidR="00C0560B">
        <w:rPr>
          <w:color w:val="000000"/>
          <w:shd w:val="clear" w:color="auto" w:fill="FFFFFF"/>
        </w:rPr>
        <w:t>,</w:t>
      </w:r>
      <w:r w:rsidR="00C0560B" w:rsidRPr="003E4778">
        <w:rPr>
          <w:color w:val="000000"/>
          <w:shd w:val="clear" w:color="auto" w:fill="FFFFFF"/>
        </w:rPr>
        <w:t xml:space="preserve"> </w:t>
      </w:r>
      <w:r w:rsidRPr="003E4778">
        <w:rPr>
          <w:color w:val="000000"/>
          <w:shd w:val="clear" w:color="auto" w:fill="FFFFFF"/>
        </w:rPr>
        <w:t>faced a real chance of harm from t</w:t>
      </w:r>
      <w:r w:rsidR="000D2AF8">
        <w:rPr>
          <w:color w:val="000000"/>
          <w:shd w:val="clear" w:color="auto" w:fill="FFFFFF"/>
        </w:rPr>
        <w:t>he Sri Lankan authorities</w:t>
      </w:r>
      <w:r w:rsidRPr="003E4778">
        <w:rPr>
          <w:color w:val="000000"/>
          <w:shd w:val="clear" w:color="auto" w:fill="FFFFFF"/>
        </w:rPr>
        <w:t>.</w:t>
      </w:r>
    </w:p>
    <w:p w:rsidR="002E511D" w:rsidRPr="006F6581" w:rsidRDefault="002E511D" w:rsidP="002E511D">
      <w:pPr>
        <w:pStyle w:val="Heading1"/>
      </w:pPr>
      <w:r w:rsidRPr="006F6581">
        <w:t>D</w:t>
      </w:r>
      <w:r w:rsidRPr="006F6581">
        <w:tab/>
      </w:r>
      <w:r>
        <w:t>DISPOSITION</w:t>
      </w:r>
    </w:p>
    <w:p w:rsidR="00D00E4C" w:rsidRPr="00B77CAD" w:rsidRDefault="00D00E4C" w:rsidP="00D00E4C">
      <w:pPr>
        <w:pStyle w:val="ParaNumbering"/>
        <w:rPr>
          <w:shd w:val="clear" w:color="auto" w:fill="FFFFFF"/>
        </w:rPr>
      </w:pPr>
      <w:r w:rsidRPr="009615E6">
        <w:rPr>
          <w:shd w:val="clear" w:color="auto" w:fill="FFFFFF"/>
        </w:rPr>
        <w:t xml:space="preserve">Although credit findings are generally matters for a tribunal </w:t>
      </w:r>
      <w:r>
        <w:rPr>
          <w:shd w:val="clear" w:color="auto" w:fill="FFFFFF"/>
        </w:rPr>
        <w:t>(</w:t>
      </w:r>
      <w:r w:rsidR="00D34765">
        <w:rPr>
          <w:shd w:val="clear" w:color="auto" w:fill="FFFFFF"/>
        </w:rPr>
        <w:t xml:space="preserve">or in this case, </w:t>
      </w:r>
      <w:r w:rsidRPr="009615E6">
        <w:rPr>
          <w:shd w:val="clear" w:color="auto" w:fill="FFFFFF"/>
        </w:rPr>
        <w:t xml:space="preserve">the </w:t>
      </w:r>
      <w:r>
        <w:rPr>
          <w:shd w:val="clear" w:color="auto" w:fill="FFFFFF"/>
        </w:rPr>
        <w:t>A</w:t>
      </w:r>
      <w:r w:rsidRPr="009615E6">
        <w:rPr>
          <w:shd w:val="clear" w:color="auto" w:fill="FFFFFF"/>
        </w:rPr>
        <w:t>uthority</w:t>
      </w:r>
      <w:r>
        <w:rPr>
          <w:shd w:val="clear" w:color="auto" w:fill="FFFFFF"/>
        </w:rPr>
        <w:t xml:space="preserve">), they are not, of </w:t>
      </w:r>
      <w:r w:rsidRPr="009615E6">
        <w:rPr>
          <w:shd w:val="clear" w:color="auto" w:fill="FFFFFF"/>
        </w:rPr>
        <w:t>course</w:t>
      </w:r>
      <w:r>
        <w:rPr>
          <w:shd w:val="clear" w:color="auto" w:fill="FFFFFF"/>
        </w:rPr>
        <w:t>,</w:t>
      </w:r>
      <w:r w:rsidRPr="009615E6">
        <w:rPr>
          <w:shd w:val="clear" w:color="auto" w:fill="FFFFFF"/>
        </w:rPr>
        <w:t xml:space="preserve"> immune from r</w:t>
      </w:r>
      <w:r>
        <w:rPr>
          <w:shd w:val="clear" w:color="auto" w:fill="FFFFFF"/>
        </w:rPr>
        <w:t>eview for jurisdictional error:</w:t>
      </w:r>
      <w:r w:rsidRPr="009615E6">
        <w:rPr>
          <w:shd w:val="clear" w:color="auto" w:fill="FFFFFF"/>
        </w:rPr>
        <w:t xml:space="preserve"> see </w:t>
      </w:r>
      <w:r w:rsidRPr="00B77CAD">
        <w:rPr>
          <w:i/>
          <w:shd w:val="clear" w:color="auto" w:fill="FFFFFF"/>
        </w:rPr>
        <w:t>CQG15 v Minister for Immigration and Border Protection</w:t>
      </w:r>
      <w:r w:rsidR="00745FCE">
        <w:rPr>
          <w:shd w:val="clear" w:color="auto" w:fill="FFFFFF"/>
        </w:rPr>
        <w:t xml:space="preserve"> </w:t>
      </w:r>
      <w:r w:rsidRPr="009615E6">
        <w:rPr>
          <w:shd w:val="clear" w:color="auto" w:fill="FFFFFF"/>
        </w:rPr>
        <w:t>[2016] FCAFC 146</w:t>
      </w:r>
      <w:r w:rsidR="00745FCE">
        <w:rPr>
          <w:shd w:val="clear" w:color="auto" w:fill="FFFFFF"/>
        </w:rPr>
        <w:t xml:space="preserve">; </w:t>
      </w:r>
      <w:r w:rsidR="00745FCE" w:rsidRPr="00B77CAD">
        <w:rPr>
          <w:color w:val="000000"/>
          <w:shd w:val="clear" w:color="auto" w:fill="FFFFFF"/>
        </w:rPr>
        <w:t>(2016) 253 FCR 496</w:t>
      </w:r>
      <w:r w:rsidRPr="009615E6">
        <w:rPr>
          <w:shd w:val="clear" w:color="auto" w:fill="FFFFFF"/>
        </w:rPr>
        <w:t xml:space="preserve"> </w:t>
      </w:r>
      <w:r>
        <w:rPr>
          <w:shd w:val="clear" w:color="auto" w:fill="FFFFFF"/>
        </w:rPr>
        <w:t xml:space="preserve">(at </w:t>
      </w:r>
      <w:r w:rsidR="00745FCE">
        <w:rPr>
          <w:shd w:val="clear" w:color="auto" w:fill="FFFFFF"/>
        </w:rPr>
        <w:t xml:space="preserve">508–9 </w:t>
      </w:r>
      <w:r>
        <w:rPr>
          <w:shd w:val="clear" w:color="auto" w:fill="FFFFFF"/>
        </w:rPr>
        <w:t>[37]</w:t>
      </w:r>
      <w:r w:rsidRPr="00C007C6">
        <w:rPr>
          <w:shd w:val="clear" w:color="auto" w:fill="FFFFFF"/>
        </w:rPr>
        <w:t>–</w:t>
      </w:r>
      <w:r>
        <w:rPr>
          <w:shd w:val="clear" w:color="auto" w:fill="FFFFFF"/>
        </w:rPr>
        <w:t xml:space="preserve">[38] per </w:t>
      </w:r>
      <w:r w:rsidRPr="00B77CAD">
        <w:rPr>
          <w:shd w:val="clear" w:color="auto" w:fill="FFFFFF"/>
        </w:rPr>
        <w:t xml:space="preserve">McKerracher, Griffiths and </w:t>
      </w:r>
      <w:proofErr w:type="spellStart"/>
      <w:r w:rsidRPr="00B77CAD">
        <w:rPr>
          <w:shd w:val="clear" w:color="auto" w:fill="FFFFFF"/>
        </w:rPr>
        <w:t>Rangiah</w:t>
      </w:r>
      <w:proofErr w:type="spellEnd"/>
      <w:r w:rsidRPr="00B77CAD">
        <w:rPr>
          <w:shd w:val="clear" w:color="auto" w:fill="FFFFFF"/>
        </w:rPr>
        <w:t xml:space="preserve"> JJ</w:t>
      </w:r>
      <w:r>
        <w:rPr>
          <w:shd w:val="clear" w:color="auto" w:fill="FFFFFF"/>
        </w:rPr>
        <w:t>). Indeed, t</w:t>
      </w:r>
      <w:r w:rsidRPr="009615E6">
        <w:rPr>
          <w:shd w:val="clear" w:color="auto" w:fill="FFFFFF"/>
        </w:rPr>
        <w:t xml:space="preserve">he mere fact that a finding is </w:t>
      </w:r>
      <w:r w:rsidR="00366C22">
        <w:rPr>
          <w:shd w:val="clear" w:color="auto" w:fill="FFFFFF"/>
        </w:rPr>
        <w:t xml:space="preserve">made by the Authority </w:t>
      </w:r>
      <w:r w:rsidRPr="009615E6">
        <w:rPr>
          <w:shd w:val="clear" w:color="auto" w:fill="FFFFFF"/>
        </w:rPr>
        <w:t>on a matter of credit does not shield its decision-</w:t>
      </w:r>
      <w:r>
        <w:rPr>
          <w:shd w:val="clear" w:color="auto" w:fill="FFFFFF"/>
        </w:rPr>
        <w:t>making processes from scrutiny.</w:t>
      </w:r>
      <w:r w:rsidRPr="009615E6">
        <w:rPr>
          <w:shd w:val="clear" w:color="auto" w:fill="FFFFFF"/>
        </w:rPr>
        <w:t xml:space="preserve"> As Flick J explained </w:t>
      </w:r>
      <w:r w:rsidRPr="00B77CAD">
        <w:rPr>
          <w:i/>
          <w:shd w:val="clear" w:color="auto" w:fill="FFFFFF"/>
        </w:rPr>
        <w:t>SZSHV v Minister for Immigration and Border Protection</w:t>
      </w:r>
      <w:r w:rsidRPr="009615E6">
        <w:rPr>
          <w:shd w:val="clear" w:color="auto" w:fill="FFFFFF"/>
        </w:rPr>
        <w:t xml:space="preserve"> [2014] FCA 253 </w:t>
      </w:r>
      <w:r>
        <w:rPr>
          <w:shd w:val="clear" w:color="auto" w:fill="FFFFFF"/>
        </w:rPr>
        <w:t>(</w:t>
      </w:r>
      <w:r w:rsidRPr="009615E6">
        <w:rPr>
          <w:shd w:val="clear" w:color="auto" w:fill="FFFFFF"/>
        </w:rPr>
        <w:t>at [31]</w:t>
      </w:r>
      <w:r>
        <w:rPr>
          <w:shd w:val="clear" w:color="auto" w:fill="FFFFFF"/>
        </w:rPr>
        <w:t>),</w:t>
      </w:r>
      <w:r w:rsidRPr="009615E6">
        <w:rPr>
          <w:shd w:val="clear" w:color="auto" w:fill="FFFFFF"/>
        </w:rPr>
        <w:t xml:space="preserve"> credit findings</w:t>
      </w:r>
      <w:r>
        <w:rPr>
          <w:shd w:val="clear" w:color="auto" w:fill="FFFFFF"/>
        </w:rPr>
        <w:t xml:space="preserve"> “</w:t>
      </w:r>
      <w:r w:rsidRPr="009615E6">
        <w:rPr>
          <w:shd w:val="clear" w:color="auto" w:fill="FFFFFF"/>
        </w:rPr>
        <w:t>…</w:t>
      </w:r>
      <w:r w:rsidR="00F2539F">
        <w:rPr>
          <w:shd w:val="clear" w:color="auto" w:fill="FFFFFF"/>
        </w:rPr>
        <w:t xml:space="preserve"> </w:t>
      </w:r>
      <w:r w:rsidRPr="009615E6">
        <w:rPr>
          <w:shd w:val="clear" w:color="auto" w:fill="FFFFFF"/>
        </w:rPr>
        <w:t xml:space="preserve">like all findings, must be rationally made and based upon </w:t>
      </w:r>
      <w:r w:rsidRPr="009615E6">
        <w:rPr>
          <w:shd w:val="clear" w:color="auto" w:fill="FFFFFF"/>
        </w:rPr>
        <w:lastRenderedPageBreak/>
        <w:t>facts havi</w:t>
      </w:r>
      <w:r>
        <w:rPr>
          <w:shd w:val="clear" w:color="auto" w:fill="FFFFFF"/>
        </w:rPr>
        <w:t xml:space="preserve">ng logical and probative weight.” </w:t>
      </w:r>
      <w:r>
        <w:t xml:space="preserve">Furthermore, as Gordon J explained </w:t>
      </w:r>
      <w:r w:rsidRPr="00C736C6">
        <w:t xml:space="preserve">in </w:t>
      </w:r>
      <w:r w:rsidRPr="00B77CAD">
        <w:rPr>
          <w:i/>
          <w:color w:val="000000"/>
          <w:shd w:val="clear" w:color="auto" w:fill="FFFFFF"/>
        </w:rPr>
        <w:t>SZLGP v Minister for Immigration and Citizenship</w:t>
      </w:r>
      <w:r w:rsidRPr="00B77CAD">
        <w:rPr>
          <w:color w:val="000000"/>
          <w:shd w:val="clear" w:color="auto" w:fill="FFFFFF"/>
        </w:rPr>
        <w:t xml:space="preserve"> [2008] FCA 1198 </w:t>
      </w:r>
      <w:r>
        <w:rPr>
          <w:color w:val="000000"/>
          <w:shd w:val="clear" w:color="auto" w:fill="FFFFFF"/>
        </w:rPr>
        <w:t xml:space="preserve">(at [25]), </w:t>
      </w:r>
      <w:r w:rsidRPr="00B77CAD">
        <w:rPr>
          <w:color w:val="000000"/>
          <w:shd w:val="clear" w:color="auto" w:fill="FFFFFF"/>
        </w:rPr>
        <w:t xml:space="preserve">determinations on credibility must </w:t>
      </w:r>
      <w:r>
        <w:rPr>
          <w:color w:val="000000"/>
          <w:shd w:val="clear" w:color="auto" w:fill="FFFFFF"/>
        </w:rPr>
        <w:t>“</w:t>
      </w:r>
      <w:r w:rsidRPr="00B77CAD">
        <w:rPr>
          <w:color w:val="000000"/>
          <w:shd w:val="clear" w:color="auto" w:fill="FFFFFF"/>
        </w:rPr>
        <w:t>be made rationally and logically and be articulated properly</w:t>
      </w:r>
      <w:r>
        <w:rPr>
          <w:color w:val="000000"/>
          <w:shd w:val="clear" w:color="auto" w:fill="FFFFFF"/>
        </w:rPr>
        <w:t>”</w:t>
      </w:r>
      <w:r w:rsidRPr="00B77CAD">
        <w:rPr>
          <w:color w:val="000000"/>
          <w:shd w:val="clear" w:color="auto" w:fill="FFFFFF"/>
        </w:rPr>
        <w:t xml:space="preserve"> and minor inconsistencies and trivial errors in an account cannot be used to find that an applicant is not credible</w:t>
      </w:r>
      <w:r>
        <w:rPr>
          <w:color w:val="000000"/>
          <w:shd w:val="clear" w:color="auto" w:fill="FFFFFF"/>
        </w:rPr>
        <w:t>.</w:t>
      </w:r>
      <w:r w:rsidRPr="00B77CAD">
        <w:rPr>
          <w:color w:val="000000"/>
          <w:shd w:val="clear" w:color="auto" w:fill="FFFFFF"/>
        </w:rPr>
        <w:t xml:space="preserve"> Importantly, however, </w:t>
      </w:r>
      <w:r w:rsidR="007F4CEE">
        <w:rPr>
          <w:color w:val="000000"/>
          <w:shd w:val="clear" w:color="auto" w:fill="FFFFFF"/>
        </w:rPr>
        <w:t xml:space="preserve">the </w:t>
      </w:r>
      <w:r w:rsidRPr="00B77CAD">
        <w:rPr>
          <w:color w:val="000000"/>
          <w:shd w:val="clear" w:color="auto" w:fill="FFFFFF"/>
        </w:rPr>
        <w:t xml:space="preserve">consideration of these principles often arises where so-called minor inconsistencies or omissions are used to make adverse credibility findings and conclude that a claim of an applicant is concocted without disclosing a legitimate, articulated basis for </w:t>
      </w:r>
      <w:r w:rsidR="005718D2">
        <w:rPr>
          <w:color w:val="000000"/>
          <w:shd w:val="clear" w:color="auto" w:fill="FFFFFF"/>
        </w:rPr>
        <w:t>such</w:t>
      </w:r>
      <w:r w:rsidRPr="00B77CAD">
        <w:rPr>
          <w:color w:val="000000"/>
          <w:shd w:val="clear" w:color="auto" w:fill="FFFFFF"/>
        </w:rPr>
        <w:t xml:space="preserve"> </w:t>
      </w:r>
      <w:r w:rsidR="00B07416">
        <w:rPr>
          <w:color w:val="000000"/>
          <w:shd w:val="clear" w:color="auto" w:fill="FFFFFF"/>
        </w:rPr>
        <w:t xml:space="preserve">a </w:t>
      </w:r>
      <w:r w:rsidRPr="00B77CAD">
        <w:rPr>
          <w:color w:val="000000"/>
          <w:shd w:val="clear" w:color="auto" w:fill="FFFFFF"/>
        </w:rPr>
        <w:t>finding.</w:t>
      </w:r>
    </w:p>
    <w:p w:rsidR="00D00E4C" w:rsidRPr="009615E6" w:rsidRDefault="00D00E4C" w:rsidP="00D00E4C">
      <w:pPr>
        <w:pStyle w:val="ParaNumbering"/>
        <w:rPr>
          <w:color w:val="000000"/>
          <w:shd w:val="clear" w:color="auto" w:fill="FFFFFF"/>
        </w:rPr>
      </w:pPr>
      <w:r w:rsidRPr="009615E6">
        <w:rPr>
          <w:color w:val="000000"/>
          <w:shd w:val="clear" w:color="auto" w:fill="FFFFFF"/>
        </w:rPr>
        <w:t>Of course</w:t>
      </w:r>
      <w:r>
        <w:rPr>
          <w:color w:val="000000"/>
          <w:shd w:val="clear" w:color="auto" w:fill="FFFFFF"/>
        </w:rPr>
        <w:t>,</w:t>
      </w:r>
      <w:r w:rsidRPr="009615E6">
        <w:rPr>
          <w:color w:val="000000"/>
          <w:shd w:val="clear" w:color="auto" w:fill="FFFFFF"/>
        </w:rPr>
        <w:t xml:space="preserve"> determining whether a credibility finding is so irrational, illogical or unreasonable so </w:t>
      </w:r>
      <w:r w:rsidR="005718D2">
        <w:rPr>
          <w:color w:val="000000"/>
          <w:shd w:val="clear" w:color="auto" w:fill="FFFFFF"/>
        </w:rPr>
        <w:t>as to amount to</w:t>
      </w:r>
      <w:r w:rsidRPr="009615E6">
        <w:rPr>
          <w:color w:val="000000"/>
          <w:shd w:val="clear" w:color="auto" w:fill="FFFFFF"/>
        </w:rPr>
        <w:t xml:space="preserve"> jurisdictional error requires an examination of the facts of the case</w:t>
      </w:r>
      <w:r>
        <w:rPr>
          <w:color w:val="000000"/>
          <w:shd w:val="clear" w:color="auto" w:fill="FFFFFF"/>
        </w:rPr>
        <w:t>,</w:t>
      </w:r>
      <w:r w:rsidRPr="009615E6">
        <w:rPr>
          <w:color w:val="000000"/>
          <w:shd w:val="clear" w:color="auto" w:fill="FFFFFF"/>
        </w:rPr>
        <w:t xml:space="preserve"> but without derogating from the case specific nature of the inquiry, adverse credibility findings may involve jurisdictional error on recognised grounds if, as </w:t>
      </w:r>
      <w:proofErr w:type="spellStart"/>
      <w:r w:rsidRPr="009615E6">
        <w:rPr>
          <w:color w:val="000000"/>
          <w:shd w:val="clear" w:color="auto" w:fill="FFFFFF"/>
        </w:rPr>
        <w:t>Crennan</w:t>
      </w:r>
      <w:proofErr w:type="spellEnd"/>
      <w:r w:rsidRPr="009615E6">
        <w:rPr>
          <w:color w:val="000000"/>
          <w:shd w:val="clear" w:color="auto" w:fill="FFFFFF"/>
        </w:rPr>
        <w:t xml:space="preserve"> and Bell JJ explained in </w:t>
      </w:r>
      <w:r w:rsidRPr="00A34299">
        <w:rPr>
          <w:i/>
          <w:color w:val="222222"/>
          <w:shd w:val="clear" w:color="auto" w:fill="FFFFFF"/>
        </w:rPr>
        <w:t>Minister for Immigration and Citizenship v SZMDS</w:t>
      </w:r>
      <w:r w:rsidRPr="009615E6">
        <w:rPr>
          <w:color w:val="222222"/>
          <w:shd w:val="clear" w:color="auto" w:fill="FFFFFF"/>
        </w:rPr>
        <w:t xml:space="preserve"> </w:t>
      </w:r>
      <w:r w:rsidR="00745FCE">
        <w:rPr>
          <w:color w:val="222222"/>
          <w:shd w:val="clear" w:color="auto" w:fill="FFFFFF"/>
        </w:rPr>
        <w:t xml:space="preserve">[2010] HCA 16; </w:t>
      </w:r>
      <w:r w:rsidRPr="009615E6">
        <w:rPr>
          <w:color w:val="222222"/>
          <w:shd w:val="clear" w:color="auto" w:fill="FFFFFF"/>
        </w:rPr>
        <w:t xml:space="preserve">(2010) 240 CLR 611 </w:t>
      </w:r>
      <w:r>
        <w:rPr>
          <w:color w:val="222222"/>
          <w:shd w:val="clear" w:color="auto" w:fill="FFFFFF"/>
        </w:rPr>
        <w:t>(</w:t>
      </w:r>
      <w:r w:rsidRPr="009615E6">
        <w:rPr>
          <w:color w:val="222222"/>
          <w:shd w:val="clear" w:color="auto" w:fill="FFFFFF"/>
        </w:rPr>
        <w:t xml:space="preserve">at </w:t>
      </w:r>
      <w:r w:rsidR="00745FCE">
        <w:rPr>
          <w:color w:val="222222"/>
          <w:shd w:val="clear" w:color="auto" w:fill="FFFFFF"/>
        </w:rPr>
        <w:t xml:space="preserve">649–50 </w:t>
      </w:r>
      <w:r w:rsidRPr="009615E6">
        <w:rPr>
          <w:color w:val="222222"/>
          <w:shd w:val="clear" w:color="auto" w:fill="FFFFFF"/>
        </w:rPr>
        <w:t>[135]</w:t>
      </w:r>
      <w:r>
        <w:rPr>
          <w:color w:val="222222"/>
          <w:shd w:val="clear" w:color="auto" w:fill="FFFFFF"/>
        </w:rPr>
        <w:t>)</w:t>
      </w:r>
      <w:r w:rsidRPr="009615E6">
        <w:rPr>
          <w:color w:val="222222"/>
          <w:shd w:val="clear" w:color="auto" w:fill="FFFFFF"/>
        </w:rPr>
        <w:t>:</w:t>
      </w:r>
    </w:p>
    <w:p w:rsidR="00D00E4C" w:rsidRPr="00D34765" w:rsidRDefault="00745FCE" w:rsidP="00D34765">
      <w:pPr>
        <w:pStyle w:val="Quote1"/>
        <w:rPr>
          <w:shd w:val="clear" w:color="auto" w:fill="FFFFFF"/>
        </w:rPr>
      </w:pPr>
      <w:r>
        <w:rPr>
          <w:shd w:val="clear" w:color="auto" w:fill="FFFFFF"/>
        </w:rPr>
        <w:t xml:space="preserve">… </w:t>
      </w:r>
      <w:r w:rsidR="00D00E4C" w:rsidRPr="00D46609">
        <w:rPr>
          <w:shd w:val="clear" w:color="auto" w:fill="FFFFFF"/>
        </w:rPr>
        <w:t xml:space="preserve">only one conclusion is open on the evidence, and the decision-maker does not come to that conclusion, or if the decision to which the decision-maker came was simply not open on the evidence </w:t>
      </w:r>
      <w:r w:rsidR="00D00E4C" w:rsidRPr="00D46609">
        <w:rPr>
          <w:b/>
          <w:shd w:val="clear" w:color="auto" w:fill="FFFFFF"/>
        </w:rPr>
        <w:t>or there is no logical connection between the evidence and the inferences or conclusions drawn</w:t>
      </w:r>
      <w:r w:rsidR="00D00E4C">
        <w:rPr>
          <w:shd w:val="clear" w:color="auto" w:fill="FFFFFF"/>
        </w:rPr>
        <w:t>.</w:t>
      </w:r>
    </w:p>
    <w:p w:rsidR="00D00E4C" w:rsidRPr="00D46609" w:rsidRDefault="00FD614D" w:rsidP="00FF7A69">
      <w:pPr>
        <w:pStyle w:val="Quote1"/>
        <w:rPr>
          <w:shd w:val="clear" w:color="auto" w:fill="FFFFFF"/>
        </w:rPr>
      </w:pPr>
      <w:r>
        <w:rPr>
          <w:shd w:val="clear" w:color="auto" w:fill="FFFFFF"/>
        </w:rPr>
        <w:t>(e</w:t>
      </w:r>
      <w:r w:rsidR="00D00E4C">
        <w:rPr>
          <w:shd w:val="clear" w:color="auto" w:fill="FFFFFF"/>
        </w:rPr>
        <w:t>mphasis added)</w:t>
      </w:r>
      <w:r w:rsidR="00D00E4C" w:rsidRPr="00D46609">
        <w:rPr>
          <w:shd w:val="clear" w:color="auto" w:fill="FFFFFF"/>
        </w:rPr>
        <w:t>.</w:t>
      </w:r>
    </w:p>
    <w:p w:rsidR="00D14C69" w:rsidRPr="006F6581" w:rsidRDefault="00D00E4C" w:rsidP="00D00E4C">
      <w:pPr>
        <w:pStyle w:val="ParaNumbering"/>
      </w:pPr>
      <w:r w:rsidRPr="006F6581">
        <w:t>As can b</w:t>
      </w:r>
      <w:r w:rsidR="00C0560B">
        <w:t>e seen from the extract of the A</w:t>
      </w:r>
      <w:r w:rsidRPr="006F6581">
        <w:t>uthority’s reasons (</w:t>
      </w:r>
      <w:r w:rsidR="00FF3CFF">
        <w:t>at [10</w:t>
      </w:r>
      <w:r w:rsidRPr="006F6581">
        <w:t>] above), detail was given as to</w:t>
      </w:r>
      <w:r w:rsidR="00D34765" w:rsidRPr="006F6581">
        <w:t xml:space="preserve"> what was characterised by the A</w:t>
      </w:r>
      <w:r w:rsidRPr="006F6581">
        <w:t xml:space="preserve">uthority to be </w:t>
      </w:r>
      <w:r w:rsidR="009B03EB">
        <w:t>“</w:t>
      </w:r>
      <w:r w:rsidRPr="006F6581">
        <w:t>changes and inconsistencies</w:t>
      </w:r>
      <w:r w:rsidR="009B03EB">
        <w:t>”</w:t>
      </w:r>
      <w:r w:rsidRPr="006F6581">
        <w:t xml:space="preserve"> in </w:t>
      </w:r>
      <w:r w:rsidR="009B03EB">
        <w:t>the evidence of</w:t>
      </w:r>
      <w:r w:rsidRPr="006F6581">
        <w:t xml:space="preserve"> the appellant</w:t>
      </w:r>
      <w:r w:rsidR="00D07BD9">
        <w:t xml:space="preserve"> in regard to the cricket ground incident</w:t>
      </w:r>
      <w:r w:rsidR="006A26FD">
        <w:t xml:space="preserve">. </w:t>
      </w:r>
      <w:r w:rsidRPr="006F6581">
        <w:t>To the extent that th</w:t>
      </w:r>
      <w:r w:rsidR="00D34765" w:rsidRPr="006F6581">
        <w:t>e appellant disagrees with the A</w:t>
      </w:r>
      <w:r w:rsidRPr="006F6581">
        <w:t xml:space="preserve">uthority’s assessment, there is an obvious danger of sliding </w:t>
      </w:r>
      <w:r w:rsidR="00D34765" w:rsidRPr="006F6581">
        <w:t xml:space="preserve">impermissibly into </w:t>
      </w:r>
      <w:r w:rsidRPr="006F6581">
        <w:t xml:space="preserve">a review of the case on the merits. </w:t>
      </w:r>
    </w:p>
    <w:p w:rsidR="00C12ADC" w:rsidRDefault="00D00E4C" w:rsidP="00A54DB7">
      <w:pPr>
        <w:pStyle w:val="ParaNumbering"/>
      </w:pPr>
      <w:r w:rsidRPr="0062476A">
        <w:t>I accept the Minister’s submission that read in context</w:t>
      </w:r>
      <w:r w:rsidR="00DA2C90">
        <w:t xml:space="preserve"> and without an</w:t>
      </w:r>
      <w:r w:rsidR="00563117">
        <w:t xml:space="preserve"> “eye keenly attuned to the perception of error” (see </w:t>
      </w:r>
      <w:r w:rsidR="00563117" w:rsidRPr="00563117">
        <w:rPr>
          <w:i/>
        </w:rPr>
        <w:t>Minister for Immigration and Ethnic Affairs v Wu Shan Liang</w:t>
      </w:r>
      <w:r w:rsidR="00563117">
        <w:t xml:space="preserve"> (1996) 185 CLR 259 (at 271–</w:t>
      </w:r>
      <w:r w:rsidR="00563117" w:rsidRPr="00563117">
        <w:t>2</w:t>
      </w:r>
      <w:r w:rsidR="00563117">
        <w:t xml:space="preserve"> per Brennan CJ, </w:t>
      </w:r>
      <w:proofErr w:type="spellStart"/>
      <w:r w:rsidR="00563117">
        <w:t>Toohey</w:t>
      </w:r>
      <w:proofErr w:type="spellEnd"/>
      <w:r w:rsidR="00563117">
        <w:t xml:space="preserve">, McHugh and </w:t>
      </w:r>
      <w:proofErr w:type="spellStart"/>
      <w:r w:rsidR="00563117">
        <w:t>Gummow</w:t>
      </w:r>
      <w:proofErr w:type="spellEnd"/>
      <w:r w:rsidR="00563117">
        <w:t xml:space="preserve"> JJ)</w:t>
      </w:r>
      <w:r w:rsidR="00384C87">
        <w:t>)</w:t>
      </w:r>
      <w:r w:rsidR="0062476A" w:rsidRPr="0062476A">
        <w:t xml:space="preserve">, the appellant’s criticism of </w:t>
      </w:r>
      <w:r w:rsidR="00C0560B">
        <w:t>the relevant part of the Authority’s</w:t>
      </w:r>
      <w:r w:rsidR="0062476A" w:rsidRPr="0062476A">
        <w:t xml:space="preserve"> reasoning process, </w:t>
      </w:r>
      <w:r w:rsidRPr="0062476A">
        <w:t>which had, as its point of departure, the existence of at least some inconsistencies</w:t>
      </w:r>
      <w:r w:rsidR="00C0560B">
        <w:t xml:space="preserve"> in the account given by the appellant</w:t>
      </w:r>
      <w:r w:rsidRPr="0062476A">
        <w:t xml:space="preserve">, is not one which </w:t>
      </w:r>
      <w:r w:rsidR="00393B90">
        <w:t>can be said to amount to</w:t>
      </w:r>
      <w:r w:rsidRPr="0062476A">
        <w:t xml:space="preserve"> jurisdictional error.</w:t>
      </w:r>
      <w:r w:rsidR="000D3C4E" w:rsidRPr="0062476A">
        <w:t xml:space="preserve"> Indeed, I </w:t>
      </w:r>
      <w:r w:rsidRPr="0062476A">
        <w:t xml:space="preserve">do not consider the changes in the appellant’s account </w:t>
      </w:r>
      <w:r w:rsidR="005718D2">
        <w:t>to be</w:t>
      </w:r>
      <w:r w:rsidRPr="0062476A">
        <w:t xml:space="preserve"> mere matters of elaboration or expansion of essentially the same contentions; rather they could be fairly described as inconsistencies and did give rise to legitimate concerns. </w:t>
      </w:r>
      <w:r w:rsidR="007063BE">
        <w:t>T</w:t>
      </w:r>
      <w:r w:rsidR="00EA12C5">
        <w:t>he Authority</w:t>
      </w:r>
      <w:r w:rsidR="00AC2CB0">
        <w:t>, even accepting what the appellant</w:t>
      </w:r>
      <w:r w:rsidR="00B842C8">
        <w:t xml:space="preserve"> had</w:t>
      </w:r>
      <w:r w:rsidR="00AC2CB0">
        <w:t xml:space="preserve"> said </w:t>
      </w:r>
      <w:r w:rsidR="00AC2CB0">
        <w:lastRenderedPageBreak/>
        <w:t>at the arrival interview as a summary, found</w:t>
      </w:r>
      <w:r w:rsidR="00947CAD">
        <w:t xml:space="preserve"> (at [22])</w:t>
      </w:r>
      <w:r w:rsidR="00AC2CB0">
        <w:t xml:space="preserve"> that he </w:t>
      </w:r>
      <w:r w:rsidR="00507018">
        <w:t>had changed</w:t>
      </w:r>
      <w:r w:rsidR="00EA12C5">
        <w:t xml:space="preserve"> his evidence in relation to: (a) the reason for the SLA becoming interested in the matter; (b) whether he was detained; (c) what reporting conditions applied; </w:t>
      </w:r>
      <w:r w:rsidR="00E537D5">
        <w:t xml:space="preserve">and </w:t>
      </w:r>
      <w:r w:rsidR="00EA12C5">
        <w:t>(d) whether he resided in Colombo prior to leaving for Malaysia</w:t>
      </w:r>
      <w:r w:rsidR="00120BC7">
        <w:t>. Th</w:t>
      </w:r>
      <w:r w:rsidR="00FC09B5">
        <w:t xml:space="preserve">is </w:t>
      </w:r>
      <w:r w:rsidR="006B4D9C">
        <w:t>is</w:t>
      </w:r>
      <w:r w:rsidR="00FC09B5">
        <w:t xml:space="preserve"> furthered by the Authority’s finding that </w:t>
      </w:r>
      <w:r w:rsidR="00513F68">
        <w:t xml:space="preserve">in the SHEV interview, </w:t>
      </w:r>
      <w:r w:rsidR="00120BC7">
        <w:t xml:space="preserve">the appellant raised </w:t>
      </w:r>
      <w:r w:rsidR="00EA12C5">
        <w:t xml:space="preserve">additional </w:t>
      </w:r>
      <w:r w:rsidR="00513F68">
        <w:t>matters, such as</w:t>
      </w:r>
      <w:r w:rsidR="00120BC7">
        <w:t xml:space="preserve"> the SLA officer</w:t>
      </w:r>
      <w:r w:rsidR="00513F68">
        <w:t xml:space="preserve"> approaching and threatening him in a store</w:t>
      </w:r>
      <w:r w:rsidR="00120BC7">
        <w:t xml:space="preserve">, </w:t>
      </w:r>
      <w:r w:rsidR="0075683D">
        <w:t xml:space="preserve">and </w:t>
      </w:r>
      <w:r w:rsidR="00513F68">
        <w:t>that the SLA officer and paramilitary man made</w:t>
      </w:r>
      <w:r w:rsidR="00EA12C5">
        <w:t xml:space="preserve"> extended threats </w:t>
      </w:r>
      <w:r w:rsidR="00E81667">
        <w:t>to his mother</w:t>
      </w:r>
      <w:r w:rsidR="00E871DF">
        <w:t xml:space="preserve"> after he </w:t>
      </w:r>
      <w:r w:rsidR="006B4D9C">
        <w:t>left</w:t>
      </w:r>
      <w:r w:rsidR="00E871DF">
        <w:t xml:space="preserve"> Sri </w:t>
      </w:r>
      <w:r w:rsidR="006B4D9C">
        <w:t>Lanka</w:t>
      </w:r>
      <w:r w:rsidR="00E81667">
        <w:t xml:space="preserve"> </w:t>
      </w:r>
      <w:r w:rsidR="00E871DF">
        <w:t xml:space="preserve">that they would kill </w:t>
      </w:r>
      <w:r w:rsidR="007518D8">
        <w:t>him</w:t>
      </w:r>
      <w:r w:rsidR="00E871DF">
        <w:t xml:space="preserve">. </w:t>
      </w:r>
      <w:r w:rsidR="006B4D9C">
        <w:t>T</w:t>
      </w:r>
      <w:r w:rsidR="00411374">
        <w:t xml:space="preserve">his </w:t>
      </w:r>
      <w:r w:rsidR="00B352CF">
        <w:t>was</w:t>
      </w:r>
      <w:r w:rsidR="00411374">
        <w:t xml:space="preserve"> </w:t>
      </w:r>
      <w:r w:rsidR="004A1B71">
        <w:t xml:space="preserve">also </w:t>
      </w:r>
      <w:r w:rsidR="00411374">
        <w:t xml:space="preserve">all in the context of the appellant </w:t>
      </w:r>
      <w:r w:rsidR="00DC7D4B">
        <w:t xml:space="preserve">presumably intending the reference to </w:t>
      </w:r>
      <w:r w:rsidR="00411374">
        <w:t>“pro</w:t>
      </w:r>
      <w:r w:rsidR="00DC7D4B">
        <w:t>-</w:t>
      </w:r>
      <w:r w:rsidR="00411374">
        <w:t>government support</w:t>
      </w:r>
      <w:r w:rsidR="00DC7D4B">
        <w:t>er</w:t>
      </w:r>
      <w:r w:rsidR="00411374">
        <w:t xml:space="preserve">” </w:t>
      </w:r>
      <w:r w:rsidR="00DC7D4B">
        <w:t>to be interchangeable with</w:t>
      </w:r>
      <w:r w:rsidR="00411374">
        <w:t xml:space="preserve"> “paramilitary man”</w:t>
      </w:r>
      <w:r w:rsidR="00DC7D4B">
        <w:t>.</w:t>
      </w:r>
    </w:p>
    <w:p w:rsidR="00D00E4C" w:rsidRPr="0062476A" w:rsidRDefault="00C0560B" w:rsidP="00D14C69">
      <w:pPr>
        <w:pStyle w:val="ParaNumbering"/>
      </w:pPr>
      <w:r>
        <w:t>It is clear that the A</w:t>
      </w:r>
      <w:r w:rsidR="00D00E4C" w:rsidRPr="0062476A">
        <w:t>uthority gave consideration to the way in which the contentions had changed and there is no r</w:t>
      </w:r>
      <w:r>
        <w:t>eason for considering that the A</w:t>
      </w:r>
      <w:r w:rsidR="00D00E4C" w:rsidRPr="0062476A">
        <w:t xml:space="preserve">uthority did not appreciate that the appellant’s claims made during an entry interview might not </w:t>
      </w:r>
      <w:r w:rsidR="00D00E4C" w:rsidRPr="007A0B1C">
        <w:t xml:space="preserve">be as detailed or so expansive as might be given at </w:t>
      </w:r>
      <w:r w:rsidR="00A734C3" w:rsidRPr="007A0B1C">
        <w:t>a later time.</w:t>
      </w:r>
      <w:r w:rsidR="00384C87" w:rsidRPr="007A0B1C">
        <w:t xml:space="preserve"> This is particularly the case given the inconsistencies identified were largely between the written SHEV application and the subsequent SHEV interview, in which </w:t>
      </w:r>
      <w:r w:rsidR="00672063" w:rsidRPr="007A0B1C">
        <w:t xml:space="preserve">time </w:t>
      </w:r>
      <w:r w:rsidR="00384C87" w:rsidRPr="007A0B1C">
        <w:t xml:space="preserve">the appellant would have had the opportunity to consider </w:t>
      </w:r>
      <w:r w:rsidR="00E53556" w:rsidRPr="007A0B1C">
        <w:t xml:space="preserve">more fully the facts of </w:t>
      </w:r>
      <w:r w:rsidR="00384C87" w:rsidRPr="007A0B1C">
        <w:t>the cricket ground incident</w:t>
      </w:r>
      <w:r w:rsidR="00226B6C" w:rsidRPr="007A0B1C">
        <w:t xml:space="preserve"> and the events that followed</w:t>
      </w:r>
      <w:r w:rsidR="00384C87" w:rsidRPr="007A0B1C">
        <w:t xml:space="preserve">. </w:t>
      </w:r>
      <w:r w:rsidR="00D00E4C" w:rsidRPr="007A0B1C">
        <w:t>Put simply</w:t>
      </w:r>
      <w:r w:rsidR="00D00E4C" w:rsidRPr="0062476A">
        <w:t>, despite Mr Foster saying everything he could in relation to the argument, it could not be successfully submitted t</w:t>
      </w:r>
      <w:r w:rsidR="00C12ADC">
        <w:t xml:space="preserve">hat there was no logical </w:t>
      </w:r>
      <w:r>
        <w:t xml:space="preserve">or rational </w:t>
      </w:r>
      <w:r w:rsidR="00C12ADC">
        <w:t>connex</w:t>
      </w:r>
      <w:r w:rsidR="00D00E4C" w:rsidRPr="0062476A">
        <w:t xml:space="preserve">ion between </w:t>
      </w:r>
      <w:r w:rsidR="009C3FC5">
        <w:t>the evidence identified by the A</w:t>
      </w:r>
      <w:r w:rsidR="00D00E4C" w:rsidRPr="0062476A">
        <w:t xml:space="preserve">uthority (at [21]) and the inferences and conclusions drawn (at [22]). It follows that the allegation of jurisdictional error </w:t>
      </w:r>
      <w:r>
        <w:t>cannot be</w:t>
      </w:r>
      <w:r w:rsidR="00D00E4C" w:rsidRPr="0062476A">
        <w:t xml:space="preserve"> made out. </w:t>
      </w:r>
    </w:p>
    <w:p w:rsidR="0051434F" w:rsidRDefault="00D00E4C" w:rsidP="00FF7A69">
      <w:pPr>
        <w:pStyle w:val="ParaNumbering"/>
      </w:pPr>
      <w:r>
        <w:t>As noted above, no submissions were put on appeal which sought to advance an argument</w:t>
      </w:r>
      <w:r w:rsidR="00E95339">
        <w:t xml:space="preserve"> that it was necessary for the A</w:t>
      </w:r>
      <w:r>
        <w:t xml:space="preserve">uthority to put the credibility finding to the appellant for comment or that separately from the argument that the finding as to the cricket </w:t>
      </w:r>
      <w:r w:rsidR="00D44747">
        <w:t>ground</w:t>
      </w:r>
      <w:r>
        <w:t xml:space="preserve"> incident was unreasonable, irrational or illogical, there was </w:t>
      </w:r>
      <w:r w:rsidR="00E95339">
        <w:t>any basis for finding that the A</w:t>
      </w:r>
      <w:r w:rsidR="006F6581">
        <w:t xml:space="preserve">uthority was infected by bias. </w:t>
      </w:r>
      <w:r>
        <w:t>It follows that the appeal must be dismissed with costs.</w:t>
      </w:r>
      <w:r w:rsidR="009A787F">
        <w:t xml:space="preserve"> </w:t>
      </w:r>
    </w:p>
    <w:tbl>
      <w:tblPr>
        <w:tblW w:w="0" w:type="auto"/>
        <w:tblLook w:val="04A0" w:firstRow="1" w:lastRow="0" w:firstColumn="1" w:lastColumn="0" w:noHBand="0" w:noVBand="1"/>
      </w:tblPr>
      <w:tblGrid>
        <w:gridCol w:w="3794"/>
      </w:tblGrid>
      <w:tr w:rsidR="006F6581" w:rsidRPr="006F6581">
        <w:tc>
          <w:tcPr>
            <w:tcW w:w="3794" w:type="dxa"/>
            <w:shd w:val="clear" w:color="auto" w:fill="auto"/>
          </w:tcPr>
          <w:p w:rsidR="006F6581" w:rsidRPr="006F6581" w:rsidRDefault="006F6581" w:rsidP="006F6581">
            <w:pPr>
              <w:pStyle w:val="Normal1linespace"/>
            </w:pPr>
            <w:bookmarkStart w:id="18" w:name="Certification"/>
            <w:r w:rsidRPr="006F6581">
              <w:t xml:space="preserve">I certify that the preceding </w:t>
            </w:r>
            <w:bookmarkStart w:id="19" w:name="NumberWord"/>
            <w:r w:rsidR="00C0560B">
              <w:t>twenty-</w:t>
            </w:r>
            <w:bookmarkEnd w:id="19"/>
            <w:r w:rsidR="00C0560B">
              <w:t xml:space="preserve"> three</w:t>
            </w:r>
            <w:r w:rsidRPr="006F6581">
              <w:t xml:space="preserve"> (</w:t>
            </w:r>
            <w:bookmarkStart w:id="20" w:name="NumberNumeral"/>
            <w:r>
              <w:t>2</w:t>
            </w:r>
            <w:bookmarkEnd w:id="20"/>
            <w:r w:rsidR="00C0560B">
              <w:t>3</w:t>
            </w:r>
            <w:r w:rsidRPr="006F6581">
              <w:t xml:space="preserve">) numbered </w:t>
            </w:r>
            <w:bookmarkStart w:id="21" w:name="CertPara"/>
            <w:r>
              <w:t>paragraphs are</w:t>
            </w:r>
            <w:bookmarkEnd w:id="21"/>
            <w:r w:rsidRPr="006F6581">
              <w:t xml:space="preserve"> a true copy of the Reasons for Judgment of </w:t>
            </w:r>
            <w:bookmarkStart w:id="22" w:name="bkHonourable"/>
            <w:r w:rsidRPr="006F6581">
              <w:t xml:space="preserve">the Honourable </w:t>
            </w:r>
            <w:bookmarkStart w:id="23" w:name="Justice"/>
            <w:bookmarkEnd w:id="22"/>
            <w:r>
              <w:t>Justice Lee</w:t>
            </w:r>
            <w:bookmarkEnd w:id="23"/>
            <w:r w:rsidRPr="006F6581">
              <w:t>.</w:t>
            </w:r>
          </w:p>
        </w:tc>
      </w:tr>
    </w:tbl>
    <w:p w:rsidR="00882602" w:rsidRDefault="00882602" w:rsidP="00BE1AFA">
      <w:pPr>
        <w:pStyle w:val="BodyText"/>
      </w:pPr>
    </w:p>
    <w:p w:rsidR="006F6581" w:rsidRDefault="006F6581" w:rsidP="00BE1AFA">
      <w:pPr>
        <w:pStyle w:val="BodyText"/>
      </w:pPr>
      <w:r>
        <w:t>Associate:</w:t>
      </w:r>
    </w:p>
    <w:p w:rsidR="006F6581" w:rsidRPr="006F6581" w:rsidRDefault="006F6581" w:rsidP="006F6581">
      <w:pPr>
        <w:pStyle w:val="BodyText"/>
        <w:tabs>
          <w:tab w:val="left" w:pos="1134"/>
        </w:tabs>
      </w:pPr>
      <w:r>
        <w:t>Dated:</w:t>
      </w:r>
      <w:r>
        <w:tab/>
      </w:r>
      <w:bookmarkEnd w:id="18"/>
      <w:r w:rsidR="00BB4AF2">
        <w:t>28</w:t>
      </w:r>
      <w:r w:rsidR="00927251">
        <w:t xml:space="preserve"> September 2020</w:t>
      </w:r>
    </w:p>
    <w:sectPr w:rsidR="006F6581" w:rsidRPr="006F6581"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AFA" w:rsidRDefault="00BE1AFA">
      <w:pPr>
        <w:spacing w:line="20" w:lineRule="exact"/>
      </w:pPr>
    </w:p>
    <w:p w:rsidR="00BE1AFA" w:rsidRDefault="00BE1AFA"/>
    <w:p w:rsidR="00BE1AFA" w:rsidRDefault="00BE1AFA"/>
  </w:endnote>
  <w:endnote w:type="continuationSeparator" w:id="0">
    <w:p w:rsidR="00BE1AFA" w:rsidRDefault="00BE1AFA">
      <w:r>
        <w:t xml:space="preserve"> </w:t>
      </w:r>
    </w:p>
    <w:p w:rsidR="00BE1AFA" w:rsidRDefault="00BE1AFA"/>
    <w:p w:rsidR="00BE1AFA" w:rsidRDefault="00BE1AFA"/>
  </w:endnote>
  <w:endnote w:type="continuationNotice" w:id="1">
    <w:p w:rsidR="00BE1AFA" w:rsidRDefault="00BE1AFA">
      <w:r>
        <w:t xml:space="preserve"> </w:t>
      </w:r>
    </w:p>
    <w:p w:rsidR="00BE1AFA" w:rsidRDefault="00BE1AFA"/>
    <w:p w:rsidR="00BE1AFA" w:rsidRDefault="00BE1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FA" w:rsidRPr="0072718E" w:rsidRDefault="00BE1AFA" w:rsidP="0072718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F2067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0A14DF">
          <w:rPr>
            <w:bCs/>
            <w:sz w:val="18"/>
            <w:szCs w:val="18"/>
          </w:rPr>
          <w:t xml:space="preserve">DOF16 v Minister for Immigration, Citizenship, Migrant Services and Multicultural Affairs [2020] FCA 1385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FA" w:rsidRPr="00A436E8" w:rsidRDefault="00BE1AFA" w:rsidP="00A436E8">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FA" w:rsidRPr="00C47B9D" w:rsidRDefault="00BE1AFA"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FA5031"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861B5924C71A4A7D8DD9ADB15FA0C419"/>
        </w:placeholder>
        <w:dataBinding w:prefixMappings="xmlns:ns0='http://schemas.globalmacros.com/FCA'" w:xpath="/ns0:root[1]/ns0:Name[1]" w:storeItemID="{687E7CCB-4AA5-44E7-B148-17BA2B6F57C0}"/>
        <w:text w:multiLine="1"/>
      </w:sdtPr>
      <w:sdtEndPr/>
      <w:sdtContent>
        <w:r w:rsidR="000A14DF">
          <w:rPr>
            <w:bCs/>
            <w:sz w:val="18"/>
            <w:szCs w:val="18"/>
          </w:rPr>
          <w:t xml:space="preserve">DOF16 v Minister for Immigration, Citizenship, Migrant Services and Multicultural Affairs [2020] FCA 1385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p w:rsidR="00BE1AFA" w:rsidRPr="00A84FD0" w:rsidRDefault="00BE1AFA" w:rsidP="00A84FD0">
    <w:pPr>
      <w:pStyle w:val="Footer"/>
      <w:jc w:val="center"/>
      <w:rPr>
        <w:sz w:val="28"/>
      </w:rPr>
    </w:pPr>
    <w:r>
      <w:rPr>
        <w:b/>
        <w:sz w:val="28"/>
      </w:rPr>
      <w:t xml:space="preserve">DRAFT - Judgment Template v.1 - </w:t>
    </w:r>
    <w:r>
      <w:rPr>
        <w:b/>
        <w:sz w:val="28"/>
      </w:rPr>
      <w:fldChar w:fldCharType="begin"/>
    </w:r>
    <w:r>
      <w:rPr>
        <w:b/>
        <w:sz w:val="28"/>
      </w:rPr>
      <w:instrText xml:space="preserve"> DATE  \@ "d MMMM yyyy"  \* MERGEFORMAT </w:instrText>
    </w:r>
    <w:r>
      <w:rPr>
        <w:b/>
        <w:sz w:val="28"/>
      </w:rPr>
      <w:fldChar w:fldCharType="separate"/>
    </w:r>
    <w:r w:rsidR="00BD15E9">
      <w:rPr>
        <w:b/>
        <w:noProof/>
        <w:sz w:val="28"/>
      </w:rPr>
      <w:t>5 November 2020</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BD15E9">
      <w:rPr>
        <w:b/>
        <w:noProof/>
        <w:sz w:val="28"/>
      </w:rPr>
      <w:t>4:10 PM</w:t>
    </w:r>
    <w:r>
      <w:rPr>
        <w:b/>
        <w:sz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FA" w:rsidRPr="00727DEF" w:rsidRDefault="00BE1AFA" w:rsidP="00727DE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725EE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19FF5FC6353D415CB80A9FDC086BA287"/>
        </w:placeholder>
        <w:dataBinding w:prefixMappings="xmlns:ns0='http://schemas.globalmacros.com/FCA'" w:xpath="/ns0:root[1]/ns0:Name[1]" w:storeItemID="{687E7CCB-4AA5-44E7-B148-17BA2B6F57C0}"/>
        <w:text w:multiLine="1"/>
      </w:sdtPr>
      <w:sdtEndPr/>
      <w:sdtContent>
        <w:r w:rsidR="000A14DF">
          <w:rPr>
            <w:bCs/>
            <w:sz w:val="18"/>
            <w:szCs w:val="18"/>
          </w:rPr>
          <w:t xml:space="preserve">DOF16 v Minister for Immigration, Citizenship, Migrant Services and Multicultural Affairs [2020] FCA 1385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D15E9">
      <w:rPr>
        <w:bCs/>
        <w:noProof/>
        <w:sz w:val="20"/>
      </w:rPr>
      <w:t>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FA" w:rsidRPr="00727DEF" w:rsidRDefault="00BE1AFA" w:rsidP="00727DE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DE5E2A"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C1EC93F9FC2044E0B084EDA4C613BB49"/>
        </w:placeholder>
        <w:dataBinding w:prefixMappings="xmlns:ns0='http://schemas.globalmacros.com/FCA'" w:xpath="/ns0:root[1]/ns0:Name[1]" w:storeItemID="{687E7CCB-4AA5-44E7-B148-17BA2B6F57C0}"/>
        <w:text w:multiLine="1"/>
      </w:sdtPr>
      <w:sdtEndPr/>
      <w:sdtContent>
        <w:r w:rsidR="000A14DF">
          <w:rPr>
            <w:bCs/>
            <w:sz w:val="18"/>
            <w:szCs w:val="18"/>
          </w:rPr>
          <w:t xml:space="preserve">DOF16 v Minister for Immigration, Citizenship, Migrant Services and Multicultural Affairs [2020] FCA 1385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3791E">
      <w:rPr>
        <w:bCs/>
        <w:noProof/>
        <w:sz w:val="20"/>
      </w:rPr>
      <w:t>8</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FA" w:rsidRPr="00727DEF" w:rsidRDefault="00BE1AFA" w:rsidP="00727DE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D24143"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F5AB44FE41CC4703AF7EC2F386E6E5F4"/>
        </w:placeholder>
        <w:dataBinding w:prefixMappings="xmlns:ns0='http://schemas.globalmacros.com/FCA'" w:xpath="/ns0:root[1]/ns0:Name[1]" w:storeItemID="{687E7CCB-4AA5-44E7-B148-17BA2B6F57C0}"/>
        <w:text w:multiLine="1"/>
      </w:sdtPr>
      <w:sdtEndPr/>
      <w:sdtContent>
        <w:r w:rsidR="000A14DF">
          <w:rPr>
            <w:bCs/>
            <w:sz w:val="18"/>
            <w:szCs w:val="18"/>
          </w:rPr>
          <w:t xml:space="preserve">DOF16 v Minister for Immigration, Citizenship, Migrant Services and Multicultural Affairs [2020] FCA 1385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D15E9">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AFA" w:rsidRDefault="00BE1AFA"/>
    <w:p w:rsidR="00BE1AFA" w:rsidRDefault="00BE1AFA"/>
    <w:p w:rsidR="00BE1AFA" w:rsidRDefault="00BE1AFA"/>
  </w:footnote>
  <w:footnote w:type="continuationSeparator" w:id="0">
    <w:p w:rsidR="00BE1AFA" w:rsidRDefault="00BE1AFA">
      <w:r>
        <w:continuationSeparator/>
      </w:r>
    </w:p>
    <w:p w:rsidR="00BE1AFA" w:rsidRDefault="00BE1AFA"/>
    <w:p w:rsidR="00BE1AFA" w:rsidRDefault="00BE1A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FA" w:rsidRDefault="00BE1AFA">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FA" w:rsidRDefault="00BE1AFA">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FA" w:rsidRDefault="00BE1AF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FA" w:rsidRDefault="00BE1AFA">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FA" w:rsidRDefault="00BE1AFA"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2D27BF7"/>
    <w:multiLevelType w:val="multilevel"/>
    <w:tmpl w:val="0F0EC90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5D41B8E"/>
    <w:multiLevelType w:val="multilevel"/>
    <w:tmpl w:val="A1C8FFD0"/>
    <w:numStyleLink w:val="FCOrders"/>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4174D8B"/>
    <w:multiLevelType w:val="multilevel"/>
    <w:tmpl w:val="A1C8FFD0"/>
    <w:numStyleLink w:val="FCOrders"/>
  </w:abstractNum>
  <w:abstractNum w:abstractNumId="24" w15:restartNumberingAfterBreak="0">
    <w:nsid w:val="62634030"/>
    <w:multiLevelType w:val="multilevel"/>
    <w:tmpl w:val="AC54AC4C"/>
    <w:lvl w:ilvl="0">
      <w:start w:val="1"/>
      <w:numFmt w:val="decimal"/>
      <w:lvlText w:val="%1."/>
      <w:lvlJc w:val="left"/>
      <w:pPr>
        <w:tabs>
          <w:tab w:val="num" w:pos="720"/>
        </w:tabs>
        <w:ind w:left="720" w:hanging="720"/>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DF521E4"/>
    <w:multiLevelType w:val="hybridMultilevel"/>
    <w:tmpl w:val="96AA5B7E"/>
    <w:lvl w:ilvl="0" w:tplc="86749530">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22"/>
  </w:num>
  <w:num w:numId="16">
    <w:abstractNumId w:val="28"/>
  </w:num>
  <w:num w:numId="17">
    <w:abstractNumId w:val="13"/>
  </w:num>
  <w:num w:numId="18">
    <w:abstractNumId w:val="27"/>
  </w:num>
  <w:num w:numId="19">
    <w:abstractNumId w:val="11"/>
  </w:num>
  <w:num w:numId="20">
    <w:abstractNumId w:val="18"/>
  </w:num>
  <w:num w:numId="21">
    <w:abstractNumId w:val="20"/>
    <w:lvlOverride w:ilvl="0">
      <w:lvl w:ilvl="0">
        <w:start w:val="1"/>
        <w:numFmt w:val="decimal"/>
        <w:lvlRestart w:val="0"/>
        <w:pStyle w:val="ListNo1"/>
        <w:lvlText w:val="(%1)"/>
        <w:lvlJc w:val="left"/>
        <w:pPr>
          <w:tabs>
            <w:tab w:val="num" w:pos="720"/>
          </w:tabs>
          <w:ind w:left="720" w:hanging="720"/>
        </w:pPr>
        <w:rPr>
          <w:rFonts w:ascii="Times New Roman" w:hAnsi="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num>
  <w:num w:numId="22">
    <w:abstractNumId w:val="16"/>
  </w:num>
  <w:num w:numId="23">
    <w:abstractNumId w:val="16"/>
  </w:num>
  <w:num w:numId="24">
    <w:abstractNumId w:val="17"/>
  </w:num>
  <w:num w:numId="25">
    <w:abstractNumId w:val="16"/>
  </w:num>
  <w:num w:numId="26">
    <w:abstractNumId w:val="16"/>
  </w:num>
  <w:num w:numId="27">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num>
  <w:num w:numId="29">
    <w:abstractNumId w:val="14"/>
  </w:num>
  <w:num w:numId="30">
    <w:abstractNumId w:val="24"/>
  </w:num>
  <w:num w:numId="31">
    <w:abstractNumId w:val="19"/>
  </w:num>
  <w:num w:numId="32">
    <w:abstractNumId w:val="1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num>
  <w:num w:numId="37">
    <w:abstractNumId w:val="20"/>
  </w:num>
  <w:num w:numId="38">
    <w:abstractNumId w:val="13"/>
  </w:num>
  <w:num w:numId="39">
    <w:abstractNumId w:val="20"/>
  </w:num>
  <w:num w:numId="40">
    <w:abstractNumId w:val="20"/>
  </w:num>
  <w:num w:numId="41">
    <w:abstractNumId w:val="2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26"/>
  </w:num>
  <w:num w:numId="5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DOF16"/>
    <w:docVar w:name="CounselParties" w:val="Applica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NSD 2111 of 2019"/>
    <w:docVar w:name="grpRadioJudges" w:val="Justice"/>
    <w:docVar w:name="Initiators" w:val="(and another named in the Schedule)"/>
    <w:docVar w:name="Judgdate" w:val="##"/>
    <w:docVar w:name="Judge" w:val="Lee J"/>
    <w:docVar w:name="lstEntryList" w:val="-1"/>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N/A FCC, FCoA"/>
    <w:docVar w:name="RadioJudge" w:val="False"/>
    <w:docVar w:name="RadioJustice" w:val="True"/>
    <w:docVar w:name="RadioJustices" w:val="False"/>
    <w:docVar w:name="RESAndAnother" w:val="True"/>
    <w:docVar w:name="RESAndOthers" w:val="False"/>
    <w:docVar w:name="Respondent" w:val="Minister for Immigration, Citizenship, Migrant Services and Multicultural Affairs|Immigration Assessment Authority"/>
    <w:docVar w:name="ResState" w:val="New South Wales"/>
    <w:docVar w:name="SubArea" w:val="[none]"/>
  </w:docVars>
  <w:rsids>
    <w:rsidRoot w:val="00D00E4C"/>
    <w:rsid w:val="00000747"/>
    <w:rsid w:val="00004183"/>
    <w:rsid w:val="000115C5"/>
    <w:rsid w:val="00014665"/>
    <w:rsid w:val="0001469E"/>
    <w:rsid w:val="00015993"/>
    <w:rsid w:val="00021CCB"/>
    <w:rsid w:val="00022289"/>
    <w:rsid w:val="00023DD9"/>
    <w:rsid w:val="00025EDB"/>
    <w:rsid w:val="00027398"/>
    <w:rsid w:val="0003201A"/>
    <w:rsid w:val="0003207A"/>
    <w:rsid w:val="00032D27"/>
    <w:rsid w:val="00032F9F"/>
    <w:rsid w:val="00034636"/>
    <w:rsid w:val="00034885"/>
    <w:rsid w:val="00036DD0"/>
    <w:rsid w:val="00041C07"/>
    <w:rsid w:val="00045BB7"/>
    <w:rsid w:val="00055719"/>
    <w:rsid w:val="0005641B"/>
    <w:rsid w:val="0005703C"/>
    <w:rsid w:val="0006196A"/>
    <w:rsid w:val="00073F20"/>
    <w:rsid w:val="00081497"/>
    <w:rsid w:val="000833A2"/>
    <w:rsid w:val="00083AC9"/>
    <w:rsid w:val="00085255"/>
    <w:rsid w:val="00085FD1"/>
    <w:rsid w:val="00092FF7"/>
    <w:rsid w:val="000976D2"/>
    <w:rsid w:val="000A14DF"/>
    <w:rsid w:val="000A2E76"/>
    <w:rsid w:val="000A4807"/>
    <w:rsid w:val="000A4BE4"/>
    <w:rsid w:val="000B4819"/>
    <w:rsid w:val="000C023E"/>
    <w:rsid w:val="000C5195"/>
    <w:rsid w:val="000C62EF"/>
    <w:rsid w:val="000D2137"/>
    <w:rsid w:val="000D2AF8"/>
    <w:rsid w:val="000D2AFB"/>
    <w:rsid w:val="000D3C4E"/>
    <w:rsid w:val="000D3FD2"/>
    <w:rsid w:val="000D4B2E"/>
    <w:rsid w:val="000E3FC8"/>
    <w:rsid w:val="000E7BAE"/>
    <w:rsid w:val="000F133D"/>
    <w:rsid w:val="000F3EBE"/>
    <w:rsid w:val="00100D91"/>
    <w:rsid w:val="0010536B"/>
    <w:rsid w:val="00105A34"/>
    <w:rsid w:val="0011145C"/>
    <w:rsid w:val="001128BD"/>
    <w:rsid w:val="0011419D"/>
    <w:rsid w:val="00114B02"/>
    <w:rsid w:val="00120BC7"/>
    <w:rsid w:val="001226C0"/>
    <w:rsid w:val="00126EC8"/>
    <w:rsid w:val="0012731C"/>
    <w:rsid w:val="00132054"/>
    <w:rsid w:val="001320E7"/>
    <w:rsid w:val="00134964"/>
    <w:rsid w:val="001351B9"/>
    <w:rsid w:val="0013777E"/>
    <w:rsid w:val="001466F0"/>
    <w:rsid w:val="00147BF8"/>
    <w:rsid w:val="0015208C"/>
    <w:rsid w:val="00152682"/>
    <w:rsid w:val="00155CD2"/>
    <w:rsid w:val="001571A8"/>
    <w:rsid w:val="001727A4"/>
    <w:rsid w:val="0017376C"/>
    <w:rsid w:val="001738AB"/>
    <w:rsid w:val="00173A5C"/>
    <w:rsid w:val="00175545"/>
    <w:rsid w:val="00175C20"/>
    <w:rsid w:val="001765E0"/>
    <w:rsid w:val="00177759"/>
    <w:rsid w:val="00180BB3"/>
    <w:rsid w:val="00183269"/>
    <w:rsid w:val="00185E6B"/>
    <w:rsid w:val="00187BBC"/>
    <w:rsid w:val="00192309"/>
    <w:rsid w:val="001932F3"/>
    <w:rsid w:val="001A2B40"/>
    <w:rsid w:val="001A4014"/>
    <w:rsid w:val="001A4309"/>
    <w:rsid w:val="001A46AE"/>
    <w:rsid w:val="001A6C52"/>
    <w:rsid w:val="001B1053"/>
    <w:rsid w:val="001B1214"/>
    <w:rsid w:val="001B14AC"/>
    <w:rsid w:val="001B7940"/>
    <w:rsid w:val="001C171A"/>
    <w:rsid w:val="001C37CA"/>
    <w:rsid w:val="001C4085"/>
    <w:rsid w:val="001D2D16"/>
    <w:rsid w:val="001D353F"/>
    <w:rsid w:val="001D4303"/>
    <w:rsid w:val="001D6746"/>
    <w:rsid w:val="001D69CC"/>
    <w:rsid w:val="001E15C0"/>
    <w:rsid w:val="001E24E2"/>
    <w:rsid w:val="001E3B49"/>
    <w:rsid w:val="001E4A05"/>
    <w:rsid w:val="001E7388"/>
    <w:rsid w:val="001F10C6"/>
    <w:rsid w:val="001F13DD"/>
    <w:rsid w:val="001F2473"/>
    <w:rsid w:val="001F2AC1"/>
    <w:rsid w:val="001F2DBC"/>
    <w:rsid w:val="001F36B8"/>
    <w:rsid w:val="001F73E8"/>
    <w:rsid w:val="00200864"/>
    <w:rsid w:val="0020262C"/>
    <w:rsid w:val="002028C2"/>
    <w:rsid w:val="002060C9"/>
    <w:rsid w:val="00211A3E"/>
    <w:rsid w:val="00211E78"/>
    <w:rsid w:val="00215A71"/>
    <w:rsid w:val="00215BCA"/>
    <w:rsid w:val="00217543"/>
    <w:rsid w:val="00217AC4"/>
    <w:rsid w:val="00217D1C"/>
    <w:rsid w:val="00221461"/>
    <w:rsid w:val="00224537"/>
    <w:rsid w:val="00226B6C"/>
    <w:rsid w:val="00230EF1"/>
    <w:rsid w:val="0023171A"/>
    <w:rsid w:val="00235956"/>
    <w:rsid w:val="00243E5E"/>
    <w:rsid w:val="00247C9A"/>
    <w:rsid w:val="0025160C"/>
    <w:rsid w:val="0025161D"/>
    <w:rsid w:val="002535D0"/>
    <w:rsid w:val="002539B3"/>
    <w:rsid w:val="00256336"/>
    <w:rsid w:val="00257C3E"/>
    <w:rsid w:val="002602C2"/>
    <w:rsid w:val="00260BA6"/>
    <w:rsid w:val="002635E5"/>
    <w:rsid w:val="002666C9"/>
    <w:rsid w:val="00270136"/>
    <w:rsid w:val="00270FD7"/>
    <w:rsid w:val="0027311D"/>
    <w:rsid w:val="0027440E"/>
    <w:rsid w:val="00274F5B"/>
    <w:rsid w:val="002777A6"/>
    <w:rsid w:val="00280836"/>
    <w:rsid w:val="00282E1A"/>
    <w:rsid w:val="002840F1"/>
    <w:rsid w:val="002855F9"/>
    <w:rsid w:val="00287991"/>
    <w:rsid w:val="0029113B"/>
    <w:rsid w:val="0029278D"/>
    <w:rsid w:val="002934C0"/>
    <w:rsid w:val="0029764C"/>
    <w:rsid w:val="002A1B50"/>
    <w:rsid w:val="002A2423"/>
    <w:rsid w:val="002A5487"/>
    <w:rsid w:val="002B0A88"/>
    <w:rsid w:val="002B0E91"/>
    <w:rsid w:val="002B132C"/>
    <w:rsid w:val="002B3F23"/>
    <w:rsid w:val="002B4EB5"/>
    <w:rsid w:val="002B64F1"/>
    <w:rsid w:val="002B6779"/>
    <w:rsid w:val="002B71C0"/>
    <w:rsid w:val="002B7A34"/>
    <w:rsid w:val="002C31AD"/>
    <w:rsid w:val="002C3A72"/>
    <w:rsid w:val="002C7385"/>
    <w:rsid w:val="002D2D50"/>
    <w:rsid w:val="002D2DBB"/>
    <w:rsid w:val="002D37D8"/>
    <w:rsid w:val="002D54A6"/>
    <w:rsid w:val="002E04F2"/>
    <w:rsid w:val="002E511D"/>
    <w:rsid w:val="002E5BF9"/>
    <w:rsid w:val="002E6A7A"/>
    <w:rsid w:val="002F1E49"/>
    <w:rsid w:val="002F4E9C"/>
    <w:rsid w:val="00302F4E"/>
    <w:rsid w:val="00304A74"/>
    <w:rsid w:val="0031256C"/>
    <w:rsid w:val="00314D6C"/>
    <w:rsid w:val="00315473"/>
    <w:rsid w:val="00316D2A"/>
    <w:rsid w:val="00322A7C"/>
    <w:rsid w:val="00322EEC"/>
    <w:rsid w:val="00323061"/>
    <w:rsid w:val="0033189E"/>
    <w:rsid w:val="00336A5C"/>
    <w:rsid w:val="003402D3"/>
    <w:rsid w:val="00341821"/>
    <w:rsid w:val="00343ABC"/>
    <w:rsid w:val="003463FE"/>
    <w:rsid w:val="00347D41"/>
    <w:rsid w:val="00353404"/>
    <w:rsid w:val="003554B3"/>
    <w:rsid w:val="00356632"/>
    <w:rsid w:val="00357C7E"/>
    <w:rsid w:val="003639F5"/>
    <w:rsid w:val="003653B6"/>
    <w:rsid w:val="00366C22"/>
    <w:rsid w:val="00374CC4"/>
    <w:rsid w:val="003774B2"/>
    <w:rsid w:val="00377C0F"/>
    <w:rsid w:val="00380F2D"/>
    <w:rsid w:val="003845A9"/>
    <w:rsid w:val="00384C87"/>
    <w:rsid w:val="003850C9"/>
    <w:rsid w:val="003875DA"/>
    <w:rsid w:val="003878B3"/>
    <w:rsid w:val="00390883"/>
    <w:rsid w:val="003922F8"/>
    <w:rsid w:val="00393B90"/>
    <w:rsid w:val="00395B24"/>
    <w:rsid w:val="003A19E3"/>
    <w:rsid w:val="003A1A9E"/>
    <w:rsid w:val="003A2D38"/>
    <w:rsid w:val="003A385D"/>
    <w:rsid w:val="003A7ECC"/>
    <w:rsid w:val="003B2C72"/>
    <w:rsid w:val="003B58B4"/>
    <w:rsid w:val="003B60FD"/>
    <w:rsid w:val="003C0735"/>
    <w:rsid w:val="003C1333"/>
    <w:rsid w:val="003C20FF"/>
    <w:rsid w:val="003C2AD5"/>
    <w:rsid w:val="003C4870"/>
    <w:rsid w:val="003C550A"/>
    <w:rsid w:val="003C6055"/>
    <w:rsid w:val="003D2650"/>
    <w:rsid w:val="003D560C"/>
    <w:rsid w:val="003D5C00"/>
    <w:rsid w:val="003E3154"/>
    <w:rsid w:val="003E4778"/>
    <w:rsid w:val="003E5874"/>
    <w:rsid w:val="003E72D3"/>
    <w:rsid w:val="003F193E"/>
    <w:rsid w:val="003F242C"/>
    <w:rsid w:val="003F2B60"/>
    <w:rsid w:val="003F34F1"/>
    <w:rsid w:val="00406328"/>
    <w:rsid w:val="004104B6"/>
    <w:rsid w:val="00411374"/>
    <w:rsid w:val="00411AE8"/>
    <w:rsid w:val="00413B74"/>
    <w:rsid w:val="004240DA"/>
    <w:rsid w:val="00431FEC"/>
    <w:rsid w:val="00432710"/>
    <w:rsid w:val="004342F3"/>
    <w:rsid w:val="00435C5F"/>
    <w:rsid w:val="00436155"/>
    <w:rsid w:val="00441E98"/>
    <w:rsid w:val="00445581"/>
    <w:rsid w:val="00450F3A"/>
    <w:rsid w:val="004532F7"/>
    <w:rsid w:val="00464D51"/>
    <w:rsid w:val="00472027"/>
    <w:rsid w:val="004804CF"/>
    <w:rsid w:val="00484962"/>
    <w:rsid w:val="00484F6D"/>
    <w:rsid w:val="00484FB7"/>
    <w:rsid w:val="0048554D"/>
    <w:rsid w:val="0049338A"/>
    <w:rsid w:val="0049417F"/>
    <w:rsid w:val="00495D6F"/>
    <w:rsid w:val="00496D41"/>
    <w:rsid w:val="004A033B"/>
    <w:rsid w:val="004A1B71"/>
    <w:rsid w:val="004A4C0F"/>
    <w:rsid w:val="004A6602"/>
    <w:rsid w:val="004A69C7"/>
    <w:rsid w:val="004B2A12"/>
    <w:rsid w:val="004B3EFA"/>
    <w:rsid w:val="004B428D"/>
    <w:rsid w:val="004B6350"/>
    <w:rsid w:val="004B72A4"/>
    <w:rsid w:val="004C2A87"/>
    <w:rsid w:val="004C4D7B"/>
    <w:rsid w:val="004C4ED3"/>
    <w:rsid w:val="004C667B"/>
    <w:rsid w:val="004C7ECD"/>
    <w:rsid w:val="004D0C90"/>
    <w:rsid w:val="004D2EA5"/>
    <w:rsid w:val="004D32A6"/>
    <w:rsid w:val="004D53E5"/>
    <w:rsid w:val="004E4338"/>
    <w:rsid w:val="004E6DC4"/>
    <w:rsid w:val="004F0435"/>
    <w:rsid w:val="004F21C1"/>
    <w:rsid w:val="00501A12"/>
    <w:rsid w:val="0050309C"/>
    <w:rsid w:val="005040ED"/>
    <w:rsid w:val="00507018"/>
    <w:rsid w:val="00510D40"/>
    <w:rsid w:val="0051327C"/>
    <w:rsid w:val="0051346D"/>
    <w:rsid w:val="00513EAE"/>
    <w:rsid w:val="00513F68"/>
    <w:rsid w:val="0051434F"/>
    <w:rsid w:val="00516806"/>
    <w:rsid w:val="0051691C"/>
    <w:rsid w:val="0052098C"/>
    <w:rsid w:val="00525A49"/>
    <w:rsid w:val="005262D1"/>
    <w:rsid w:val="00530876"/>
    <w:rsid w:val="00535613"/>
    <w:rsid w:val="005359EB"/>
    <w:rsid w:val="0054254A"/>
    <w:rsid w:val="0054500B"/>
    <w:rsid w:val="005466B5"/>
    <w:rsid w:val="00554314"/>
    <w:rsid w:val="00557D99"/>
    <w:rsid w:val="00561272"/>
    <w:rsid w:val="00562829"/>
    <w:rsid w:val="005629B3"/>
    <w:rsid w:val="00563117"/>
    <w:rsid w:val="005677A0"/>
    <w:rsid w:val="005718D2"/>
    <w:rsid w:val="005724F6"/>
    <w:rsid w:val="00573AC4"/>
    <w:rsid w:val="005801FC"/>
    <w:rsid w:val="00585BA9"/>
    <w:rsid w:val="00587359"/>
    <w:rsid w:val="00587BD9"/>
    <w:rsid w:val="00595016"/>
    <w:rsid w:val="00597644"/>
    <w:rsid w:val="00597AAE"/>
    <w:rsid w:val="005A222C"/>
    <w:rsid w:val="005A4DF8"/>
    <w:rsid w:val="005A78C8"/>
    <w:rsid w:val="005B1426"/>
    <w:rsid w:val="005B77AA"/>
    <w:rsid w:val="005C0A8E"/>
    <w:rsid w:val="005C1767"/>
    <w:rsid w:val="005C185C"/>
    <w:rsid w:val="005C42EF"/>
    <w:rsid w:val="005E02F5"/>
    <w:rsid w:val="005E0510"/>
    <w:rsid w:val="005E176E"/>
    <w:rsid w:val="005E218E"/>
    <w:rsid w:val="005E35A0"/>
    <w:rsid w:val="005E6C02"/>
    <w:rsid w:val="005F0D1B"/>
    <w:rsid w:val="005F1865"/>
    <w:rsid w:val="006007BD"/>
    <w:rsid w:val="00601215"/>
    <w:rsid w:val="006013C8"/>
    <w:rsid w:val="0060270D"/>
    <w:rsid w:val="00603D58"/>
    <w:rsid w:val="00604611"/>
    <w:rsid w:val="00611586"/>
    <w:rsid w:val="00612D26"/>
    <w:rsid w:val="00615855"/>
    <w:rsid w:val="00620DA8"/>
    <w:rsid w:val="00621887"/>
    <w:rsid w:val="00624520"/>
    <w:rsid w:val="0062476A"/>
    <w:rsid w:val="00624C6E"/>
    <w:rsid w:val="006271F5"/>
    <w:rsid w:val="00630D0D"/>
    <w:rsid w:val="00632300"/>
    <w:rsid w:val="00632BB7"/>
    <w:rsid w:val="00635B36"/>
    <w:rsid w:val="00636871"/>
    <w:rsid w:val="00640EE1"/>
    <w:rsid w:val="00640F4E"/>
    <w:rsid w:val="00643DE0"/>
    <w:rsid w:val="0064437D"/>
    <w:rsid w:val="00644E85"/>
    <w:rsid w:val="00650509"/>
    <w:rsid w:val="00652C52"/>
    <w:rsid w:val="0066063F"/>
    <w:rsid w:val="00662BB0"/>
    <w:rsid w:val="00663878"/>
    <w:rsid w:val="00667773"/>
    <w:rsid w:val="00670743"/>
    <w:rsid w:val="006717BD"/>
    <w:rsid w:val="00672063"/>
    <w:rsid w:val="0067476E"/>
    <w:rsid w:val="00680A85"/>
    <w:rsid w:val="00680C3F"/>
    <w:rsid w:val="00681ADF"/>
    <w:rsid w:val="00690EE2"/>
    <w:rsid w:val="00693854"/>
    <w:rsid w:val="00694BEB"/>
    <w:rsid w:val="00696D68"/>
    <w:rsid w:val="006A0E20"/>
    <w:rsid w:val="006A24E3"/>
    <w:rsid w:val="006A26FD"/>
    <w:rsid w:val="006A5695"/>
    <w:rsid w:val="006A72CE"/>
    <w:rsid w:val="006B0439"/>
    <w:rsid w:val="006B384C"/>
    <w:rsid w:val="006B3904"/>
    <w:rsid w:val="006B464C"/>
    <w:rsid w:val="006B4D9C"/>
    <w:rsid w:val="006B52EC"/>
    <w:rsid w:val="006B5B7D"/>
    <w:rsid w:val="006C5B46"/>
    <w:rsid w:val="006C6DE4"/>
    <w:rsid w:val="006C6E39"/>
    <w:rsid w:val="006D00D2"/>
    <w:rsid w:val="006D0ECF"/>
    <w:rsid w:val="006D24CA"/>
    <w:rsid w:val="006D3D5B"/>
    <w:rsid w:val="006D4C92"/>
    <w:rsid w:val="006D4EB6"/>
    <w:rsid w:val="006D5BF5"/>
    <w:rsid w:val="006D6B22"/>
    <w:rsid w:val="006E2BFF"/>
    <w:rsid w:val="006E35BF"/>
    <w:rsid w:val="006E3BAD"/>
    <w:rsid w:val="006E4630"/>
    <w:rsid w:val="006E7850"/>
    <w:rsid w:val="006F46D6"/>
    <w:rsid w:val="006F6581"/>
    <w:rsid w:val="007028D9"/>
    <w:rsid w:val="007039A9"/>
    <w:rsid w:val="007063BE"/>
    <w:rsid w:val="00707218"/>
    <w:rsid w:val="00710D04"/>
    <w:rsid w:val="00712B1D"/>
    <w:rsid w:val="00713A82"/>
    <w:rsid w:val="00715751"/>
    <w:rsid w:val="007171BA"/>
    <w:rsid w:val="00717616"/>
    <w:rsid w:val="0072155E"/>
    <w:rsid w:val="0072718E"/>
    <w:rsid w:val="00727DEF"/>
    <w:rsid w:val="00727E3D"/>
    <w:rsid w:val="00730A3E"/>
    <w:rsid w:val="007325D9"/>
    <w:rsid w:val="0073583B"/>
    <w:rsid w:val="007360CA"/>
    <w:rsid w:val="0073784B"/>
    <w:rsid w:val="00744F21"/>
    <w:rsid w:val="00745FCE"/>
    <w:rsid w:val="0074667B"/>
    <w:rsid w:val="007470BD"/>
    <w:rsid w:val="007518D8"/>
    <w:rsid w:val="0075683D"/>
    <w:rsid w:val="00760EC0"/>
    <w:rsid w:val="007711BD"/>
    <w:rsid w:val="0078003A"/>
    <w:rsid w:val="00780771"/>
    <w:rsid w:val="007929CB"/>
    <w:rsid w:val="007929CF"/>
    <w:rsid w:val="007A0B1C"/>
    <w:rsid w:val="007A49E7"/>
    <w:rsid w:val="007A6F28"/>
    <w:rsid w:val="007B03C6"/>
    <w:rsid w:val="007B0DB1"/>
    <w:rsid w:val="007B334A"/>
    <w:rsid w:val="007B5673"/>
    <w:rsid w:val="007B7238"/>
    <w:rsid w:val="007B76FF"/>
    <w:rsid w:val="007B7C20"/>
    <w:rsid w:val="007C3BF6"/>
    <w:rsid w:val="007C67B3"/>
    <w:rsid w:val="007D0FD2"/>
    <w:rsid w:val="007D2EF8"/>
    <w:rsid w:val="007D47A4"/>
    <w:rsid w:val="007D561F"/>
    <w:rsid w:val="007D7FD2"/>
    <w:rsid w:val="007E13D9"/>
    <w:rsid w:val="007E2AEC"/>
    <w:rsid w:val="007E41BE"/>
    <w:rsid w:val="007E4DB6"/>
    <w:rsid w:val="007E6733"/>
    <w:rsid w:val="007E7162"/>
    <w:rsid w:val="007E7CD4"/>
    <w:rsid w:val="007F12AC"/>
    <w:rsid w:val="007F286B"/>
    <w:rsid w:val="007F4501"/>
    <w:rsid w:val="007F4CEE"/>
    <w:rsid w:val="007F60DF"/>
    <w:rsid w:val="00801800"/>
    <w:rsid w:val="00801861"/>
    <w:rsid w:val="00801B5B"/>
    <w:rsid w:val="008067D2"/>
    <w:rsid w:val="0080697E"/>
    <w:rsid w:val="008216E7"/>
    <w:rsid w:val="00824C07"/>
    <w:rsid w:val="008251DD"/>
    <w:rsid w:val="00825BE6"/>
    <w:rsid w:val="008276B4"/>
    <w:rsid w:val="00831927"/>
    <w:rsid w:val="008349A7"/>
    <w:rsid w:val="00834C33"/>
    <w:rsid w:val="00837288"/>
    <w:rsid w:val="00841BD3"/>
    <w:rsid w:val="0084273D"/>
    <w:rsid w:val="00844E3F"/>
    <w:rsid w:val="008459ED"/>
    <w:rsid w:val="00845A83"/>
    <w:rsid w:val="00846BB9"/>
    <w:rsid w:val="008514C9"/>
    <w:rsid w:val="00851AF4"/>
    <w:rsid w:val="00855BDF"/>
    <w:rsid w:val="008649D5"/>
    <w:rsid w:val="008712BB"/>
    <w:rsid w:val="00882602"/>
    <w:rsid w:val="008830E7"/>
    <w:rsid w:val="00890B1D"/>
    <w:rsid w:val="00890EDE"/>
    <w:rsid w:val="00892B38"/>
    <w:rsid w:val="008A1741"/>
    <w:rsid w:val="008A2484"/>
    <w:rsid w:val="008A52F3"/>
    <w:rsid w:val="008A672A"/>
    <w:rsid w:val="008C0D18"/>
    <w:rsid w:val="008C26D9"/>
    <w:rsid w:val="008C37F1"/>
    <w:rsid w:val="008C6ADE"/>
    <w:rsid w:val="008C6D50"/>
    <w:rsid w:val="008C7167"/>
    <w:rsid w:val="008C7503"/>
    <w:rsid w:val="008D1617"/>
    <w:rsid w:val="008D330F"/>
    <w:rsid w:val="008D48C1"/>
    <w:rsid w:val="008E0A2E"/>
    <w:rsid w:val="008E6315"/>
    <w:rsid w:val="008F07FC"/>
    <w:rsid w:val="008F11E0"/>
    <w:rsid w:val="008F3EA7"/>
    <w:rsid w:val="008F78BC"/>
    <w:rsid w:val="008F7B63"/>
    <w:rsid w:val="008F7D6A"/>
    <w:rsid w:val="00901C86"/>
    <w:rsid w:val="00903603"/>
    <w:rsid w:val="009054CB"/>
    <w:rsid w:val="00905CE9"/>
    <w:rsid w:val="00911F8D"/>
    <w:rsid w:val="00912F94"/>
    <w:rsid w:val="009171BC"/>
    <w:rsid w:val="0092497E"/>
    <w:rsid w:val="0092590B"/>
    <w:rsid w:val="00925BF3"/>
    <w:rsid w:val="00925E60"/>
    <w:rsid w:val="009264B3"/>
    <w:rsid w:val="00927251"/>
    <w:rsid w:val="009365E0"/>
    <w:rsid w:val="0093791E"/>
    <w:rsid w:val="00942BA2"/>
    <w:rsid w:val="009432B7"/>
    <w:rsid w:val="009445D6"/>
    <w:rsid w:val="00944C86"/>
    <w:rsid w:val="00946396"/>
    <w:rsid w:val="00947C02"/>
    <w:rsid w:val="00947CAD"/>
    <w:rsid w:val="00950BE6"/>
    <w:rsid w:val="00952159"/>
    <w:rsid w:val="00957DE8"/>
    <w:rsid w:val="00960ECB"/>
    <w:rsid w:val="009615D6"/>
    <w:rsid w:val="0096783F"/>
    <w:rsid w:val="00967855"/>
    <w:rsid w:val="00974709"/>
    <w:rsid w:val="009761E4"/>
    <w:rsid w:val="00980736"/>
    <w:rsid w:val="00981247"/>
    <w:rsid w:val="00981A39"/>
    <w:rsid w:val="00982D56"/>
    <w:rsid w:val="00983DBF"/>
    <w:rsid w:val="00987097"/>
    <w:rsid w:val="00991123"/>
    <w:rsid w:val="00991CAB"/>
    <w:rsid w:val="00992C47"/>
    <w:rsid w:val="00993EE7"/>
    <w:rsid w:val="009A26CB"/>
    <w:rsid w:val="009A3A9C"/>
    <w:rsid w:val="009A452F"/>
    <w:rsid w:val="009A787F"/>
    <w:rsid w:val="009B03EB"/>
    <w:rsid w:val="009B046C"/>
    <w:rsid w:val="009B13FA"/>
    <w:rsid w:val="009B1E2D"/>
    <w:rsid w:val="009B4F52"/>
    <w:rsid w:val="009B6465"/>
    <w:rsid w:val="009C03A7"/>
    <w:rsid w:val="009C0AC8"/>
    <w:rsid w:val="009C1A9B"/>
    <w:rsid w:val="009C3FC5"/>
    <w:rsid w:val="009C59FB"/>
    <w:rsid w:val="009C6F3B"/>
    <w:rsid w:val="009C7D76"/>
    <w:rsid w:val="009D1467"/>
    <w:rsid w:val="009D2002"/>
    <w:rsid w:val="009E4FA6"/>
    <w:rsid w:val="009E7D93"/>
    <w:rsid w:val="009F3C34"/>
    <w:rsid w:val="009F462C"/>
    <w:rsid w:val="009F5C33"/>
    <w:rsid w:val="009F6177"/>
    <w:rsid w:val="00A026F0"/>
    <w:rsid w:val="00A03EAC"/>
    <w:rsid w:val="00A04DBB"/>
    <w:rsid w:val="00A07EA0"/>
    <w:rsid w:val="00A11CA6"/>
    <w:rsid w:val="00A20C49"/>
    <w:rsid w:val="00A22932"/>
    <w:rsid w:val="00A24AFC"/>
    <w:rsid w:val="00A269CA"/>
    <w:rsid w:val="00A336EE"/>
    <w:rsid w:val="00A33F46"/>
    <w:rsid w:val="00A3427E"/>
    <w:rsid w:val="00A359AC"/>
    <w:rsid w:val="00A40F83"/>
    <w:rsid w:val="00A410FB"/>
    <w:rsid w:val="00A41413"/>
    <w:rsid w:val="00A431E6"/>
    <w:rsid w:val="00A436E8"/>
    <w:rsid w:val="00A45FB1"/>
    <w:rsid w:val="00A46CCC"/>
    <w:rsid w:val="00A476A9"/>
    <w:rsid w:val="00A47996"/>
    <w:rsid w:val="00A51CFE"/>
    <w:rsid w:val="00A5204D"/>
    <w:rsid w:val="00A54DB7"/>
    <w:rsid w:val="00A61605"/>
    <w:rsid w:val="00A65F97"/>
    <w:rsid w:val="00A668D2"/>
    <w:rsid w:val="00A734C3"/>
    <w:rsid w:val="00A75F32"/>
    <w:rsid w:val="00A76C13"/>
    <w:rsid w:val="00A77049"/>
    <w:rsid w:val="00A84FD0"/>
    <w:rsid w:val="00A91E47"/>
    <w:rsid w:val="00A92281"/>
    <w:rsid w:val="00A92E79"/>
    <w:rsid w:val="00A950B6"/>
    <w:rsid w:val="00A95D45"/>
    <w:rsid w:val="00AA1DCF"/>
    <w:rsid w:val="00AB41C1"/>
    <w:rsid w:val="00AB4CF2"/>
    <w:rsid w:val="00AB6CCA"/>
    <w:rsid w:val="00AC223F"/>
    <w:rsid w:val="00AC2CB0"/>
    <w:rsid w:val="00AC33B1"/>
    <w:rsid w:val="00AD12A8"/>
    <w:rsid w:val="00AD3627"/>
    <w:rsid w:val="00AE012B"/>
    <w:rsid w:val="00AE023F"/>
    <w:rsid w:val="00AE3E8D"/>
    <w:rsid w:val="00AE536A"/>
    <w:rsid w:val="00AF3577"/>
    <w:rsid w:val="00AF35F9"/>
    <w:rsid w:val="00AF7C08"/>
    <w:rsid w:val="00B03C4C"/>
    <w:rsid w:val="00B0424C"/>
    <w:rsid w:val="00B05960"/>
    <w:rsid w:val="00B05C7D"/>
    <w:rsid w:val="00B07416"/>
    <w:rsid w:val="00B11BA5"/>
    <w:rsid w:val="00B15D57"/>
    <w:rsid w:val="00B16347"/>
    <w:rsid w:val="00B164A9"/>
    <w:rsid w:val="00B17D6E"/>
    <w:rsid w:val="00B2435E"/>
    <w:rsid w:val="00B346C3"/>
    <w:rsid w:val="00B352CF"/>
    <w:rsid w:val="00B4005C"/>
    <w:rsid w:val="00B4227E"/>
    <w:rsid w:val="00B4471C"/>
    <w:rsid w:val="00B451A6"/>
    <w:rsid w:val="00B46441"/>
    <w:rsid w:val="00B47A43"/>
    <w:rsid w:val="00B50C3F"/>
    <w:rsid w:val="00B51757"/>
    <w:rsid w:val="00B52B20"/>
    <w:rsid w:val="00B5422E"/>
    <w:rsid w:val="00B56D6E"/>
    <w:rsid w:val="00B64347"/>
    <w:rsid w:val="00B64CB4"/>
    <w:rsid w:val="00B65DC6"/>
    <w:rsid w:val="00B67AC2"/>
    <w:rsid w:val="00B722DE"/>
    <w:rsid w:val="00B751E3"/>
    <w:rsid w:val="00B75671"/>
    <w:rsid w:val="00B75BA6"/>
    <w:rsid w:val="00B76C44"/>
    <w:rsid w:val="00B8184A"/>
    <w:rsid w:val="00B82283"/>
    <w:rsid w:val="00B828D8"/>
    <w:rsid w:val="00B83F87"/>
    <w:rsid w:val="00B842C8"/>
    <w:rsid w:val="00B87CDC"/>
    <w:rsid w:val="00B90175"/>
    <w:rsid w:val="00B910C1"/>
    <w:rsid w:val="00B92CB6"/>
    <w:rsid w:val="00BA2CA4"/>
    <w:rsid w:val="00BA2E03"/>
    <w:rsid w:val="00BA2EFA"/>
    <w:rsid w:val="00BA3CA2"/>
    <w:rsid w:val="00BA3D17"/>
    <w:rsid w:val="00BA3DBC"/>
    <w:rsid w:val="00BA707A"/>
    <w:rsid w:val="00BB1AFB"/>
    <w:rsid w:val="00BB27AE"/>
    <w:rsid w:val="00BB2DA2"/>
    <w:rsid w:val="00BB4AF2"/>
    <w:rsid w:val="00BB56DC"/>
    <w:rsid w:val="00BB6426"/>
    <w:rsid w:val="00BB6969"/>
    <w:rsid w:val="00BB7AFB"/>
    <w:rsid w:val="00BD11AA"/>
    <w:rsid w:val="00BD15E9"/>
    <w:rsid w:val="00BE183D"/>
    <w:rsid w:val="00BE1AFA"/>
    <w:rsid w:val="00BE75FF"/>
    <w:rsid w:val="00BF5D7A"/>
    <w:rsid w:val="00C01C2E"/>
    <w:rsid w:val="00C02D33"/>
    <w:rsid w:val="00C04B53"/>
    <w:rsid w:val="00C0560B"/>
    <w:rsid w:val="00C1232C"/>
    <w:rsid w:val="00C12ADC"/>
    <w:rsid w:val="00C1774F"/>
    <w:rsid w:val="00C23DEA"/>
    <w:rsid w:val="00C272F8"/>
    <w:rsid w:val="00C27C6B"/>
    <w:rsid w:val="00C3594D"/>
    <w:rsid w:val="00C36442"/>
    <w:rsid w:val="00C400CE"/>
    <w:rsid w:val="00C40FF0"/>
    <w:rsid w:val="00C410FD"/>
    <w:rsid w:val="00C4484C"/>
    <w:rsid w:val="00C457DE"/>
    <w:rsid w:val="00C47DD3"/>
    <w:rsid w:val="00C50C93"/>
    <w:rsid w:val="00C53562"/>
    <w:rsid w:val="00C539FB"/>
    <w:rsid w:val="00C57F33"/>
    <w:rsid w:val="00C64CE4"/>
    <w:rsid w:val="00C66E57"/>
    <w:rsid w:val="00C74150"/>
    <w:rsid w:val="00C748B6"/>
    <w:rsid w:val="00C75594"/>
    <w:rsid w:val="00C84C62"/>
    <w:rsid w:val="00C85404"/>
    <w:rsid w:val="00C8597B"/>
    <w:rsid w:val="00C85982"/>
    <w:rsid w:val="00CA0466"/>
    <w:rsid w:val="00CA246D"/>
    <w:rsid w:val="00CA398B"/>
    <w:rsid w:val="00CA50D9"/>
    <w:rsid w:val="00CA5D55"/>
    <w:rsid w:val="00CA6312"/>
    <w:rsid w:val="00CA6F06"/>
    <w:rsid w:val="00CB3054"/>
    <w:rsid w:val="00CB5636"/>
    <w:rsid w:val="00CB5B11"/>
    <w:rsid w:val="00CB6089"/>
    <w:rsid w:val="00CC127C"/>
    <w:rsid w:val="00CC3EE5"/>
    <w:rsid w:val="00CC5A87"/>
    <w:rsid w:val="00CC7A3D"/>
    <w:rsid w:val="00CE0E83"/>
    <w:rsid w:val="00CE425C"/>
    <w:rsid w:val="00CE58AC"/>
    <w:rsid w:val="00CF1964"/>
    <w:rsid w:val="00CF5A80"/>
    <w:rsid w:val="00D00E4C"/>
    <w:rsid w:val="00D045EE"/>
    <w:rsid w:val="00D05091"/>
    <w:rsid w:val="00D07BD9"/>
    <w:rsid w:val="00D10CA6"/>
    <w:rsid w:val="00D10F21"/>
    <w:rsid w:val="00D134CF"/>
    <w:rsid w:val="00D14C69"/>
    <w:rsid w:val="00D1573B"/>
    <w:rsid w:val="00D24806"/>
    <w:rsid w:val="00D34040"/>
    <w:rsid w:val="00D34765"/>
    <w:rsid w:val="00D34E69"/>
    <w:rsid w:val="00D36C78"/>
    <w:rsid w:val="00D375EE"/>
    <w:rsid w:val="00D44747"/>
    <w:rsid w:val="00D55AE8"/>
    <w:rsid w:val="00D56056"/>
    <w:rsid w:val="00D6085F"/>
    <w:rsid w:val="00D62699"/>
    <w:rsid w:val="00D63B3C"/>
    <w:rsid w:val="00D76905"/>
    <w:rsid w:val="00D778E9"/>
    <w:rsid w:val="00D80548"/>
    <w:rsid w:val="00D812BF"/>
    <w:rsid w:val="00D82620"/>
    <w:rsid w:val="00D82878"/>
    <w:rsid w:val="00D85707"/>
    <w:rsid w:val="00D87280"/>
    <w:rsid w:val="00D877C5"/>
    <w:rsid w:val="00D923A3"/>
    <w:rsid w:val="00D92677"/>
    <w:rsid w:val="00D96344"/>
    <w:rsid w:val="00D9725F"/>
    <w:rsid w:val="00DA01B1"/>
    <w:rsid w:val="00DA11A2"/>
    <w:rsid w:val="00DA14ED"/>
    <w:rsid w:val="00DA26D6"/>
    <w:rsid w:val="00DA2C90"/>
    <w:rsid w:val="00DB079D"/>
    <w:rsid w:val="00DB0CA8"/>
    <w:rsid w:val="00DB2EF1"/>
    <w:rsid w:val="00DB3DE1"/>
    <w:rsid w:val="00DB5DA0"/>
    <w:rsid w:val="00DB716C"/>
    <w:rsid w:val="00DB75ED"/>
    <w:rsid w:val="00DC389D"/>
    <w:rsid w:val="00DC5C85"/>
    <w:rsid w:val="00DC7C5D"/>
    <w:rsid w:val="00DC7D4B"/>
    <w:rsid w:val="00DD4236"/>
    <w:rsid w:val="00DD44F1"/>
    <w:rsid w:val="00DD6957"/>
    <w:rsid w:val="00DD6E7A"/>
    <w:rsid w:val="00DE2D9C"/>
    <w:rsid w:val="00DE3067"/>
    <w:rsid w:val="00DE5674"/>
    <w:rsid w:val="00DF270C"/>
    <w:rsid w:val="00DF3EEE"/>
    <w:rsid w:val="00DF75E1"/>
    <w:rsid w:val="00E027BC"/>
    <w:rsid w:val="00E03986"/>
    <w:rsid w:val="00E10F0D"/>
    <w:rsid w:val="00E128B2"/>
    <w:rsid w:val="00E135DD"/>
    <w:rsid w:val="00E14EA5"/>
    <w:rsid w:val="00E2070E"/>
    <w:rsid w:val="00E207C7"/>
    <w:rsid w:val="00E21133"/>
    <w:rsid w:val="00E2327E"/>
    <w:rsid w:val="00E266EF"/>
    <w:rsid w:val="00E403FB"/>
    <w:rsid w:val="00E41971"/>
    <w:rsid w:val="00E4306C"/>
    <w:rsid w:val="00E43C26"/>
    <w:rsid w:val="00E47428"/>
    <w:rsid w:val="00E506F1"/>
    <w:rsid w:val="00E53556"/>
    <w:rsid w:val="00E537D5"/>
    <w:rsid w:val="00E539ED"/>
    <w:rsid w:val="00E56C8E"/>
    <w:rsid w:val="00E5716B"/>
    <w:rsid w:val="00E57F1F"/>
    <w:rsid w:val="00E66B9F"/>
    <w:rsid w:val="00E70A6A"/>
    <w:rsid w:val="00E710D6"/>
    <w:rsid w:val="00E715D7"/>
    <w:rsid w:val="00E715F5"/>
    <w:rsid w:val="00E73DA4"/>
    <w:rsid w:val="00E76E45"/>
    <w:rsid w:val="00E777C9"/>
    <w:rsid w:val="00E81667"/>
    <w:rsid w:val="00E81DA6"/>
    <w:rsid w:val="00E84212"/>
    <w:rsid w:val="00E866AF"/>
    <w:rsid w:val="00E871DF"/>
    <w:rsid w:val="00E9086C"/>
    <w:rsid w:val="00E90AAA"/>
    <w:rsid w:val="00E91A0F"/>
    <w:rsid w:val="00E94A71"/>
    <w:rsid w:val="00E94CBF"/>
    <w:rsid w:val="00E95339"/>
    <w:rsid w:val="00EA03CE"/>
    <w:rsid w:val="00EA12C5"/>
    <w:rsid w:val="00EA23E5"/>
    <w:rsid w:val="00EA45FE"/>
    <w:rsid w:val="00EA4E2E"/>
    <w:rsid w:val="00EB2417"/>
    <w:rsid w:val="00EB2CCB"/>
    <w:rsid w:val="00EB43B9"/>
    <w:rsid w:val="00EB7A25"/>
    <w:rsid w:val="00EC0F3E"/>
    <w:rsid w:val="00EC57A7"/>
    <w:rsid w:val="00ED0817"/>
    <w:rsid w:val="00ED2FEB"/>
    <w:rsid w:val="00ED5371"/>
    <w:rsid w:val="00ED7DD9"/>
    <w:rsid w:val="00EE445B"/>
    <w:rsid w:val="00EF3113"/>
    <w:rsid w:val="00EF3F84"/>
    <w:rsid w:val="00F07D7F"/>
    <w:rsid w:val="00F07DD1"/>
    <w:rsid w:val="00F176AC"/>
    <w:rsid w:val="00F2539F"/>
    <w:rsid w:val="00F26734"/>
    <w:rsid w:val="00F26F28"/>
    <w:rsid w:val="00F27714"/>
    <w:rsid w:val="00F3276E"/>
    <w:rsid w:val="00F33D3C"/>
    <w:rsid w:val="00F37A91"/>
    <w:rsid w:val="00F408A0"/>
    <w:rsid w:val="00F423F3"/>
    <w:rsid w:val="00F45CF5"/>
    <w:rsid w:val="00F47DB0"/>
    <w:rsid w:val="00F50C3F"/>
    <w:rsid w:val="00F50E34"/>
    <w:rsid w:val="00F50EF4"/>
    <w:rsid w:val="00F53EF7"/>
    <w:rsid w:val="00F542C6"/>
    <w:rsid w:val="00F54BF2"/>
    <w:rsid w:val="00F73523"/>
    <w:rsid w:val="00F753FA"/>
    <w:rsid w:val="00F775AC"/>
    <w:rsid w:val="00F92355"/>
    <w:rsid w:val="00F93963"/>
    <w:rsid w:val="00F94291"/>
    <w:rsid w:val="00FA298A"/>
    <w:rsid w:val="00FA5B66"/>
    <w:rsid w:val="00FB2E69"/>
    <w:rsid w:val="00FB30EB"/>
    <w:rsid w:val="00FB7982"/>
    <w:rsid w:val="00FC0734"/>
    <w:rsid w:val="00FC09B5"/>
    <w:rsid w:val="00FC0FC5"/>
    <w:rsid w:val="00FC588F"/>
    <w:rsid w:val="00FC6879"/>
    <w:rsid w:val="00FD614D"/>
    <w:rsid w:val="00FE1B30"/>
    <w:rsid w:val="00FE34C0"/>
    <w:rsid w:val="00FE7B44"/>
    <w:rsid w:val="00FF3CFF"/>
    <w:rsid w:val="00FF7A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90FDB32F-F7B6-4B67-8DC8-353FCDC7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41"/>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2"/>
      </w:numPr>
      <w:spacing w:before="60" w:after="60"/>
    </w:pPr>
  </w:style>
  <w:style w:type="numbering" w:customStyle="1" w:styleId="FCOrders">
    <w:name w:val="FCOrders"/>
    <w:uiPriority w:val="99"/>
    <w:rsid w:val="004104B6"/>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4"/>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48"/>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42"/>
      </w:numPr>
    </w:pPr>
  </w:style>
  <w:style w:type="paragraph" w:customStyle="1" w:styleId="Order4">
    <w:name w:val="Order 4"/>
    <w:basedOn w:val="Order3"/>
    <w:rsid w:val="004104B6"/>
    <w:pPr>
      <w:numPr>
        <w:ilvl w:val="3"/>
      </w:numPr>
    </w:pPr>
  </w:style>
  <w:style w:type="paragraph" w:customStyle="1" w:styleId="Quotations">
    <w:name w:val="Quotations"/>
    <w:basedOn w:val="Normal"/>
    <w:rsid w:val="00D00E4C"/>
    <w:pPr>
      <w:spacing w:line="240" w:lineRule="auto"/>
      <w:ind w:left="540"/>
      <w:jc w:val="left"/>
    </w:pPr>
    <w:rPr>
      <w:rFonts w:eastAsia="Times New Roman"/>
      <w:i/>
      <w:szCs w:val="24"/>
    </w:rPr>
  </w:style>
  <w:style w:type="paragraph" w:customStyle="1" w:styleId="Default">
    <w:name w:val="Default"/>
    <w:rsid w:val="003A1A9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8D187935D042D4853CB0DACC9FEE4D"/>
        <w:category>
          <w:name w:val="General"/>
          <w:gallery w:val="placeholder"/>
        </w:category>
        <w:types>
          <w:type w:val="bbPlcHdr"/>
        </w:types>
        <w:behaviors>
          <w:behavior w:val="content"/>
        </w:behaviors>
        <w:guid w:val="{36BE64E5-DB0C-4A90-B51F-E7AB2111F904}"/>
      </w:docPartPr>
      <w:docPartBody>
        <w:p w:rsidR="00097157" w:rsidRDefault="00097157">
          <w:pPr>
            <w:pStyle w:val="488D187935D042D4853CB0DACC9FEE4D"/>
          </w:pPr>
          <w:r>
            <w:rPr>
              <w:rStyle w:val="PlaceholderText"/>
            </w:rPr>
            <w:t>MNC Text</w:t>
          </w:r>
        </w:p>
      </w:docPartBody>
    </w:docPart>
    <w:docPart>
      <w:docPartPr>
        <w:name w:val="861B5924C71A4A7D8DD9ADB15FA0C419"/>
        <w:category>
          <w:name w:val="General"/>
          <w:gallery w:val="placeholder"/>
        </w:category>
        <w:types>
          <w:type w:val="bbPlcHdr"/>
        </w:types>
        <w:behaviors>
          <w:behavior w:val="content"/>
        </w:behaviors>
        <w:guid w:val="{25AD5DC1-AA26-423B-A413-447385248DE9}"/>
      </w:docPartPr>
      <w:docPartBody>
        <w:p w:rsidR="00097157" w:rsidRDefault="00097157">
          <w:pPr>
            <w:pStyle w:val="861B5924C71A4A7D8DD9ADB15FA0C419"/>
          </w:pPr>
          <w:r w:rsidRPr="005C44BE">
            <w:rPr>
              <w:rStyle w:val="PlaceholderText"/>
            </w:rPr>
            <w:t>Click or tap here to enter text.</w:t>
          </w:r>
        </w:p>
      </w:docPartBody>
    </w:docPart>
    <w:docPart>
      <w:docPartPr>
        <w:name w:val="19FF5FC6353D415CB80A9FDC086BA287"/>
        <w:category>
          <w:name w:val="General"/>
          <w:gallery w:val="placeholder"/>
        </w:category>
        <w:types>
          <w:type w:val="bbPlcHdr"/>
        </w:types>
        <w:behaviors>
          <w:behavior w:val="content"/>
        </w:behaviors>
        <w:guid w:val="{8FD49837-F53D-48C7-8949-E544CD3D909B}"/>
      </w:docPartPr>
      <w:docPartBody>
        <w:p w:rsidR="00097157" w:rsidRDefault="00097157">
          <w:pPr>
            <w:pStyle w:val="19FF5FC6353D415CB80A9FDC086BA287"/>
          </w:pPr>
          <w:r w:rsidRPr="005C44BE">
            <w:rPr>
              <w:rStyle w:val="PlaceholderText"/>
            </w:rPr>
            <w:t>Click or tap here to enter text.</w:t>
          </w:r>
        </w:p>
      </w:docPartBody>
    </w:docPart>
    <w:docPart>
      <w:docPartPr>
        <w:name w:val="C1EC93F9FC2044E0B084EDA4C613BB49"/>
        <w:category>
          <w:name w:val="General"/>
          <w:gallery w:val="placeholder"/>
        </w:category>
        <w:types>
          <w:type w:val="bbPlcHdr"/>
        </w:types>
        <w:behaviors>
          <w:behavior w:val="content"/>
        </w:behaviors>
        <w:guid w:val="{C7A7C396-1578-49CD-8D74-5176CBB16171}"/>
      </w:docPartPr>
      <w:docPartBody>
        <w:p w:rsidR="00097157" w:rsidRDefault="00097157">
          <w:pPr>
            <w:pStyle w:val="C1EC93F9FC2044E0B084EDA4C613BB49"/>
          </w:pPr>
          <w:r w:rsidRPr="005C44BE">
            <w:rPr>
              <w:rStyle w:val="PlaceholderText"/>
            </w:rPr>
            <w:t>Click or tap here to enter text.</w:t>
          </w:r>
        </w:p>
      </w:docPartBody>
    </w:docPart>
    <w:docPart>
      <w:docPartPr>
        <w:name w:val="F5AB44FE41CC4703AF7EC2F386E6E5F4"/>
        <w:category>
          <w:name w:val="General"/>
          <w:gallery w:val="placeholder"/>
        </w:category>
        <w:types>
          <w:type w:val="bbPlcHdr"/>
        </w:types>
        <w:behaviors>
          <w:behavior w:val="content"/>
        </w:behaviors>
        <w:guid w:val="{5A3DF53D-F530-44C5-B86D-A5BA81F19B6C}"/>
      </w:docPartPr>
      <w:docPartBody>
        <w:p w:rsidR="00097157" w:rsidRDefault="00097157">
          <w:pPr>
            <w:pStyle w:val="F5AB44FE41CC4703AF7EC2F386E6E5F4"/>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57"/>
    <w:rsid w:val="000971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88D187935D042D4853CB0DACC9FEE4D">
    <w:name w:val="488D187935D042D4853CB0DACC9FEE4D"/>
  </w:style>
  <w:style w:type="paragraph" w:customStyle="1" w:styleId="861B5924C71A4A7D8DD9ADB15FA0C419">
    <w:name w:val="861B5924C71A4A7D8DD9ADB15FA0C419"/>
  </w:style>
  <w:style w:type="paragraph" w:customStyle="1" w:styleId="19FF5FC6353D415CB80A9FDC086BA287">
    <w:name w:val="19FF5FC6353D415CB80A9FDC086BA287"/>
  </w:style>
  <w:style w:type="paragraph" w:customStyle="1" w:styleId="C1EC93F9FC2044E0B084EDA4C613BB49">
    <w:name w:val="C1EC93F9FC2044E0B084EDA4C613BB49"/>
  </w:style>
  <w:style w:type="paragraph" w:customStyle="1" w:styleId="F5AB44FE41CC4703AF7EC2F386E6E5F4">
    <w:name w:val="F5AB44FE41CC4703AF7EC2F386E6E5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DOF16 v Minister for Immigration, Citizenship, Migrant Services and Multicultural Affairs [2020] FCA 1385 </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11</Pages>
  <Words>4268</Words>
  <Characters>21663</Characters>
  <Application>Microsoft Office Word</Application>
  <DocSecurity>0</DocSecurity>
  <Lines>433</Lines>
  <Paragraphs>143</Paragraphs>
  <ScaleCrop>false</ScaleCrop>
  <HeadingPairs>
    <vt:vector size="2" baseType="variant">
      <vt:variant>
        <vt:lpstr>Title</vt:lpstr>
      </vt:variant>
      <vt:variant>
        <vt:i4>1</vt:i4>
      </vt:variant>
    </vt:vector>
  </HeadingPairs>
  <TitlesOfParts>
    <vt:vector size="1" baseType="lpstr">
      <vt:lpstr>DOF16 v Minister for Immigration, Citizenship, Migrant Services and Multicultural Affairs [2020] FCA 1385</vt:lpstr>
    </vt:vector>
  </TitlesOfParts>
  <Company>Federal Court of Australia</Company>
  <LinksUpToDate>false</LinksUpToDate>
  <CharactersWithSpaces>25788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DOF16 v Minister for Immigration, Citizenship, Migrant Services and Multicultural Affairs [2020] FCA 1385</dc:title>
  <dc:creator>Federal Court of Australia</dc:creator>
  <cp:lastModifiedBy>Federal Court of Australia</cp:lastModifiedBy>
  <cp:revision>3</cp:revision>
  <cp:lastPrinted>2020-09-28T05:03:00Z</cp:lastPrinted>
  <dcterms:created xsi:type="dcterms:W3CDTF">2020-11-05T05:12:00Z</dcterms:created>
  <dcterms:modified xsi:type="dcterms:W3CDTF">2020-11-05T05:12:00Z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1</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N/A FCC, FCoA</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