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93395" w:rsidP="004424F8">
      <w:pPr>
        <w:pStyle w:val="MediaNeutralStyle"/>
      </w:pPr>
      <w:bookmarkStart w:id="0" w:name="MNC"/>
      <w:r>
        <w:t>Bryant</w:t>
      </w:r>
      <w:r w:rsidR="004424F8">
        <w:t xml:space="preserve"> (</w:t>
      </w:r>
      <w:r w:rsidR="001820D8">
        <w:t>Liquidator</w:t>
      </w:r>
      <w:r w:rsidR="004424F8">
        <w:t>) v L</w:t>
      </w:r>
      <w:r w:rsidR="001820D8">
        <w:t>.</w:t>
      </w:r>
      <w:r w:rsidR="004424F8">
        <w:t>V</w:t>
      </w:r>
      <w:r w:rsidR="001820D8">
        <w:t>.</w:t>
      </w:r>
      <w:r w:rsidR="004424F8">
        <w:t xml:space="preserve"> </w:t>
      </w:r>
      <w:proofErr w:type="spellStart"/>
      <w:r>
        <w:t>Dohnt</w:t>
      </w:r>
      <w:proofErr w:type="spellEnd"/>
      <w:r>
        <w:t xml:space="preserve"> </w:t>
      </w:r>
      <w:r w:rsidR="004424F8">
        <w:t xml:space="preserve">&amp; </w:t>
      </w:r>
      <w:r w:rsidR="001820D8">
        <w:t>Co Pty Lt</w:t>
      </w:r>
      <w:r>
        <w:t>d</w:t>
      </w:r>
      <w:r w:rsidR="001820D8">
        <w:t xml:space="preserve">, </w:t>
      </w:r>
      <w:r w:rsidR="0091354F">
        <w:t>i</w:t>
      </w:r>
      <w:r w:rsidR="001820D8">
        <w:rPr>
          <w:rFonts w:ascii="TimesNewRoman,Bold" w:hAnsi="TimesNewRoman,Bold"/>
          <w:lang w:eastAsia="en-AU"/>
        </w:rPr>
        <w:t>n</w:t>
      </w:r>
      <w:r w:rsidR="001820D8">
        <w:t xml:space="preserve"> the Matter of </w:t>
      </w:r>
      <w:proofErr w:type="spellStart"/>
      <w:r w:rsidR="001820D8">
        <w:t>Gunns</w:t>
      </w:r>
      <w:proofErr w:type="spellEnd"/>
      <w:r w:rsidR="001820D8">
        <w:t xml:space="preserve"> Limited (In Liq) (Receivers and Managers Appointed) </w:t>
      </w:r>
      <w:r w:rsidR="001820D8">
        <w:rPr>
          <w:rFonts w:ascii="TimesNewRoman,Bold" w:hAnsi="TimesNewRoman,Bold" w:cs="TimesNewRoman,Bold"/>
          <w:bCs/>
          <w:szCs w:val="24"/>
          <w:lang w:eastAsia="en-AU"/>
        </w:rPr>
        <w:t>[2018] FCA 238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04E62">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Default="00472290" w:rsidP="00F00F0F">
            <w:pPr>
              <w:pStyle w:val="Normal1linespace"/>
              <w:jc w:val="left"/>
            </w:pPr>
            <w:fldSimple w:instr=" REF  FileNo  \* MERGEFORMAT " w:fldLock="1">
              <w:r w:rsidR="00F00F0F" w:rsidRPr="00F00F0F">
                <w:t>SAD 334 of 2015</w:t>
              </w:r>
            </w:fldSimple>
          </w:p>
          <w:p w:rsidR="00BE3001" w:rsidRDefault="00BE3001" w:rsidP="00F00F0F">
            <w:pPr>
              <w:pStyle w:val="Normal1linespace"/>
              <w:jc w:val="left"/>
            </w:pPr>
            <w:r>
              <w:t>WAD 540 of 2015</w:t>
            </w:r>
          </w:p>
          <w:p w:rsidR="00BE3001" w:rsidRDefault="00BE3001" w:rsidP="00F00F0F">
            <w:pPr>
              <w:pStyle w:val="Normal1linespace"/>
              <w:jc w:val="left"/>
            </w:pPr>
            <w:r>
              <w:t>WAD 550 of 2015</w:t>
            </w:r>
          </w:p>
          <w:p w:rsidR="00BE3001" w:rsidRPr="00F00F0F" w:rsidRDefault="00BE3001" w:rsidP="00F00F0F">
            <w:pPr>
              <w:pStyle w:val="Normal1linespace"/>
              <w:jc w:val="left"/>
            </w:pPr>
            <w:r>
              <w:t>WAD 553 of 2015</w:t>
            </w:r>
          </w:p>
        </w:tc>
      </w:tr>
      <w:tr w:rsidR="00395B24" w:rsidTr="00A04E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4E62">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F00F0F">
              <w:rPr>
                <w:b/>
              </w:rPr>
              <w:fldChar w:fldCharType="begin" w:fldLock="1"/>
            </w:r>
            <w:r w:rsidRPr="00F00F0F">
              <w:rPr>
                <w:b/>
              </w:rPr>
              <w:instrText xml:space="preserve"> REF  Judge  \* MERGEFORMAT </w:instrText>
            </w:r>
            <w:r w:rsidRPr="00F00F0F">
              <w:rPr>
                <w:b/>
              </w:rPr>
              <w:fldChar w:fldCharType="separate"/>
            </w:r>
            <w:r w:rsidR="00F00F0F" w:rsidRPr="00F00F0F">
              <w:rPr>
                <w:b/>
                <w:caps/>
                <w:szCs w:val="24"/>
              </w:rPr>
              <w:t>DAVIES J</w:t>
            </w:r>
            <w:r w:rsidRPr="00F00F0F">
              <w:rPr>
                <w:b/>
              </w:rPr>
              <w:fldChar w:fldCharType="end"/>
            </w:r>
          </w:p>
        </w:tc>
      </w:tr>
      <w:tr w:rsidR="00395B24" w:rsidTr="00A04E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4E62">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725F3" w:rsidP="000D127B">
            <w:pPr>
              <w:pStyle w:val="Normal1linespace"/>
              <w:widowControl w:val="0"/>
              <w:jc w:val="left"/>
            </w:pPr>
            <w:bookmarkStart w:id="1" w:name="JudgmentDate"/>
            <w:r>
              <w:t>6</w:t>
            </w:r>
            <w:r w:rsidR="00F00F0F">
              <w:t xml:space="preserve"> </w:t>
            </w:r>
            <w:r>
              <w:t>March</w:t>
            </w:r>
            <w:r w:rsidR="00F00F0F">
              <w:t xml:space="preserve"> 201</w:t>
            </w:r>
            <w:bookmarkEnd w:id="1"/>
            <w:r w:rsidR="000D127B">
              <w:t>8</w:t>
            </w:r>
          </w:p>
        </w:tc>
      </w:tr>
      <w:tr w:rsidR="00395B24" w:rsidTr="00A04E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4E6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BF2777" w:rsidRDefault="00BF2777" w:rsidP="00AC3BAB">
            <w:pPr>
              <w:spacing w:line="240" w:lineRule="auto"/>
              <w:rPr>
                <w:lang w:eastAsia="en-AU"/>
              </w:rPr>
            </w:pPr>
            <w:bookmarkStart w:id="2" w:name="Catchwords"/>
            <w:r w:rsidRPr="00BF2777">
              <w:rPr>
                <w:b/>
              </w:rPr>
              <w:t>BANKRUPTCY AND INSOLVENCY</w:t>
            </w:r>
            <w:r w:rsidR="00297433">
              <w:t xml:space="preserve"> – </w:t>
            </w:r>
            <w:r w:rsidR="00297433">
              <w:rPr>
                <w:lang w:eastAsia="en-AU"/>
              </w:rPr>
              <w:t xml:space="preserve">Test for insolvency; When </w:t>
            </w:r>
            <w:r w:rsidR="00DB1966">
              <w:rPr>
                <w:lang w:eastAsia="en-AU"/>
              </w:rPr>
              <w:t>Plaintiff</w:t>
            </w:r>
            <w:r w:rsidR="00297433">
              <w:rPr>
                <w:lang w:eastAsia="en-AU"/>
              </w:rPr>
              <w:t xml:space="preserve"> Group became insolvent; Voidable preference claims under s 588FE of the </w:t>
            </w:r>
            <w:r w:rsidR="00297433" w:rsidRPr="007609EE">
              <w:rPr>
                <w:i/>
                <w:lang w:eastAsia="en-AU"/>
              </w:rPr>
              <w:t>Corporations Act</w:t>
            </w:r>
            <w:r w:rsidR="00297433">
              <w:rPr>
                <w:lang w:eastAsia="en-AU"/>
              </w:rPr>
              <w:t xml:space="preserve"> </w:t>
            </w:r>
            <w:r w:rsidR="00297433" w:rsidRPr="007609EE">
              <w:rPr>
                <w:i/>
                <w:lang w:eastAsia="en-AU"/>
              </w:rPr>
              <w:t>2001</w:t>
            </w:r>
            <w:r w:rsidR="009810BF">
              <w:rPr>
                <w:lang w:eastAsia="en-AU"/>
              </w:rPr>
              <w:t xml:space="preserve"> (Cth); Application by</w:t>
            </w:r>
            <w:r w:rsidR="00297433">
              <w:rPr>
                <w:lang w:eastAsia="en-AU"/>
              </w:rPr>
              <w:t xml:space="preserve"> liquidator for relief under s 588FF of the </w:t>
            </w:r>
            <w:r w:rsidR="00297433" w:rsidRPr="00291E80">
              <w:rPr>
                <w:i/>
                <w:lang w:eastAsia="en-AU"/>
              </w:rPr>
              <w:t>Corporations Act</w:t>
            </w:r>
            <w:r w:rsidR="00297433">
              <w:rPr>
                <w:lang w:eastAsia="en-AU"/>
              </w:rPr>
              <w:t xml:space="preserve"> in relation to a transaction </w:t>
            </w:r>
            <w:r w:rsidR="009810BF">
              <w:rPr>
                <w:lang w:eastAsia="en-AU"/>
              </w:rPr>
              <w:t>claimed to be</w:t>
            </w:r>
            <w:r w:rsidR="00297433">
              <w:rPr>
                <w:lang w:eastAsia="en-AU"/>
              </w:rPr>
              <w:t xml:space="preserve"> voidable b</w:t>
            </w:r>
            <w:r w:rsidR="009810BF">
              <w:rPr>
                <w:lang w:eastAsia="en-AU"/>
              </w:rPr>
              <w:t xml:space="preserve">y reason of </w:t>
            </w:r>
            <w:r w:rsidR="00297433">
              <w:rPr>
                <w:lang w:eastAsia="en-AU"/>
              </w:rPr>
              <w:t xml:space="preserve">s 588FE; </w:t>
            </w:r>
            <w:r w:rsidR="007609EE">
              <w:rPr>
                <w:lang w:eastAsia="en-AU"/>
              </w:rPr>
              <w:t xml:space="preserve">Whether an amendment of pleadings to expand the period for voidable preference </w:t>
            </w:r>
            <w:r w:rsidR="00297433">
              <w:rPr>
                <w:lang w:eastAsia="en-AU"/>
              </w:rPr>
              <w:t>claims</w:t>
            </w:r>
            <w:r w:rsidR="009810BF">
              <w:rPr>
                <w:lang w:eastAsia="en-AU"/>
              </w:rPr>
              <w:t xml:space="preserve"> is</w:t>
            </w:r>
            <w:r w:rsidR="00297433">
              <w:rPr>
                <w:lang w:eastAsia="en-AU"/>
              </w:rPr>
              <w:t xml:space="preserve"> statute barred by reason of s </w:t>
            </w:r>
            <w:proofErr w:type="gramStart"/>
            <w:r w:rsidR="00297433">
              <w:rPr>
                <w:lang w:eastAsia="en-AU"/>
              </w:rPr>
              <w:t>588FF(</w:t>
            </w:r>
            <w:proofErr w:type="gramEnd"/>
            <w:r w:rsidR="00297433">
              <w:rPr>
                <w:lang w:eastAsia="en-AU"/>
              </w:rPr>
              <w:t xml:space="preserve">3).   </w:t>
            </w:r>
          </w:p>
          <w:p w:rsidR="00BF2777" w:rsidRDefault="00BF2777" w:rsidP="00AC3BAB">
            <w:pPr>
              <w:pStyle w:val="Normal1linespace"/>
              <w:widowControl w:val="0"/>
              <w:jc w:val="left"/>
            </w:pPr>
          </w:p>
          <w:p w:rsidR="00395B24" w:rsidRDefault="00BF2777" w:rsidP="00AC3BAB">
            <w:pPr>
              <w:spacing w:line="240" w:lineRule="auto"/>
              <w:rPr>
                <w:lang w:eastAsia="en-AU"/>
              </w:rPr>
            </w:pPr>
            <w:r w:rsidRPr="00BF2777">
              <w:rPr>
                <w:b/>
              </w:rPr>
              <w:t>PRACTICE</w:t>
            </w:r>
            <w:r>
              <w:t xml:space="preserve"> </w:t>
            </w:r>
            <w:r w:rsidRPr="00BF2777">
              <w:rPr>
                <w:b/>
              </w:rPr>
              <w:t>AND</w:t>
            </w:r>
            <w:r>
              <w:t xml:space="preserve"> </w:t>
            </w:r>
            <w:r w:rsidRPr="00BF2777">
              <w:rPr>
                <w:b/>
              </w:rPr>
              <w:t>PROCEDURE</w:t>
            </w:r>
            <w:r>
              <w:t xml:space="preserve"> – </w:t>
            </w:r>
            <w:bookmarkEnd w:id="2"/>
            <w:r w:rsidR="00297433">
              <w:rPr>
                <w:lang w:eastAsia="en-AU"/>
              </w:rPr>
              <w:t xml:space="preserve">Trial of separate questions pursuant to r 30 of the </w:t>
            </w:r>
            <w:r w:rsidR="00297433" w:rsidRPr="00291E80">
              <w:rPr>
                <w:i/>
                <w:lang w:eastAsia="en-AU"/>
              </w:rPr>
              <w:t>Federal Court Rules</w:t>
            </w:r>
            <w:r w:rsidR="00297433">
              <w:rPr>
                <w:lang w:eastAsia="en-AU"/>
              </w:rPr>
              <w:t xml:space="preserve">; Leave sought to amend originating process and statement of claim pursuant to r 8.21 of the </w:t>
            </w:r>
            <w:r w:rsidR="00297433" w:rsidRPr="00291E80">
              <w:rPr>
                <w:i/>
                <w:lang w:eastAsia="en-AU"/>
              </w:rPr>
              <w:t>Federal Court Rules</w:t>
            </w:r>
            <w:r w:rsidR="00297433">
              <w:rPr>
                <w:lang w:eastAsia="en-AU"/>
              </w:rPr>
              <w:t>; conditional leave granted subject to a trial on preliminary question</w:t>
            </w:r>
            <w:r w:rsidR="007609EE">
              <w:rPr>
                <w:lang w:eastAsia="en-AU"/>
              </w:rPr>
              <w:t>s</w:t>
            </w:r>
            <w:r w:rsidR="00297433">
              <w:rPr>
                <w:lang w:eastAsia="en-AU"/>
              </w:rPr>
              <w:t xml:space="preserve">; </w:t>
            </w:r>
            <w:r w:rsidR="007609EE">
              <w:rPr>
                <w:lang w:eastAsia="en-AU"/>
              </w:rPr>
              <w:t>W</w:t>
            </w:r>
            <w:r w:rsidR="00297433">
              <w:rPr>
                <w:lang w:eastAsia="en-AU"/>
              </w:rPr>
              <w:t xml:space="preserve">hether amendment of pleadings constituted adding new material facts or </w:t>
            </w:r>
            <w:r w:rsidR="00A61C55">
              <w:rPr>
                <w:lang w:eastAsia="en-AU"/>
              </w:rPr>
              <w:t xml:space="preserve">was based on </w:t>
            </w:r>
            <w:r w:rsidR="00297433">
              <w:rPr>
                <w:lang w:eastAsia="en-AU"/>
              </w:rPr>
              <w:t xml:space="preserve">the same facts or substantially the same facts as those already pleaded.  </w:t>
            </w:r>
          </w:p>
        </w:tc>
      </w:tr>
      <w:tr w:rsidR="00395B24" w:rsidTr="00A04E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4E6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F3278" w:rsidRDefault="002F3278" w:rsidP="005319C5">
            <w:pPr>
              <w:spacing w:after="60" w:line="240" w:lineRule="auto"/>
              <w:rPr>
                <w:lang w:eastAsia="en-AU"/>
              </w:rPr>
            </w:pPr>
            <w:r w:rsidRPr="00E60B55">
              <w:rPr>
                <w:i/>
                <w:lang w:eastAsia="en-AU"/>
              </w:rPr>
              <w:t xml:space="preserve">Civil Aviation (Carriers’ Liability) Act 1959 </w:t>
            </w:r>
            <w:r w:rsidRPr="00E60B55">
              <w:rPr>
                <w:lang w:eastAsia="en-AU"/>
              </w:rPr>
              <w:t>(Cth)</w:t>
            </w:r>
          </w:p>
          <w:p w:rsidR="00AC3BAB" w:rsidRDefault="00AC3BAB" w:rsidP="00AC3BAB">
            <w:pPr>
              <w:spacing w:after="60" w:line="240" w:lineRule="auto"/>
            </w:pPr>
            <w:r w:rsidRPr="00B73A54">
              <w:rPr>
                <w:i/>
              </w:rPr>
              <w:t>Corporations Act 2001</w:t>
            </w:r>
            <w:r w:rsidRPr="00B73A54">
              <w:t xml:space="preserve"> (Cth)</w:t>
            </w:r>
          </w:p>
          <w:p w:rsidR="00AC3BAB" w:rsidRDefault="00AC3BAB" w:rsidP="00AC3BAB">
            <w:pPr>
              <w:spacing w:after="60" w:line="240" w:lineRule="auto"/>
            </w:pPr>
            <w:r w:rsidRPr="00FF3C5F">
              <w:rPr>
                <w:i/>
                <w:lang w:eastAsia="en-AU"/>
              </w:rPr>
              <w:t xml:space="preserve">Corporations Act 1989 </w:t>
            </w:r>
            <w:r w:rsidRPr="002F3278">
              <w:rPr>
                <w:lang w:eastAsia="en-AU"/>
              </w:rPr>
              <w:t>(Cth)</w:t>
            </w:r>
          </w:p>
          <w:p w:rsidR="00AC3BAB" w:rsidRDefault="00AC3BAB" w:rsidP="00AC3BAB">
            <w:pPr>
              <w:spacing w:after="60" w:line="240" w:lineRule="auto"/>
            </w:pPr>
            <w:r w:rsidRPr="00FF3C5F">
              <w:rPr>
                <w:i/>
                <w:lang w:eastAsia="en-AU"/>
              </w:rPr>
              <w:t xml:space="preserve">Judiciary Act 1903 </w:t>
            </w:r>
            <w:r w:rsidRPr="00FF3C5F">
              <w:rPr>
                <w:lang w:eastAsia="en-AU"/>
              </w:rPr>
              <w:t>(Cth)</w:t>
            </w:r>
            <w:r>
              <w:rPr>
                <w:lang w:eastAsia="en-AU"/>
              </w:rPr>
              <w:t xml:space="preserve">  </w:t>
            </w:r>
          </w:p>
          <w:p w:rsidR="00AC3BAB" w:rsidRDefault="00AC3BAB" w:rsidP="005319C5">
            <w:pPr>
              <w:spacing w:after="60" w:line="240" w:lineRule="auto"/>
              <w:rPr>
                <w:lang w:eastAsia="en-AU"/>
              </w:rPr>
            </w:pPr>
            <w:r w:rsidRPr="00B73A54">
              <w:rPr>
                <w:i/>
              </w:rPr>
              <w:t>Federal Court Rules 2011</w:t>
            </w:r>
            <w:r w:rsidRPr="00B73A54">
              <w:t xml:space="preserve"> (Cth)</w:t>
            </w:r>
          </w:p>
          <w:p w:rsidR="002F3278" w:rsidRDefault="002F3278" w:rsidP="005319C5">
            <w:pPr>
              <w:spacing w:after="60" w:line="240" w:lineRule="auto"/>
              <w:rPr>
                <w:lang w:eastAsia="en-AU"/>
              </w:rPr>
            </w:pPr>
            <w:r w:rsidRPr="00FF3C5F">
              <w:rPr>
                <w:i/>
                <w:lang w:eastAsia="en-AU"/>
              </w:rPr>
              <w:t xml:space="preserve">Civil Procedure Act 2005 </w:t>
            </w:r>
            <w:r w:rsidRPr="00FF3C5F">
              <w:rPr>
                <w:lang w:eastAsia="en-AU"/>
              </w:rPr>
              <w:t xml:space="preserve">(NSW) </w:t>
            </w:r>
          </w:p>
          <w:p w:rsidR="00395B24" w:rsidRPr="00BF2777" w:rsidRDefault="002F3278" w:rsidP="00AC3BAB">
            <w:pPr>
              <w:spacing w:after="60" w:line="240" w:lineRule="auto"/>
            </w:pPr>
            <w:r w:rsidRPr="00FF3C5F">
              <w:rPr>
                <w:i/>
                <w:lang w:eastAsia="en-AU"/>
              </w:rPr>
              <w:t>District Court Rules 1973</w:t>
            </w:r>
            <w:r w:rsidRPr="00FF3C5F">
              <w:rPr>
                <w:lang w:eastAsia="en-AU"/>
              </w:rPr>
              <w:t xml:space="preserve"> (NSW)</w:t>
            </w:r>
          </w:p>
        </w:tc>
      </w:tr>
      <w:tr w:rsidR="00395B24" w:rsidTr="00A04E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5319C5">
            <w:pPr>
              <w:pStyle w:val="Normal1linespace"/>
              <w:widowControl w:val="0"/>
              <w:spacing w:after="60"/>
              <w:jc w:val="left"/>
            </w:pPr>
          </w:p>
        </w:tc>
      </w:tr>
      <w:tr w:rsidR="00395B24" w:rsidTr="00A04E6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F3278" w:rsidRDefault="002F3278" w:rsidP="005319C5">
            <w:pPr>
              <w:spacing w:after="60" w:line="240" w:lineRule="auto"/>
            </w:pPr>
            <w:r w:rsidRPr="00FF3C5F">
              <w:rPr>
                <w:i/>
                <w:lang w:eastAsia="en-AU"/>
              </w:rPr>
              <w:t>Advanced Switching Services Pty Ltd v State Bank of New South Wales t/as Colonial State Bank)</w:t>
            </w:r>
            <w:r w:rsidRPr="00FF3C5F">
              <w:rPr>
                <w:lang w:eastAsia="en-AU"/>
              </w:rPr>
              <w:t xml:space="preserve"> [2007] FCA 954</w:t>
            </w:r>
            <w:r>
              <w:rPr>
                <w:lang w:eastAsia="en-AU"/>
              </w:rPr>
              <w:t xml:space="preserve"> </w:t>
            </w:r>
          </w:p>
          <w:p w:rsidR="002F3278" w:rsidRDefault="002F3278" w:rsidP="005319C5">
            <w:pPr>
              <w:spacing w:after="60" w:line="240" w:lineRule="auto"/>
            </w:pPr>
            <w:proofErr w:type="spellStart"/>
            <w:r w:rsidRPr="002439C8">
              <w:rPr>
                <w:i/>
                <w:lang w:eastAsia="en-AU"/>
              </w:rPr>
              <w:t>A</w:t>
            </w:r>
            <w:r>
              <w:rPr>
                <w:i/>
                <w:lang w:eastAsia="en-AU"/>
              </w:rPr>
              <w:t>g</w:t>
            </w:r>
            <w:r w:rsidRPr="002439C8">
              <w:rPr>
                <w:i/>
                <w:lang w:eastAsia="en-AU"/>
              </w:rPr>
              <w:t>track</w:t>
            </w:r>
            <w:proofErr w:type="spellEnd"/>
            <w:r w:rsidRPr="002439C8">
              <w:rPr>
                <w:i/>
                <w:lang w:eastAsia="en-AU"/>
              </w:rPr>
              <w:t xml:space="preserve"> (NT) Pty Ltd v Hatfi</w:t>
            </w:r>
            <w:r>
              <w:rPr>
                <w:i/>
                <w:lang w:eastAsia="en-AU"/>
              </w:rPr>
              <w:t>eld</w:t>
            </w:r>
            <w:r w:rsidRPr="002439C8">
              <w:rPr>
                <w:i/>
                <w:lang w:eastAsia="en-AU"/>
              </w:rPr>
              <w:t xml:space="preserve"> </w:t>
            </w:r>
            <w:r w:rsidRPr="002439C8">
              <w:rPr>
                <w:lang w:eastAsia="en-AU"/>
              </w:rPr>
              <w:t>[2005] 223 CLR 251</w:t>
            </w:r>
            <w:r>
              <w:rPr>
                <w:lang w:eastAsia="en-AU"/>
              </w:rPr>
              <w:t xml:space="preserve"> </w:t>
            </w:r>
          </w:p>
          <w:p w:rsidR="002F3278" w:rsidRDefault="002F3278" w:rsidP="005319C5">
            <w:pPr>
              <w:spacing w:after="60" w:line="240" w:lineRule="auto"/>
            </w:pPr>
            <w:r w:rsidRPr="00E60B55">
              <w:rPr>
                <w:i/>
                <w:iCs/>
                <w:szCs w:val="24"/>
                <w:lang w:eastAsia="en-AU"/>
              </w:rPr>
              <w:t xml:space="preserve">Air Link Pty Ltd v Paterson (No 2) </w:t>
            </w:r>
            <w:r w:rsidRPr="00E60B55">
              <w:rPr>
                <w:szCs w:val="24"/>
                <w:lang w:eastAsia="en-AU"/>
              </w:rPr>
              <w:t>(2003) 58 NSWLR 388</w:t>
            </w:r>
            <w:r>
              <w:rPr>
                <w:szCs w:val="24"/>
                <w:lang w:eastAsia="en-AU"/>
              </w:rPr>
              <w:t xml:space="preserve"> </w:t>
            </w:r>
          </w:p>
          <w:p w:rsidR="002F3278" w:rsidRDefault="002F3278" w:rsidP="005319C5">
            <w:pPr>
              <w:spacing w:after="60" w:line="240" w:lineRule="auto"/>
              <w:rPr>
                <w:i/>
              </w:rPr>
            </w:pPr>
            <w:r w:rsidRPr="00FF3C5F">
              <w:rPr>
                <w:i/>
                <w:lang w:eastAsia="en-AU"/>
              </w:rPr>
              <w:t>A</w:t>
            </w:r>
            <w:r w:rsidR="00AC3BAB">
              <w:rPr>
                <w:i/>
                <w:lang w:eastAsia="en-AU"/>
              </w:rPr>
              <w:t>ustralian Securities and Investments Commission</w:t>
            </w:r>
            <w:r w:rsidRPr="00FF3C5F">
              <w:rPr>
                <w:i/>
                <w:lang w:eastAsia="en-AU"/>
              </w:rPr>
              <w:t xml:space="preserve"> v </w:t>
            </w:r>
            <w:proofErr w:type="spellStart"/>
            <w:r w:rsidRPr="00FF3C5F">
              <w:rPr>
                <w:i/>
                <w:lang w:eastAsia="en-AU"/>
              </w:rPr>
              <w:lastRenderedPageBreak/>
              <w:t>Cassimatis</w:t>
            </w:r>
            <w:proofErr w:type="spellEnd"/>
            <w:r w:rsidRPr="00FF3C5F">
              <w:rPr>
                <w:i/>
                <w:lang w:eastAsia="en-AU"/>
              </w:rPr>
              <w:t xml:space="preserve"> (No. 6) </w:t>
            </w:r>
            <w:r w:rsidRPr="00FF3C5F">
              <w:rPr>
                <w:lang w:eastAsia="en-AU"/>
              </w:rPr>
              <w:t>[2016] FCA 622</w:t>
            </w:r>
            <w:r>
              <w:rPr>
                <w:lang w:eastAsia="en-AU"/>
              </w:rPr>
              <w:t xml:space="preserve"> </w:t>
            </w:r>
          </w:p>
          <w:p w:rsidR="002F3278" w:rsidRDefault="002F3278" w:rsidP="005319C5">
            <w:pPr>
              <w:spacing w:after="60" w:line="240" w:lineRule="auto"/>
            </w:pPr>
            <w:r w:rsidRPr="00B73A54">
              <w:rPr>
                <w:i/>
              </w:rPr>
              <w:t xml:space="preserve">ASIC v </w:t>
            </w:r>
            <w:proofErr w:type="spellStart"/>
            <w:r w:rsidRPr="00B73A54">
              <w:rPr>
                <w:i/>
              </w:rPr>
              <w:t>Plymin</w:t>
            </w:r>
            <w:proofErr w:type="spellEnd"/>
            <w:r w:rsidRPr="00B73A54">
              <w:rPr>
                <w:i/>
              </w:rPr>
              <w:t xml:space="preserve"> (No 1) </w:t>
            </w:r>
            <w:r w:rsidRPr="00B73A54">
              <w:t>[2003] VSC 123</w:t>
            </w:r>
          </w:p>
          <w:p w:rsidR="002F3278" w:rsidRDefault="002F3278" w:rsidP="005319C5">
            <w:pPr>
              <w:spacing w:after="60" w:line="240" w:lineRule="auto"/>
            </w:pPr>
            <w:r w:rsidRPr="002439C8">
              <w:rPr>
                <w:rFonts w:eastAsia="Times New Roman"/>
                <w:i/>
                <w:iCs/>
                <w:szCs w:val="24"/>
                <w:lang w:eastAsia="en-AU"/>
              </w:rPr>
              <w:t>Brickfield Properties Ltd v Newton</w:t>
            </w:r>
            <w:r w:rsidRPr="002439C8">
              <w:rPr>
                <w:rFonts w:eastAsia="Times New Roman"/>
                <w:szCs w:val="24"/>
                <w:lang w:eastAsia="en-AU"/>
              </w:rPr>
              <w:t xml:space="preserve"> [1971] 1 WLR 862</w:t>
            </w:r>
            <w:r>
              <w:rPr>
                <w:rFonts w:eastAsia="Times New Roman"/>
                <w:szCs w:val="24"/>
                <w:lang w:eastAsia="en-AU"/>
              </w:rPr>
              <w:t xml:space="preserve"> </w:t>
            </w:r>
          </w:p>
          <w:p w:rsidR="002F3278" w:rsidRDefault="002F3278" w:rsidP="005319C5">
            <w:pPr>
              <w:spacing w:after="60" w:line="240" w:lineRule="auto"/>
              <w:rPr>
                <w:szCs w:val="24"/>
                <w:lang w:eastAsia="en-AU"/>
              </w:rPr>
            </w:pPr>
            <w:proofErr w:type="spellStart"/>
            <w:r w:rsidRPr="00E60B55">
              <w:rPr>
                <w:i/>
                <w:iCs/>
                <w:szCs w:val="24"/>
                <w:lang w:eastAsia="en-AU"/>
              </w:rPr>
              <w:t>Bryer</w:t>
            </w:r>
            <w:proofErr w:type="spellEnd"/>
            <w:r w:rsidRPr="00E60B55">
              <w:rPr>
                <w:i/>
                <w:iCs/>
                <w:szCs w:val="24"/>
                <w:lang w:eastAsia="en-AU"/>
              </w:rPr>
              <w:t xml:space="preserve"> Merchandisers Pty Ltd v Nike Australia Pty Ltd </w:t>
            </w:r>
            <w:r w:rsidRPr="00E60B55">
              <w:rPr>
                <w:szCs w:val="24"/>
                <w:lang w:eastAsia="en-AU"/>
              </w:rPr>
              <w:t>[2003] FCA 472</w:t>
            </w:r>
            <w:r>
              <w:rPr>
                <w:szCs w:val="24"/>
                <w:lang w:eastAsia="en-AU"/>
              </w:rPr>
              <w:t xml:space="preserve">  </w:t>
            </w:r>
          </w:p>
          <w:p w:rsidR="002F3278" w:rsidRDefault="002F3278" w:rsidP="005319C5">
            <w:pPr>
              <w:spacing w:after="60" w:line="240" w:lineRule="auto"/>
            </w:pPr>
            <w:r w:rsidRPr="002439C8">
              <w:rPr>
                <w:bCs/>
                <w:i/>
              </w:rPr>
              <w:t>Camilleri v The Trust Company (Nominees) Limited</w:t>
            </w:r>
            <w:r w:rsidRPr="002439C8">
              <w:rPr>
                <w:bCs/>
              </w:rPr>
              <w:t xml:space="preserve"> [2015] FCA 1138</w:t>
            </w:r>
            <w:r>
              <w:rPr>
                <w:bCs/>
              </w:rPr>
              <w:t xml:space="preserve"> </w:t>
            </w:r>
          </w:p>
          <w:p w:rsidR="002F3278" w:rsidRDefault="002F3278" w:rsidP="005319C5">
            <w:pPr>
              <w:spacing w:after="60" w:line="240" w:lineRule="auto"/>
              <w:rPr>
                <w:szCs w:val="24"/>
                <w:lang w:eastAsia="en-AU"/>
              </w:rPr>
            </w:pPr>
            <w:r w:rsidRPr="00E60B55">
              <w:rPr>
                <w:i/>
                <w:iCs/>
                <w:szCs w:val="24"/>
                <w:lang w:eastAsia="en-AU"/>
              </w:rPr>
              <w:t xml:space="preserve">Carter, Re Spec FS NSW Pty Ltd (in liq) </w:t>
            </w:r>
            <w:r>
              <w:rPr>
                <w:szCs w:val="24"/>
                <w:lang w:eastAsia="en-AU"/>
              </w:rPr>
              <w:t>[</w:t>
            </w:r>
            <w:r w:rsidRPr="00E60B55">
              <w:rPr>
                <w:szCs w:val="24"/>
                <w:lang w:eastAsia="en-AU"/>
              </w:rPr>
              <w:t>2013</w:t>
            </w:r>
            <w:r>
              <w:rPr>
                <w:szCs w:val="24"/>
                <w:lang w:eastAsia="en-AU"/>
              </w:rPr>
              <w:t>]</w:t>
            </w:r>
            <w:r w:rsidRPr="00E60B55">
              <w:rPr>
                <w:szCs w:val="24"/>
                <w:lang w:eastAsia="en-AU"/>
              </w:rPr>
              <w:t xml:space="preserve"> </w:t>
            </w:r>
            <w:r>
              <w:rPr>
                <w:szCs w:val="24"/>
                <w:lang w:eastAsia="en-AU"/>
              </w:rPr>
              <w:t>FCA 1027</w:t>
            </w:r>
          </w:p>
          <w:p w:rsidR="002F3278" w:rsidRDefault="002F3278" w:rsidP="005319C5">
            <w:pPr>
              <w:spacing w:after="60" w:line="240" w:lineRule="auto"/>
              <w:rPr>
                <w:rFonts w:eastAsia="Times New Roman"/>
                <w:szCs w:val="24"/>
                <w:lang w:eastAsia="en-AU"/>
              </w:rPr>
            </w:pPr>
            <w:proofErr w:type="spellStart"/>
            <w:r w:rsidRPr="002439C8">
              <w:rPr>
                <w:rFonts w:eastAsia="Times New Roman"/>
                <w:i/>
                <w:iCs/>
                <w:szCs w:val="24"/>
                <w:lang w:eastAsia="en-AU"/>
              </w:rPr>
              <w:t>Clasul</w:t>
            </w:r>
            <w:proofErr w:type="spellEnd"/>
            <w:r w:rsidRPr="002439C8">
              <w:rPr>
                <w:rFonts w:eastAsia="Times New Roman"/>
                <w:i/>
                <w:iCs/>
                <w:szCs w:val="24"/>
                <w:lang w:eastAsia="en-AU"/>
              </w:rPr>
              <w:t xml:space="preserve"> Pty Ltd v Commonwealth of Australia </w:t>
            </w:r>
            <w:r w:rsidRPr="002439C8">
              <w:rPr>
                <w:rFonts w:eastAsia="Times New Roman"/>
                <w:szCs w:val="24"/>
                <w:lang w:eastAsia="en-AU"/>
              </w:rPr>
              <w:t>[2014] FCA 1133</w:t>
            </w:r>
            <w:r>
              <w:rPr>
                <w:rFonts w:eastAsia="Times New Roman"/>
                <w:szCs w:val="24"/>
                <w:lang w:eastAsia="en-AU"/>
              </w:rPr>
              <w:t xml:space="preserve"> </w:t>
            </w:r>
          </w:p>
          <w:p w:rsidR="002F3278" w:rsidRDefault="002F3278" w:rsidP="005319C5">
            <w:pPr>
              <w:spacing w:after="60" w:line="240" w:lineRule="auto"/>
              <w:rPr>
                <w:szCs w:val="24"/>
                <w:lang w:eastAsia="en-AU"/>
              </w:rPr>
            </w:pPr>
            <w:proofErr w:type="spellStart"/>
            <w:r w:rsidRPr="00FF3C5F">
              <w:rPr>
                <w:i/>
                <w:lang w:eastAsia="en-AU"/>
              </w:rPr>
              <w:t>Clurname</w:t>
            </w:r>
            <w:proofErr w:type="spellEnd"/>
            <w:r w:rsidRPr="00FF3C5F">
              <w:rPr>
                <w:i/>
                <w:lang w:eastAsia="en-AU"/>
              </w:rPr>
              <w:t xml:space="preserve"> Pty Ltd v McGraw-Hill Financial Inc </w:t>
            </w:r>
            <w:r w:rsidRPr="00FF3C5F">
              <w:rPr>
                <w:lang w:eastAsia="en-AU"/>
              </w:rPr>
              <w:t>[2017] FCA 1319</w:t>
            </w:r>
            <w:r>
              <w:rPr>
                <w:lang w:eastAsia="en-AU"/>
              </w:rPr>
              <w:t xml:space="preserve"> </w:t>
            </w:r>
          </w:p>
          <w:p w:rsidR="002F3278" w:rsidRDefault="002F3278" w:rsidP="005319C5">
            <w:pPr>
              <w:spacing w:after="60" w:line="240" w:lineRule="auto"/>
            </w:pPr>
            <w:r w:rsidRPr="00B73A54">
              <w:rPr>
                <w:i/>
              </w:rPr>
              <w:t xml:space="preserve">Crema Pty Ltd v Land Mark Property Development Pty Ltd </w:t>
            </w:r>
            <w:r w:rsidRPr="00B73A54">
              <w:t>[2006] VSC 338</w:t>
            </w:r>
            <w:r>
              <w:t xml:space="preserve">  </w:t>
            </w:r>
          </w:p>
          <w:p w:rsidR="002F3278" w:rsidRDefault="002F3278" w:rsidP="005319C5">
            <w:pPr>
              <w:spacing w:after="60" w:line="240" w:lineRule="auto"/>
              <w:rPr>
                <w:szCs w:val="24"/>
                <w:lang w:eastAsia="en-AU"/>
              </w:rPr>
            </w:pPr>
            <w:r w:rsidRPr="00E60B55">
              <w:rPr>
                <w:i/>
                <w:iCs/>
                <w:szCs w:val="24"/>
                <w:lang w:eastAsia="en-AU"/>
              </w:rPr>
              <w:t xml:space="preserve">Darcy v </w:t>
            </w:r>
            <w:proofErr w:type="spellStart"/>
            <w:r w:rsidRPr="00E60B55">
              <w:rPr>
                <w:i/>
                <w:iCs/>
                <w:szCs w:val="24"/>
                <w:lang w:eastAsia="en-AU"/>
              </w:rPr>
              <w:t>Medtel</w:t>
            </w:r>
            <w:proofErr w:type="spellEnd"/>
            <w:r w:rsidRPr="00E60B55">
              <w:rPr>
                <w:i/>
                <w:iCs/>
                <w:szCs w:val="24"/>
                <w:lang w:eastAsia="en-AU"/>
              </w:rPr>
              <w:t xml:space="preserve"> Pty Ltd (No 3) </w:t>
            </w:r>
            <w:r w:rsidRPr="00E60B55">
              <w:rPr>
                <w:szCs w:val="24"/>
                <w:lang w:eastAsia="en-AU"/>
              </w:rPr>
              <w:t>[2004] FCA 807</w:t>
            </w:r>
          </w:p>
          <w:p w:rsidR="002F3278" w:rsidRDefault="002F3278" w:rsidP="005319C5">
            <w:pPr>
              <w:spacing w:after="60" w:line="240" w:lineRule="auto"/>
            </w:pPr>
            <w:r w:rsidRPr="002439C8">
              <w:rPr>
                <w:i/>
                <w:lang w:eastAsia="en-AU"/>
              </w:rPr>
              <w:t xml:space="preserve">David Grant &amp; Co Pty Ltd v Westpac Banking Corporation </w:t>
            </w:r>
            <w:r w:rsidRPr="002439C8">
              <w:rPr>
                <w:lang w:eastAsia="en-AU"/>
              </w:rPr>
              <w:t>(1985) 184 CLR 265</w:t>
            </w:r>
          </w:p>
          <w:p w:rsidR="002F3278" w:rsidRDefault="002F3278" w:rsidP="005319C5">
            <w:pPr>
              <w:spacing w:after="60" w:line="240" w:lineRule="auto"/>
              <w:rPr>
                <w:i/>
                <w:iCs/>
                <w:szCs w:val="24"/>
                <w:lang w:eastAsia="en-AU"/>
              </w:rPr>
            </w:pPr>
            <w:r w:rsidRPr="00FF3C5F">
              <w:rPr>
                <w:i/>
                <w:lang w:eastAsia="en-AU"/>
              </w:rPr>
              <w:t>Davies &amp; Anor v Chicago Boot Company Pty Ltd (No 2)</w:t>
            </w:r>
            <w:r w:rsidRPr="00FF3C5F">
              <w:rPr>
                <w:lang w:eastAsia="en-AU"/>
              </w:rPr>
              <w:t xml:space="preserve"> (2007) 96 SASR 164</w:t>
            </w:r>
            <w:r>
              <w:rPr>
                <w:lang w:eastAsia="en-AU"/>
              </w:rPr>
              <w:t xml:space="preserve"> </w:t>
            </w:r>
          </w:p>
          <w:p w:rsidR="002F3278" w:rsidRDefault="002F3278" w:rsidP="005319C5">
            <w:pPr>
              <w:spacing w:after="60" w:line="240" w:lineRule="auto"/>
              <w:rPr>
                <w:szCs w:val="24"/>
                <w:lang w:eastAsia="en-AU"/>
              </w:rPr>
            </w:pPr>
            <w:r w:rsidRPr="00E60B55">
              <w:rPr>
                <w:i/>
                <w:iCs/>
                <w:szCs w:val="24"/>
                <w:lang w:eastAsia="en-AU"/>
              </w:rPr>
              <w:t xml:space="preserve">Davies v Chicago Boot Co Pty Ltd (No 2) </w:t>
            </w:r>
            <w:r w:rsidRPr="00E60B55">
              <w:rPr>
                <w:szCs w:val="24"/>
                <w:lang w:eastAsia="en-AU"/>
              </w:rPr>
              <w:t>(2007) 96 SASR 164</w:t>
            </w:r>
            <w:r>
              <w:rPr>
                <w:szCs w:val="24"/>
                <w:lang w:eastAsia="en-AU"/>
              </w:rPr>
              <w:t xml:space="preserve"> </w:t>
            </w:r>
          </w:p>
          <w:p w:rsidR="0058364C" w:rsidRPr="00732B93" w:rsidRDefault="002F3278" w:rsidP="00732B93">
            <w:pPr>
              <w:spacing w:after="60" w:line="240" w:lineRule="auto"/>
              <w:rPr>
                <w:rFonts w:eastAsia="Times New Roman"/>
                <w:szCs w:val="24"/>
                <w:lang w:eastAsia="en-AU"/>
              </w:rPr>
            </w:pPr>
            <w:r w:rsidRPr="002439C8">
              <w:rPr>
                <w:rFonts w:eastAsia="Times New Roman"/>
                <w:i/>
                <w:iCs/>
                <w:szCs w:val="24"/>
                <w:lang w:eastAsia="en-AU"/>
              </w:rPr>
              <w:t>Draney v Barry</w:t>
            </w:r>
            <w:r w:rsidRPr="002439C8">
              <w:rPr>
                <w:rFonts w:eastAsia="Times New Roman"/>
                <w:szCs w:val="24"/>
                <w:lang w:eastAsia="en-AU"/>
              </w:rPr>
              <w:t xml:space="preserve"> [2002] 1 </w:t>
            </w:r>
            <w:proofErr w:type="spellStart"/>
            <w:r w:rsidRPr="002439C8">
              <w:rPr>
                <w:rFonts w:eastAsia="Times New Roman"/>
                <w:szCs w:val="24"/>
                <w:lang w:eastAsia="en-AU"/>
              </w:rPr>
              <w:t>Qd</w:t>
            </w:r>
            <w:proofErr w:type="spellEnd"/>
            <w:r w:rsidRPr="002439C8">
              <w:rPr>
                <w:rFonts w:eastAsia="Times New Roman"/>
                <w:szCs w:val="24"/>
                <w:lang w:eastAsia="en-AU"/>
              </w:rPr>
              <w:t xml:space="preserve"> R 145</w:t>
            </w:r>
            <w:r>
              <w:rPr>
                <w:rFonts w:eastAsia="Times New Roman"/>
                <w:szCs w:val="24"/>
                <w:lang w:eastAsia="en-AU"/>
              </w:rPr>
              <w:t xml:space="preserve"> </w:t>
            </w:r>
          </w:p>
          <w:p w:rsidR="002F3278" w:rsidRDefault="002F3278" w:rsidP="005319C5">
            <w:pPr>
              <w:keepNext/>
              <w:keepLines/>
              <w:spacing w:after="60" w:line="240" w:lineRule="auto"/>
            </w:pPr>
            <w:r w:rsidRPr="00FF3C5F">
              <w:rPr>
                <w:i/>
                <w:lang w:eastAsia="en-AU"/>
              </w:rPr>
              <w:t>Dye v Commonwealth Security Ltd (No 2)</w:t>
            </w:r>
            <w:r w:rsidRPr="00FF3C5F">
              <w:rPr>
                <w:lang w:eastAsia="en-AU"/>
              </w:rPr>
              <w:t xml:space="preserve"> [2010] FCAFC 118</w:t>
            </w:r>
            <w:r>
              <w:rPr>
                <w:lang w:eastAsia="en-AU"/>
              </w:rPr>
              <w:t xml:space="preserve"> </w:t>
            </w:r>
          </w:p>
          <w:p w:rsidR="002F3278" w:rsidRDefault="002F3278" w:rsidP="005319C5">
            <w:pPr>
              <w:spacing w:after="60" w:line="240" w:lineRule="auto"/>
            </w:pPr>
            <w:r w:rsidRPr="00B73A54">
              <w:rPr>
                <w:i/>
              </w:rPr>
              <w:t>First Equilibrium Pty Limited v Bluestone Property Services Pty Limited (in liq)</w:t>
            </w:r>
            <w:r w:rsidRPr="00B73A54">
              <w:t xml:space="preserve"> [2013] FCAFC 108</w:t>
            </w:r>
          </w:p>
          <w:p w:rsidR="002F3278" w:rsidRDefault="002F3278" w:rsidP="005319C5">
            <w:pPr>
              <w:spacing w:after="60" w:line="240" w:lineRule="auto"/>
            </w:pPr>
            <w:r w:rsidRPr="002439C8">
              <w:rPr>
                <w:i/>
                <w:szCs w:val="24"/>
                <w:lang w:eastAsia="en-AU"/>
              </w:rPr>
              <w:t xml:space="preserve">Fortress Credit Corporation (Australia) II Pty Ltd v Fletcher </w:t>
            </w:r>
            <w:r w:rsidRPr="002439C8">
              <w:rPr>
                <w:szCs w:val="24"/>
                <w:lang w:eastAsia="en-AU"/>
              </w:rPr>
              <w:t>(2015) 254 CLR 489</w:t>
            </w:r>
            <w:r>
              <w:rPr>
                <w:szCs w:val="24"/>
                <w:lang w:eastAsia="en-AU"/>
              </w:rPr>
              <w:t xml:space="preserve"> </w:t>
            </w:r>
          </w:p>
          <w:p w:rsidR="002F3278" w:rsidRDefault="002F3278" w:rsidP="005319C5">
            <w:pPr>
              <w:spacing w:after="60" w:line="240" w:lineRule="auto"/>
              <w:rPr>
                <w:szCs w:val="24"/>
                <w:lang w:eastAsia="en-AU"/>
              </w:rPr>
            </w:pPr>
            <w:r w:rsidRPr="002439C8">
              <w:rPr>
                <w:i/>
                <w:szCs w:val="24"/>
                <w:lang w:eastAsia="en-AU"/>
              </w:rPr>
              <w:t xml:space="preserve">Gordon v </w:t>
            </w:r>
            <w:proofErr w:type="spellStart"/>
            <w:r w:rsidRPr="002439C8">
              <w:rPr>
                <w:i/>
                <w:szCs w:val="24"/>
                <w:lang w:eastAsia="en-AU"/>
              </w:rPr>
              <w:t>Tolcher</w:t>
            </w:r>
            <w:proofErr w:type="spellEnd"/>
            <w:r w:rsidRPr="002439C8">
              <w:rPr>
                <w:i/>
                <w:szCs w:val="24"/>
                <w:lang w:eastAsia="en-AU"/>
              </w:rPr>
              <w:t xml:space="preserve"> </w:t>
            </w:r>
            <w:r w:rsidRPr="002439C8">
              <w:rPr>
                <w:szCs w:val="24"/>
                <w:lang w:eastAsia="en-AU"/>
              </w:rPr>
              <w:t>(2006) 221 CLR 334</w:t>
            </w:r>
            <w:r>
              <w:rPr>
                <w:szCs w:val="24"/>
                <w:lang w:eastAsia="en-AU"/>
              </w:rPr>
              <w:t xml:space="preserve"> </w:t>
            </w:r>
          </w:p>
          <w:p w:rsidR="002F3278" w:rsidRDefault="002F3278" w:rsidP="005319C5">
            <w:pPr>
              <w:spacing w:after="60" w:line="240" w:lineRule="auto"/>
            </w:pPr>
            <w:r w:rsidRPr="002439C8">
              <w:rPr>
                <w:i/>
                <w:szCs w:val="24"/>
                <w:lang w:eastAsia="en-AU"/>
              </w:rPr>
              <w:t xml:space="preserve">Grant Samuel Corporation v Fletcher </w:t>
            </w:r>
            <w:r w:rsidRPr="002439C8">
              <w:rPr>
                <w:szCs w:val="24"/>
                <w:lang w:eastAsia="en-AU"/>
              </w:rPr>
              <w:t>(2015) 254 CLR 477</w:t>
            </w:r>
            <w:r>
              <w:rPr>
                <w:szCs w:val="24"/>
                <w:lang w:eastAsia="en-AU"/>
              </w:rPr>
              <w:t xml:space="preserve"> </w:t>
            </w:r>
          </w:p>
          <w:p w:rsidR="002F3278" w:rsidRDefault="002F3278" w:rsidP="005319C5">
            <w:pPr>
              <w:spacing w:after="60" w:line="240" w:lineRule="auto"/>
            </w:pPr>
            <w:proofErr w:type="spellStart"/>
            <w:r w:rsidRPr="00E60B55">
              <w:rPr>
                <w:i/>
                <w:iCs/>
                <w:szCs w:val="24"/>
                <w:lang w:eastAsia="en-AU"/>
              </w:rPr>
              <w:t>Greig</w:t>
            </w:r>
            <w:proofErr w:type="spellEnd"/>
            <w:r w:rsidRPr="00E60B55">
              <w:rPr>
                <w:i/>
                <w:iCs/>
                <w:szCs w:val="24"/>
                <w:lang w:eastAsia="en-AU"/>
              </w:rPr>
              <w:t xml:space="preserve"> v </w:t>
            </w:r>
            <w:proofErr w:type="spellStart"/>
            <w:r w:rsidRPr="00E60B55">
              <w:rPr>
                <w:i/>
                <w:iCs/>
                <w:szCs w:val="24"/>
                <w:lang w:eastAsia="en-AU"/>
              </w:rPr>
              <w:t>Stramit</w:t>
            </w:r>
            <w:proofErr w:type="spellEnd"/>
            <w:r w:rsidRPr="00E60B55">
              <w:rPr>
                <w:i/>
                <w:iCs/>
                <w:szCs w:val="24"/>
                <w:lang w:eastAsia="en-AU"/>
              </w:rPr>
              <w:t xml:space="preserve"> Corporation Pty Ltd </w:t>
            </w:r>
            <w:r w:rsidRPr="00E60B55">
              <w:rPr>
                <w:szCs w:val="24"/>
                <w:lang w:eastAsia="en-AU"/>
              </w:rPr>
              <w:t xml:space="preserve">[2004] 2 </w:t>
            </w:r>
            <w:proofErr w:type="spellStart"/>
            <w:r w:rsidRPr="00E60B55">
              <w:rPr>
                <w:szCs w:val="24"/>
                <w:lang w:eastAsia="en-AU"/>
              </w:rPr>
              <w:t>Qd</w:t>
            </w:r>
            <w:proofErr w:type="spellEnd"/>
            <w:r w:rsidRPr="00E60B55">
              <w:rPr>
                <w:szCs w:val="24"/>
                <w:lang w:eastAsia="en-AU"/>
              </w:rPr>
              <w:t xml:space="preserve"> R 17</w:t>
            </w:r>
            <w:r>
              <w:rPr>
                <w:szCs w:val="24"/>
                <w:lang w:eastAsia="en-AU"/>
              </w:rPr>
              <w:t xml:space="preserve">  </w:t>
            </w:r>
          </w:p>
          <w:p w:rsidR="002F3278" w:rsidRDefault="002F3278" w:rsidP="005319C5">
            <w:pPr>
              <w:spacing w:after="60" w:line="240" w:lineRule="auto"/>
            </w:pPr>
            <w:r w:rsidRPr="00B73A54">
              <w:rPr>
                <w:i/>
              </w:rPr>
              <w:t xml:space="preserve">International Cat Manufacturing Pty Ltd (in liquidation) v Rodrick </w:t>
            </w:r>
            <w:r w:rsidRPr="00B73A54">
              <w:t>[2013] QSC 91</w:t>
            </w:r>
            <w:r>
              <w:t xml:space="preserve"> </w:t>
            </w:r>
          </w:p>
          <w:p w:rsidR="002F3278" w:rsidRDefault="002F3278" w:rsidP="005319C5">
            <w:pPr>
              <w:spacing w:after="60" w:line="240" w:lineRule="auto"/>
            </w:pPr>
            <w:r w:rsidRPr="00B73A54">
              <w:rPr>
                <w:i/>
              </w:rPr>
              <w:t xml:space="preserve">Lewis re: </w:t>
            </w:r>
            <w:proofErr w:type="spellStart"/>
            <w:r w:rsidRPr="00B73A54">
              <w:rPr>
                <w:i/>
              </w:rPr>
              <w:t>Damilock</w:t>
            </w:r>
            <w:proofErr w:type="spellEnd"/>
            <w:r w:rsidRPr="00B73A54">
              <w:rPr>
                <w:i/>
              </w:rPr>
              <w:t xml:space="preserve"> Pty Ltd (in liquidation) v Visa Australia Pty Ltd </w:t>
            </w:r>
            <w:r w:rsidRPr="00B73A54">
              <w:t>[2008] FCA 1801</w:t>
            </w:r>
          </w:p>
          <w:p w:rsidR="002F3278" w:rsidRDefault="002F3278" w:rsidP="005319C5">
            <w:pPr>
              <w:spacing w:after="60" w:line="240" w:lineRule="auto"/>
            </w:pPr>
            <w:r w:rsidRPr="00FF3C5F">
              <w:rPr>
                <w:i/>
                <w:lang w:eastAsia="en-AU"/>
              </w:rPr>
              <w:t>Luck v Chief Executive Officer of Centrelink</w:t>
            </w:r>
            <w:r w:rsidRPr="00FF3C5F">
              <w:rPr>
                <w:lang w:eastAsia="en-AU"/>
              </w:rPr>
              <w:t xml:space="preserve"> [2015] FCAFC 75</w:t>
            </w:r>
            <w:r>
              <w:rPr>
                <w:lang w:eastAsia="en-AU"/>
              </w:rPr>
              <w:t xml:space="preserve"> </w:t>
            </w:r>
          </w:p>
          <w:p w:rsidR="002F3278" w:rsidRDefault="002F3278" w:rsidP="005319C5">
            <w:pPr>
              <w:spacing w:after="60" w:line="240" w:lineRule="auto"/>
              <w:rPr>
                <w:szCs w:val="24"/>
                <w:lang w:eastAsia="en-AU"/>
              </w:rPr>
            </w:pPr>
            <w:proofErr w:type="spellStart"/>
            <w:r w:rsidRPr="00E60B55">
              <w:rPr>
                <w:i/>
                <w:iCs/>
                <w:szCs w:val="24"/>
                <w:lang w:eastAsia="en-AU"/>
              </w:rPr>
              <w:t>Manday</w:t>
            </w:r>
            <w:proofErr w:type="spellEnd"/>
            <w:r w:rsidRPr="00E60B55">
              <w:rPr>
                <w:i/>
                <w:iCs/>
                <w:szCs w:val="24"/>
                <w:lang w:eastAsia="en-AU"/>
              </w:rPr>
              <w:t xml:space="preserve"> Investments Pty Ltd v Commonwealth Bank of Australia </w:t>
            </w:r>
            <w:r w:rsidRPr="00E60B55">
              <w:rPr>
                <w:szCs w:val="24"/>
                <w:lang w:eastAsia="en-AU"/>
              </w:rPr>
              <w:t>[2011] FCA 681</w:t>
            </w:r>
            <w:r>
              <w:rPr>
                <w:szCs w:val="24"/>
                <w:lang w:eastAsia="en-AU"/>
              </w:rPr>
              <w:t xml:space="preserve"> </w:t>
            </w:r>
          </w:p>
          <w:p w:rsidR="002F3278" w:rsidRDefault="002F3278" w:rsidP="005319C5">
            <w:pPr>
              <w:spacing w:after="60" w:line="240" w:lineRule="auto"/>
              <w:rPr>
                <w:szCs w:val="24"/>
                <w:lang w:eastAsia="en-AU"/>
              </w:rPr>
            </w:pPr>
            <w:r w:rsidRPr="002439C8">
              <w:rPr>
                <w:rFonts w:eastAsia="Times New Roman"/>
                <w:i/>
                <w:iCs/>
                <w:szCs w:val="24"/>
                <w:lang w:eastAsia="en-AU"/>
              </w:rPr>
              <w:t>New South Wales v Radford</w:t>
            </w:r>
            <w:r w:rsidRPr="002439C8">
              <w:rPr>
                <w:rFonts w:eastAsia="Times New Roman"/>
                <w:szCs w:val="24"/>
                <w:lang w:eastAsia="en-AU"/>
              </w:rPr>
              <w:t xml:space="preserve"> [2010] NSWCA 276; (2010) 79 NSWLR 327</w:t>
            </w:r>
            <w:r>
              <w:rPr>
                <w:rFonts w:eastAsia="Times New Roman"/>
                <w:szCs w:val="24"/>
                <w:lang w:eastAsia="en-AU"/>
              </w:rPr>
              <w:t xml:space="preserve"> </w:t>
            </w:r>
          </w:p>
          <w:p w:rsidR="002F3278" w:rsidRDefault="002F3278" w:rsidP="005319C5">
            <w:pPr>
              <w:spacing w:after="60" w:line="240" w:lineRule="auto"/>
              <w:rPr>
                <w:szCs w:val="24"/>
                <w:lang w:eastAsia="en-AU"/>
              </w:rPr>
            </w:pPr>
            <w:r w:rsidRPr="00E60B55">
              <w:rPr>
                <w:i/>
                <w:iCs/>
                <w:szCs w:val="24"/>
                <w:lang w:eastAsia="en-AU"/>
              </w:rPr>
              <w:t xml:space="preserve">PSL Industries Ltd v Simplot Australia Pty Ltd </w:t>
            </w:r>
            <w:r w:rsidRPr="00E60B55">
              <w:rPr>
                <w:szCs w:val="24"/>
                <w:lang w:eastAsia="en-AU"/>
              </w:rPr>
              <w:t>(2003) 7 VR 106</w:t>
            </w:r>
            <w:r>
              <w:rPr>
                <w:szCs w:val="24"/>
                <w:lang w:eastAsia="en-AU"/>
              </w:rPr>
              <w:t xml:space="preserve"> </w:t>
            </w:r>
          </w:p>
          <w:p w:rsidR="002F3278" w:rsidRDefault="002F3278" w:rsidP="005319C5">
            <w:pPr>
              <w:spacing w:after="60" w:line="240" w:lineRule="auto"/>
            </w:pPr>
            <w:r w:rsidRPr="00FF3C5F">
              <w:rPr>
                <w:i/>
                <w:lang w:eastAsia="en-AU"/>
              </w:rPr>
              <w:t xml:space="preserve">Re Spec FS NSW Pty Ltd (in liquidation) </w:t>
            </w:r>
            <w:r w:rsidRPr="00FF3C5F">
              <w:rPr>
                <w:lang w:eastAsia="en-AU"/>
              </w:rPr>
              <w:t>[2013] FCA 1027</w:t>
            </w:r>
            <w:r>
              <w:rPr>
                <w:lang w:eastAsia="en-AU"/>
              </w:rPr>
              <w:t xml:space="preserve"> </w:t>
            </w:r>
          </w:p>
          <w:p w:rsidR="002F3278" w:rsidRDefault="002F3278" w:rsidP="005319C5">
            <w:pPr>
              <w:spacing w:after="60" w:line="240" w:lineRule="auto"/>
            </w:pPr>
            <w:r w:rsidRPr="002439C8">
              <w:rPr>
                <w:i/>
                <w:lang w:eastAsia="en-AU"/>
              </w:rPr>
              <w:lastRenderedPageBreak/>
              <w:t xml:space="preserve">Rodgers v Commissioner of Taxation </w:t>
            </w:r>
            <w:r w:rsidRPr="002439C8">
              <w:rPr>
                <w:lang w:eastAsia="en-AU"/>
              </w:rPr>
              <w:t>(1998) 88 FCR 61</w:t>
            </w:r>
          </w:p>
          <w:p w:rsidR="002F3278" w:rsidRDefault="002F3278" w:rsidP="005319C5">
            <w:pPr>
              <w:spacing w:after="60" w:line="240" w:lineRule="auto"/>
            </w:pPr>
            <w:proofErr w:type="spellStart"/>
            <w:r w:rsidRPr="00B73A54">
              <w:rPr>
                <w:i/>
              </w:rPr>
              <w:t>Sandell</w:t>
            </w:r>
            <w:proofErr w:type="spellEnd"/>
            <w:r w:rsidRPr="00B73A54">
              <w:rPr>
                <w:i/>
              </w:rPr>
              <w:t xml:space="preserve"> v Porter </w:t>
            </w:r>
            <w:r w:rsidRPr="00B73A54">
              <w:t>[1966] HCA 28</w:t>
            </w:r>
          </w:p>
          <w:p w:rsidR="002F3278" w:rsidRDefault="002F3278" w:rsidP="005319C5">
            <w:pPr>
              <w:spacing w:after="60" w:line="240" w:lineRule="auto"/>
            </w:pPr>
            <w:r w:rsidRPr="00B73A54">
              <w:rPr>
                <w:i/>
              </w:rPr>
              <w:t xml:space="preserve">Southern Cross Interiors Pty Ltd (in liquidation) v Deputy Commissioner of Taxation </w:t>
            </w:r>
            <w:r w:rsidRPr="00B73A54">
              <w:t>(2001) 53 NSWLR 213</w:t>
            </w:r>
            <w:r>
              <w:t xml:space="preserve"> </w:t>
            </w:r>
          </w:p>
          <w:p w:rsidR="002F3278" w:rsidRDefault="002F3278" w:rsidP="005319C5">
            <w:pPr>
              <w:spacing w:after="60" w:line="240" w:lineRule="auto"/>
            </w:pPr>
            <w:proofErr w:type="spellStart"/>
            <w:r w:rsidRPr="00FF3C5F">
              <w:rPr>
                <w:i/>
                <w:lang w:eastAsia="en-AU"/>
              </w:rPr>
              <w:t>Skiwing</w:t>
            </w:r>
            <w:proofErr w:type="spellEnd"/>
            <w:r w:rsidRPr="00FF3C5F">
              <w:rPr>
                <w:i/>
                <w:lang w:eastAsia="en-AU"/>
              </w:rPr>
              <w:t xml:space="preserve"> Pty Ltd t/as Café Tiffany’s v Trust Company of Australia Ltd (Stockland Property Management Ltd) </w:t>
            </w:r>
            <w:r w:rsidRPr="00FF3C5F">
              <w:rPr>
                <w:lang w:eastAsia="en-AU"/>
              </w:rPr>
              <w:t>[2009] FCA 347</w:t>
            </w:r>
            <w:r>
              <w:rPr>
                <w:lang w:eastAsia="en-AU"/>
              </w:rPr>
              <w:t xml:space="preserve"> </w:t>
            </w:r>
          </w:p>
          <w:p w:rsidR="002F3278" w:rsidRDefault="002F3278" w:rsidP="005319C5">
            <w:pPr>
              <w:spacing w:after="60" w:line="240" w:lineRule="auto"/>
              <w:rPr>
                <w:szCs w:val="24"/>
                <w:lang w:eastAsia="en-AU"/>
              </w:rPr>
            </w:pPr>
            <w:r w:rsidRPr="00E60B55">
              <w:rPr>
                <w:i/>
                <w:iCs/>
                <w:szCs w:val="24"/>
                <w:lang w:eastAsia="en-AU"/>
              </w:rPr>
              <w:t xml:space="preserve">Sydney Recycling Park Pty Ltd v Cardinal Group Pty Ltd (In Liq) </w:t>
            </w:r>
            <w:r w:rsidRPr="00E60B55">
              <w:rPr>
                <w:szCs w:val="24"/>
                <w:lang w:eastAsia="en-AU"/>
              </w:rPr>
              <w:t>[2016] NSWCA 329</w:t>
            </w:r>
          </w:p>
          <w:p w:rsidR="002F3278" w:rsidRDefault="002F3278" w:rsidP="005319C5">
            <w:pPr>
              <w:spacing w:after="60" w:line="240" w:lineRule="auto"/>
            </w:pPr>
            <w:proofErr w:type="spellStart"/>
            <w:r w:rsidRPr="00FF3C5F">
              <w:rPr>
                <w:i/>
                <w:lang w:eastAsia="en-AU"/>
              </w:rPr>
              <w:t>Tamaya</w:t>
            </w:r>
            <w:proofErr w:type="spellEnd"/>
            <w:r w:rsidRPr="00FF3C5F">
              <w:rPr>
                <w:i/>
                <w:lang w:eastAsia="en-AU"/>
              </w:rPr>
              <w:t xml:space="preserve"> Resources Limited (in liq) v Deloitte </w:t>
            </w:r>
            <w:proofErr w:type="spellStart"/>
            <w:r w:rsidRPr="00FF3C5F">
              <w:rPr>
                <w:i/>
                <w:lang w:eastAsia="en-AU"/>
              </w:rPr>
              <w:t>Touche</w:t>
            </w:r>
            <w:proofErr w:type="spellEnd"/>
            <w:r w:rsidRPr="00FF3C5F">
              <w:rPr>
                <w:i/>
                <w:lang w:eastAsia="en-AU"/>
              </w:rPr>
              <w:t xml:space="preserve"> Tohmatsu (A Firm), in the matter of </w:t>
            </w:r>
            <w:proofErr w:type="spellStart"/>
            <w:r w:rsidRPr="00FF3C5F">
              <w:rPr>
                <w:i/>
                <w:lang w:eastAsia="en-AU"/>
              </w:rPr>
              <w:t>Tamaya</w:t>
            </w:r>
            <w:proofErr w:type="spellEnd"/>
            <w:r w:rsidRPr="00FF3C5F">
              <w:rPr>
                <w:i/>
                <w:lang w:eastAsia="en-AU"/>
              </w:rPr>
              <w:t xml:space="preserve"> Resources Limited (in liq) </w:t>
            </w:r>
            <w:r w:rsidRPr="00FF3C5F">
              <w:rPr>
                <w:lang w:eastAsia="en-AU"/>
              </w:rPr>
              <w:t>[2015] FCA 1098</w:t>
            </w:r>
          </w:p>
          <w:p w:rsidR="002F3278" w:rsidRDefault="002F3278" w:rsidP="005319C5">
            <w:pPr>
              <w:spacing w:after="60" w:line="240" w:lineRule="auto"/>
            </w:pPr>
            <w:r w:rsidRPr="00E60B55">
              <w:rPr>
                <w:i/>
                <w:iCs/>
                <w:szCs w:val="24"/>
                <w:lang w:eastAsia="en-AU"/>
              </w:rPr>
              <w:t xml:space="preserve">Titan v Romano </w:t>
            </w:r>
            <w:r w:rsidRPr="00E60B55">
              <w:rPr>
                <w:szCs w:val="24"/>
                <w:lang w:eastAsia="en-AU"/>
              </w:rPr>
              <w:t>[2000] FCA 431</w:t>
            </w:r>
          </w:p>
          <w:p w:rsidR="002F3278" w:rsidRDefault="002F3278" w:rsidP="005319C5">
            <w:pPr>
              <w:spacing w:after="60" w:line="240" w:lineRule="auto"/>
            </w:pPr>
            <w:proofErr w:type="spellStart"/>
            <w:r w:rsidRPr="00E60B55">
              <w:rPr>
                <w:i/>
                <w:iCs/>
                <w:szCs w:val="24"/>
                <w:lang w:eastAsia="en-AU"/>
              </w:rPr>
              <w:t>Tolcher</w:t>
            </w:r>
            <w:proofErr w:type="spellEnd"/>
            <w:r w:rsidRPr="00E60B55">
              <w:rPr>
                <w:i/>
                <w:iCs/>
                <w:szCs w:val="24"/>
                <w:lang w:eastAsia="en-AU"/>
              </w:rPr>
              <w:t xml:space="preserve"> v Capital Finance Australia Ltd </w:t>
            </w:r>
            <w:r w:rsidRPr="00E60B55">
              <w:rPr>
                <w:szCs w:val="24"/>
                <w:lang w:eastAsia="en-AU"/>
              </w:rPr>
              <w:t>(2005) 143 FCR 300</w:t>
            </w:r>
            <w:r>
              <w:rPr>
                <w:szCs w:val="24"/>
                <w:lang w:eastAsia="en-AU"/>
              </w:rPr>
              <w:t xml:space="preserve"> </w:t>
            </w:r>
          </w:p>
          <w:p w:rsidR="002F3278" w:rsidRDefault="002F3278" w:rsidP="005319C5">
            <w:pPr>
              <w:spacing w:after="60" w:line="240" w:lineRule="auto"/>
            </w:pPr>
            <w:proofErr w:type="spellStart"/>
            <w:r w:rsidRPr="00B73A54">
              <w:rPr>
                <w:i/>
              </w:rPr>
              <w:t>Trinick</w:t>
            </w:r>
            <w:proofErr w:type="spellEnd"/>
            <w:r w:rsidRPr="00B73A54">
              <w:rPr>
                <w:i/>
              </w:rPr>
              <w:t xml:space="preserve"> v </w:t>
            </w:r>
            <w:proofErr w:type="spellStart"/>
            <w:r w:rsidRPr="00B73A54">
              <w:rPr>
                <w:i/>
              </w:rPr>
              <w:t>Forgione</w:t>
            </w:r>
            <w:proofErr w:type="spellEnd"/>
            <w:r w:rsidRPr="00B73A54">
              <w:rPr>
                <w:i/>
              </w:rPr>
              <w:t xml:space="preserve"> </w:t>
            </w:r>
            <w:r w:rsidRPr="00B73A54">
              <w:t>[2015] FCA 642</w:t>
            </w:r>
            <w:r>
              <w:t xml:space="preserve">  </w:t>
            </w:r>
          </w:p>
          <w:p w:rsidR="002F3278" w:rsidRDefault="002F3278" w:rsidP="005319C5">
            <w:pPr>
              <w:spacing w:after="60" w:line="240" w:lineRule="auto"/>
            </w:pPr>
            <w:r w:rsidRPr="00FF3C5F">
              <w:rPr>
                <w:i/>
              </w:rPr>
              <w:t>Worldwide Specialty Property</w:t>
            </w:r>
            <w:r w:rsidRPr="00FF3C5F">
              <w:t xml:space="preserve"> </w:t>
            </w:r>
            <w:r w:rsidRPr="00FF3C5F">
              <w:rPr>
                <w:i/>
              </w:rPr>
              <w:t>Services Pty Ltd (in Liq) v Worldwide Specialty Property Services Pty Ltd (in Liq)</w:t>
            </w:r>
            <w:r w:rsidRPr="00FF3C5F">
              <w:t xml:space="preserve"> [2017] FCA 687</w:t>
            </w:r>
            <w:r>
              <w:t xml:space="preserve"> </w:t>
            </w:r>
          </w:p>
          <w:p w:rsidR="00395B24" w:rsidRDefault="002F3278" w:rsidP="005319C5">
            <w:pPr>
              <w:pStyle w:val="CasesLegislationAppealFrom"/>
              <w:spacing w:after="60"/>
            </w:pPr>
            <w:r w:rsidRPr="00FF3C5F">
              <w:rPr>
                <w:i/>
                <w:lang w:eastAsia="en-AU"/>
              </w:rPr>
              <w:t xml:space="preserve">Quick v </w:t>
            </w:r>
            <w:proofErr w:type="spellStart"/>
            <w:r w:rsidRPr="00FF3C5F">
              <w:rPr>
                <w:i/>
                <w:lang w:eastAsia="en-AU"/>
              </w:rPr>
              <w:t>Stoland</w:t>
            </w:r>
            <w:proofErr w:type="spellEnd"/>
            <w:r w:rsidRPr="00FF3C5F">
              <w:rPr>
                <w:i/>
                <w:lang w:eastAsia="en-AU"/>
              </w:rPr>
              <w:t xml:space="preserve"> </w:t>
            </w:r>
            <w:r w:rsidRPr="00FF3C5F">
              <w:rPr>
                <w:lang w:eastAsia="en-AU"/>
              </w:rPr>
              <w:t>(1998) 87 FCR 371</w:t>
            </w:r>
          </w:p>
        </w:tc>
      </w:tr>
      <w:tr w:rsidR="00A04E62" w:rsidRPr="00A04E62" w:rsidTr="00A04E62">
        <w:tc>
          <w:tcPr>
            <w:tcW w:w="3085" w:type="dxa"/>
            <w:shd w:val="clear" w:color="auto" w:fill="auto"/>
          </w:tcPr>
          <w:p w:rsidR="00A04E62" w:rsidRPr="00A04E62" w:rsidRDefault="00A04E62" w:rsidP="00A04E62">
            <w:pPr>
              <w:pStyle w:val="Normal1linespace"/>
              <w:jc w:val="left"/>
            </w:pPr>
          </w:p>
        </w:tc>
        <w:tc>
          <w:tcPr>
            <w:tcW w:w="5989" w:type="dxa"/>
            <w:shd w:val="clear" w:color="auto" w:fill="auto"/>
          </w:tcPr>
          <w:p w:rsidR="00A04E62" w:rsidRPr="00A04E62" w:rsidRDefault="00A04E62" w:rsidP="00A04E62">
            <w:pPr>
              <w:pStyle w:val="Normal1linespace"/>
              <w:jc w:val="left"/>
            </w:pPr>
          </w:p>
        </w:tc>
      </w:tr>
      <w:tr w:rsidR="00A04E62" w:rsidRPr="00A04E62" w:rsidTr="00A04E62">
        <w:tc>
          <w:tcPr>
            <w:tcW w:w="3085" w:type="dxa"/>
            <w:shd w:val="clear" w:color="auto" w:fill="auto"/>
          </w:tcPr>
          <w:p w:rsidR="00A04E62" w:rsidRPr="00A04E62" w:rsidRDefault="00A04E62" w:rsidP="00A04E62">
            <w:pPr>
              <w:pStyle w:val="Normal1linespace"/>
              <w:jc w:val="left"/>
            </w:pPr>
            <w:bookmarkStart w:id="3" w:name="CounselDate" w:colFirst="0" w:colLast="2"/>
            <w:r w:rsidRPr="00A04E62">
              <w:t>Date of hearing:</w:t>
            </w:r>
          </w:p>
        </w:tc>
        <w:tc>
          <w:tcPr>
            <w:tcW w:w="5989" w:type="dxa"/>
            <w:shd w:val="clear" w:color="auto" w:fill="auto"/>
          </w:tcPr>
          <w:p w:rsidR="00A04E62" w:rsidRPr="00A04E62" w:rsidRDefault="00A04E62" w:rsidP="00957666">
            <w:pPr>
              <w:pStyle w:val="Normal1linespace"/>
              <w:jc w:val="left"/>
            </w:pPr>
            <w:bookmarkStart w:id="4" w:name="HearingDate"/>
            <w:r>
              <w:t>27</w:t>
            </w:r>
            <w:r w:rsidR="00957666">
              <w:t>–</w:t>
            </w:r>
            <w:r>
              <w:t xml:space="preserve">28 November 2017 </w:t>
            </w:r>
            <w:bookmarkEnd w:id="4"/>
          </w:p>
        </w:tc>
      </w:tr>
      <w:tr w:rsidR="00A04E62" w:rsidRPr="00A04E62" w:rsidTr="00A04E62">
        <w:tc>
          <w:tcPr>
            <w:tcW w:w="3085" w:type="dxa"/>
            <w:shd w:val="clear" w:color="auto" w:fill="auto"/>
          </w:tcPr>
          <w:p w:rsidR="00A04E62" w:rsidRPr="00A04E62" w:rsidRDefault="00A04E62" w:rsidP="00A04E62">
            <w:pPr>
              <w:pStyle w:val="Normal1linespace"/>
              <w:jc w:val="left"/>
            </w:pPr>
          </w:p>
        </w:tc>
        <w:tc>
          <w:tcPr>
            <w:tcW w:w="5989" w:type="dxa"/>
            <w:shd w:val="clear" w:color="auto" w:fill="auto"/>
          </w:tcPr>
          <w:p w:rsidR="00A04E62" w:rsidRPr="00A04E62" w:rsidRDefault="00A04E62" w:rsidP="00A04E62">
            <w:pPr>
              <w:pStyle w:val="Normal1linespace"/>
              <w:jc w:val="left"/>
            </w:pPr>
          </w:p>
        </w:tc>
      </w:tr>
      <w:bookmarkEnd w:id="3"/>
      <w:tr w:rsidR="00A04E62" w:rsidTr="00A04E62">
        <w:tc>
          <w:tcPr>
            <w:tcW w:w="3085" w:type="dxa"/>
            <w:shd w:val="clear" w:color="auto" w:fill="auto"/>
          </w:tcPr>
          <w:p w:rsidR="00A04E62" w:rsidRDefault="00A04E62" w:rsidP="00A04E62">
            <w:pPr>
              <w:pStyle w:val="Normal1linespace"/>
              <w:widowControl w:val="0"/>
              <w:jc w:val="left"/>
            </w:pPr>
            <w:r>
              <w:t>Registry:</w:t>
            </w:r>
          </w:p>
        </w:tc>
        <w:tc>
          <w:tcPr>
            <w:tcW w:w="5989" w:type="dxa"/>
            <w:shd w:val="clear" w:color="auto" w:fill="auto"/>
          </w:tcPr>
          <w:p w:rsidR="00A04E62" w:rsidRPr="00F17599" w:rsidRDefault="00A04E62" w:rsidP="00A04E62">
            <w:pPr>
              <w:pStyle w:val="Normal1linespace"/>
              <w:widowControl w:val="0"/>
              <w:jc w:val="left"/>
            </w:pPr>
            <w:r>
              <w:t xml:space="preserve">Victoria </w:t>
            </w:r>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A04E62">
            <w:pPr>
              <w:pStyle w:val="Normal1linespace"/>
              <w:widowControl w:val="0"/>
              <w:jc w:val="left"/>
            </w:pPr>
            <w:r>
              <w:t>Division:</w:t>
            </w:r>
          </w:p>
        </w:tc>
        <w:tc>
          <w:tcPr>
            <w:tcW w:w="5989" w:type="dxa"/>
            <w:shd w:val="clear" w:color="auto" w:fill="auto"/>
          </w:tcPr>
          <w:p w:rsidR="00A04E62" w:rsidRPr="00F17599" w:rsidRDefault="00472290" w:rsidP="00A04E62">
            <w:pPr>
              <w:pStyle w:val="Normal1linespace"/>
              <w:widowControl w:val="0"/>
              <w:jc w:val="left"/>
            </w:pPr>
            <w:fldSimple w:instr=" DOCPROPERTY  Division ">
              <w:r w:rsidR="00A04E62">
                <w:t>General Division</w:t>
              </w:r>
            </w:fldSimple>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Pr="00F17599" w:rsidRDefault="00A04E62" w:rsidP="00A04E62">
            <w:pPr>
              <w:pStyle w:val="Normal1linespace"/>
              <w:widowControl w:val="0"/>
              <w:jc w:val="left"/>
              <w:rPr>
                <w:b/>
              </w:rPr>
            </w:pPr>
          </w:p>
        </w:tc>
      </w:tr>
      <w:tr w:rsidR="00A04E62" w:rsidRPr="00A04E62" w:rsidTr="00A04E62">
        <w:tc>
          <w:tcPr>
            <w:tcW w:w="3085" w:type="dxa"/>
            <w:shd w:val="clear" w:color="auto" w:fill="auto"/>
          </w:tcPr>
          <w:p w:rsidR="00A04E62" w:rsidRPr="00A04E62" w:rsidRDefault="00A04E62" w:rsidP="00A04E62">
            <w:pPr>
              <w:pStyle w:val="Normal1linespace"/>
              <w:widowControl w:val="0"/>
              <w:jc w:val="left"/>
            </w:pPr>
            <w:r w:rsidRPr="00A04E62">
              <w:t>National Practice Area:</w:t>
            </w:r>
          </w:p>
        </w:tc>
        <w:tc>
          <w:tcPr>
            <w:tcW w:w="5989" w:type="dxa"/>
            <w:shd w:val="clear" w:color="auto" w:fill="auto"/>
          </w:tcPr>
          <w:p w:rsidR="00A04E62" w:rsidRPr="00A04E62" w:rsidRDefault="00A04E62" w:rsidP="00A04E62">
            <w:pPr>
              <w:pStyle w:val="Normal1linespace"/>
              <w:widowControl w:val="0"/>
              <w:jc w:val="left"/>
              <w:rPr>
                <w:b/>
              </w:rPr>
            </w:pPr>
            <w:r w:rsidRPr="00A04E62">
              <w:t xml:space="preserve">Commercial and Corporations </w:t>
            </w:r>
          </w:p>
        </w:tc>
      </w:tr>
      <w:tr w:rsidR="00A04E62" w:rsidTr="00A04E62">
        <w:tc>
          <w:tcPr>
            <w:tcW w:w="3085" w:type="dxa"/>
            <w:shd w:val="clear" w:color="auto" w:fill="auto"/>
          </w:tcPr>
          <w:p w:rsidR="00A04E62" w:rsidRPr="00A04E62" w:rsidRDefault="00A04E62" w:rsidP="00A04E62">
            <w:pPr>
              <w:pStyle w:val="Normal1linespace"/>
              <w:widowControl w:val="0"/>
              <w:jc w:val="left"/>
            </w:pPr>
          </w:p>
        </w:tc>
        <w:tc>
          <w:tcPr>
            <w:tcW w:w="5989" w:type="dxa"/>
            <w:shd w:val="clear" w:color="auto" w:fill="auto"/>
          </w:tcPr>
          <w:p w:rsidR="00A04E62" w:rsidRPr="00A04E62" w:rsidRDefault="00A04E62" w:rsidP="00A04E62">
            <w:pPr>
              <w:pStyle w:val="Normal1linespace"/>
              <w:widowControl w:val="0"/>
              <w:jc w:val="left"/>
            </w:pPr>
          </w:p>
        </w:tc>
      </w:tr>
      <w:tr w:rsidR="00A04E62" w:rsidRPr="00A04E62" w:rsidTr="00A04E62">
        <w:tc>
          <w:tcPr>
            <w:tcW w:w="3085" w:type="dxa"/>
            <w:shd w:val="clear" w:color="auto" w:fill="auto"/>
          </w:tcPr>
          <w:p w:rsidR="00A04E62" w:rsidRPr="00A04E62" w:rsidRDefault="00A04E62" w:rsidP="00A04E62">
            <w:pPr>
              <w:pStyle w:val="Normal1linespace"/>
              <w:widowControl w:val="0"/>
              <w:jc w:val="left"/>
            </w:pPr>
            <w:r w:rsidRPr="00A04E62">
              <w:t>Sub-area:</w:t>
            </w:r>
          </w:p>
        </w:tc>
        <w:tc>
          <w:tcPr>
            <w:tcW w:w="5989" w:type="dxa"/>
            <w:shd w:val="clear" w:color="auto" w:fill="auto"/>
          </w:tcPr>
          <w:p w:rsidR="00A04E62" w:rsidRPr="00A04E62" w:rsidRDefault="00A04E62" w:rsidP="00A04E62">
            <w:pPr>
              <w:pStyle w:val="Normal1linespace"/>
              <w:widowControl w:val="0"/>
              <w:jc w:val="left"/>
            </w:pPr>
            <w:r w:rsidRPr="00A04E62">
              <w:t xml:space="preserve">Commercial and Corporate Insolvency </w:t>
            </w:r>
          </w:p>
        </w:tc>
      </w:tr>
      <w:tr w:rsidR="00A04E62" w:rsidTr="00A04E62">
        <w:tc>
          <w:tcPr>
            <w:tcW w:w="3085" w:type="dxa"/>
            <w:shd w:val="clear" w:color="auto" w:fill="auto"/>
          </w:tcPr>
          <w:p w:rsidR="00A04E62" w:rsidRPr="00A04E62" w:rsidRDefault="00A04E62" w:rsidP="00A04E62">
            <w:pPr>
              <w:pStyle w:val="Normal1linespace"/>
              <w:widowControl w:val="0"/>
              <w:jc w:val="left"/>
            </w:pPr>
          </w:p>
        </w:tc>
        <w:tc>
          <w:tcPr>
            <w:tcW w:w="5989" w:type="dxa"/>
            <w:shd w:val="clear" w:color="auto" w:fill="auto"/>
          </w:tcPr>
          <w:p w:rsidR="00A04E62" w:rsidRPr="00A04E62" w:rsidRDefault="00A04E62" w:rsidP="00A04E62">
            <w:pPr>
              <w:pStyle w:val="Normal1linespace"/>
              <w:widowControl w:val="0"/>
              <w:jc w:val="left"/>
              <w:rPr>
                <w:b/>
              </w:rPr>
            </w:pPr>
          </w:p>
        </w:tc>
      </w:tr>
      <w:tr w:rsidR="00A04E62" w:rsidTr="00A04E62">
        <w:tc>
          <w:tcPr>
            <w:tcW w:w="3085" w:type="dxa"/>
            <w:shd w:val="clear" w:color="auto" w:fill="auto"/>
          </w:tcPr>
          <w:p w:rsidR="00A04E62" w:rsidRPr="00A04E62" w:rsidRDefault="00A04E62" w:rsidP="00A04E62">
            <w:pPr>
              <w:pStyle w:val="Normal1linespace"/>
              <w:widowControl w:val="0"/>
              <w:jc w:val="left"/>
            </w:pPr>
            <w:r w:rsidRPr="00A04E62">
              <w:t>Category:</w:t>
            </w:r>
          </w:p>
        </w:tc>
        <w:tc>
          <w:tcPr>
            <w:tcW w:w="5989" w:type="dxa"/>
            <w:shd w:val="clear" w:color="auto" w:fill="auto"/>
          </w:tcPr>
          <w:p w:rsidR="00A04E62" w:rsidRPr="00A04E62" w:rsidRDefault="00A04E62" w:rsidP="00A04E62">
            <w:pPr>
              <w:pStyle w:val="Normal1linespace"/>
              <w:widowControl w:val="0"/>
              <w:jc w:val="left"/>
            </w:pPr>
            <w:r w:rsidRPr="00A04E62">
              <w:t>Catchwords</w:t>
            </w:r>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A04E62">
            <w:pPr>
              <w:pStyle w:val="Normal1linespace"/>
              <w:widowControl w:val="0"/>
              <w:jc w:val="left"/>
            </w:pPr>
            <w:r>
              <w:t>Number of paragraphs:</w:t>
            </w:r>
          </w:p>
        </w:tc>
        <w:tc>
          <w:tcPr>
            <w:tcW w:w="5989" w:type="dxa"/>
            <w:shd w:val="clear" w:color="auto" w:fill="auto"/>
          </w:tcPr>
          <w:p w:rsidR="00A04E62" w:rsidRDefault="00A04E62" w:rsidP="00A04E62">
            <w:pPr>
              <w:pStyle w:val="Normal1linespace"/>
              <w:widowControl w:val="0"/>
              <w:jc w:val="left"/>
            </w:pPr>
            <w:bookmarkStart w:id="5" w:name="PlaceCategoryParagraphs"/>
            <w:r>
              <w:t>89</w:t>
            </w:r>
            <w:bookmarkEnd w:id="5"/>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A04E62">
            <w:pPr>
              <w:pStyle w:val="Normal1linespace"/>
              <w:widowControl w:val="0"/>
              <w:jc w:val="left"/>
            </w:pPr>
            <w:bookmarkStart w:id="6" w:name="Counsel" w:colFirst="0" w:colLast="2"/>
            <w:r>
              <w:t>Counsel for the Plaintiff</w:t>
            </w:r>
            <w:r w:rsidR="002E3084">
              <w:t>s</w:t>
            </w:r>
            <w:r>
              <w:t>:</w:t>
            </w:r>
          </w:p>
        </w:tc>
        <w:tc>
          <w:tcPr>
            <w:tcW w:w="5989" w:type="dxa"/>
            <w:shd w:val="clear" w:color="auto" w:fill="auto"/>
          </w:tcPr>
          <w:p w:rsidR="00A04E62" w:rsidRDefault="00A04E62" w:rsidP="00A04E62">
            <w:pPr>
              <w:pStyle w:val="Normal1linespace"/>
              <w:widowControl w:val="0"/>
              <w:jc w:val="left"/>
            </w:pPr>
            <w:bookmarkStart w:id="7" w:name="AppCounsel"/>
            <w:bookmarkEnd w:id="7"/>
            <w:r>
              <w:t>Mr M Hoffmann QC with Mr B Gibson</w:t>
            </w:r>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A04E62">
            <w:pPr>
              <w:pStyle w:val="Normal1linespace"/>
              <w:widowControl w:val="0"/>
              <w:jc w:val="left"/>
            </w:pPr>
            <w:r>
              <w:t>Solicitor for the Plaintiff</w:t>
            </w:r>
            <w:r w:rsidR="002E3084">
              <w:t>s</w:t>
            </w:r>
            <w:r>
              <w:t>:</w:t>
            </w:r>
          </w:p>
        </w:tc>
        <w:tc>
          <w:tcPr>
            <w:tcW w:w="5989" w:type="dxa"/>
            <w:shd w:val="clear" w:color="auto" w:fill="auto"/>
          </w:tcPr>
          <w:p w:rsidR="00A04E62" w:rsidRDefault="00A04E62" w:rsidP="00A04E62">
            <w:pPr>
              <w:pStyle w:val="Normal1linespace"/>
              <w:widowControl w:val="0"/>
              <w:jc w:val="left"/>
            </w:pPr>
            <w:r>
              <w:t xml:space="preserve">Johnson Winter &amp; Slattery Lawyers </w:t>
            </w:r>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F20162">
            <w:pPr>
              <w:pStyle w:val="Normal1linespace"/>
              <w:keepNext/>
              <w:keepLines/>
              <w:widowControl w:val="0"/>
              <w:jc w:val="left"/>
            </w:pPr>
            <w:r>
              <w:t>Counsel for the Defendant</w:t>
            </w:r>
            <w:r w:rsidR="001E632B">
              <w:t xml:space="preserve"> in SAD334 of 2015</w:t>
            </w:r>
            <w:r>
              <w:t>:</w:t>
            </w:r>
          </w:p>
        </w:tc>
        <w:tc>
          <w:tcPr>
            <w:tcW w:w="5989" w:type="dxa"/>
            <w:shd w:val="clear" w:color="auto" w:fill="auto"/>
          </w:tcPr>
          <w:p w:rsidR="00A04E62" w:rsidRDefault="00A04E62" w:rsidP="00F20162">
            <w:pPr>
              <w:pStyle w:val="Normal1linespace"/>
              <w:keepNext/>
              <w:keepLines/>
              <w:widowControl w:val="0"/>
              <w:jc w:val="left"/>
            </w:pPr>
            <w:r>
              <w:t xml:space="preserve">Mr TW Cox SC with Mr BJ Doyle </w:t>
            </w:r>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A04E62">
            <w:pPr>
              <w:pStyle w:val="Normal1linespace"/>
              <w:widowControl w:val="0"/>
              <w:jc w:val="left"/>
            </w:pPr>
            <w:r>
              <w:t xml:space="preserve">Solicitor for the </w:t>
            </w:r>
            <w:r w:rsidR="001E632B">
              <w:t>Defendant in SAD334 of 2015</w:t>
            </w:r>
            <w:r>
              <w:t>:</w:t>
            </w:r>
            <w:r w:rsidR="001E632B">
              <w:t xml:space="preserve"> </w:t>
            </w:r>
          </w:p>
        </w:tc>
        <w:tc>
          <w:tcPr>
            <w:tcW w:w="5989" w:type="dxa"/>
            <w:shd w:val="clear" w:color="auto" w:fill="auto"/>
          </w:tcPr>
          <w:p w:rsidR="00A04E62" w:rsidRDefault="00A04E62" w:rsidP="00A04E62">
            <w:pPr>
              <w:pStyle w:val="Normal1linespace"/>
              <w:widowControl w:val="0"/>
              <w:jc w:val="left"/>
            </w:pPr>
            <w:r>
              <w:t>Minter Ellison</w:t>
            </w:r>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1E632B">
            <w:pPr>
              <w:pStyle w:val="Normal1linespace"/>
              <w:widowControl w:val="0"/>
              <w:jc w:val="left"/>
            </w:pPr>
            <w:r>
              <w:t>Counsel for the Defendant</w:t>
            </w:r>
            <w:r w:rsidR="002E3084">
              <w:t>s</w:t>
            </w:r>
            <w:r w:rsidR="001E632B">
              <w:t xml:space="preserve"> in WAD540 of 2015, WAD550 of 2015, and </w:t>
            </w:r>
            <w:r w:rsidR="001E632B">
              <w:lastRenderedPageBreak/>
              <w:t>WAD553 of 2015</w:t>
            </w:r>
            <w:r w:rsidR="002E3084">
              <w:t>:</w:t>
            </w:r>
          </w:p>
        </w:tc>
        <w:tc>
          <w:tcPr>
            <w:tcW w:w="5989" w:type="dxa"/>
            <w:shd w:val="clear" w:color="auto" w:fill="auto"/>
          </w:tcPr>
          <w:p w:rsidR="00A04E62" w:rsidRDefault="00A04E62" w:rsidP="00A04E62">
            <w:pPr>
              <w:pStyle w:val="Normal1linespace"/>
              <w:widowControl w:val="0"/>
              <w:jc w:val="left"/>
            </w:pPr>
            <w:r>
              <w:lastRenderedPageBreak/>
              <w:t xml:space="preserve">Mr M De </w:t>
            </w:r>
            <w:proofErr w:type="spellStart"/>
            <w:r>
              <w:t>Kerloy</w:t>
            </w:r>
            <w:proofErr w:type="spellEnd"/>
          </w:p>
        </w:tc>
      </w:tr>
      <w:tr w:rsidR="00A04E62" w:rsidTr="00A04E62">
        <w:tc>
          <w:tcPr>
            <w:tcW w:w="3085" w:type="dxa"/>
            <w:shd w:val="clear" w:color="auto" w:fill="auto"/>
          </w:tcPr>
          <w:p w:rsidR="00A04E62" w:rsidRDefault="00A04E62" w:rsidP="00A04E62">
            <w:pPr>
              <w:pStyle w:val="Normal1linespace"/>
              <w:widowControl w:val="0"/>
              <w:jc w:val="left"/>
            </w:pPr>
          </w:p>
        </w:tc>
        <w:tc>
          <w:tcPr>
            <w:tcW w:w="5989" w:type="dxa"/>
            <w:shd w:val="clear" w:color="auto" w:fill="auto"/>
          </w:tcPr>
          <w:p w:rsidR="00A04E62" w:rsidRDefault="00A04E62" w:rsidP="00A04E62">
            <w:pPr>
              <w:pStyle w:val="Normal1linespace"/>
              <w:widowControl w:val="0"/>
              <w:jc w:val="left"/>
            </w:pPr>
          </w:p>
        </w:tc>
      </w:tr>
      <w:tr w:rsidR="00A04E62" w:rsidTr="00A04E62">
        <w:tc>
          <w:tcPr>
            <w:tcW w:w="3085" w:type="dxa"/>
            <w:shd w:val="clear" w:color="auto" w:fill="auto"/>
          </w:tcPr>
          <w:p w:rsidR="00A04E62" w:rsidRDefault="00A04E62" w:rsidP="00A04E62">
            <w:pPr>
              <w:pStyle w:val="Normal1linespace"/>
              <w:widowControl w:val="0"/>
              <w:jc w:val="left"/>
            </w:pPr>
            <w:r>
              <w:t xml:space="preserve">Solicitor for the </w:t>
            </w:r>
            <w:r w:rsidR="001E632B">
              <w:t>Defendants in WAD540 of 2015, WAD550 of 2015, and WAD553 of 2015</w:t>
            </w:r>
            <w:r>
              <w:t>:</w:t>
            </w:r>
          </w:p>
        </w:tc>
        <w:tc>
          <w:tcPr>
            <w:tcW w:w="5989" w:type="dxa"/>
            <w:shd w:val="clear" w:color="auto" w:fill="auto"/>
          </w:tcPr>
          <w:p w:rsidR="00A04E62" w:rsidRDefault="00A04E62" w:rsidP="00A04E62">
            <w:pPr>
              <w:pStyle w:val="Normal1linespace"/>
              <w:widowControl w:val="0"/>
              <w:jc w:val="left"/>
            </w:pPr>
            <w:proofErr w:type="spellStart"/>
            <w:r>
              <w:t>Mony</w:t>
            </w:r>
            <w:proofErr w:type="spellEnd"/>
            <w:r>
              <w:t xml:space="preserve"> De </w:t>
            </w:r>
            <w:proofErr w:type="spellStart"/>
            <w:r>
              <w:t>Kerloy</w:t>
            </w:r>
            <w:proofErr w:type="spellEnd"/>
            <w:r>
              <w:t xml:space="preserve"> Barristers &amp; Solicitors </w:t>
            </w:r>
          </w:p>
        </w:tc>
      </w:tr>
      <w:bookmarkEnd w:id="6"/>
    </w:tbl>
    <w:p w:rsidR="00395B24" w:rsidRDefault="00395B24">
      <w:pPr>
        <w:pStyle w:val="Normal1linespace"/>
      </w:pPr>
    </w:p>
    <w:p w:rsidR="00556EA9" w:rsidRDefault="00556EA9" w:rsidP="00556EA9">
      <w:pPr>
        <w:pStyle w:val="Normal1linespace"/>
      </w:pPr>
    </w:p>
    <w:p w:rsidR="00556EA9" w:rsidRDefault="00556EA9" w:rsidP="00556EA9">
      <w:pPr>
        <w:pStyle w:val="Normal1linespace"/>
        <w:sectPr w:rsidR="00556EA9">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556EA9" w:rsidRPr="00045BB7" w:rsidRDefault="00556EA9" w:rsidP="00556EA9">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6EA9" w:rsidTr="000A4538">
        <w:tc>
          <w:tcPr>
            <w:tcW w:w="6912" w:type="dxa"/>
            <w:gridSpan w:val="2"/>
          </w:tcPr>
          <w:p w:rsidR="00556EA9" w:rsidRPr="001765E0" w:rsidRDefault="00556EA9" w:rsidP="000A4538">
            <w:pPr>
              <w:pStyle w:val="NormalHeadings"/>
            </w:pPr>
          </w:p>
        </w:tc>
        <w:tc>
          <w:tcPr>
            <w:tcW w:w="2330" w:type="dxa"/>
          </w:tcPr>
          <w:p w:rsidR="00556EA9" w:rsidRDefault="00556EA9" w:rsidP="00556EA9">
            <w:pPr>
              <w:pStyle w:val="NormalHeadings"/>
              <w:jc w:val="right"/>
            </w:pPr>
            <w:r>
              <w:t>SAD 334 of 2015</w:t>
            </w:r>
          </w:p>
        </w:tc>
      </w:tr>
      <w:tr w:rsidR="00556EA9" w:rsidTr="000A4538">
        <w:tc>
          <w:tcPr>
            <w:tcW w:w="9242" w:type="dxa"/>
            <w:gridSpan w:val="3"/>
          </w:tcPr>
          <w:p w:rsidR="00556EA9" w:rsidRPr="00A76C13" w:rsidRDefault="00556EA9" w:rsidP="000A4538">
            <w:pPr>
              <w:pStyle w:val="NormalHeadings"/>
              <w:spacing w:before="240" w:after="240"/>
              <w:jc w:val="left"/>
            </w:pPr>
            <w:r>
              <w:t>IN THE MATTER OF GUNNS LIMITED (IN LIQUIDATION) (RECEIVERS &amp; MANAGERS APPOINTED) (ACN 009 478 148)</w:t>
            </w:r>
          </w:p>
        </w:tc>
      </w:tr>
      <w:tr w:rsidR="00556EA9" w:rsidTr="000A4538">
        <w:trPr>
          <w:trHeight w:val="386"/>
        </w:trPr>
        <w:tc>
          <w:tcPr>
            <w:tcW w:w="2376" w:type="dxa"/>
          </w:tcPr>
          <w:p w:rsidR="00556EA9" w:rsidRDefault="00556EA9" w:rsidP="000A4538">
            <w:pPr>
              <w:pStyle w:val="NormalHeadings"/>
              <w:jc w:val="left"/>
              <w:rPr>
                <w:caps/>
                <w:szCs w:val="24"/>
              </w:rPr>
            </w:pPr>
            <w:r>
              <w:rPr>
                <w:caps/>
                <w:szCs w:val="24"/>
              </w:rPr>
              <w:t>BETWEEN:</w:t>
            </w:r>
          </w:p>
        </w:tc>
        <w:tc>
          <w:tcPr>
            <w:tcW w:w="6866" w:type="dxa"/>
            <w:gridSpan w:val="2"/>
          </w:tcPr>
          <w:p w:rsidR="00556EA9" w:rsidRDefault="00556EA9" w:rsidP="000A4538">
            <w:pPr>
              <w:pStyle w:val="NormalHeadings"/>
              <w:jc w:val="left"/>
            </w:pPr>
            <w:r>
              <w:t>DANIEL MATHEW BRYANT, IAN MENZIES CARSON AND CRAIG DAVID CROSBIE IN THEIR CAPACITIES AS JOINT AND SEVERAL LIQUIDATORS OF GUNNS LIMITED (IN LIQUIDATION) RECEIVERS &amp; MANAGERS APPOINTED) (ACN 009 478 148)</w:t>
            </w:r>
          </w:p>
          <w:p w:rsidR="00556EA9" w:rsidRDefault="00556EA9" w:rsidP="000A4538">
            <w:pPr>
              <w:pStyle w:val="PartyType"/>
            </w:pPr>
            <w:r>
              <w:t>Plaintiffs</w:t>
            </w:r>
          </w:p>
          <w:p w:rsidR="00556EA9" w:rsidRPr="006555B4" w:rsidRDefault="00556EA9" w:rsidP="000A4538">
            <w:pPr>
              <w:pStyle w:val="NormalHeadings"/>
              <w:jc w:val="left"/>
            </w:pPr>
          </w:p>
        </w:tc>
      </w:tr>
      <w:tr w:rsidR="00556EA9" w:rsidTr="000A4538">
        <w:trPr>
          <w:trHeight w:val="386"/>
        </w:trPr>
        <w:tc>
          <w:tcPr>
            <w:tcW w:w="2376" w:type="dxa"/>
          </w:tcPr>
          <w:p w:rsidR="00556EA9" w:rsidRDefault="00556EA9" w:rsidP="000A4538">
            <w:pPr>
              <w:pStyle w:val="NormalHeadings"/>
              <w:jc w:val="left"/>
              <w:rPr>
                <w:caps/>
                <w:szCs w:val="24"/>
              </w:rPr>
            </w:pPr>
            <w:r>
              <w:rPr>
                <w:caps/>
                <w:szCs w:val="24"/>
              </w:rPr>
              <w:t>AND:</w:t>
            </w:r>
          </w:p>
        </w:tc>
        <w:tc>
          <w:tcPr>
            <w:tcW w:w="6866" w:type="dxa"/>
            <w:gridSpan w:val="2"/>
          </w:tcPr>
          <w:p w:rsidR="00556EA9" w:rsidRDefault="00556EA9" w:rsidP="000A4538">
            <w:pPr>
              <w:pStyle w:val="NormalHeadings"/>
              <w:jc w:val="left"/>
            </w:pPr>
            <w:r>
              <w:t>LV DOHNT &amp; CO PTY LIMITED</w:t>
            </w:r>
          </w:p>
          <w:p w:rsidR="00556EA9" w:rsidRDefault="00556EA9" w:rsidP="000A4538">
            <w:pPr>
              <w:pStyle w:val="PartyType"/>
            </w:pPr>
            <w:r>
              <w:t>Defendant</w:t>
            </w:r>
          </w:p>
          <w:p w:rsidR="00556EA9" w:rsidRPr="006555B4" w:rsidRDefault="00556EA9" w:rsidP="000A4538">
            <w:pPr>
              <w:pStyle w:val="NormalHeadings"/>
              <w:jc w:val="left"/>
            </w:pPr>
          </w:p>
        </w:tc>
      </w:tr>
    </w:tbl>
    <w:p w:rsidR="00556EA9" w:rsidRDefault="00556EA9" w:rsidP="00556EA9">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56EA9" w:rsidTr="000A4538">
        <w:tc>
          <w:tcPr>
            <w:tcW w:w="2376" w:type="dxa"/>
          </w:tcPr>
          <w:p w:rsidR="00556EA9" w:rsidRDefault="00556EA9" w:rsidP="000A4538">
            <w:pPr>
              <w:pStyle w:val="NormalHeadings"/>
              <w:spacing w:after="120"/>
              <w:jc w:val="left"/>
              <w:rPr>
                <w:caps/>
                <w:szCs w:val="24"/>
              </w:rPr>
            </w:pPr>
            <w:r>
              <w:rPr>
                <w:caps/>
                <w:szCs w:val="24"/>
              </w:rPr>
              <w:t>JUDGE:</w:t>
            </w:r>
          </w:p>
        </w:tc>
        <w:tc>
          <w:tcPr>
            <w:tcW w:w="6866" w:type="dxa"/>
          </w:tcPr>
          <w:p w:rsidR="00556EA9" w:rsidRDefault="00556EA9" w:rsidP="000A4538">
            <w:pPr>
              <w:pStyle w:val="NormalHeadings"/>
              <w:jc w:val="left"/>
              <w:rPr>
                <w:caps/>
                <w:szCs w:val="24"/>
              </w:rPr>
            </w:pPr>
            <w:r>
              <w:rPr>
                <w:caps/>
                <w:szCs w:val="24"/>
              </w:rPr>
              <w:t>DAVIES J</w:t>
            </w:r>
          </w:p>
        </w:tc>
      </w:tr>
      <w:tr w:rsidR="00556EA9" w:rsidTr="000A4538">
        <w:tc>
          <w:tcPr>
            <w:tcW w:w="2376" w:type="dxa"/>
          </w:tcPr>
          <w:p w:rsidR="00556EA9" w:rsidRDefault="00556EA9" w:rsidP="000A4538">
            <w:pPr>
              <w:pStyle w:val="NormalHeadings"/>
              <w:spacing w:after="120"/>
              <w:jc w:val="left"/>
              <w:rPr>
                <w:caps/>
                <w:szCs w:val="24"/>
              </w:rPr>
            </w:pPr>
            <w:r>
              <w:rPr>
                <w:caps/>
                <w:szCs w:val="24"/>
              </w:rPr>
              <w:t>DATE OF ORDER:</w:t>
            </w:r>
          </w:p>
        </w:tc>
        <w:tc>
          <w:tcPr>
            <w:tcW w:w="6866" w:type="dxa"/>
          </w:tcPr>
          <w:p w:rsidR="00556EA9" w:rsidRDefault="00556D15" w:rsidP="000A4538">
            <w:pPr>
              <w:pStyle w:val="NormalHeadings"/>
              <w:jc w:val="left"/>
              <w:rPr>
                <w:caps/>
                <w:szCs w:val="24"/>
              </w:rPr>
            </w:pPr>
            <w:r>
              <w:rPr>
                <w:caps/>
                <w:szCs w:val="24"/>
              </w:rPr>
              <w:t>6 March 2018</w:t>
            </w:r>
          </w:p>
        </w:tc>
      </w:tr>
    </w:tbl>
    <w:p w:rsidR="00556EA9" w:rsidRDefault="00556EA9" w:rsidP="00556EA9">
      <w:pPr>
        <w:pStyle w:val="NormalHeadings"/>
        <w:rPr>
          <w:b w:val="0"/>
        </w:rPr>
      </w:pPr>
    </w:p>
    <w:p w:rsidR="00556EA9" w:rsidRDefault="00556EA9" w:rsidP="00556EA9">
      <w:pPr>
        <w:pStyle w:val="NormalHeadings"/>
        <w:rPr>
          <w:b w:val="0"/>
        </w:rPr>
      </w:pPr>
    </w:p>
    <w:p w:rsidR="00556EA9" w:rsidRDefault="00556EA9" w:rsidP="00556EA9">
      <w:pPr>
        <w:pStyle w:val="NormalHeadings"/>
      </w:pPr>
      <w:r>
        <w:t>THE COURT ORDERS THAT:</w:t>
      </w:r>
    </w:p>
    <w:p w:rsidR="00556EA9" w:rsidRDefault="00556EA9" w:rsidP="00556EA9">
      <w:pPr>
        <w:pStyle w:val="NormalHeadings"/>
      </w:pPr>
    </w:p>
    <w:p w:rsidR="00CC115F" w:rsidRPr="002F3278" w:rsidRDefault="00CC115F" w:rsidP="002F3278">
      <w:pPr>
        <w:pStyle w:val="Order1"/>
      </w:pPr>
      <w:r w:rsidRPr="002F3278">
        <w:t xml:space="preserve">The following preliminary questions be answered as follows: </w:t>
      </w:r>
    </w:p>
    <w:p w:rsidR="00CC115F" w:rsidRPr="00AC3BAB" w:rsidRDefault="00CC115F" w:rsidP="00AC3BAB">
      <w:pPr>
        <w:pStyle w:val="ListNo2"/>
        <w:numPr>
          <w:ilvl w:val="0"/>
          <w:numId w:val="0"/>
        </w:numPr>
        <w:ind w:left="720"/>
        <w:rPr>
          <w:i/>
        </w:rPr>
      </w:pPr>
      <w:r w:rsidRPr="00AC3BAB">
        <w:rPr>
          <w:b/>
          <w:i/>
        </w:rPr>
        <w:t>Question One</w:t>
      </w:r>
      <w:r w:rsidRPr="00AC3BAB">
        <w:rPr>
          <w:i/>
        </w:rPr>
        <w:t xml:space="preserve">: Whether any (and if so which) of the companies listed in Annexure 1 was insolvent between 30 March 2012 and 25 September 2012. </w:t>
      </w:r>
    </w:p>
    <w:p w:rsidR="00CC115F" w:rsidRPr="00AC3BAB" w:rsidRDefault="00CC115F" w:rsidP="00AC3BAB">
      <w:pPr>
        <w:pStyle w:val="ListNo2"/>
        <w:numPr>
          <w:ilvl w:val="0"/>
          <w:numId w:val="0"/>
        </w:numPr>
        <w:ind w:left="720"/>
        <w:rPr>
          <w:i/>
        </w:rPr>
      </w:pPr>
      <w:r w:rsidRPr="00AC3BAB">
        <w:rPr>
          <w:b/>
          <w:i/>
        </w:rPr>
        <w:t>Answer</w:t>
      </w:r>
      <w:r w:rsidRPr="00AC3BAB">
        <w:rPr>
          <w:i/>
        </w:rPr>
        <w:t xml:space="preserve">: </w:t>
      </w:r>
      <w:r w:rsidR="008F1FE7" w:rsidRPr="00AC3BAB">
        <w:rPr>
          <w:i/>
        </w:rPr>
        <w:t>E</w:t>
      </w:r>
      <w:r w:rsidRPr="00AC3BAB">
        <w:rPr>
          <w:i/>
        </w:rPr>
        <w:t xml:space="preserve">ach of the companies listed in Annexure 1 was insolvent between 30 March 2012 and 25 September 2012. </w:t>
      </w:r>
    </w:p>
    <w:p w:rsidR="00CC115F" w:rsidRPr="00AC3BAB" w:rsidRDefault="00CC115F" w:rsidP="00AC3BAB">
      <w:pPr>
        <w:pStyle w:val="ListNo2"/>
        <w:numPr>
          <w:ilvl w:val="0"/>
          <w:numId w:val="0"/>
        </w:numPr>
        <w:ind w:left="720"/>
        <w:rPr>
          <w:i/>
        </w:rPr>
      </w:pPr>
    </w:p>
    <w:p w:rsidR="00CC115F" w:rsidRPr="00AC3BAB" w:rsidRDefault="00CC115F" w:rsidP="00AC3BAB">
      <w:pPr>
        <w:pStyle w:val="ListNo2"/>
        <w:numPr>
          <w:ilvl w:val="0"/>
          <w:numId w:val="0"/>
        </w:numPr>
        <w:ind w:left="720"/>
        <w:rPr>
          <w:i/>
        </w:rPr>
      </w:pPr>
      <w:r w:rsidRPr="00AC3BAB">
        <w:rPr>
          <w:b/>
          <w:i/>
        </w:rPr>
        <w:t>Question Two</w:t>
      </w:r>
      <w:r w:rsidRPr="00AC3BAB">
        <w:rPr>
          <w:i/>
        </w:rPr>
        <w:t xml:space="preserve">: If the answer to question (1) is yes, from what date did each insolvent company become insolvent.   </w:t>
      </w:r>
    </w:p>
    <w:p w:rsidR="00CC115F" w:rsidRPr="00AC3BAB" w:rsidRDefault="00CC115F" w:rsidP="00AC3BAB">
      <w:pPr>
        <w:pStyle w:val="ListNo2"/>
        <w:numPr>
          <w:ilvl w:val="0"/>
          <w:numId w:val="0"/>
        </w:numPr>
        <w:ind w:left="720"/>
        <w:rPr>
          <w:i/>
        </w:rPr>
      </w:pPr>
      <w:r w:rsidRPr="00AC3BAB">
        <w:rPr>
          <w:b/>
          <w:i/>
        </w:rPr>
        <w:t>Answer</w:t>
      </w:r>
      <w:r w:rsidRPr="00AC3BAB">
        <w:rPr>
          <w:i/>
        </w:rPr>
        <w:t xml:space="preserve">: </w:t>
      </w:r>
      <w:r w:rsidR="008F1FE7" w:rsidRPr="00AC3BAB">
        <w:rPr>
          <w:i/>
        </w:rPr>
        <w:t>E</w:t>
      </w:r>
      <w:r w:rsidRPr="00AC3BAB">
        <w:rPr>
          <w:i/>
        </w:rPr>
        <w:t xml:space="preserve">ach of the companies listed in Annexure 1 </w:t>
      </w:r>
      <w:r w:rsidR="008F1FE7" w:rsidRPr="00AC3BAB">
        <w:rPr>
          <w:i/>
        </w:rPr>
        <w:t>was</w:t>
      </w:r>
      <w:r w:rsidRPr="00AC3BAB">
        <w:rPr>
          <w:i/>
        </w:rPr>
        <w:t xml:space="preserve"> insolvent as </w:t>
      </w:r>
      <w:r w:rsidR="007F1459" w:rsidRPr="00AC3BAB">
        <w:rPr>
          <w:i/>
        </w:rPr>
        <w:t>at</w:t>
      </w:r>
      <w:r w:rsidRPr="00AC3BAB">
        <w:rPr>
          <w:i/>
        </w:rPr>
        <w:t xml:space="preserve"> 30 March 2012 and remained insolvent to the date of the appointment of the administrators. </w:t>
      </w:r>
    </w:p>
    <w:p w:rsidR="00556EA9" w:rsidRPr="00AC3BAB" w:rsidRDefault="00556EA9" w:rsidP="00AC3BAB">
      <w:pPr>
        <w:pStyle w:val="ListNo2"/>
        <w:numPr>
          <w:ilvl w:val="0"/>
          <w:numId w:val="0"/>
        </w:numPr>
        <w:ind w:left="720"/>
        <w:rPr>
          <w:i/>
        </w:rPr>
      </w:pPr>
    </w:p>
    <w:p w:rsidR="007F1459" w:rsidRPr="00AC3BAB" w:rsidRDefault="007F1459" w:rsidP="00AC3BAB">
      <w:pPr>
        <w:pStyle w:val="ListNo2"/>
        <w:numPr>
          <w:ilvl w:val="0"/>
          <w:numId w:val="0"/>
        </w:numPr>
        <w:ind w:left="720"/>
        <w:rPr>
          <w:i/>
        </w:rPr>
      </w:pPr>
      <w:r w:rsidRPr="00AC3BAB">
        <w:rPr>
          <w:b/>
          <w:i/>
        </w:rPr>
        <w:t>Question Three</w:t>
      </w:r>
      <w:r w:rsidRPr="00AC3BAB">
        <w:rPr>
          <w:i/>
        </w:rPr>
        <w:t>: Whether any (and if so which) of the claims that were added by the plaintiffs pursuant to the grant of leave are statute barred by reason of s </w:t>
      </w:r>
      <w:proofErr w:type="gramStart"/>
      <w:r w:rsidRPr="00AC3BAB">
        <w:rPr>
          <w:i/>
        </w:rPr>
        <w:t>588FF(</w:t>
      </w:r>
      <w:proofErr w:type="gramEnd"/>
      <w:r w:rsidRPr="00AC3BAB">
        <w:rPr>
          <w:i/>
        </w:rPr>
        <w:t>3) of the Corporations Act 2001 (Cth).</w:t>
      </w:r>
    </w:p>
    <w:p w:rsidR="007F1459" w:rsidRPr="00AC3BAB" w:rsidRDefault="007F1459" w:rsidP="00AC3BAB">
      <w:pPr>
        <w:pStyle w:val="ListNo2"/>
        <w:numPr>
          <w:ilvl w:val="0"/>
          <w:numId w:val="0"/>
        </w:numPr>
        <w:ind w:left="720"/>
        <w:rPr>
          <w:i/>
        </w:rPr>
      </w:pPr>
      <w:r w:rsidRPr="00AC3BAB">
        <w:rPr>
          <w:b/>
          <w:i/>
        </w:rPr>
        <w:t>Answer</w:t>
      </w:r>
      <w:r w:rsidRPr="00AC3BAB">
        <w:rPr>
          <w:i/>
        </w:rPr>
        <w:t>: None of the claims added by the plaintiffs pursuant to the grant of leave are statute barred by reason of s </w:t>
      </w:r>
      <w:proofErr w:type="gramStart"/>
      <w:r w:rsidRPr="00AC3BAB">
        <w:rPr>
          <w:i/>
        </w:rPr>
        <w:t>588FF(</w:t>
      </w:r>
      <w:proofErr w:type="gramEnd"/>
      <w:r w:rsidRPr="00AC3BAB">
        <w:rPr>
          <w:i/>
        </w:rPr>
        <w:t>3) of the Corporations Act 2001 (Cth).</w:t>
      </w:r>
    </w:p>
    <w:p w:rsidR="007F1459" w:rsidRPr="00AC3BAB" w:rsidRDefault="007F1459" w:rsidP="00AC3BAB">
      <w:pPr>
        <w:pStyle w:val="ListNo2"/>
        <w:numPr>
          <w:ilvl w:val="0"/>
          <w:numId w:val="0"/>
        </w:numPr>
        <w:ind w:left="720"/>
        <w:rPr>
          <w:b/>
          <w:i/>
        </w:rPr>
      </w:pPr>
    </w:p>
    <w:p w:rsidR="007F1459" w:rsidRPr="00AC3BAB" w:rsidRDefault="007F1459" w:rsidP="00AC3BAB">
      <w:pPr>
        <w:pStyle w:val="ListNo2"/>
        <w:numPr>
          <w:ilvl w:val="0"/>
          <w:numId w:val="0"/>
        </w:numPr>
        <w:ind w:left="720"/>
        <w:rPr>
          <w:i/>
        </w:rPr>
      </w:pPr>
      <w:r w:rsidRPr="00AC3BAB">
        <w:rPr>
          <w:b/>
          <w:i/>
        </w:rPr>
        <w:t>Question Four</w:t>
      </w:r>
      <w:r w:rsidRPr="00AC3BAB">
        <w:rPr>
          <w:i/>
        </w:rPr>
        <w:t xml:space="preserve">: Whether the conditional leave granted </w:t>
      </w:r>
      <w:proofErr w:type="gramStart"/>
      <w:r w:rsidRPr="00AC3BAB">
        <w:rPr>
          <w:i/>
        </w:rPr>
        <w:t>ought</w:t>
      </w:r>
      <w:proofErr w:type="gramEnd"/>
      <w:r w:rsidRPr="00AC3BAB">
        <w:rPr>
          <w:i/>
        </w:rPr>
        <w:t xml:space="preserve"> be granted in any event. </w:t>
      </w:r>
    </w:p>
    <w:p w:rsidR="007F1459" w:rsidRPr="00AC3BAB" w:rsidRDefault="007F1459" w:rsidP="00AC3BAB">
      <w:pPr>
        <w:pStyle w:val="ListNo2"/>
        <w:numPr>
          <w:ilvl w:val="0"/>
          <w:numId w:val="0"/>
        </w:numPr>
        <w:ind w:left="720"/>
        <w:rPr>
          <w:i/>
        </w:rPr>
      </w:pPr>
      <w:r w:rsidRPr="00AC3BAB">
        <w:rPr>
          <w:b/>
          <w:i/>
        </w:rPr>
        <w:t>Answer</w:t>
      </w:r>
      <w:r w:rsidRPr="00AC3BAB">
        <w:rPr>
          <w:i/>
        </w:rPr>
        <w:t xml:space="preserve">: </w:t>
      </w:r>
      <w:r w:rsidR="0058364C" w:rsidRPr="00AC3BAB">
        <w:rPr>
          <w:i/>
        </w:rPr>
        <w:t>Yes</w:t>
      </w:r>
      <w:r w:rsidR="00575B68" w:rsidRPr="00AC3BAB">
        <w:rPr>
          <w:i/>
        </w:rPr>
        <w:t xml:space="preserve">. </w:t>
      </w:r>
    </w:p>
    <w:p w:rsidR="007F1459" w:rsidRDefault="007F1459" w:rsidP="00556EA9">
      <w:pPr>
        <w:pStyle w:val="BodyText"/>
      </w:pPr>
    </w:p>
    <w:p w:rsidR="00556EA9" w:rsidRDefault="00556EA9" w:rsidP="00556EA9">
      <w:pPr>
        <w:pStyle w:val="BodyText"/>
      </w:pPr>
    </w:p>
    <w:p w:rsidR="00556EA9" w:rsidRDefault="00556EA9" w:rsidP="00556EA9">
      <w:pPr>
        <w:pStyle w:val="SingleSpace"/>
      </w:pPr>
      <w:r>
        <w:t>Note:</w:t>
      </w:r>
      <w:r>
        <w:tab/>
        <w:t xml:space="preserve">Entry of orders is dealt with in Rule 39.32 of the </w:t>
      </w:r>
      <w:r>
        <w:rPr>
          <w:i/>
        </w:rPr>
        <w:t>Federal Court Rules 2011</w:t>
      </w:r>
      <w:r>
        <w:t>.</w:t>
      </w:r>
    </w:p>
    <w:p w:rsidR="00556EA9" w:rsidRDefault="00556EA9" w:rsidP="00556EA9">
      <w:pPr>
        <w:pStyle w:val="BodyText"/>
      </w:pPr>
    </w:p>
    <w:p w:rsidR="00556EA9" w:rsidRDefault="00556EA9" w:rsidP="00556EA9">
      <w:pPr>
        <w:pStyle w:val="BodyText"/>
      </w:pPr>
    </w:p>
    <w:p w:rsidR="00556EA9" w:rsidRDefault="00556EA9" w:rsidP="00556EA9">
      <w:pPr>
        <w:pStyle w:val="BodyText"/>
      </w:pPr>
    </w:p>
    <w:p w:rsidR="00556EA9" w:rsidRDefault="00556EA9" w:rsidP="00556EA9">
      <w:pPr>
        <w:pStyle w:val="NormalHeadings"/>
        <w:spacing w:before="240" w:after="120"/>
        <w:rPr>
          <w:b w:val="0"/>
        </w:rPr>
        <w:sectPr w:rsidR="00556EA9"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556EA9" w:rsidRDefault="00556EA9" w:rsidP="00556EA9">
      <w:pPr>
        <w:pStyle w:val="Normal1linespace"/>
      </w:pPr>
    </w:p>
    <w:p w:rsidR="00556EA9" w:rsidRPr="00045BB7" w:rsidRDefault="00556EA9" w:rsidP="00556EA9">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6EA9" w:rsidTr="000A4538">
        <w:tc>
          <w:tcPr>
            <w:tcW w:w="6912" w:type="dxa"/>
            <w:gridSpan w:val="2"/>
          </w:tcPr>
          <w:p w:rsidR="00556EA9" w:rsidRPr="001765E0" w:rsidRDefault="00556EA9" w:rsidP="000A4538">
            <w:pPr>
              <w:pStyle w:val="NormalHeadings"/>
            </w:pPr>
          </w:p>
        </w:tc>
        <w:tc>
          <w:tcPr>
            <w:tcW w:w="2330" w:type="dxa"/>
          </w:tcPr>
          <w:p w:rsidR="00556EA9" w:rsidRDefault="00556EA9" w:rsidP="00556EA9">
            <w:pPr>
              <w:pStyle w:val="NormalHeadings"/>
              <w:jc w:val="right"/>
            </w:pPr>
            <w:r>
              <w:t>WAD 540 of 2015</w:t>
            </w:r>
          </w:p>
        </w:tc>
      </w:tr>
      <w:tr w:rsidR="00556EA9" w:rsidTr="000A4538">
        <w:tc>
          <w:tcPr>
            <w:tcW w:w="9242" w:type="dxa"/>
            <w:gridSpan w:val="3"/>
          </w:tcPr>
          <w:p w:rsidR="00556EA9" w:rsidRPr="00A76C13" w:rsidRDefault="00556EA9" w:rsidP="000A4538">
            <w:pPr>
              <w:pStyle w:val="NormalHeadings"/>
              <w:spacing w:before="240" w:after="240"/>
              <w:jc w:val="left"/>
            </w:pPr>
            <w:r>
              <w:t>IN THE MATTER OF GUNNS LIMITED (IN LIQUIDATION) (RECEIVERS &amp; MANAGERS APPOINTED) (ACN 009 478 148)</w:t>
            </w:r>
          </w:p>
        </w:tc>
      </w:tr>
      <w:tr w:rsidR="00556EA9" w:rsidTr="000A4538">
        <w:trPr>
          <w:trHeight w:val="386"/>
        </w:trPr>
        <w:tc>
          <w:tcPr>
            <w:tcW w:w="2376" w:type="dxa"/>
          </w:tcPr>
          <w:p w:rsidR="00556EA9" w:rsidRDefault="00556EA9" w:rsidP="000A4538">
            <w:pPr>
              <w:pStyle w:val="NormalHeadings"/>
              <w:jc w:val="left"/>
              <w:rPr>
                <w:caps/>
                <w:szCs w:val="24"/>
              </w:rPr>
            </w:pPr>
            <w:r>
              <w:rPr>
                <w:caps/>
                <w:szCs w:val="24"/>
              </w:rPr>
              <w:t>BETWEEN:</w:t>
            </w:r>
          </w:p>
        </w:tc>
        <w:tc>
          <w:tcPr>
            <w:tcW w:w="6866" w:type="dxa"/>
            <w:gridSpan w:val="2"/>
          </w:tcPr>
          <w:p w:rsidR="00556EA9" w:rsidRDefault="00556EA9" w:rsidP="000A4538">
            <w:pPr>
              <w:pStyle w:val="NormalHeadings"/>
              <w:jc w:val="left"/>
            </w:pPr>
            <w:r>
              <w:t>DANIEL MATHEW BRYANT, IAN MENZIES CARSON AND CRAIG DAVID CROSBIE IN THEIR CAPACITIES AS JOINT AND SEVERAL LIQUIDATORS OF GUNNS LIMITED (IN LIQUIDATION) RECEIVERS &amp; MANAGERS APPOINTED) (ACN 009 478 148)</w:t>
            </w:r>
          </w:p>
          <w:p w:rsidR="00556EA9" w:rsidRDefault="00556EA9" w:rsidP="000A4538">
            <w:pPr>
              <w:pStyle w:val="PartyType"/>
            </w:pPr>
            <w:r>
              <w:t>Plaintiffs</w:t>
            </w:r>
          </w:p>
          <w:p w:rsidR="00556EA9" w:rsidRPr="006555B4" w:rsidRDefault="00556EA9" w:rsidP="000A4538">
            <w:pPr>
              <w:pStyle w:val="NormalHeadings"/>
              <w:jc w:val="left"/>
            </w:pPr>
          </w:p>
        </w:tc>
      </w:tr>
      <w:tr w:rsidR="00556EA9" w:rsidTr="000A4538">
        <w:trPr>
          <w:trHeight w:val="386"/>
        </w:trPr>
        <w:tc>
          <w:tcPr>
            <w:tcW w:w="2376" w:type="dxa"/>
          </w:tcPr>
          <w:p w:rsidR="00556EA9" w:rsidRDefault="00556EA9" w:rsidP="000A4538">
            <w:pPr>
              <w:pStyle w:val="NormalHeadings"/>
              <w:jc w:val="left"/>
              <w:rPr>
                <w:caps/>
                <w:szCs w:val="24"/>
              </w:rPr>
            </w:pPr>
            <w:r>
              <w:rPr>
                <w:caps/>
                <w:szCs w:val="24"/>
              </w:rPr>
              <w:t>AND:</w:t>
            </w:r>
          </w:p>
        </w:tc>
        <w:tc>
          <w:tcPr>
            <w:tcW w:w="6866" w:type="dxa"/>
            <w:gridSpan w:val="2"/>
          </w:tcPr>
          <w:p w:rsidR="00556EA9" w:rsidRDefault="00556EA9" w:rsidP="000A4538">
            <w:pPr>
              <w:autoSpaceDE w:val="0"/>
              <w:autoSpaceDN w:val="0"/>
              <w:adjustRightInd w:val="0"/>
              <w:spacing w:line="240" w:lineRule="auto"/>
              <w:jc w:val="left"/>
              <w:rPr>
                <w:rFonts w:ascii="TimesNewRoman,Bold" w:hAnsi="TimesNewRoman,Bold" w:cs="TimesNewRoman,Bold"/>
                <w:b/>
                <w:bCs/>
                <w:szCs w:val="24"/>
                <w:lang w:eastAsia="en-AU"/>
              </w:rPr>
            </w:pPr>
            <w:r>
              <w:rPr>
                <w:rFonts w:ascii="TimesNewRoman,Bold" w:hAnsi="TimesNewRoman,Bold" w:cs="TimesNewRoman,Bold"/>
                <w:b/>
                <w:bCs/>
                <w:szCs w:val="24"/>
                <w:lang w:eastAsia="en-AU"/>
              </w:rPr>
              <w:t>EDENBORN PTY LTD (ACN 065 056 180)</w:t>
            </w:r>
          </w:p>
          <w:p w:rsidR="00556EA9" w:rsidRDefault="00556EA9" w:rsidP="000A4538">
            <w:pPr>
              <w:pStyle w:val="PartyType"/>
            </w:pPr>
            <w:r>
              <w:t>Defendant</w:t>
            </w:r>
          </w:p>
          <w:p w:rsidR="00556EA9" w:rsidRPr="006555B4" w:rsidRDefault="00556EA9" w:rsidP="000A4538">
            <w:pPr>
              <w:pStyle w:val="NormalHeadings"/>
              <w:jc w:val="left"/>
            </w:pPr>
          </w:p>
        </w:tc>
      </w:tr>
    </w:tbl>
    <w:p w:rsidR="00556EA9" w:rsidRDefault="00556EA9" w:rsidP="00556EA9">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56EA9" w:rsidTr="000A4538">
        <w:tc>
          <w:tcPr>
            <w:tcW w:w="2376" w:type="dxa"/>
          </w:tcPr>
          <w:p w:rsidR="00556EA9" w:rsidRDefault="00556EA9" w:rsidP="000A4538">
            <w:pPr>
              <w:pStyle w:val="NormalHeadings"/>
              <w:spacing w:after="120"/>
              <w:jc w:val="left"/>
              <w:rPr>
                <w:caps/>
                <w:szCs w:val="24"/>
              </w:rPr>
            </w:pPr>
            <w:r>
              <w:rPr>
                <w:caps/>
                <w:szCs w:val="24"/>
              </w:rPr>
              <w:t>JUDGE:</w:t>
            </w:r>
          </w:p>
        </w:tc>
        <w:tc>
          <w:tcPr>
            <w:tcW w:w="6866" w:type="dxa"/>
          </w:tcPr>
          <w:p w:rsidR="00556EA9" w:rsidRDefault="00556EA9" w:rsidP="000A4538">
            <w:pPr>
              <w:pStyle w:val="NormalHeadings"/>
              <w:jc w:val="left"/>
              <w:rPr>
                <w:caps/>
                <w:szCs w:val="24"/>
              </w:rPr>
            </w:pPr>
            <w:r>
              <w:rPr>
                <w:caps/>
                <w:szCs w:val="24"/>
              </w:rPr>
              <w:t>DAVIES J</w:t>
            </w:r>
          </w:p>
        </w:tc>
      </w:tr>
      <w:tr w:rsidR="00556EA9" w:rsidTr="000A4538">
        <w:tc>
          <w:tcPr>
            <w:tcW w:w="2376" w:type="dxa"/>
          </w:tcPr>
          <w:p w:rsidR="00556EA9" w:rsidRDefault="00556EA9" w:rsidP="000A4538">
            <w:pPr>
              <w:pStyle w:val="NormalHeadings"/>
              <w:spacing w:after="120"/>
              <w:jc w:val="left"/>
              <w:rPr>
                <w:caps/>
                <w:szCs w:val="24"/>
              </w:rPr>
            </w:pPr>
            <w:r>
              <w:rPr>
                <w:caps/>
                <w:szCs w:val="24"/>
              </w:rPr>
              <w:t>DATE OF ORDER:</w:t>
            </w:r>
          </w:p>
        </w:tc>
        <w:tc>
          <w:tcPr>
            <w:tcW w:w="6866" w:type="dxa"/>
          </w:tcPr>
          <w:p w:rsidR="00556EA9" w:rsidRDefault="00556D15" w:rsidP="000A4538">
            <w:pPr>
              <w:pStyle w:val="NormalHeadings"/>
              <w:jc w:val="left"/>
              <w:rPr>
                <w:caps/>
                <w:szCs w:val="24"/>
              </w:rPr>
            </w:pPr>
            <w:r>
              <w:rPr>
                <w:caps/>
                <w:szCs w:val="24"/>
              </w:rPr>
              <w:t>6 March 2018</w:t>
            </w:r>
          </w:p>
        </w:tc>
      </w:tr>
    </w:tbl>
    <w:p w:rsidR="00556EA9" w:rsidRDefault="00556EA9" w:rsidP="00556EA9">
      <w:pPr>
        <w:pStyle w:val="NormalHeadings"/>
        <w:rPr>
          <w:b w:val="0"/>
        </w:rPr>
      </w:pPr>
    </w:p>
    <w:p w:rsidR="00556EA9" w:rsidRDefault="00556EA9" w:rsidP="00556EA9">
      <w:pPr>
        <w:pStyle w:val="NormalHeadings"/>
        <w:rPr>
          <w:b w:val="0"/>
        </w:rPr>
      </w:pPr>
    </w:p>
    <w:p w:rsidR="00556EA9" w:rsidRDefault="00556EA9" w:rsidP="00556EA9">
      <w:pPr>
        <w:pStyle w:val="NormalHeadings"/>
      </w:pPr>
      <w:r>
        <w:t>THE COURT ORDERS THAT:</w:t>
      </w:r>
    </w:p>
    <w:p w:rsidR="00556EA9" w:rsidRDefault="00556EA9" w:rsidP="00556EA9">
      <w:pPr>
        <w:pStyle w:val="NormalHeadings"/>
      </w:pPr>
    </w:p>
    <w:p w:rsidR="002F3278" w:rsidRPr="002F3278" w:rsidRDefault="002F3278" w:rsidP="00017B82">
      <w:pPr>
        <w:pStyle w:val="Order1"/>
        <w:numPr>
          <w:ilvl w:val="0"/>
          <w:numId w:val="31"/>
        </w:numPr>
      </w:pPr>
      <w:r w:rsidRPr="002F3278">
        <w:t xml:space="preserve">The following preliminary questions be answered as follows: </w:t>
      </w:r>
    </w:p>
    <w:p w:rsidR="002F3278" w:rsidRPr="00AC3BAB" w:rsidRDefault="002F3278" w:rsidP="00AC3BAB">
      <w:pPr>
        <w:pStyle w:val="ListNo2"/>
        <w:numPr>
          <w:ilvl w:val="0"/>
          <w:numId w:val="0"/>
        </w:numPr>
        <w:ind w:left="720"/>
        <w:rPr>
          <w:i/>
        </w:rPr>
      </w:pPr>
      <w:r w:rsidRPr="00AC3BAB">
        <w:rPr>
          <w:b/>
          <w:i/>
        </w:rPr>
        <w:t>Question One</w:t>
      </w:r>
      <w:r w:rsidRPr="00AC3BAB">
        <w:rPr>
          <w:i/>
        </w:rPr>
        <w:t xml:space="preserve">: Whether any (and if so which) of the companies listed in Annexure 1 was insolvent between 30 March 2012 and 25 September 2012.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Each of the companies listed in Annexure 1 was insolvent between 30 March 2012 and 25 September 2012. </w:t>
      </w:r>
    </w:p>
    <w:p w:rsidR="002F3278" w:rsidRPr="00AC3BAB" w:rsidRDefault="002F3278" w:rsidP="00AC3BAB">
      <w:pPr>
        <w:pStyle w:val="ListNo2"/>
        <w:numPr>
          <w:ilvl w:val="0"/>
          <w:numId w:val="0"/>
        </w:numPr>
        <w:ind w:left="720"/>
        <w:rPr>
          <w:i/>
        </w:rPr>
      </w:pPr>
    </w:p>
    <w:p w:rsidR="002F3278" w:rsidRPr="00AC3BAB" w:rsidRDefault="002F3278" w:rsidP="00AC3BAB">
      <w:pPr>
        <w:pStyle w:val="ListNo2"/>
        <w:numPr>
          <w:ilvl w:val="0"/>
          <w:numId w:val="0"/>
        </w:numPr>
        <w:ind w:left="720"/>
        <w:rPr>
          <w:i/>
        </w:rPr>
      </w:pPr>
      <w:r w:rsidRPr="00AC3BAB">
        <w:rPr>
          <w:b/>
          <w:i/>
        </w:rPr>
        <w:t>Question Two</w:t>
      </w:r>
      <w:r w:rsidRPr="00AC3BAB">
        <w:rPr>
          <w:i/>
        </w:rPr>
        <w:t xml:space="preserve">: If the answer to question (1) is yes, from what date did each insolvent company become insolvent.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Each of the companies listed in Annexure 1 was insolvent as at 30 March 2012 and remained insolvent to the date of the appointment of the administrators. </w:t>
      </w:r>
    </w:p>
    <w:p w:rsidR="002F3278" w:rsidRPr="00AC3BAB" w:rsidRDefault="002F3278" w:rsidP="00AC3BAB">
      <w:pPr>
        <w:pStyle w:val="ListNo2"/>
        <w:numPr>
          <w:ilvl w:val="0"/>
          <w:numId w:val="0"/>
        </w:numPr>
        <w:ind w:left="720"/>
        <w:rPr>
          <w:i/>
        </w:rPr>
      </w:pPr>
    </w:p>
    <w:p w:rsidR="002F3278" w:rsidRPr="00AC3BAB" w:rsidRDefault="002F3278" w:rsidP="00AC3BAB">
      <w:pPr>
        <w:pStyle w:val="ListNo2"/>
        <w:numPr>
          <w:ilvl w:val="0"/>
          <w:numId w:val="0"/>
        </w:numPr>
        <w:ind w:left="720"/>
        <w:rPr>
          <w:i/>
        </w:rPr>
      </w:pPr>
      <w:r w:rsidRPr="00AC3BAB">
        <w:rPr>
          <w:b/>
          <w:i/>
        </w:rPr>
        <w:t>Question Three</w:t>
      </w:r>
      <w:r w:rsidRPr="00AC3BAB">
        <w:rPr>
          <w:i/>
        </w:rPr>
        <w:t>: Whether any (and if so which) of the claims that were added by the plaintiffs pursuant to the grant of leave are statute barred by reason of s </w:t>
      </w:r>
      <w:proofErr w:type="gramStart"/>
      <w:r w:rsidRPr="00AC3BAB">
        <w:rPr>
          <w:i/>
        </w:rPr>
        <w:t>588FF(</w:t>
      </w:r>
      <w:proofErr w:type="gramEnd"/>
      <w:r w:rsidRPr="00AC3BAB">
        <w:rPr>
          <w:i/>
        </w:rPr>
        <w:t>3) of the Corporations Act 2001 (Cth).</w:t>
      </w:r>
    </w:p>
    <w:p w:rsidR="002F3278" w:rsidRPr="00AC3BAB" w:rsidRDefault="002F3278" w:rsidP="00AC3BAB">
      <w:pPr>
        <w:pStyle w:val="ListNo2"/>
        <w:numPr>
          <w:ilvl w:val="0"/>
          <w:numId w:val="0"/>
        </w:numPr>
        <w:ind w:left="720"/>
        <w:rPr>
          <w:i/>
        </w:rPr>
      </w:pPr>
      <w:r w:rsidRPr="00AC3BAB">
        <w:rPr>
          <w:b/>
          <w:i/>
        </w:rPr>
        <w:lastRenderedPageBreak/>
        <w:t>Answer</w:t>
      </w:r>
      <w:r w:rsidRPr="00AC3BAB">
        <w:rPr>
          <w:i/>
        </w:rPr>
        <w:t>: None of the claims added by the plaintiffs pursuant to the grant of leave are statute barred by reason of s </w:t>
      </w:r>
      <w:proofErr w:type="gramStart"/>
      <w:r w:rsidRPr="00AC3BAB">
        <w:rPr>
          <w:i/>
        </w:rPr>
        <w:t>588FF(</w:t>
      </w:r>
      <w:proofErr w:type="gramEnd"/>
      <w:r w:rsidRPr="00AC3BAB">
        <w:rPr>
          <w:i/>
        </w:rPr>
        <w:t>3) of the Corporations Act 2001 (Cth).</w:t>
      </w:r>
    </w:p>
    <w:p w:rsidR="002F3278" w:rsidRPr="00AC3BAB" w:rsidRDefault="002F3278" w:rsidP="00AC3BAB">
      <w:pPr>
        <w:pStyle w:val="ListNo2"/>
        <w:numPr>
          <w:ilvl w:val="0"/>
          <w:numId w:val="0"/>
        </w:numPr>
        <w:ind w:left="720"/>
        <w:rPr>
          <w:b/>
          <w:i/>
        </w:rPr>
      </w:pPr>
    </w:p>
    <w:p w:rsidR="002F3278" w:rsidRPr="00AC3BAB" w:rsidRDefault="002F3278" w:rsidP="00AC3BAB">
      <w:pPr>
        <w:pStyle w:val="ListNo2"/>
        <w:numPr>
          <w:ilvl w:val="0"/>
          <w:numId w:val="0"/>
        </w:numPr>
        <w:ind w:left="720"/>
        <w:rPr>
          <w:i/>
        </w:rPr>
      </w:pPr>
      <w:r w:rsidRPr="00AC3BAB">
        <w:rPr>
          <w:b/>
          <w:i/>
        </w:rPr>
        <w:t>Question Four</w:t>
      </w:r>
      <w:r w:rsidRPr="00AC3BAB">
        <w:rPr>
          <w:i/>
        </w:rPr>
        <w:t xml:space="preserve">: Whether the conditional leave granted </w:t>
      </w:r>
      <w:proofErr w:type="gramStart"/>
      <w:r w:rsidRPr="00AC3BAB">
        <w:rPr>
          <w:i/>
        </w:rPr>
        <w:t>ought</w:t>
      </w:r>
      <w:proofErr w:type="gramEnd"/>
      <w:r w:rsidRPr="00AC3BAB">
        <w:rPr>
          <w:i/>
        </w:rPr>
        <w:t xml:space="preserve"> be granted in any event.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w:t>
      </w:r>
      <w:r w:rsidR="0058364C" w:rsidRPr="00AC3BAB">
        <w:rPr>
          <w:i/>
        </w:rPr>
        <w:t>Yes</w:t>
      </w:r>
      <w:r w:rsidRPr="00AC3BAB">
        <w:rPr>
          <w:i/>
        </w:rPr>
        <w:t xml:space="preserve">. </w:t>
      </w:r>
    </w:p>
    <w:p w:rsidR="00556EA9" w:rsidRDefault="00556EA9" w:rsidP="00556EA9">
      <w:pPr>
        <w:pStyle w:val="BodyText"/>
      </w:pPr>
    </w:p>
    <w:p w:rsidR="00556EA9" w:rsidRDefault="00556EA9" w:rsidP="00556EA9">
      <w:pPr>
        <w:pStyle w:val="BodyText"/>
      </w:pPr>
    </w:p>
    <w:p w:rsidR="00556EA9" w:rsidRDefault="00556EA9" w:rsidP="00556EA9">
      <w:pPr>
        <w:pStyle w:val="SingleSpace"/>
      </w:pPr>
      <w:r>
        <w:t>Note:</w:t>
      </w:r>
      <w:r>
        <w:tab/>
        <w:t xml:space="preserve">Entry of orders is dealt with in Rule 39.32 of the </w:t>
      </w:r>
      <w:r>
        <w:rPr>
          <w:i/>
        </w:rPr>
        <w:t>Federal Court Rules 2011</w:t>
      </w:r>
      <w:r>
        <w:t>.</w:t>
      </w:r>
    </w:p>
    <w:p w:rsidR="00556EA9" w:rsidRDefault="00556EA9" w:rsidP="00556EA9">
      <w:pPr>
        <w:pStyle w:val="BodyText"/>
      </w:pPr>
    </w:p>
    <w:p w:rsidR="00556EA9" w:rsidRDefault="00556EA9" w:rsidP="00556EA9">
      <w:pPr>
        <w:pStyle w:val="BodyText"/>
      </w:pPr>
    </w:p>
    <w:p w:rsidR="00556EA9" w:rsidRDefault="00556EA9" w:rsidP="00556EA9">
      <w:pPr>
        <w:pStyle w:val="BodyText"/>
      </w:pPr>
    </w:p>
    <w:p w:rsidR="00556EA9" w:rsidRDefault="00556EA9" w:rsidP="00556EA9">
      <w:pPr>
        <w:pStyle w:val="NormalHeadings"/>
        <w:spacing w:before="240" w:after="120"/>
        <w:rPr>
          <w:b w:val="0"/>
        </w:rPr>
        <w:sectPr w:rsidR="00556EA9"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FF4CF3" w:rsidRDefault="00FF4CF3" w:rsidP="00556EA9">
      <w:pPr>
        <w:pStyle w:val="NormalHeadings"/>
        <w:spacing w:line="480" w:lineRule="auto"/>
        <w:jc w:val="center"/>
        <w:rPr>
          <w:sz w:val="28"/>
          <w:szCs w:val="28"/>
        </w:rPr>
        <w:sectPr w:rsidR="00FF4CF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556EA9" w:rsidRPr="00045BB7" w:rsidRDefault="00556EA9" w:rsidP="00556EA9">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6EA9" w:rsidTr="000A4538">
        <w:tc>
          <w:tcPr>
            <w:tcW w:w="6912" w:type="dxa"/>
            <w:gridSpan w:val="2"/>
          </w:tcPr>
          <w:p w:rsidR="00556EA9" w:rsidRPr="001765E0" w:rsidRDefault="00556EA9" w:rsidP="000A4538">
            <w:pPr>
              <w:pStyle w:val="NormalHeadings"/>
            </w:pPr>
          </w:p>
        </w:tc>
        <w:tc>
          <w:tcPr>
            <w:tcW w:w="2330" w:type="dxa"/>
          </w:tcPr>
          <w:p w:rsidR="00556EA9" w:rsidRDefault="00556EA9" w:rsidP="00556EA9">
            <w:pPr>
              <w:pStyle w:val="NormalHeadings"/>
              <w:jc w:val="right"/>
            </w:pPr>
            <w:r>
              <w:t>WAD 550 of 2015</w:t>
            </w:r>
          </w:p>
        </w:tc>
      </w:tr>
      <w:tr w:rsidR="00556EA9" w:rsidTr="000A4538">
        <w:tc>
          <w:tcPr>
            <w:tcW w:w="9242" w:type="dxa"/>
            <w:gridSpan w:val="3"/>
          </w:tcPr>
          <w:p w:rsidR="00556EA9" w:rsidRPr="00A76C13" w:rsidRDefault="00556EA9" w:rsidP="000A4538">
            <w:pPr>
              <w:pStyle w:val="NormalHeadings"/>
              <w:spacing w:before="240" w:after="240"/>
              <w:jc w:val="left"/>
            </w:pPr>
            <w:r>
              <w:t>IN THE MATTER OF GUNNS LIMITED (IN LIQUIDATION) (RECEIVERS &amp; MANAGERS APPOINTED) (ACN 009 478 148)</w:t>
            </w:r>
          </w:p>
        </w:tc>
      </w:tr>
      <w:tr w:rsidR="00556EA9" w:rsidTr="000A4538">
        <w:trPr>
          <w:trHeight w:val="386"/>
        </w:trPr>
        <w:tc>
          <w:tcPr>
            <w:tcW w:w="2376" w:type="dxa"/>
          </w:tcPr>
          <w:p w:rsidR="00556EA9" w:rsidRDefault="00556EA9" w:rsidP="000A4538">
            <w:pPr>
              <w:pStyle w:val="NormalHeadings"/>
              <w:jc w:val="left"/>
              <w:rPr>
                <w:caps/>
                <w:szCs w:val="24"/>
              </w:rPr>
            </w:pPr>
            <w:r>
              <w:rPr>
                <w:caps/>
                <w:szCs w:val="24"/>
              </w:rPr>
              <w:t>BETWEEN:</w:t>
            </w:r>
          </w:p>
        </w:tc>
        <w:tc>
          <w:tcPr>
            <w:tcW w:w="6866" w:type="dxa"/>
            <w:gridSpan w:val="2"/>
          </w:tcPr>
          <w:p w:rsidR="00556EA9" w:rsidRDefault="00556EA9" w:rsidP="000A4538">
            <w:pPr>
              <w:pStyle w:val="NormalHeadings"/>
              <w:jc w:val="left"/>
            </w:pPr>
            <w:r>
              <w:t>DANIEL MATHEW BRYANT, IAN MENZIES CARSON AND CRAIG DAVID CROSBIE IN THEIR CAPACITIES AS JOINT AND SEVERAL LIQUIDATORS OF GUNNS LIMITED (IN LIQUIDATION) RECEIVERS &amp; MANAGERS APPOINTED) (ACN 009 478 148)</w:t>
            </w:r>
          </w:p>
          <w:p w:rsidR="00556EA9" w:rsidRDefault="00556EA9" w:rsidP="000A4538">
            <w:pPr>
              <w:pStyle w:val="PartyType"/>
            </w:pPr>
            <w:r>
              <w:t>Plaintiffs</w:t>
            </w:r>
          </w:p>
          <w:p w:rsidR="00556EA9" w:rsidRPr="006555B4" w:rsidRDefault="00556EA9" w:rsidP="000A4538">
            <w:pPr>
              <w:pStyle w:val="NormalHeadings"/>
              <w:jc w:val="left"/>
            </w:pPr>
          </w:p>
        </w:tc>
      </w:tr>
      <w:tr w:rsidR="00556EA9" w:rsidTr="000A4538">
        <w:trPr>
          <w:trHeight w:val="386"/>
        </w:trPr>
        <w:tc>
          <w:tcPr>
            <w:tcW w:w="2376" w:type="dxa"/>
          </w:tcPr>
          <w:p w:rsidR="00556EA9" w:rsidRDefault="00556EA9" w:rsidP="000A4538">
            <w:pPr>
              <w:pStyle w:val="NormalHeadings"/>
              <w:jc w:val="left"/>
              <w:rPr>
                <w:caps/>
                <w:szCs w:val="24"/>
              </w:rPr>
            </w:pPr>
            <w:r>
              <w:rPr>
                <w:caps/>
                <w:szCs w:val="24"/>
              </w:rPr>
              <w:t>AND:</w:t>
            </w:r>
          </w:p>
        </w:tc>
        <w:tc>
          <w:tcPr>
            <w:tcW w:w="6866" w:type="dxa"/>
            <w:gridSpan w:val="2"/>
          </w:tcPr>
          <w:p w:rsidR="00556EA9" w:rsidRDefault="00556EA9" w:rsidP="000A4538">
            <w:pPr>
              <w:autoSpaceDE w:val="0"/>
              <w:autoSpaceDN w:val="0"/>
              <w:adjustRightInd w:val="0"/>
              <w:spacing w:line="240" w:lineRule="auto"/>
              <w:jc w:val="left"/>
              <w:rPr>
                <w:rFonts w:ascii="TimesNewRoman,Bold" w:hAnsi="TimesNewRoman,Bold" w:cs="TimesNewRoman,Bold"/>
                <w:b/>
                <w:bCs/>
                <w:szCs w:val="24"/>
                <w:lang w:eastAsia="en-AU"/>
              </w:rPr>
            </w:pPr>
            <w:r>
              <w:rPr>
                <w:rFonts w:ascii="TimesNewRoman,Bold" w:hAnsi="TimesNewRoman,Bold" w:cs="TimesNewRoman,Bold"/>
                <w:b/>
                <w:bCs/>
                <w:szCs w:val="24"/>
                <w:lang w:eastAsia="en-AU"/>
              </w:rPr>
              <w:t>BLUEWOOD INDUSTRIES PTY LTD (ACN 111 597 454)</w:t>
            </w:r>
          </w:p>
          <w:p w:rsidR="00556EA9" w:rsidRDefault="00556EA9" w:rsidP="000A4538">
            <w:pPr>
              <w:pStyle w:val="PartyType"/>
            </w:pPr>
            <w:r>
              <w:t>Defendant</w:t>
            </w:r>
          </w:p>
          <w:p w:rsidR="00556EA9" w:rsidRPr="006555B4" w:rsidRDefault="00556EA9" w:rsidP="000A4538">
            <w:pPr>
              <w:pStyle w:val="NormalHeadings"/>
              <w:jc w:val="left"/>
            </w:pPr>
          </w:p>
        </w:tc>
      </w:tr>
    </w:tbl>
    <w:p w:rsidR="00556EA9" w:rsidRDefault="00556EA9" w:rsidP="00556EA9">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56EA9" w:rsidTr="000A4538">
        <w:tc>
          <w:tcPr>
            <w:tcW w:w="2376" w:type="dxa"/>
          </w:tcPr>
          <w:p w:rsidR="00556EA9" w:rsidRDefault="00556EA9" w:rsidP="000A4538">
            <w:pPr>
              <w:pStyle w:val="NormalHeadings"/>
              <w:spacing w:after="120"/>
              <w:jc w:val="left"/>
              <w:rPr>
                <w:caps/>
                <w:szCs w:val="24"/>
              </w:rPr>
            </w:pPr>
            <w:r>
              <w:rPr>
                <w:caps/>
                <w:szCs w:val="24"/>
              </w:rPr>
              <w:t>JUDGE:</w:t>
            </w:r>
          </w:p>
        </w:tc>
        <w:tc>
          <w:tcPr>
            <w:tcW w:w="6866" w:type="dxa"/>
          </w:tcPr>
          <w:p w:rsidR="00556EA9" w:rsidRDefault="00556EA9" w:rsidP="000A4538">
            <w:pPr>
              <w:pStyle w:val="NormalHeadings"/>
              <w:jc w:val="left"/>
              <w:rPr>
                <w:caps/>
                <w:szCs w:val="24"/>
              </w:rPr>
            </w:pPr>
            <w:r>
              <w:rPr>
                <w:caps/>
                <w:szCs w:val="24"/>
              </w:rPr>
              <w:t>DAVIES J</w:t>
            </w:r>
          </w:p>
        </w:tc>
      </w:tr>
      <w:tr w:rsidR="00556EA9" w:rsidTr="000A4538">
        <w:tc>
          <w:tcPr>
            <w:tcW w:w="2376" w:type="dxa"/>
          </w:tcPr>
          <w:p w:rsidR="00556EA9" w:rsidRDefault="00556EA9" w:rsidP="000A4538">
            <w:pPr>
              <w:pStyle w:val="NormalHeadings"/>
              <w:spacing w:after="120"/>
              <w:jc w:val="left"/>
              <w:rPr>
                <w:caps/>
                <w:szCs w:val="24"/>
              </w:rPr>
            </w:pPr>
            <w:r>
              <w:rPr>
                <w:caps/>
                <w:szCs w:val="24"/>
              </w:rPr>
              <w:t>DATE OF ORDER:</w:t>
            </w:r>
          </w:p>
        </w:tc>
        <w:tc>
          <w:tcPr>
            <w:tcW w:w="6866" w:type="dxa"/>
          </w:tcPr>
          <w:p w:rsidR="00556EA9" w:rsidRDefault="00556D15" w:rsidP="000A4538">
            <w:pPr>
              <w:pStyle w:val="NormalHeadings"/>
              <w:jc w:val="left"/>
              <w:rPr>
                <w:caps/>
                <w:szCs w:val="24"/>
              </w:rPr>
            </w:pPr>
            <w:r>
              <w:rPr>
                <w:caps/>
                <w:szCs w:val="24"/>
              </w:rPr>
              <w:t>6 March 2018</w:t>
            </w:r>
          </w:p>
        </w:tc>
      </w:tr>
    </w:tbl>
    <w:p w:rsidR="00556EA9" w:rsidRDefault="00556EA9" w:rsidP="00556EA9">
      <w:pPr>
        <w:pStyle w:val="NormalHeadings"/>
        <w:rPr>
          <w:b w:val="0"/>
        </w:rPr>
      </w:pPr>
    </w:p>
    <w:p w:rsidR="00556EA9" w:rsidRDefault="00556EA9" w:rsidP="00556EA9">
      <w:pPr>
        <w:pStyle w:val="NormalHeadings"/>
        <w:rPr>
          <w:b w:val="0"/>
        </w:rPr>
      </w:pPr>
    </w:p>
    <w:p w:rsidR="00556EA9" w:rsidRDefault="00556EA9" w:rsidP="00556EA9">
      <w:pPr>
        <w:pStyle w:val="NormalHeadings"/>
      </w:pPr>
      <w:r>
        <w:t>THE COURT ORDERS THAT:</w:t>
      </w:r>
    </w:p>
    <w:p w:rsidR="00556EA9" w:rsidRDefault="00556EA9" w:rsidP="00556EA9">
      <w:pPr>
        <w:pStyle w:val="NormalHeadings"/>
      </w:pPr>
    </w:p>
    <w:p w:rsidR="002F3278" w:rsidRPr="002F3278" w:rsidRDefault="002F3278" w:rsidP="00017B82">
      <w:pPr>
        <w:pStyle w:val="Order1"/>
        <w:numPr>
          <w:ilvl w:val="0"/>
          <w:numId w:val="32"/>
        </w:numPr>
      </w:pPr>
      <w:r w:rsidRPr="002F3278">
        <w:t xml:space="preserve">The following preliminary questions be answered as follows: </w:t>
      </w:r>
    </w:p>
    <w:p w:rsidR="002F3278" w:rsidRPr="00AC3BAB" w:rsidRDefault="002F3278" w:rsidP="00AC3BAB">
      <w:pPr>
        <w:pStyle w:val="ListNo2"/>
        <w:numPr>
          <w:ilvl w:val="0"/>
          <w:numId w:val="0"/>
        </w:numPr>
        <w:ind w:left="720"/>
        <w:rPr>
          <w:i/>
        </w:rPr>
      </w:pPr>
      <w:r w:rsidRPr="00AC3BAB">
        <w:rPr>
          <w:b/>
          <w:i/>
        </w:rPr>
        <w:t>Question One</w:t>
      </w:r>
      <w:r w:rsidRPr="00AC3BAB">
        <w:rPr>
          <w:i/>
        </w:rPr>
        <w:t xml:space="preserve">: Whether any (and if so which) of the companies listed in Annexure 1 was insolvent between 30 March 2012 and 25 September 2012.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Each of the companies listed in Annexure 1 was insolvent between 30 March 2012 and 25 September 2012. </w:t>
      </w:r>
    </w:p>
    <w:p w:rsidR="002F3278" w:rsidRPr="00AC3BAB" w:rsidRDefault="002F3278" w:rsidP="00AC3BAB">
      <w:pPr>
        <w:pStyle w:val="ListNo2"/>
        <w:numPr>
          <w:ilvl w:val="0"/>
          <w:numId w:val="0"/>
        </w:numPr>
        <w:ind w:left="720"/>
        <w:rPr>
          <w:i/>
        </w:rPr>
      </w:pPr>
    </w:p>
    <w:p w:rsidR="002F3278" w:rsidRPr="00AC3BAB" w:rsidRDefault="002F3278" w:rsidP="00AC3BAB">
      <w:pPr>
        <w:pStyle w:val="ListNo2"/>
        <w:numPr>
          <w:ilvl w:val="0"/>
          <w:numId w:val="0"/>
        </w:numPr>
        <w:ind w:left="720"/>
        <w:rPr>
          <w:i/>
        </w:rPr>
      </w:pPr>
      <w:r w:rsidRPr="00AC3BAB">
        <w:rPr>
          <w:b/>
          <w:i/>
        </w:rPr>
        <w:t>Question Two</w:t>
      </w:r>
      <w:r w:rsidRPr="00AC3BAB">
        <w:rPr>
          <w:i/>
        </w:rPr>
        <w:t xml:space="preserve">: If the answer to question (1) is yes, from what date did each insolvent company become insolvent.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Each of the companies listed in Annexure 1 was insolvent as at 30 March 2012 and remained insolvent to the date of the appointment of the administrators. </w:t>
      </w:r>
    </w:p>
    <w:p w:rsidR="002F3278" w:rsidRPr="00AC3BAB" w:rsidRDefault="002F3278" w:rsidP="00AC3BAB">
      <w:pPr>
        <w:pStyle w:val="ListNo2"/>
        <w:numPr>
          <w:ilvl w:val="0"/>
          <w:numId w:val="0"/>
        </w:numPr>
        <w:ind w:left="720"/>
        <w:rPr>
          <w:i/>
        </w:rPr>
      </w:pPr>
    </w:p>
    <w:p w:rsidR="002F3278" w:rsidRPr="00AC3BAB" w:rsidRDefault="002F3278" w:rsidP="00AC3BAB">
      <w:pPr>
        <w:pStyle w:val="ListNo2"/>
        <w:numPr>
          <w:ilvl w:val="0"/>
          <w:numId w:val="0"/>
        </w:numPr>
        <w:ind w:left="720"/>
        <w:rPr>
          <w:i/>
        </w:rPr>
      </w:pPr>
      <w:r w:rsidRPr="00AC3BAB">
        <w:rPr>
          <w:b/>
          <w:i/>
        </w:rPr>
        <w:t>Question Three</w:t>
      </w:r>
      <w:r w:rsidRPr="00AC3BAB">
        <w:rPr>
          <w:i/>
        </w:rPr>
        <w:t>: Whether any (and if so which) of the claims that were added by the plaintiffs pursuant to the grant of leave are statute barred by reason of s </w:t>
      </w:r>
      <w:proofErr w:type="gramStart"/>
      <w:r w:rsidRPr="00AC3BAB">
        <w:rPr>
          <w:i/>
        </w:rPr>
        <w:t>588FF(</w:t>
      </w:r>
      <w:proofErr w:type="gramEnd"/>
      <w:r w:rsidRPr="00AC3BAB">
        <w:rPr>
          <w:i/>
        </w:rPr>
        <w:t>3) of the Corporations Act 2001 (Cth).</w:t>
      </w:r>
    </w:p>
    <w:p w:rsidR="002F3278" w:rsidRPr="00AC3BAB" w:rsidRDefault="002F3278" w:rsidP="00AC3BAB">
      <w:pPr>
        <w:pStyle w:val="ListNo2"/>
        <w:numPr>
          <w:ilvl w:val="0"/>
          <w:numId w:val="0"/>
        </w:numPr>
        <w:ind w:left="720"/>
        <w:rPr>
          <w:i/>
        </w:rPr>
      </w:pPr>
      <w:r w:rsidRPr="00AC3BAB">
        <w:rPr>
          <w:b/>
          <w:i/>
        </w:rPr>
        <w:t>Answer</w:t>
      </w:r>
      <w:r w:rsidRPr="00AC3BAB">
        <w:rPr>
          <w:i/>
        </w:rPr>
        <w:t>: None of the claims added by the plaintiffs pursuant to the grant of leave are statute barred by reason of s </w:t>
      </w:r>
      <w:proofErr w:type="gramStart"/>
      <w:r w:rsidRPr="00AC3BAB">
        <w:rPr>
          <w:i/>
        </w:rPr>
        <w:t>588FF(</w:t>
      </w:r>
      <w:proofErr w:type="gramEnd"/>
      <w:r w:rsidRPr="00AC3BAB">
        <w:rPr>
          <w:i/>
        </w:rPr>
        <w:t>3) of the Corporations Act 2001 (Cth).</w:t>
      </w:r>
    </w:p>
    <w:p w:rsidR="002F3278" w:rsidRPr="00AC3BAB" w:rsidRDefault="002F3278" w:rsidP="00AC3BAB">
      <w:pPr>
        <w:pStyle w:val="ListNo2"/>
        <w:numPr>
          <w:ilvl w:val="0"/>
          <w:numId w:val="0"/>
        </w:numPr>
        <w:ind w:left="720"/>
        <w:rPr>
          <w:b/>
          <w:i/>
        </w:rPr>
      </w:pPr>
    </w:p>
    <w:p w:rsidR="002F3278" w:rsidRPr="00AC3BAB" w:rsidRDefault="002F3278" w:rsidP="00AC3BAB">
      <w:pPr>
        <w:pStyle w:val="ListNo2"/>
        <w:numPr>
          <w:ilvl w:val="0"/>
          <w:numId w:val="0"/>
        </w:numPr>
        <w:ind w:left="720"/>
        <w:rPr>
          <w:i/>
        </w:rPr>
      </w:pPr>
      <w:r w:rsidRPr="00AC3BAB">
        <w:rPr>
          <w:b/>
          <w:i/>
        </w:rPr>
        <w:t>Question Four</w:t>
      </w:r>
      <w:r w:rsidRPr="00AC3BAB">
        <w:rPr>
          <w:i/>
        </w:rPr>
        <w:t xml:space="preserve">: Whether the conditional leave granted </w:t>
      </w:r>
      <w:proofErr w:type="gramStart"/>
      <w:r w:rsidRPr="00AC3BAB">
        <w:rPr>
          <w:i/>
        </w:rPr>
        <w:t>ought</w:t>
      </w:r>
      <w:proofErr w:type="gramEnd"/>
      <w:r w:rsidRPr="00AC3BAB">
        <w:rPr>
          <w:i/>
        </w:rPr>
        <w:t xml:space="preserve"> be granted in any event.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w:t>
      </w:r>
      <w:r w:rsidR="0058364C" w:rsidRPr="00AC3BAB">
        <w:rPr>
          <w:i/>
        </w:rPr>
        <w:t>Yes</w:t>
      </w:r>
      <w:r w:rsidRPr="00AC3BAB">
        <w:rPr>
          <w:i/>
        </w:rPr>
        <w:t xml:space="preserve">. </w:t>
      </w:r>
    </w:p>
    <w:p w:rsidR="00556EA9" w:rsidRDefault="00556EA9" w:rsidP="002F3278">
      <w:pPr>
        <w:pStyle w:val="Order1"/>
        <w:numPr>
          <w:ilvl w:val="0"/>
          <w:numId w:val="0"/>
        </w:numPr>
        <w:ind w:left="720"/>
      </w:pPr>
    </w:p>
    <w:p w:rsidR="00556EA9" w:rsidRDefault="00556EA9" w:rsidP="00556EA9">
      <w:pPr>
        <w:pStyle w:val="SingleSpace"/>
      </w:pPr>
      <w:r>
        <w:t>Note:</w:t>
      </w:r>
      <w:r>
        <w:tab/>
        <w:t xml:space="preserve">Entry of orders is dealt with in Rule 39.32 of the </w:t>
      </w:r>
      <w:r>
        <w:rPr>
          <w:i/>
        </w:rPr>
        <w:t>Federal Court Rules 2011</w:t>
      </w:r>
      <w:r>
        <w:t>.</w:t>
      </w:r>
    </w:p>
    <w:p w:rsidR="00556EA9" w:rsidRDefault="00556EA9" w:rsidP="00556EA9">
      <w:pPr>
        <w:pStyle w:val="BodyText"/>
      </w:pPr>
    </w:p>
    <w:p w:rsidR="00556EA9" w:rsidRDefault="00556EA9" w:rsidP="00556EA9">
      <w:pPr>
        <w:pStyle w:val="BodyText"/>
      </w:pPr>
    </w:p>
    <w:p w:rsidR="00395B24" w:rsidRDefault="00395B24">
      <w:pPr>
        <w:pStyle w:val="Normal1linespace"/>
        <w:sectPr w:rsidR="00395B24" w:rsidSect="00FF4CF3">
          <w:endnotePr>
            <w:numFmt w:val="decimal"/>
          </w:endnotePr>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E3001" w:rsidP="00BE3001">
            <w:pPr>
              <w:pStyle w:val="NormalHeadings"/>
              <w:jc w:val="right"/>
            </w:pPr>
            <w:bookmarkStart w:id="8" w:name="FileNo"/>
            <w:r>
              <w:t>WAD</w:t>
            </w:r>
            <w:r w:rsidR="00F00F0F">
              <w:t xml:space="preserve"> 553 of 2015</w:t>
            </w:r>
            <w:bookmarkEnd w:id="8"/>
          </w:p>
        </w:tc>
      </w:tr>
      <w:tr w:rsidR="00A76C13" w:rsidTr="000A4538">
        <w:tc>
          <w:tcPr>
            <w:tcW w:w="9242" w:type="dxa"/>
            <w:gridSpan w:val="3"/>
          </w:tcPr>
          <w:p w:rsidR="00A76C13" w:rsidRPr="00A76C13" w:rsidRDefault="00F00F0F" w:rsidP="00F00F0F">
            <w:pPr>
              <w:pStyle w:val="NormalHeadings"/>
              <w:spacing w:before="240" w:after="240"/>
              <w:jc w:val="left"/>
            </w:pPr>
            <w:bookmarkStart w:id="9" w:name="InTheMatterOf"/>
            <w:r>
              <w:t>IN THE MATTER OF GUNNS LIMITED (IN LIQUIDATION) (RECEIVERS &amp; MANAGERS APPOINTED) (ACN 009 478 148)</w:t>
            </w:r>
            <w:bookmarkEnd w:id="9"/>
          </w:p>
        </w:tc>
      </w:tr>
      <w:tr w:rsidR="00A46CCC" w:rsidTr="000A4538">
        <w:trPr>
          <w:trHeight w:val="386"/>
        </w:trPr>
        <w:tc>
          <w:tcPr>
            <w:tcW w:w="2376" w:type="dxa"/>
          </w:tcPr>
          <w:p w:rsidR="00A46CCC" w:rsidRDefault="00A46CCC" w:rsidP="000A4538">
            <w:pPr>
              <w:pStyle w:val="NormalHeadings"/>
              <w:jc w:val="left"/>
              <w:rPr>
                <w:caps/>
                <w:szCs w:val="24"/>
              </w:rPr>
            </w:pPr>
            <w:bookmarkStart w:id="10" w:name="Parties"/>
            <w:r>
              <w:rPr>
                <w:caps/>
                <w:szCs w:val="24"/>
              </w:rPr>
              <w:t>BETWEEN:</w:t>
            </w:r>
          </w:p>
        </w:tc>
        <w:tc>
          <w:tcPr>
            <w:tcW w:w="6866" w:type="dxa"/>
            <w:gridSpan w:val="2"/>
          </w:tcPr>
          <w:p w:rsidR="00F00F0F" w:rsidRDefault="00F00F0F" w:rsidP="00F00F0F">
            <w:pPr>
              <w:pStyle w:val="NormalHeadings"/>
              <w:jc w:val="left"/>
            </w:pPr>
            <w:bookmarkStart w:id="11" w:name="Applicant"/>
            <w:r>
              <w:t>DANIEL MATHEW BRYANT, IAN MENZIES CARSON AND CRAIG DAVID CROSBIE IN THEIR CAPACITIES AS JOINT AND SEVERAL LIQUIDATORS OF GUNNS LIMITED (IN LIQUIDATION) RECEIVERS &amp; MANAGERS APPOINTED) (ACN 009 478 148)</w:t>
            </w:r>
          </w:p>
          <w:p w:rsidR="00F00F0F" w:rsidRDefault="00F00F0F" w:rsidP="00F00F0F">
            <w:pPr>
              <w:pStyle w:val="PartyType"/>
            </w:pPr>
            <w:r>
              <w:t>Plaintiffs</w:t>
            </w:r>
          </w:p>
          <w:bookmarkEnd w:id="11"/>
          <w:p w:rsidR="00A46CCC" w:rsidRPr="006555B4" w:rsidRDefault="00A46CCC" w:rsidP="000A4538">
            <w:pPr>
              <w:pStyle w:val="NormalHeadings"/>
              <w:jc w:val="left"/>
            </w:pPr>
          </w:p>
        </w:tc>
      </w:tr>
      <w:tr w:rsidR="00A46CCC" w:rsidTr="000A4538">
        <w:trPr>
          <w:trHeight w:val="386"/>
        </w:trPr>
        <w:tc>
          <w:tcPr>
            <w:tcW w:w="2376" w:type="dxa"/>
          </w:tcPr>
          <w:p w:rsidR="00A46CCC" w:rsidRDefault="00A46CCC" w:rsidP="000A4538">
            <w:pPr>
              <w:pStyle w:val="NormalHeadings"/>
              <w:jc w:val="left"/>
              <w:rPr>
                <w:caps/>
                <w:szCs w:val="24"/>
              </w:rPr>
            </w:pPr>
            <w:r>
              <w:rPr>
                <w:caps/>
                <w:szCs w:val="24"/>
              </w:rPr>
              <w:t>AND:</w:t>
            </w:r>
          </w:p>
        </w:tc>
        <w:tc>
          <w:tcPr>
            <w:tcW w:w="6866" w:type="dxa"/>
            <w:gridSpan w:val="2"/>
          </w:tcPr>
          <w:p w:rsidR="00F00F0F" w:rsidRPr="00F00F0F" w:rsidRDefault="00F00F0F" w:rsidP="00F00F0F">
            <w:pPr>
              <w:pStyle w:val="NormalHeadings"/>
              <w:jc w:val="left"/>
            </w:pPr>
            <w:bookmarkStart w:id="12" w:name="Respondent"/>
            <w:r w:rsidRPr="00F00F0F">
              <w:rPr>
                <w:rFonts w:ascii="TimesNewRoman,Bold" w:hAnsi="TimesNewRoman,Bold" w:cs="TimesNewRoman,Bold"/>
                <w:bCs/>
                <w:szCs w:val="24"/>
                <w:lang w:eastAsia="en-AU"/>
              </w:rPr>
              <w:t xml:space="preserve">SOUTHERN REGIONAL TRANSPORT PTY LTD </w:t>
            </w:r>
            <w:r>
              <w:rPr>
                <w:rFonts w:ascii="TimesNewRoman,Bold" w:hAnsi="TimesNewRoman,Bold" w:cs="TimesNewRoman,Bold"/>
                <w:bCs/>
                <w:szCs w:val="24"/>
                <w:lang w:eastAsia="en-AU"/>
              </w:rPr>
              <w:br/>
            </w:r>
            <w:r w:rsidRPr="00F00F0F">
              <w:rPr>
                <w:rFonts w:ascii="TimesNewRoman,Bold" w:hAnsi="TimesNewRoman,Bold" w:cs="TimesNewRoman,Bold"/>
                <w:bCs/>
                <w:szCs w:val="24"/>
                <w:lang w:eastAsia="en-AU"/>
              </w:rPr>
              <w:t>(ACN 009 478 148)</w:t>
            </w:r>
            <w:r w:rsidRPr="00F00F0F">
              <w:t xml:space="preserve"> </w:t>
            </w:r>
          </w:p>
          <w:p w:rsidR="00F00F0F" w:rsidRDefault="00F00F0F" w:rsidP="00F00F0F">
            <w:pPr>
              <w:pStyle w:val="PartyType"/>
            </w:pPr>
            <w:r>
              <w:t>Defendant</w:t>
            </w:r>
          </w:p>
          <w:bookmarkEnd w:id="12"/>
          <w:p w:rsidR="00A46CCC" w:rsidRPr="006555B4" w:rsidRDefault="00A46CCC" w:rsidP="000A4538">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00F0F">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F00F0F">
            <w:pPr>
              <w:pStyle w:val="NormalHeadings"/>
              <w:jc w:val="left"/>
              <w:rPr>
                <w:caps/>
                <w:szCs w:val="24"/>
              </w:rPr>
            </w:pPr>
            <w:bookmarkStart w:id="15" w:name="Judge"/>
            <w:r>
              <w:rPr>
                <w:caps/>
                <w:szCs w:val="24"/>
              </w:rPr>
              <w:t>DAVIES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56D15">
            <w:pPr>
              <w:pStyle w:val="NormalHeadings"/>
              <w:jc w:val="left"/>
              <w:rPr>
                <w:caps/>
                <w:szCs w:val="24"/>
              </w:rPr>
            </w:pPr>
            <w:r>
              <w:rPr>
                <w:caps/>
                <w:szCs w:val="24"/>
              </w:rPr>
              <w:t>6 March 2018</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2F3278" w:rsidRPr="002F3278" w:rsidRDefault="002F3278" w:rsidP="00017B82">
      <w:pPr>
        <w:pStyle w:val="Order1"/>
        <w:numPr>
          <w:ilvl w:val="0"/>
          <w:numId w:val="33"/>
        </w:numPr>
      </w:pPr>
      <w:bookmarkStart w:id="16" w:name="Order_Start_Text"/>
      <w:bookmarkEnd w:id="16"/>
      <w:r w:rsidRPr="002F3278">
        <w:t xml:space="preserve">The following preliminary questions be answered as follows: </w:t>
      </w:r>
    </w:p>
    <w:p w:rsidR="002F3278" w:rsidRPr="00AC3BAB" w:rsidRDefault="002F3278" w:rsidP="00AC3BAB">
      <w:pPr>
        <w:pStyle w:val="ListNo2"/>
        <w:numPr>
          <w:ilvl w:val="0"/>
          <w:numId w:val="0"/>
        </w:numPr>
        <w:ind w:left="720"/>
        <w:rPr>
          <w:i/>
        </w:rPr>
      </w:pPr>
      <w:r w:rsidRPr="00AC3BAB">
        <w:rPr>
          <w:b/>
          <w:i/>
        </w:rPr>
        <w:t>Question One</w:t>
      </w:r>
      <w:r w:rsidRPr="00AC3BAB">
        <w:rPr>
          <w:i/>
        </w:rPr>
        <w:t xml:space="preserve">: Whether any (and if so which) of the companies listed in Annexure 1 was insolvent between 30 March 2012 and 25 September 2012.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Each of the companies listed in Annexure 1 was insolvent between 30 March 2012 and 25 September 2012. </w:t>
      </w:r>
    </w:p>
    <w:p w:rsidR="002F3278" w:rsidRPr="00AC3BAB" w:rsidRDefault="002F3278" w:rsidP="00AC3BAB">
      <w:pPr>
        <w:pStyle w:val="ListNo2"/>
        <w:numPr>
          <w:ilvl w:val="0"/>
          <w:numId w:val="0"/>
        </w:numPr>
        <w:ind w:left="720"/>
        <w:rPr>
          <w:i/>
        </w:rPr>
      </w:pPr>
    </w:p>
    <w:p w:rsidR="002F3278" w:rsidRPr="00AC3BAB" w:rsidRDefault="002F3278" w:rsidP="00AC3BAB">
      <w:pPr>
        <w:pStyle w:val="ListNo2"/>
        <w:numPr>
          <w:ilvl w:val="0"/>
          <w:numId w:val="0"/>
        </w:numPr>
        <w:ind w:left="720"/>
        <w:rPr>
          <w:i/>
        </w:rPr>
      </w:pPr>
      <w:r w:rsidRPr="00AC3BAB">
        <w:rPr>
          <w:b/>
          <w:i/>
        </w:rPr>
        <w:t>Question Two</w:t>
      </w:r>
      <w:r w:rsidRPr="00AC3BAB">
        <w:rPr>
          <w:i/>
        </w:rPr>
        <w:t xml:space="preserve">: If the answer to question (1) is yes, from what date did each insolvent company become insolvent.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Each of the companies listed in Annexure 1 was insolvent as at 30 March 2012 and remained insolvent to the date of the appointment of the administrators. </w:t>
      </w:r>
    </w:p>
    <w:p w:rsidR="002F3278" w:rsidRPr="00AC3BAB" w:rsidRDefault="002F3278" w:rsidP="00AC3BAB">
      <w:pPr>
        <w:pStyle w:val="ListNo2"/>
        <w:numPr>
          <w:ilvl w:val="0"/>
          <w:numId w:val="0"/>
        </w:numPr>
        <w:ind w:left="720"/>
        <w:rPr>
          <w:i/>
        </w:rPr>
      </w:pPr>
    </w:p>
    <w:p w:rsidR="002F3278" w:rsidRPr="00AC3BAB" w:rsidRDefault="002F3278" w:rsidP="00AC3BAB">
      <w:pPr>
        <w:pStyle w:val="ListNo2"/>
        <w:numPr>
          <w:ilvl w:val="0"/>
          <w:numId w:val="0"/>
        </w:numPr>
        <w:ind w:left="720"/>
        <w:rPr>
          <w:i/>
        </w:rPr>
      </w:pPr>
      <w:r w:rsidRPr="00AC3BAB">
        <w:rPr>
          <w:b/>
          <w:i/>
        </w:rPr>
        <w:t>Question Three</w:t>
      </w:r>
      <w:r w:rsidRPr="00AC3BAB">
        <w:rPr>
          <w:i/>
        </w:rPr>
        <w:t>: Whether any (and if so which) of the claims that were added by the plaintiffs pursuant to the grant of leave are statute barred by reason of s </w:t>
      </w:r>
      <w:proofErr w:type="gramStart"/>
      <w:r w:rsidRPr="00AC3BAB">
        <w:rPr>
          <w:i/>
        </w:rPr>
        <w:t>588FF(</w:t>
      </w:r>
      <w:proofErr w:type="gramEnd"/>
      <w:r w:rsidRPr="00AC3BAB">
        <w:rPr>
          <w:i/>
        </w:rPr>
        <w:t>3) of the Corporations Act 2001 (Cth).</w:t>
      </w:r>
    </w:p>
    <w:p w:rsidR="002F3278" w:rsidRPr="00AC3BAB" w:rsidRDefault="002F3278" w:rsidP="00AC3BAB">
      <w:pPr>
        <w:pStyle w:val="ListNo2"/>
        <w:numPr>
          <w:ilvl w:val="0"/>
          <w:numId w:val="0"/>
        </w:numPr>
        <w:ind w:left="720"/>
        <w:rPr>
          <w:i/>
        </w:rPr>
      </w:pPr>
      <w:r w:rsidRPr="00AC3BAB">
        <w:rPr>
          <w:b/>
          <w:i/>
        </w:rPr>
        <w:lastRenderedPageBreak/>
        <w:t>Answer</w:t>
      </w:r>
      <w:r w:rsidRPr="00AC3BAB">
        <w:rPr>
          <w:i/>
        </w:rPr>
        <w:t>: None of the claims added by the plaintiffs pursuant to the grant of leave are statute barred by reason of s </w:t>
      </w:r>
      <w:proofErr w:type="gramStart"/>
      <w:r w:rsidRPr="00AC3BAB">
        <w:rPr>
          <w:i/>
        </w:rPr>
        <w:t>588FF(</w:t>
      </w:r>
      <w:proofErr w:type="gramEnd"/>
      <w:r w:rsidRPr="00AC3BAB">
        <w:rPr>
          <w:i/>
        </w:rPr>
        <w:t>3) of the Corporations Act 2001 (Cth).</w:t>
      </w:r>
    </w:p>
    <w:p w:rsidR="002F3278" w:rsidRPr="00AC3BAB" w:rsidRDefault="002F3278" w:rsidP="00AC3BAB">
      <w:pPr>
        <w:pStyle w:val="ListNo2"/>
        <w:numPr>
          <w:ilvl w:val="0"/>
          <w:numId w:val="0"/>
        </w:numPr>
        <w:ind w:left="720"/>
        <w:rPr>
          <w:b/>
          <w:i/>
        </w:rPr>
      </w:pPr>
    </w:p>
    <w:p w:rsidR="002F3278" w:rsidRPr="00AC3BAB" w:rsidRDefault="002F3278" w:rsidP="00AC3BAB">
      <w:pPr>
        <w:pStyle w:val="ListNo2"/>
        <w:numPr>
          <w:ilvl w:val="0"/>
          <w:numId w:val="0"/>
        </w:numPr>
        <w:ind w:left="720"/>
        <w:rPr>
          <w:i/>
        </w:rPr>
      </w:pPr>
      <w:r w:rsidRPr="00AC3BAB">
        <w:rPr>
          <w:b/>
          <w:i/>
        </w:rPr>
        <w:t>Question Four</w:t>
      </w:r>
      <w:r w:rsidRPr="00AC3BAB">
        <w:rPr>
          <w:i/>
        </w:rPr>
        <w:t xml:space="preserve">: Whether the conditional leave granted </w:t>
      </w:r>
      <w:proofErr w:type="gramStart"/>
      <w:r w:rsidRPr="00AC3BAB">
        <w:rPr>
          <w:i/>
        </w:rPr>
        <w:t>ought</w:t>
      </w:r>
      <w:proofErr w:type="gramEnd"/>
      <w:r w:rsidRPr="00AC3BAB">
        <w:rPr>
          <w:i/>
        </w:rPr>
        <w:t xml:space="preserve"> be granted in any event. </w:t>
      </w:r>
    </w:p>
    <w:p w:rsidR="002F3278" w:rsidRPr="00AC3BAB" w:rsidRDefault="002F3278" w:rsidP="00AC3BAB">
      <w:pPr>
        <w:pStyle w:val="ListNo2"/>
        <w:numPr>
          <w:ilvl w:val="0"/>
          <w:numId w:val="0"/>
        </w:numPr>
        <w:ind w:left="720"/>
        <w:rPr>
          <w:i/>
        </w:rPr>
      </w:pPr>
      <w:r w:rsidRPr="00AC3BAB">
        <w:rPr>
          <w:b/>
          <w:i/>
        </w:rPr>
        <w:t>Answer</w:t>
      </w:r>
      <w:r w:rsidRPr="00AC3BAB">
        <w:rPr>
          <w:i/>
        </w:rPr>
        <w:t xml:space="preserve">: </w:t>
      </w:r>
      <w:r w:rsidR="0058364C" w:rsidRPr="00AC3BAB">
        <w:rPr>
          <w:i/>
        </w:rPr>
        <w:t>Yes</w:t>
      </w:r>
      <w:r w:rsidRPr="00AC3BAB">
        <w:rPr>
          <w:i/>
        </w:rPr>
        <w:t xml:space="preserve">.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F00F0F" w:rsidP="005E0510">
      <w:pPr>
        <w:pStyle w:val="NormalHeadings"/>
        <w:spacing w:line="360" w:lineRule="auto"/>
        <w:jc w:val="left"/>
        <w:rPr>
          <w:sz w:val="26"/>
          <w:szCs w:val="26"/>
        </w:rPr>
      </w:pPr>
      <w:r>
        <w:rPr>
          <w:sz w:val="26"/>
          <w:szCs w:val="26"/>
        </w:rPr>
        <w:t>DAVIES J</w:t>
      </w:r>
      <w:r w:rsidR="00484F6D" w:rsidRPr="00EA03CE">
        <w:rPr>
          <w:sz w:val="26"/>
          <w:szCs w:val="26"/>
        </w:rPr>
        <w:t>:</w:t>
      </w:r>
    </w:p>
    <w:p w:rsidR="004B0C8B" w:rsidRPr="000D127B" w:rsidRDefault="00BE3001" w:rsidP="00017B82">
      <w:pPr>
        <w:pStyle w:val="ParaNumbering"/>
        <w:numPr>
          <w:ilvl w:val="0"/>
          <w:numId w:val="30"/>
        </w:numPr>
      </w:pPr>
      <w:r w:rsidRPr="002439C8">
        <w:t xml:space="preserve">On 5 </w:t>
      </w:r>
      <w:r w:rsidRPr="00B73A54">
        <w:t xml:space="preserve">March 2013, Ian Menzies Carson, Craig David Crosbie and Daniel Mathew Bryant </w:t>
      </w:r>
      <w:r w:rsidR="00956AD8" w:rsidRPr="00B73A54">
        <w:t>(</w:t>
      </w:r>
      <w:r w:rsidR="00956AD8" w:rsidRPr="006D1AF1">
        <w:t>“</w:t>
      </w:r>
      <w:r w:rsidR="00956AD8" w:rsidRPr="00467FF8">
        <w:rPr>
          <w:b/>
        </w:rPr>
        <w:t>the liquidators</w:t>
      </w:r>
      <w:r w:rsidR="00956AD8" w:rsidRPr="006D1AF1">
        <w:t>”)</w:t>
      </w:r>
      <w:r w:rsidR="00956AD8" w:rsidRPr="00B73A54">
        <w:t xml:space="preserve"> </w:t>
      </w:r>
      <w:r w:rsidRPr="00B73A54">
        <w:t xml:space="preserve">from PPB Advisory were appointed as joint and several liquidators of </w:t>
      </w:r>
      <w:proofErr w:type="spellStart"/>
      <w:r w:rsidRPr="00B73A54">
        <w:t>Gunns</w:t>
      </w:r>
      <w:proofErr w:type="spellEnd"/>
      <w:r w:rsidRPr="00B73A54">
        <w:t xml:space="preserve"> Limited </w:t>
      </w:r>
      <w:r w:rsidR="00956AD8" w:rsidRPr="00B73A54">
        <w:t>(</w:t>
      </w:r>
      <w:r w:rsidR="0079197A" w:rsidRPr="006D1AF1">
        <w:t>“</w:t>
      </w:r>
      <w:proofErr w:type="spellStart"/>
      <w:r w:rsidR="0079197A" w:rsidRPr="00467FF8">
        <w:rPr>
          <w:b/>
        </w:rPr>
        <w:t>Gunns</w:t>
      </w:r>
      <w:proofErr w:type="spellEnd"/>
      <w:r w:rsidR="0079197A" w:rsidRPr="006D1AF1">
        <w:t>”</w:t>
      </w:r>
      <w:r w:rsidR="00956AD8" w:rsidRPr="00B73A54">
        <w:t xml:space="preserve">) </w:t>
      </w:r>
      <w:r w:rsidRPr="00B73A54">
        <w:t xml:space="preserve">and each of the other companies within the </w:t>
      </w:r>
      <w:proofErr w:type="spellStart"/>
      <w:r w:rsidRPr="00B73A54">
        <w:t>Gunns</w:t>
      </w:r>
      <w:proofErr w:type="spellEnd"/>
      <w:r w:rsidRPr="00B73A54">
        <w:t xml:space="preserve"> </w:t>
      </w:r>
      <w:r w:rsidR="00C25C59" w:rsidRPr="00B73A54">
        <w:t>G</w:t>
      </w:r>
      <w:r w:rsidRPr="00B73A54">
        <w:t xml:space="preserve">roup of </w:t>
      </w:r>
      <w:r w:rsidRPr="000D127B">
        <w:t>companies</w:t>
      </w:r>
      <w:r w:rsidR="00556D15">
        <w:t xml:space="preserve"> (</w:t>
      </w:r>
      <w:r w:rsidR="00556D15" w:rsidRPr="00556D15">
        <w:rPr>
          <w:b/>
        </w:rPr>
        <w:t>the</w:t>
      </w:r>
      <w:r w:rsidR="00556D15">
        <w:t xml:space="preserve"> “</w:t>
      </w:r>
      <w:proofErr w:type="spellStart"/>
      <w:r w:rsidR="002547AA" w:rsidRPr="000D127B">
        <w:rPr>
          <w:b/>
        </w:rPr>
        <w:t>Gunns</w:t>
      </w:r>
      <w:proofErr w:type="spellEnd"/>
      <w:r w:rsidR="002547AA" w:rsidRPr="000D127B">
        <w:t xml:space="preserve"> </w:t>
      </w:r>
      <w:r w:rsidR="002547AA" w:rsidRPr="000D127B">
        <w:rPr>
          <w:b/>
        </w:rPr>
        <w:t>Group</w:t>
      </w:r>
      <w:r w:rsidR="002547AA" w:rsidRPr="000D127B">
        <w:t>”)</w:t>
      </w:r>
      <w:r w:rsidR="002D25B4">
        <w:t xml:space="preserve">.  </w:t>
      </w:r>
      <w:r w:rsidR="006B687A" w:rsidRPr="000D127B">
        <w:t xml:space="preserve">Following </w:t>
      </w:r>
      <w:r w:rsidRPr="000D127B">
        <w:t xml:space="preserve">their appointment, the liquidators investigated potential </w:t>
      </w:r>
      <w:r w:rsidR="008F1FE7" w:rsidRPr="000D127B">
        <w:t xml:space="preserve">voidable preference </w:t>
      </w:r>
      <w:r w:rsidRPr="000D127B">
        <w:t>claims available to the</w:t>
      </w:r>
      <w:r w:rsidR="00D126FF" w:rsidRPr="000D127B">
        <w:t xml:space="preserve"> plaintiffs pursuant to s 588FE </w:t>
      </w:r>
      <w:r w:rsidRPr="000D127B">
        <w:t xml:space="preserve">of the </w:t>
      </w:r>
      <w:r w:rsidRPr="000D127B">
        <w:rPr>
          <w:i/>
        </w:rPr>
        <w:t>Corporations Act 2001</w:t>
      </w:r>
      <w:r w:rsidRPr="000D127B">
        <w:t xml:space="preserve"> (Cth) (“</w:t>
      </w:r>
      <w:r w:rsidRPr="000D127B">
        <w:rPr>
          <w:b/>
        </w:rPr>
        <w:t>the Act</w:t>
      </w:r>
      <w:r w:rsidRPr="000D127B">
        <w:t>”)</w:t>
      </w:r>
      <w:r w:rsidR="00AC2DC9" w:rsidRPr="000D127B">
        <w:t xml:space="preserve">.  </w:t>
      </w:r>
      <w:r w:rsidRPr="000D127B">
        <w:t xml:space="preserve">After reviewing the books and records of </w:t>
      </w:r>
      <w:proofErr w:type="spellStart"/>
      <w:r w:rsidRPr="000D127B">
        <w:t>Gunns</w:t>
      </w:r>
      <w:proofErr w:type="spellEnd"/>
      <w:r w:rsidRPr="000D127B">
        <w:t xml:space="preserve"> and the </w:t>
      </w:r>
      <w:proofErr w:type="spellStart"/>
      <w:r w:rsidRPr="000D127B">
        <w:t>Gunns</w:t>
      </w:r>
      <w:proofErr w:type="spellEnd"/>
      <w:r w:rsidRPr="000D127B">
        <w:t xml:space="preserve"> Group, the liquidators determined that </w:t>
      </w:r>
      <w:proofErr w:type="spellStart"/>
      <w:r w:rsidRPr="000D127B">
        <w:t>Gunns</w:t>
      </w:r>
      <w:proofErr w:type="spellEnd"/>
      <w:r w:rsidRPr="000D127B">
        <w:t xml:space="preserve"> and </w:t>
      </w:r>
      <w:r w:rsidR="004F6E7B" w:rsidRPr="000D127B">
        <w:t xml:space="preserve">other companies in the </w:t>
      </w:r>
      <w:proofErr w:type="spellStart"/>
      <w:r w:rsidR="004F6E7B" w:rsidRPr="000D127B">
        <w:t>Gunns</w:t>
      </w:r>
      <w:proofErr w:type="spellEnd"/>
      <w:r w:rsidR="004F6E7B" w:rsidRPr="000D127B">
        <w:t xml:space="preserve"> Group </w:t>
      </w:r>
      <w:r w:rsidRPr="000D127B">
        <w:t xml:space="preserve">were insolvent from at least 3 July 2012 and possibly </w:t>
      </w:r>
      <w:r w:rsidR="00717613" w:rsidRPr="000D127B">
        <w:t>earlier</w:t>
      </w:r>
      <w:r w:rsidR="00AC2DC9" w:rsidRPr="000D127B">
        <w:t xml:space="preserve">.  </w:t>
      </w:r>
      <w:r w:rsidRPr="000D127B">
        <w:t xml:space="preserve">The liquidators </w:t>
      </w:r>
      <w:r w:rsidR="00717613" w:rsidRPr="000D127B">
        <w:t>commenced</w:t>
      </w:r>
      <w:r w:rsidRPr="000D127B">
        <w:t xml:space="preserve"> a number of proceedings </w:t>
      </w:r>
      <w:r w:rsidR="00717613" w:rsidRPr="000D127B">
        <w:t xml:space="preserve">in different registries of this Court against various </w:t>
      </w:r>
      <w:r w:rsidR="0079197A" w:rsidRPr="000D127B">
        <w:t xml:space="preserve">defendants </w:t>
      </w:r>
      <w:r w:rsidR="00717613" w:rsidRPr="000D127B">
        <w:t xml:space="preserve">alleging that payments received by them </w:t>
      </w:r>
      <w:r w:rsidR="0079197A" w:rsidRPr="000D127B">
        <w:t xml:space="preserve">from </w:t>
      </w:r>
      <w:r w:rsidR="004F6E7B" w:rsidRPr="000D127B">
        <w:t xml:space="preserve">the </w:t>
      </w:r>
      <w:proofErr w:type="spellStart"/>
      <w:r w:rsidR="0079197A" w:rsidRPr="000D127B">
        <w:t>Gunns</w:t>
      </w:r>
      <w:proofErr w:type="spellEnd"/>
      <w:r w:rsidR="0079197A" w:rsidRPr="000D127B">
        <w:t xml:space="preserve"> </w:t>
      </w:r>
      <w:r w:rsidR="005A4257" w:rsidRPr="000D127B">
        <w:t>G</w:t>
      </w:r>
      <w:r w:rsidR="00CD3895" w:rsidRPr="000D127B">
        <w:t xml:space="preserve">roup </w:t>
      </w:r>
      <w:r w:rsidR="00717613" w:rsidRPr="000D127B">
        <w:t>were voidab</w:t>
      </w:r>
      <w:r w:rsidR="00B73A54" w:rsidRPr="000D127B">
        <w:t>le transactions pursuant to s </w:t>
      </w:r>
      <w:r w:rsidR="00717613" w:rsidRPr="000D127B">
        <w:t>588FE of the Act</w:t>
      </w:r>
      <w:r w:rsidR="00AC2DC9" w:rsidRPr="000D127B">
        <w:t xml:space="preserve">.  </w:t>
      </w:r>
      <w:r w:rsidR="00717613" w:rsidRPr="000D127B">
        <w:t>The various proceedings</w:t>
      </w:r>
      <w:r w:rsidR="002A6321" w:rsidRPr="000D127B">
        <w:t>, which</w:t>
      </w:r>
      <w:r w:rsidR="00717613" w:rsidRPr="000D127B">
        <w:t xml:space="preserve"> </w:t>
      </w:r>
      <w:r w:rsidR="002A6321" w:rsidRPr="000D127B">
        <w:t xml:space="preserve">have been case managed together by Middleton J, </w:t>
      </w:r>
      <w:r w:rsidR="00717613" w:rsidRPr="000D127B">
        <w:t xml:space="preserve">raised some common questions including when companies in the </w:t>
      </w:r>
      <w:proofErr w:type="spellStart"/>
      <w:r w:rsidR="00717613" w:rsidRPr="000D127B">
        <w:t>Gunns</w:t>
      </w:r>
      <w:proofErr w:type="spellEnd"/>
      <w:r w:rsidR="00717613" w:rsidRPr="000D127B">
        <w:t xml:space="preserve"> Group became insolvent</w:t>
      </w:r>
      <w:r w:rsidR="000D127B" w:rsidRPr="000D127B">
        <w:t xml:space="preserve"> (“</w:t>
      </w:r>
      <w:r w:rsidR="000D127B" w:rsidRPr="000D127B">
        <w:rPr>
          <w:b/>
        </w:rPr>
        <w:t>the Insolvency Question</w:t>
      </w:r>
      <w:r w:rsidR="000D127B" w:rsidRPr="000D127B">
        <w:t>”)</w:t>
      </w:r>
      <w:r w:rsidR="00717613" w:rsidRPr="000D127B">
        <w:t xml:space="preserve"> and, in relation to some of the defendants, whether claims </w:t>
      </w:r>
      <w:r w:rsidR="0079197A" w:rsidRPr="000D127B">
        <w:t>made</w:t>
      </w:r>
      <w:r w:rsidR="00717613" w:rsidRPr="000D127B">
        <w:t xml:space="preserve"> by the plaintiffs pursuant to conditional leave ar</w:t>
      </w:r>
      <w:r w:rsidR="008F1FE7" w:rsidRPr="000D127B">
        <w:t>e statute barred by reason of s </w:t>
      </w:r>
      <w:proofErr w:type="gramStart"/>
      <w:r w:rsidR="00717613" w:rsidRPr="000D127B">
        <w:t>588FF(</w:t>
      </w:r>
      <w:proofErr w:type="gramEnd"/>
      <w:r w:rsidR="00717613" w:rsidRPr="000D127B">
        <w:t>3) of the Act</w:t>
      </w:r>
      <w:r w:rsidR="000D127B" w:rsidRPr="000D127B">
        <w:t xml:space="preserve"> (“</w:t>
      </w:r>
      <w:r w:rsidR="000D127B" w:rsidRPr="000D127B">
        <w:rPr>
          <w:b/>
        </w:rPr>
        <w:t>the</w:t>
      </w:r>
      <w:r w:rsidR="000D127B" w:rsidRPr="000D127B">
        <w:t xml:space="preserve"> </w:t>
      </w:r>
      <w:r w:rsidR="000D127B" w:rsidRPr="000D127B">
        <w:rPr>
          <w:b/>
        </w:rPr>
        <w:t>Amendment</w:t>
      </w:r>
      <w:r w:rsidR="000D127B" w:rsidRPr="000D127B">
        <w:t xml:space="preserve"> </w:t>
      </w:r>
      <w:r w:rsidR="000D127B" w:rsidRPr="000D127B">
        <w:rPr>
          <w:b/>
        </w:rPr>
        <w:t>Question</w:t>
      </w:r>
      <w:r w:rsidR="000D127B" w:rsidRPr="000D127B">
        <w:t>”)</w:t>
      </w:r>
      <w:r w:rsidR="00AC2DC9" w:rsidRPr="000D127B">
        <w:t xml:space="preserve">.  </w:t>
      </w:r>
    </w:p>
    <w:p w:rsidR="002A6321" w:rsidRPr="000D127B" w:rsidRDefault="002A6321" w:rsidP="002A6321">
      <w:pPr>
        <w:pStyle w:val="Heading1"/>
      </w:pPr>
      <w:r w:rsidRPr="000D127B">
        <w:t>insolvency question</w:t>
      </w:r>
    </w:p>
    <w:p w:rsidR="004C62DE" w:rsidRPr="000D127B" w:rsidRDefault="004C62DE" w:rsidP="00017B82">
      <w:pPr>
        <w:pStyle w:val="ParaNumbering"/>
        <w:numPr>
          <w:ilvl w:val="0"/>
          <w:numId w:val="30"/>
        </w:numPr>
      </w:pPr>
      <w:r w:rsidRPr="000D127B">
        <w:t xml:space="preserve">On 6 May 2016, Middleton J made orders pursuant to r 30.01 of the </w:t>
      </w:r>
      <w:r w:rsidRPr="006C5E13">
        <w:rPr>
          <w:i/>
        </w:rPr>
        <w:t>Federal Court Rules</w:t>
      </w:r>
      <w:r w:rsidR="002547AA" w:rsidRPr="006C5E13">
        <w:rPr>
          <w:i/>
        </w:rPr>
        <w:t xml:space="preserve"> 2011</w:t>
      </w:r>
      <w:r w:rsidRPr="000D127B">
        <w:t xml:space="preserve"> </w:t>
      </w:r>
      <w:r w:rsidR="002547AA" w:rsidRPr="000D127B">
        <w:t xml:space="preserve">(Cth) </w:t>
      </w:r>
      <w:r w:rsidRPr="000D127B">
        <w:t>for a separate trial of the following preliminary questions:</w:t>
      </w:r>
    </w:p>
    <w:p w:rsidR="004C62DE" w:rsidRPr="00A04E62" w:rsidRDefault="004C62DE" w:rsidP="0058364C">
      <w:pPr>
        <w:pStyle w:val="NoNum"/>
        <w:tabs>
          <w:tab w:val="left" w:pos="737"/>
        </w:tabs>
        <w:ind w:left="1474" w:hanging="737"/>
      </w:pPr>
      <w:r w:rsidRPr="00A04E62">
        <w:t>1</w:t>
      </w:r>
      <w:r w:rsidR="00AC2DC9" w:rsidRPr="00A04E62">
        <w:t xml:space="preserve">.  </w:t>
      </w:r>
      <w:r w:rsidRPr="00A04E62">
        <w:tab/>
        <w:t>Whether any (and if so which) of the companies listed in Annexure 1 was insolvent between 30 March 2012 and 25 September 2012</w:t>
      </w:r>
      <w:r w:rsidR="00AC2DC9" w:rsidRPr="00A04E62">
        <w:t xml:space="preserve">.  </w:t>
      </w:r>
    </w:p>
    <w:p w:rsidR="004C62DE" w:rsidRPr="00A04E62" w:rsidRDefault="004C62DE" w:rsidP="0058364C">
      <w:pPr>
        <w:pStyle w:val="NoNum"/>
        <w:tabs>
          <w:tab w:val="left" w:pos="737"/>
        </w:tabs>
        <w:ind w:left="1474" w:hanging="737"/>
        <w:rPr>
          <w:highlight w:val="yellow"/>
        </w:rPr>
      </w:pPr>
      <w:r w:rsidRPr="00A04E62">
        <w:t>2.</w:t>
      </w:r>
      <w:r w:rsidRPr="00A04E62">
        <w:tab/>
        <w:t>If the answer to question (1) is yes, from what date did each insolvent company become insolvent</w:t>
      </w:r>
      <w:r w:rsidR="00AC2DC9" w:rsidRPr="00A04E62">
        <w:t xml:space="preserve">.  </w:t>
      </w:r>
    </w:p>
    <w:p w:rsidR="004B0C8B" w:rsidRPr="00A04E62" w:rsidRDefault="002D4F09" w:rsidP="00017B82">
      <w:pPr>
        <w:pStyle w:val="ParaNumbering"/>
        <w:numPr>
          <w:ilvl w:val="0"/>
          <w:numId w:val="30"/>
        </w:numPr>
      </w:pPr>
      <w:r w:rsidRPr="00A04E62">
        <w:t>Initially</w:t>
      </w:r>
      <w:r w:rsidR="00CB7E3C" w:rsidRPr="00A04E62">
        <w:t>,</w:t>
      </w:r>
      <w:r w:rsidRPr="00A04E62">
        <w:t xml:space="preserve"> a number of defendants</w:t>
      </w:r>
      <w:r w:rsidR="008A5F42" w:rsidRPr="00A04E62">
        <w:t xml:space="preserve"> contested</w:t>
      </w:r>
      <w:r w:rsidRPr="00A04E62">
        <w:t xml:space="preserve"> the liquidators’ allegations as to insolvency</w:t>
      </w:r>
      <w:r w:rsidR="002547AA" w:rsidRPr="00A04E62">
        <w:t>,</w:t>
      </w:r>
      <w:r w:rsidRPr="00A04E62">
        <w:t xml:space="preserve"> but a number of those proceedings have since settled</w:t>
      </w:r>
      <w:r w:rsidR="00AC2DC9" w:rsidRPr="00A04E62">
        <w:t xml:space="preserve">.  </w:t>
      </w:r>
      <w:r w:rsidR="004A6588" w:rsidRPr="00A04E62">
        <w:t>Nine</w:t>
      </w:r>
      <w:r w:rsidRPr="00A04E62">
        <w:t xml:space="preserve"> </w:t>
      </w:r>
      <w:r w:rsidR="004B0C8B" w:rsidRPr="00A04E62">
        <w:t xml:space="preserve">proceedings </w:t>
      </w:r>
      <w:r w:rsidRPr="00A04E62">
        <w:t xml:space="preserve">remain </w:t>
      </w:r>
      <w:r w:rsidR="004C62DE" w:rsidRPr="00A04E62">
        <w:t xml:space="preserve">(which are listed in </w:t>
      </w:r>
      <w:r w:rsidR="00D16BFB" w:rsidRPr="00A04E62">
        <w:t>A</w:t>
      </w:r>
      <w:r w:rsidR="004C62DE" w:rsidRPr="00A04E62">
        <w:t>nnexure 2</w:t>
      </w:r>
      <w:r w:rsidR="004B0C8B" w:rsidRPr="00A04E62">
        <w:t>)</w:t>
      </w:r>
      <w:r w:rsidRPr="00A04E62">
        <w:t xml:space="preserve"> in which</w:t>
      </w:r>
      <w:r w:rsidR="004B0C8B" w:rsidRPr="00A04E62">
        <w:t xml:space="preserve"> the defendant</w:t>
      </w:r>
      <w:r w:rsidR="004C62DE" w:rsidRPr="00A04E62">
        <w:t xml:space="preserve"> either</w:t>
      </w:r>
      <w:r w:rsidR="004B0C8B" w:rsidRPr="00A04E62">
        <w:t xml:space="preserve"> has not admitted </w:t>
      </w:r>
      <w:r w:rsidR="00DA3F9B" w:rsidRPr="00A04E62">
        <w:t xml:space="preserve">the insolvency allegation </w:t>
      </w:r>
      <w:r w:rsidR="004B0C8B" w:rsidRPr="00A04E62">
        <w:t xml:space="preserve">or </w:t>
      </w:r>
      <w:r w:rsidR="00DA3F9B" w:rsidRPr="00A04E62">
        <w:t xml:space="preserve">has </w:t>
      </w:r>
      <w:r w:rsidR="004B0C8B" w:rsidRPr="00A04E62">
        <w:t>de</w:t>
      </w:r>
      <w:r w:rsidRPr="00A04E62">
        <w:t xml:space="preserve">nied </w:t>
      </w:r>
      <w:r w:rsidR="00DA3F9B" w:rsidRPr="00A04E62">
        <w:t xml:space="preserve">that </w:t>
      </w:r>
      <w:r w:rsidRPr="00A04E62">
        <w:t>allegation</w:t>
      </w:r>
      <w:r w:rsidR="00D16BFB" w:rsidRPr="00A04E62">
        <w:t>,</w:t>
      </w:r>
      <w:r w:rsidRPr="00A04E62">
        <w:t xml:space="preserve"> but as n</w:t>
      </w:r>
      <w:r w:rsidR="00CD3895" w:rsidRPr="00A04E62">
        <w:t>one of those defendants filed any evidence or sought to be heard on the insolvency question</w:t>
      </w:r>
      <w:r w:rsidRPr="00A04E62">
        <w:t xml:space="preserve">, </w:t>
      </w:r>
      <w:r w:rsidR="004C62DE" w:rsidRPr="00A04E62">
        <w:t xml:space="preserve">the trial on </w:t>
      </w:r>
      <w:r w:rsidR="008A5F42" w:rsidRPr="00A04E62">
        <w:t>this</w:t>
      </w:r>
      <w:r w:rsidR="00DA3F9B" w:rsidRPr="00A04E62">
        <w:t xml:space="preserve"> question ultimately proceeded without a </w:t>
      </w:r>
      <w:r w:rsidRPr="00A04E62">
        <w:t>contradictor</w:t>
      </w:r>
      <w:r w:rsidR="00AC2DC9" w:rsidRPr="00A04E62">
        <w:t xml:space="preserve">.  </w:t>
      </w:r>
    </w:p>
    <w:p w:rsidR="00840009" w:rsidRPr="00A04E62" w:rsidRDefault="00840009" w:rsidP="00017B82">
      <w:pPr>
        <w:pStyle w:val="ParaNumbering"/>
        <w:numPr>
          <w:ilvl w:val="0"/>
          <w:numId w:val="30"/>
        </w:numPr>
      </w:pPr>
      <w:r w:rsidRPr="00A04E62">
        <w:lastRenderedPageBreak/>
        <w:t xml:space="preserve">The relation back day for the purposes of s 513C of the Act is 25 September 2012, being the date on which the companies in the </w:t>
      </w:r>
      <w:proofErr w:type="spellStart"/>
      <w:r w:rsidRPr="00A04E62">
        <w:t>Gunns</w:t>
      </w:r>
      <w:proofErr w:type="spellEnd"/>
      <w:r w:rsidRPr="00A04E62">
        <w:t xml:space="preserve"> </w:t>
      </w:r>
      <w:r w:rsidR="005A4257" w:rsidRPr="00A04E62">
        <w:t xml:space="preserve">Group </w:t>
      </w:r>
      <w:r w:rsidRPr="00A04E62">
        <w:t>went into administration</w:t>
      </w:r>
      <w:r w:rsidR="00AC2DC9" w:rsidRPr="00A04E62">
        <w:t xml:space="preserve">.  </w:t>
      </w:r>
      <w:r w:rsidRPr="00A04E62">
        <w:t>Accordingly</w:t>
      </w:r>
      <w:r w:rsidR="00D43087" w:rsidRPr="00A04E62">
        <w:t>,</w:t>
      </w:r>
      <w:r w:rsidRPr="00A04E62">
        <w:t xml:space="preserve"> the relation back period for the purposes of the voidable transaction claims pursuant to Part 5</w:t>
      </w:r>
      <w:r w:rsidR="008F1FE7" w:rsidRPr="00A04E62">
        <w:t>.</w:t>
      </w:r>
      <w:r w:rsidRPr="00A04E62">
        <w:t>7B of the Act is between 25 March 2012 and 25 September 2012</w:t>
      </w:r>
      <w:r w:rsidR="00D50A15" w:rsidRPr="00A04E62">
        <w:t xml:space="preserve"> (“</w:t>
      </w:r>
      <w:r w:rsidR="00D50A15" w:rsidRPr="00A04E62">
        <w:rPr>
          <w:b/>
        </w:rPr>
        <w:t>the relevant period</w:t>
      </w:r>
      <w:r w:rsidR="00D50A15" w:rsidRPr="00A04E62">
        <w:t>”)</w:t>
      </w:r>
      <w:r w:rsidRPr="00A04E62">
        <w:t>: s</w:t>
      </w:r>
      <w:r w:rsidR="00BB19A7" w:rsidRPr="00A04E62">
        <w:t>s</w:t>
      </w:r>
      <w:r w:rsidRPr="00A04E62">
        <w:t xml:space="preserve"> 91</w:t>
      </w:r>
      <w:r w:rsidR="00BB19A7" w:rsidRPr="00A04E62">
        <w:t>, 588FE</w:t>
      </w:r>
      <w:r w:rsidRPr="00A04E62">
        <w:t xml:space="preserve"> of the Act</w:t>
      </w:r>
      <w:r w:rsidR="00AC2DC9" w:rsidRPr="00A04E62">
        <w:t xml:space="preserve">.  </w:t>
      </w:r>
      <w:r w:rsidRPr="00A04E62">
        <w:t xml:space="preserve">The liquidators contend that </w:t>
      </w:r>
      <w:proofErr w:type="spellStart"/>
      <w:r w:rsidRPr="00A04E62">
        <w:t>Gunns</w:t>
      </w:r>
      <w:proofErr w:type="spellEnd"/>
      <w:r w:rsidRPr="00A04E62">
        <w:t xml:space="preserve"> and its subsidiaries were insolvent during the whole of this period</w:t>
      </w:r>
      <w:r w:rsidR="00AC2DC9" w:rsidRPr="00A04E62">
        <w:t xml:space="preserve">.  </w:t>
      </w:r>
      <w:r w:rsidRPr="00A04E62">
        <w:t>The liquidators have relied on the following evidence:</w:t>
      </w:r>
    </w:p>
    <w:p w:rsidR="00840009" w:rsidRPr="000D127B" w:rsidRDefault="00840009" w:rsidP="00840009">
      <w:pPr>
        <w:pStyle w:val="ListNo2"/>
      </w:pPr>
      <w:r w:rsidRPr="000D127B">
        <w:t>the expert report of George Georges (“</w:t>
      </w:r>
      <w:r w:rsidRPr="000D127B">
        <w:rPr>
          <w:b/>
        </w:rPr>
        <w:t>Mr Georges</w:t>
      </w:r>
      <w:r w:rsidRPr="000D127B">
        <w:t>”) of Ferrier Hodgson dated 12 February 2016 (“</w:t>
      </w:r>
      <w:r w:rsidRPr="000D127B">
        <w:rPr>
          <w:b/>
        </w:rPr>
        <w:t xml:space="preserve">the </w:t>
      </w:r>
      <w:r w:rsidR="00BC096D" w:rsidRPr="000D127B">
        <w:rPr>
          <w:b/>
        </w:rPr>
        <w:t xml:space="preserve">first </w:t>
      </w:r>
      <w:r w:rsidRPr="000D127B">
        <w:rPr>
          <w:b/>
        </w:rPr>
        <w:t>report</w:t>
      </w:r>
      <w:r w:rsidRPr="000D127B">
        <w:t>”);</w:t>
      </w:r>
    </w:p>
    <w:p w:rsidR="00840009" w:rsidRPr="000D127B" w:rsidRDefault="00840009" w:rsidP="00840009">
      <w:pPr>
        <w:pStyle w:val="ListNo2"/>
      </w:pPr>
      <w:r w:rsidRPr="000D127B">
        <w:t>the supplementary expert report of Mr Georges dated 10 November 2016 (“</w:t>
      </w:r>
      <w:r w:rsidR="00BC096D" w:rsidRPr="000D127B">
        <w:rPr>
          <w:b/>
        </w:rPr>
        <w:t xml:space="preserve">the second </w:t>
      </w:r>
      <w:r w:rsidRPr="000D127B">
        <w:rPr>
          <w:b/>
        </w:rPr>
        <w:t>report</w:t>
      </w:r>
      <w:r w:rsidRPr="000D127B">
        <w:t>”);</w:t>
      </w:r>
    </w:p>
    <w:p w:rsidR="00840009" w:rsidRPr="000D127B" w:rsidRDefault="00840009" w:rsidP="00683360">
      <w:pPr>
        <w:pStyle w:val="ListNo2"/>
      </w:pPr>
      <w:proofErr w:type="gramStart"/>
      <w:r w:rsidRPr="000D127B">
        <w:t>an</w:t>
      </w:r>
      <w:proofErr w:type="gramEnd"/>
      <w:r w:rsidRPr="000D127B">
        <w:t xml:space="preserve"> affidavit of Malcolm Matthews (“</w:t>
      </w:r>
      <w:r w:rsidRPr="000D127B">
        <w:rPr>
          <w:b/>
        </w:rPr>
        <w:t>Mr Matthews</w:t>
      </w:r>
      <w:r w:rsidRPr="000D127B">
        <w:t>”) sworn on 1 August 2017 (“</w:t>
      </w:r>
      <w:r w:rsidRPr="000D127B">
        <w:rPr>
          <w:b/>
        </w:rPr>
        <w:t>the Matthews Affidavit</w:t>
      </w:r>
      <w:r w:rsidRPr="000D127B">
        <w:t>”)</w:t>
      </w:r>
      <w:r w:rsidR="00AC2DC9" w:rsidRPr="000D127B">
        <w:t xml:space="preserve">.  </w:t>
      </w:r>
      <w:r w:rsidR="00683360" w:rsidRPr="000D127B">
        <w:t xml:space="preserve">Mr Matthews was the group financial controller of the </w:t>
      </w:r>
      <w:proofErr w:type="spellStart"/>
      <w:r w:rsidR="00683360" w:rsidRPr="000D127B">
        <w:t>Gunns</w:t>
      </w:r>
      <w:proofErr w:type="spellEnd"/>
      <w:r w:rsidR="00683360" w:rsidRPr="000D127B">
        <w:t xml:space="preserve"> Group during the relevant period</w:t>
      </w:r>
      <w:r w:rsidRPr="000D127B">
        <w:t>; and</w:t>
      </w:r>
    </w:p>
    <w:p w:rsidR="00840009" w:rsidRPr="000D127B" w:rsidRDefault="00840009" w:rsidP="00840009">
      <w:pPr>
        <w:pStyle w:val="ListNo2"/>
      </w:pPr>
      <w:proofErr w:type="gramStart"/>
      <w:r w:rsidRPr="000D127B">
        <w:t>business</w:t>
      </w:r>
      <w:proofErr w:type="gramEnd"/>
      <w:r w:rsidRPr="000D127B">
        <w:t xml:space="preserve"> records of </w:t>
      </w:r>
      <w:proofErr w:type="spellStart"/>
      <w:r w:rsidRPr="000D127B">
        <w:t>Gunns</w:t>
      </w:r>
      <w:proofErr w:type="spellEnd"/>
      <w:r w:rsidRPr="000D127B">
        <w:t xml:space="preserve"> and the relevant </w:t>
      </w:r>
      <w:proofErr w:type="spellStart"/>
      <w:r w:rsidRPr="000D127B">
        <w:t>Gunns</w:t>
      </w:r>
      <w:proofErr w:type="spellEnd"/>
      <w:r w:rsidRPr="000D127B">
        <w:t xml:space="preserve"> Group entities.</w:t>
      </w:r>
    </w:p>
    <w:p w:rsidR="00BC096D" w:rsidRPr="000D127B" w:rsidRDefault="00BC096D" w:rsidP="00BC096D">
      <w:pPr>
        <w:pStyle w:val="Heading2"/>
      </w:pPr>
      <w:r w:rsidRPr="000D127B">
        <w:t>Test for insolvency</w:t>
      </w:r>
    </w:p>
    <w:p w:rsidR="00BC096D" w:rsidRPr="000D127B" w:rsidRDefault="00BC096D" w:rsidP="00017B82">
      <w:pPr>
        <w:pStyle w:val="ParaNumbering"/>
        <w:numPr>
          <w:ilvl w:val="0"/>
          <w:numId w:val="30"/>
        </w:numPr>
      </w:pPr>
      <w:r w:rsidRPr="000D127B">
        <w:t>Section 95A of the Act states that “a person is solvent if and only if the person is able to pay all the person’s debts, as and when they become due and payable”</w:t>
      </w:r>
      <w:r w:rsidR="002547AA" w:rsidRPr="000D127B">
        <w:t>,</w:t>
      </w:r>
      <w:r w:rsidRPr="000D127B">
        <w:t xml:space="preserve"> and that “a person who is not solvent is insolvent”</w:t>
      </w:r>
      <w:r w:rsidR="00AC2DC9" w:rsidRPr="000D127B">
        <w:t xml:space="preserve">.  </w:t>
      </w:r>
      <w:r w:rsidRPr="000D127B">
        <w:t>The Act does not define “insolvency” but it is well established by the case law that insolvency for the purposes of s 95A is the inability to meet liabilities out of available resources, as they fall due</w:t>
      </w:r>
      <w:r w:rsidR="00AC2DC9" w:rsidRPr="000D127B">
        <w:t xml:space="preserve">.  </w:t>
      </w:r>
      <w:r w:rsidRPr="000D127B">
        <w:t xml:space="preserve">The assessment of solvency focusses on cash flow and the company’s liquidity in considering whether the company is able to meet its expenses and liabilities when payable: </w:t>
      </w:r>
      <w:r w:rsidRPr="000D127B">
        <w:rPr>
          <w:i/>
        </w:rPr>
        <w:t xml:space="preserve">ASIC v </w:t>
      </w:r>
      <w:proofErr w:type="spellStart"/>
      <w:r w:rsidRPr="000D127B">
        <w:rPr>
          <w:i/>
        </w:rPr>
        <w:t>Plymin</w:t>
      </w:r>
      <w:proofErr w:type="spellEnd"/>
      <w:r w:rsidRPr="000D127B">
        <w:rPr>
          <w:i/>
        </w:rPr>
        <w:t xml:space="preserve"> (No 1) </w:t>
      </w:r>
      <w:r w:rsidRPr="000D127B">
        <w:t>[2003] VSC 123</w:t>
      </w:r>
      <w:r w:rsidR="00AC2DC9" w:rsidRPr="000D127B">
        <w:t xml:space="preserve">.  </w:t>
      </w:r>
      <w:r w:rsidRPr="000D127B">
        <w:t>While an excess of assets over liabilities will satisfy a balance sheet test, if the assets are not readily realisable so as to permit the payment of all debts as and when they fall due, the company will not be solvent</w:t>
      </w:r>
      <w:r w:rsidR="002D25B4">
        <w:t xml:space="preserve">. </w:t>
      </w:r>
      <w:r w:rsidR="00EE2B43" w:rsidRPr="000D127B">
        <w:t xml:space="preserve"> </w:t>
      </w:r>
      <w:r w:rsidRPr="000D127B">
        <w:t>Conversely</w:t>
      </w:r>
      <w:r w:rsidR="00D43087" w:rsidRPr="000D127B">
        <w:t>,</w:t>
      </w:r>
      <w:r w:rsidRPr="000D127B">
        <w:t xml:space="preserve"> a company may be able to pay its debts as and when they fall due, despite a deficiency of assets: </w:t>
      </w:r>
      <w:r w:rsidRPr="000D127B">
        <w:rPr>
          <w:i/>
        </w:rPr>
        <w:t xml:space="preserve">Crema Pty Ltd v Land Mark Property Development Pty Ltd </w:t>
      </w:r>
      <w:r w:rsidRPr="000D127B">
        <w:t>[2006] VSC 338 at [141]</w:t>
      </w:r>
      <w:r w:rsidR="00AC2DC9" w:rsidRPr="000D127B">
        <w:t xml:space="preserve">. </w:t>
      </w:r>
      <w:r w:rsidRPr="000D127B">
        <w:t xml:space="preserve"> </w:t>
      </w:r>
    </w:p>
    <w:p w:rsidR="00BC096D" w:rsidRPr="000D127B" w:rsidRDefault="00BC096D" w:rsidP="00017B82">
      <w:pPr>
        <w:pStyle w:val="ParaNumbering"/>
        <w:numPr>
          <w:ilvl w:val="0"/>
          <w:numId w:val="30"/>
        </w:numPr>
      </w:pPr>
      <w:r w:rsidRPr="000D127B">
        <w:t>Insolvency, however, involves something more than mere temporary lack of liquidity</w:t>
      </w:r>
      <w:r w:rsidR="00AC2DC9" w:rsidRPr="000D127B">
        <w:t xml:space="preserve">.  </w:t>
      </w:r>
      <w:r w:rsidRPr="000D127B">
        <w:t xml:space="preserve">It is the company’s inability, utilising such cash resources as are available through the use of assets or which may otherwise realistically be raised to meet debts as and when they fall due which indicates insolvency: </w:t>
      </w:r>
      <w:proofErr w:type="spellStart"/>
      <w:r w:rsidRPr="000D127B">
        <w:rPr>
          <w:i/>
        </w:rPr>
        <w:t>Sandell</w:t>
      </w:r>
      <w:proofErr w:type="spellEnd"/>
      <w:r w:rsidRPr="000D127B">
        <w:rPr>
          <w:i/>
        </w:rPr>
        <w:t xml:space="preserve"> v Porter </w:t>
      </w:r>
      <w:r w:rsidRPr="000D127B">
        <w:t>[1966] HCA 28</w:t>
      </w:r>
      <w:r w:rsidR="00AC2DC9" w:rsidRPr="000D127B">
        <w:t xml:space="preserve">.  </w:t>
      </w:r>
      <w:r w:rsidRPr="000D127B">
        <w:t xml:space="preserve">In </w:t>
      </w:r>
      <w:proofErr w:type="spellStart"/>
      <w:r w:rsidRPr="000D127B">
        <w:rPr>
          <w:i/>
        </w:rPr>
        <w:t>Sandell</w:t>
      </w:r>
      <w:proofErr w:type="spellEnd"/>
      <w:r w:rsidRPr="000D127B">
        <w:rPr>
          <w:i/>
        </w:rPr>
        <w:t xml:space="preserve"> v Porter</w:t>
      </w:r>
      <w:r w:rsidRPr="000D127B">
        <w:t xml:space="preserve"> Barwick CJ said</w:t>
      </w:r>
      <w:r w:rsidR="002547AA" w:rsidRPr="000D127B">
        <w:t xml:space="preserve"> (at [15])</w:t>
      </w:r>
      <w:r w:rsidRPr="000D127B">
        <w:t>:</w:t>
      </w:r>
    </w:p>
    <w:p w:rsidR="00BC096D" w:rsidRPr="000D127B" w:rsidRDefault="00BC096D" w:rsidP="00BC096D">
      <w:pPr>
        <w:pStyle w:val="Quote1"/>
      </w:pPr>
      <w:r w:rsidRPr="000D127B">
        <w:lastRenderedPageBreak/>
        <w:t>Insolvency is expressed in s 95 as an inability to pay debts as they fall due out of the debtor’s own money</w:t>
      </w:r>
      <w:r w:rsidR="00AC2DC9" w:rsidRPr="000D127B">
        <w:t xml:space="preserve">.  </w:t>
      </w:r>
      <w:r w:rsidRPr="000D127B">
        <w:t>But the debtor’s own moneys are not limited to his cash resources immediately available</w:t>
      </w:r>
      <w:r w:rsidR="00AC2DC9" w:rsidRPr="000D127B">
        <w:t xml:space="preserve">.  </w:t>
      </w:r>
      <w:r w:rsidRPr="000D127B">
        <w:t>They extend to moneys which he can procure by realization by sale or by mortgage or pledge of his assets within a relatively short time - relative to the nature and amount of the debts and to the circumstances, including the nature of the business, of the debtor</w:t>
      </w:r>
      <w:r w:rsidR="00AC2DC9" w:rsidRPr="000D127B">
        <w:t xml:space="preserve">.  </w:t>
      </w:r>
      <w:r w:rsidRPr="000D127B">
        <w:t>The conclusion of insolvency ought to be clear from a consideration of the debtor’s financial position in its entirety and generally speaking ought not to be drawn simply from evidence of a temporary lack of liquidity</w:t>
      </w:r>
      <w:r w:rsidR="00AC2DC9" w:rsidRPr="000D127B">
        <w:t xml:space="preserve">.  </w:t>
      </w:r>
      <w:r w:rsidRPr="000D127B">
        <w:t>It is the debtor’s inability, utilizing such cash resources as he has or can command through the use of his assets, to meet his debts as they fall due which indicates insolvency</w:t>
      </w:r>
      <w:r w:rsidR="00AC2DC9" w:rsidRPr="000D127B">
        <w:t xml:space="preserve">.  </w:t>
      </w:r>
    </w:p>
    <w:p w:rsidR="00BC096D" w:rsidRPr="000D127B" w:rsidRDefault="00BC096D" w:rsidP="00B73A54">
      <w:pPr>
        <w:pStyle w:val="NoNum"/>
        <w:rPr>
          <w:rStyle w:val="ssl2"/>
        </w:rPr>
      </w:pPr>
      <w:r w:rsidRPr="000D127B">
        <w:t xml:space="preserve">In </w:t>
      </w:r>
      <w:r w:rsidRPr="000D127B">
        <w:rPr>
          <w:i/>
        </w:rPr>
        <w:t xml:space="preserve">Southern Cross Interiors Pty Ltd (in liquidation) v Deputy Commissioner of Taxation </w:t>
      </w:r>
      <w:r w:rsidRPr="000D127B">
        <w:t>(2001) 53 NSWLR 213 at [54] Palmer J distinguished between “</w:t>
      </w:r>
      <w:r w:rsidRPr="000D127B">
        <w:rPr>
          <w:rStyle w:val="ssl2"/>
        </w:rPr>
        <w:t>surmountable temporary illiquidity” and “insurmountable endemic illiquidity” as follows:</w:t>
      </w:r>
    </w:p>
    <w:p w:rsidR="00BC096D" w:rsidRPr="000D127B" w:rsidRDefault="00BC096D" w:rsidP="00BC096D">
      <w:pPr>
        <w:pStyle w:val="Quote1"/>
        <w:rPr>
          <w:rStyle w:val="ssl2"/>
        </w:rPr>
      </w:pPr>
      <w:r w:rsidRPr="000D127B">
        <w:rPr>
          <w:rStyle w:val="ssl2"/>
        </w:rPr>
        <w:t>In my opinion, the following propositions may now be drawn from the</w:t>
      </w:r>
      <w:r w:rsidRPr="000D127B">
        <w:br/>
      </w:r>
      <w:r w:rsidRPr="000D127B">
        <w:rPr>
          <w:rStyle w:val="ssl2"/>
        </w:rPr>
        <w:t>authorities:</w:t>
      </w:r>
    </w:p>
    <w:p w:rsidR="00BC096D" w:rsidRPr="000D127B" w:rsidRDefault="00BC096D" w:rsidP="00BC096D">
      <w:pPr>
        <w:pStyle w:val="Quote2"/>
        <w:ind w:left="2160" w:hanging="720"/>
        <w:rPr>
          <w:lang w:eastAsia="en-AU"/>
        </w:rPr>
      </w:pPr>
      <w:r w:rsidRPr="000D127B">
        <w:rPr>
          <w:lang w:eastAsia="en-AU"/>
        </w:rPr>
        <w:t>(</w:t>
      </w:r>
      <w:proofErr w:type="spellStart"/>
      <w:r w:rsidRPr="000D127B">
        <w:rPr>
          <w:lang w:eastAsia="en-AU"/>
        </w:rPr>
        <w:t>i</w:t>
      </w:r>
      <w:proofErr w:type="spellEnd"/>
      <w:r w:rsidRPr="000D127B">
        <w:rPr>
          <w:lang w:eastAsia="en-AU"/>
        </w:rPr>
        <w:t>) </w:t>
      </w:r>
      <w:r w:rsidRPr="000D127B">
        <w:rPr>
          <w:lang w:eastAsia="en-AU"/>
        </w:rPr>
        <w:tab/>
        <w:t>whether or not a company is insolvent for the purposes of the</w:t>
      </w:r>
      <w:r w:rsidRPr="000D127B">
        <w:rPr>
          <w:lang w:eastAsia="en-AU"/>
        </w:rPr>
        <w:br/>
        <w:t xml:space="preserve">Corporations Act (Cth), ss 95A, 459B, 588FC or </w:t>
      </w:r>
      <w:proofErr w:type="gramStart"/>
      <w:r w:rsidRPr="000D127B">
        <w:rPr>
          <w:lang w:eastAsia="en-AU"/>
        </w:rPr>
        <w:t>588G(</w:t>
      </w:r>
      <w:proofErr w:type="gramEnd"/>
      <w:r w:rsidRPr="000D127B">
        <w:rPr>
          <w:lang w:eastAsia="en-AU"/>
        </w:rPr>
        <w:t>1)(b), is a</w:t>
      </w:r>
      <w:r w:rsidRPr="000D127B">
        <w:rPr>
          <w:lang w:eastAsia="en-AU"/>
        </w:rPr>
        <w:br/>
        <w:t>question of fact to be ascertained from a consideration of the</w:t>
      </w:r>
      <w:r w:rsidRPr="000D127B">
        <w:rPr>
          <w:lang w:eastAsia="en-AU"/>
        </w:rPr>
        <w:br/>
        <w:t xml:space="preserve">company's financial position taken as a whole: </w:t>
      </w:r>
      <w:proofErr w:type="spellStart"/>
      <w:r w:rsidRPr="000D127B">
        <w:rPr>
          <w:i/>
          <w:lang w:eastAsia="en-AU"/>
        </w:rPr>
        <w:t>Sandell</w:t>
      </w:r>
      <w:proofErr w:type="spellEnd"/>
      <w:r w:rsidRPr="000D127B">
        <w:rPr>
          <w:i/>
          <w:lang w:eastAsia="en-AU"/>
        </w:rPr>
        <w:t xml:space="preserve"> v Porter</w:t>
      </w:r>
      <w:r w:rsidRPr="000D127B">
        <w:rPr>
          <w:lang w:eastAsia="en-AU"/>
        </w:rPr>
        <w:t>,</w:t>
      </w:r>
      <w:r w:rsidRPr="000D127B">
        <w:rPr>
          <w:lang w:eastAsia="en-AU"/>
        </w:rPr>
        <w:br/>
      </w:r>
      <w:proofErr w:type="spellStart"/>
      <w:r w:rsidRPr="000D127B">
        <w:rPr>
          <w:i/>
          <w:lang w:eastAsia="en-AU"/>
        </w:rPr>
        <w:t>Pegulan</w:t>
      </w:r>
      <w:proofErr w:type="spellEnd"/>
      <w:r w:rsidRPr="000D127B">
        <w:rPr>
          <w:i/>
          <w:lang w:eastAsia="en-AU"/>
        </w:rPr>
        <w:t xml:space="preserve"> Floor Coverings Pty Ltd v Carter</w:t>
      </w:r>
      <w:r w:rsidRPr="000D127B">
        <w:rPr>
          <w:lang w:eastAsia="en-AU"/>
        </w:rPr>
        <w:t xml:space="preserve"> (1997) 24 ACSR 651; 15</w:t>
      </w:r>
      <w:r w:rsidRPr="000D127B">
        <w:rPr>
          <w:lang w:eastAsia="en-AU"/>
        </w:rPr>
        <w:br/>
        <w:t xml:space="preserve">ACLC 1,293 and </w:t>
      </w:r>
      <w:r w:rsidRPr="000D127B">
        <w:rPr>
          <w:i/>
          <w:lang w:eastAsia="en-AU"/>
        </w:rPr>
        <w:t>Fryer v Powell</w:t>
      </w:r>
      <w:r w:rsidRPr="000D127B">
        <w:rPr>
          <w:lang w:eastAsia="en-AU"/>
        </w:rPr>
        <w:t>;</w:t>
      </w:r>
    </w:p>
    <w:p w:rsidR="00BC096D" w:rsidRPr="000D127B" w:rsidRDefault="00BC096D" w:rsidP="00BC096D">
      <w:pPr>
        <w:pStyle w:val="Quote2"/>
        <w:ind w:left="2160" w:hanging="720"/>
        <w:rPr>
          <w:rStyle w:val="ssl2"/>
        </w:rPr>
      </w:pPr>
      <w:r w:rsidRPr="000D127B">
        <w:rPr>
          <w:rFonts w:eastAsia="Times New Roman"/>
          <w:szCs w:val="24"/>
          <w:lang w:eastAsia="en-AU"/>
        </w:rPr>
        <w:t>(ii) </w:t>
      </w:r>
      <w:r w:rsidRPr="000D127B">
        <w:rPr>
          <w:rFonts w:eastAsia="Times New Roman"/>
          <w:szCs w:val="24"/>
          <w:lang w:eastAsia="en-AU"/>
        </w:rPr>
        <w:tab/>
      </w:r>
      <w:proofErr w:type="gramStart"/>
      <w:r w:rsidRPr="000D127B">
        <w:rPr>
          <w:rFonts w:eastAsia="Times New Roman"/>
          <w:szCs w:val="24"/>
          <w:lang w:eastAsia="en-AU"/>
        </w:rPr>
        <w:t>in</w:t>
      </w:r>
      <w:proofErr w:type="gramEnd"/>
      <w:r w:rsidRPr="000D127B">
        <w:rPr>
          <w:rFonts w:eastAsia="Times New Roman"/>
          <w:szCs w:val="24"/>
          <w:lang w:eastAsia="en-AU"/>
        </w:rPr>
        <w:t xml:space="preserve"> considering the company</w:t>
      </w:r>
      <w:r w:rsidR="00957666">
        <w:rPr>
          <w:rFonts w:eastAsia="Times New Roman"/>
          <w:szCs w:val="24"/>
          <w:lang w:eastAsia="en-AU"/>
        </w:rPr>
        <w:t>’</w:t>
      </w:r>
      <w:r w:rsidRPr="000D127B">
        <w:rPr>
          <w:rFonts w:eastAsia="Times New Roman"/>
          <w:szCs w:val="24"/>
          <w:lang w:eastAsia="en-AU"/>
        </w:rPr>
        <w:t>s financial position as a whole, the</w:t>
      </w:r>
      <w:r w:rsidRPr="000D127B">
        <w:rPr>
          <w:rFonts w:eastAsia="Times New Roman"/>
          <w:szCs w:val="24"/>
          <w:lang w:eastAsia="en-AU"/>
        </w:rPr>
        <w:br/>
        <w:t>Court must have regard to commercial realities</w:t>
      </w:r>
      <w:r w:rsidR="002D25B4">
        <w:rPr>
          <w:rFonts w:eastAsia="Times New Roman"/>
          <w:szCs w:val="24"/>
          <w:lang w:eastAsia="en-AU"/>
        </w:rPr>
        <w:t xml:space="preserve">.  </w:t>
      </w:r>
      <w:r w:rsidRPr="000D127B">
        <w:rPr>
          <w:rFonts w:eastAsia="Times New Roman"/>
          <w:szCs w:val="24"/>
          <w:lang w:eastAsia="en-AU"/>
        </w:rPr>
        <w:t>Commercial realities</w:t>
      </w:r>
      <w:r w:rsidR="00D43087" w:rsidRPr="000D127B">
        <w:rPr>
          <w:rFonts w:eastAsia="Times New Roman"/>
          <w:szCs w:val="24"/>
          <w:lang w:eastAsia="en-AU"/>
        </w:rPr>
        <w:t xml:space="preserve"> </w:t>
      </w:r>
      <w:r w:rsidRPr="000D127B">
        <w:rPr>
          <w:rFonts w:eastAsia="Times New Roman"/>
          <w:szCs w:val="24"/>
          <w:lang w:eastAsia="en-AU"/>
        </w:rPr>
        <w:t>will be relevant in considering what resources are available to</w:t>
      </w:r>
      <w:r w:rsidR="00D43087" w:rsidRPr="000D127B">
        <w:rPr>
          <w:rFonts w:eastAsia="Times New Roman"/>
          <w:szCs w:val="24"/>
          <w:lang w:eastAsia="en-AU"/>
        </w:rPr>
        <w:t xml:space="preserve"> </w:t>
      </w:r>
      <w:r w:rsidRPr="000D127B">
        <w:rPr>
          <w:rFonts w:eastAsia="Times New Roman"/>
          <w:szCs w:val="24"/>
          <w:lang w:eastAsia="en-AU"/>
        </w:rPr>
        <w:t>the</w:t>
      </w:r>
      <w:r w:rsidR="00D43087" w:rsidRPr="000D127B">
        <w:rPr>
          <w:rFonts w:eastAsia="Times New Roman"/>
          <w:szCs w:val="24"/>
          <w:lang w:eastAsia="en-AU"/>
        </w:rPr>
        <w:t xml:space="preserve"> </w:t>
      </w:r>
      <w:r w:rsidRPr="000D127B">
        <w:rPr>
          <w:rFonts w:eastAsia="Times New Roman"/>
          <w:szCs w:val="24"/>
          <w:lang w:eastAsia="en-AU"/>
        </w:rPr>
        <w:t>company to meet its liabilities as they fall due, whether resources</w:t>
      </w:r>
      <w:r w:rsidR="00D43087" w:rsidRPr="000D127B">
        <w:rPr>
          <w:rFonts w:eastAsia="Times New Roman"/>
          <w:szCs w:val="24"/>
          <w:lang w:eastAsia="en-AU"/>
        </w:rPr>
        <w:t xml:space="preserve"> </w:t>
      </w:r>
      <w:r w:rsidRPr="000D127B">
        <w:rPr>
          <w:rFonts w:eastAsia="Times New Roman"/>
          <w:szCs w:val="24"/>
          <w:lang w:eastAsia="en-AU"/>
        </w:rPr>
        <w:t>other than cash are realisable by sale or borrowing upon security,</w:t>
      </w:r>
      <w:r w:rsidR="00D43087" w:rsidRPr="000D127B">
        <w:rPr>
          <w:rFonts w:eastAsia="Times New Roman"/>
          <w:szCs w:val="24"/>
          <w:lang w:eastAsia="en-AU"/>
        </w:rPr>
        <w:t xml:space="preserve"> </w:t>
      </w:r>
      <w:r w:rsidRPr="000D127B">
        <w:rPr>
          <w:rFonts w:eastAsia="Times New Roman"/>
          <w:szCs w:val="24"/>
          <w:lang w:eastAsia="en-AU"/>
        </w:rPr>
        <w:t xml:space="preserve">and when such realisations are achievable: </w:t>
      </w:r>
      <w:proofErr w:type="spellStart"/>
      <w:r w:rsidRPr="000D127B">
        <w:rPr>
          <w:rFonts w:eastAsia="Times New Roman"/>
          <w:i/>
          <w:szCs w:val="24"/>
          <w:lang w:eastAsia="en-AU"/>
        </w:rPr>
        <w:t>Sandell</w:t>
      </w:r>
      <w:proofErr w:type="spellEnd"/>
      <w:r w:rsidRPr="000D127B">
        <w:rPr>
          <w:rFonts w:eastAsia="Times New Roman"/>
          <w:i/>
          <w:szCs w:val="24"/>
          <w:lang w:eastAsia="en-AU"/>
        </w:rPr>
        <w:t xml:space="preserve"> v Porter</w:t>
      </w:r>
      <w:r w:rsidRPr="000D127B">
        <w:rPr>
          <w:rFonts w:eastAsia="Times New Roman"/>
          <w:szCs w:val="24"/>
          <w:lang w:eastAsia="en-AU"/>
        </w:rPr>
        <w:t xml:space="preserve">, </w:t>
      </w:r>
      <w:r w:rsidRPr="000D127B">
        <w:rPr>
          <w:rFonts w:eastAsia="Times New Roman"/>
          <w:i/>
          <w:szCs w:val="24"/>
          <w:lang w:eastAsia="en-AU"/>
        </w:rPr>
        <w:t xml:space="preserve">Taylor v </w:t>
      </w:r>
      <w:r w:rsidRPr="000D127B">
        <w:rPr>
          <w:rStyle w:val="italic"/>
          <w:i/>
        </w:rPr>
        <w:t>Australia and New Zealand Banking</w:t>
      </w:r>
      <w:r w:rsidRPr="000D127B">
        <w:rPr>
          <w:rStyle w:val="ssl2"/>
        </w:rPr>
        <w:t xml:space="preserve">, </w:t>
      </w:r>
      <w:r w:rsidRPr="000D127B">
        <w:rPr>
          <w:rStyle w:val="italic"/>
          <w:i/>
        </w:rPr>
        <w:t>Re Newark</w:t>
      </w:r>
      <w:r w:rsidRPr="000D127B">
        <w:rPr>
          <w:rStyle w:val="ssl2"/>
          <w:i/>
        </w:rPr>
        <w:t xml:space="preserve"> and </w:t>
      </w:r>
      <w:proofErr w:type="spellStart"/>
      <w:r w:rsidRPr="000D127B">
        <w:rPr>
          <w:rStyle w:val="italic"/>
          <w:i/>
        </w:rPr>
        <w:t>Sheahan</w:t>
      </w:r>
      <w:proofErr w:type="spellEnd"/>
      <w:r w:rsidR="00D43087" w:rsidRPr="000D127B">
        <w:rPr>
          <w:rStyle w:val="italic"/>
          <w:i/>
        </w:rPr>
        <w:t xml:space="preserve"> </w:t>
      </w:r>
      <w:r w:rsidRPr="000D127B">
        <w:rPr>
          <w:rStyle w:val="italic"/>
          <w:i/>
        </w:rPr>
        <w:t>v</w:t>
      </w:r>
      <w:r w:rsidR="00D43087" w:rsidRPr="000D127B">
        <w:rPr>
          <w:rStyle w:val="italic"/>
          <w:i/>
        </w:rPr>
        <w:t xml:space="preserve"> </w:t>
      </w:r>
      <w:r w:rsidRPr="000D127B">
        <w:rPr>
          <w:rStyle w:val="italic"/>
          <w:i/>
        </w:rPr>
        <w:t>Hertz</w:t>
      </w:r>
      <w:r w:rsidRPr="000D127B">
        <w:rPr>
          <w:rStyle w:val="ssl2"/>
        </w:rPr>
        <w:t>.</w:t>
      </w:r>
    </w:p>
    <w:p w:rsidR="00BC096D" w:rsidRPr="000D127B" w:rsidRDefault="00BC096D" w:rsidP="00BC096D">
      <w:pPr>
        <w:pStyle w:val="Quote2"/>
        <w:ind w:left="2160" w:hanging="720"/>
        <w:rPr>
          <w:rFonts w:eastAsia="Times New Roman"/>
          <w:szCs w:val="24"/>
          <w:lang w:eastAsia="en-AU"/>
        </w:rPr>
      </w:pPr>
      <w:r w:rsidRPr="000D127B">
        <w:rPr>
          <w:rFonts w:eastAsia="Times New Roman"/>
          <w:szCs w:val="24"/>
          <w:lang w:eastAsia="en-AU"/>
        </w:rPr>
        <w:t>(iii) </w:t>
      </w:r>
      <w:r w:rsidRPr="000D127B">
        <w:rPr>
          <w:rFonts w:eastAsia="Times New Roman"/>
          <w:szCs w:val="24"/>
          <w:lang w:eastAsia="en-AU"/>
        </w:rPr>
        <w:tab/>
        <w:t>in assessing whether a company</w:t>
      </w:r>
      <w:r w:rsidR="00957666">
        <w:rPr>
          <w:rFonts w:eastAsia="Times New Roman"/>
          <w:szCs w:val="24"/>
          <w:lang w:eastAsia="en-AU"/>
        </w:rPr>
        <w:t>’</w:t>
      </w:r>
      <w:r w:rsidRPr="000D127B">
        <w:rPr>
          <w:rFonts w:eastAsia="Times New Roman"/>
          <w:szCs w:val="24"/>
          <w:lang w:eastAsia="en-AU"/>
        </w:rPr>
        <w:t>s position as a whole reveals</w:t>
      </w:r>
      <w:r w:rsidRPr="000D127B">
        <w:rPr>
          <w:rFonts w:eastAsia="Times New Roman"/>
          <w:szCs w:val="24"/>
          <w:lang w:eastAsia="en-AU"/>
        </w:rPr>
        <w:br/>
        <w:t>surmountable temporary illiquidity or insurmountable endemic</w:t>
      </w:r>
      <w:r w:rsidRPr="000D127B">
        <w:rPr>
          <w:rFonts w:eastAsia="Times New Roman"/>
          <w:szCs w:val="24"/>
          <w:lang w:eastAsia="en-AU"/>
        </w:rPr>
        <w:br/>
        <w:t>illiquidity resulting in insolvency, it is proper to have regard to the</w:t>
      </w:r>
      <w:r w:rsidRPr="000D127B">
        <w:rPr>
          <w:rFonts w:eastAsia="Times New Roman"/>
          <w:szCs w:val="24"/>
          <w:lang w:eastAsia="en-AU"/>
        </w:rPr>
        <w:br/>
        <w:t>commercial reality that, in normal circumstances, creditors will not</w:t>
      </w:r>
      <w:r w:rsidRPr="000D127B">
        <w:rPr>
          <w:rFonts w:eastAsia="Times New Roman"/>
          <w:szCs w:val="24"/>
          <w:lang w:eastAsia="en-AU"/>
        </w:rPr>
        <w:br/>
        <w:t>always insist on payment strictly in accordance with their terms of</w:t>
      </w:r>
      <w:r w:rsidRPr="000D127B">
        <w:rPr>
          <w:rFonts w:eastAsia="Times New Roman"/>
          <w:szCs w:val="24"/>
          <w:lang w:eastAsia="en-AU"/>
        </w:rPr>
        <w:br/>
        <w:t>trade but that does not result in the company thereby having a cash</w:t>
      </w:r>
      <w:r w:rsidRPr="000D127B">
        <w:rPr>
          <w:rFonts w:eastAsia="Times New Roman"/>
          <w:szCs w:val="24"/>
          <w:lang w:eastAsia="en-AU"/>
        </w:rPr>
        <w:br/>
        <w:t>or credit resource which can be taken into account in determining</w:t>
      </w:r>
      <w:r w:rsidRPr="000D127B">
        <w:rPr>
          <w:rFonts w:eastAsia="Times New Roman"/>
          <w:szCs w:val="24"/>
          <w:lang w:eastAsia="en-AU"/>
        </w:rPr>
        <w:br/>
        <w:t xml:space="preserve">solvency: </w:t>
      </w:r>
      <w:r w:rsidRPr="000D127B">
        <w:rPr>
          <w:rFonts w:eastAsia="Times New Roman"/>
          <w:i/>
          <w:szCs w:val="24"/>
          <w:lang w:eastAsia="en-AU"/>
        </w:rPr>
        <w:t>Bank of Australasia v Hall</w:t>
      </w:r>
      <w:r w:rsidRPr="000D127B">
        <w:rPr>
          <w:rFonts w:eastAsia="Times New Roman"/>
          <w:szCs w:val="24"/>
          <w:lang w:eastAsia="en-AU"/>
        </w:rPr>
        <w:t xml:space="preserve"> (1907) 4 CLR 1,514 at 1,528;</w:t>
      </w:r>
      <w:r w:rsidRPr="000D127B">
        <w:rPr>
          <w:rFonts w:eastAsia="Times New Roman"/>
          <w:szCs w:val="24"/>
          <w:lang w:eastAsia="en-AU"/>
        </w:rPr>
        <w:br/>
      </w:r>
      <w:r w:rsidRPr="000D127B">
        <w:rPr>
          <w:rFonts w:eastAsia="Times New Roman"/>
          <w:i/>
          <w:szCs w:val="24"/>
          <w:lang w:eastAsia="en-AU"/>
        </w:rPr>
        <w:t>Re Norfolk Plumbing</w:t>
      </w:r>
      <w:r w:rsidRPr="000D127B">
        <w:rPr>
          <w:rFonts w:eastAsia="Times New Roman"/>
          <w:szCs w:val="24"/>
          <w:lang w:eastAsia="en-AU"/>
        </w:rPr>
        <w:t xml:space="preserve"> (at 615; 169); </w:t>
      </w:r>
      <w:r w:rsidRPr="000D127B">
        <w:rPr>
          <w:rFonts w:eastAsia="Times New Roman"/>
          <w:i/>
          <w:szCs w:val="24"/>
          <w:lang w:eastAsia="en-AU"/>
        </w:rPr>
        <w:t>Taylor v Australia and New</w:t>
      </w:r>
      <w:r w:rsidRPr="000D127B">
        <w:rPr>
          <w:rFonts w:eastAsia="Times New Roman"/>
          <w:i/>
          <w:szCs w:val="24"/>
          <w:lang w:eastAsia="en-AU"/>
        </w:rPr>
        <w:br/>
        <w:t>Zealand Banking</w:t>
      </w:r>
      <w:r w:rsidRPr="000D127B">
        <w:rPr>
          <w:rFonts w:eastAsia="Times New Roman"/>
          <w:szCs w:val="24"/>
          <w:lang w:eastAsia="en-AU"/>
        </w:rPr>
        <w:t xml:space="preserve"> (at 784; 811); </w:t>
      </w:r>
      <w:r w:rsidRPr="000D127B">
        <w:rPr>
          <w:rFonts w:eastAsia="Times New Roman"/>
          <w:i/>
          <w:szCs w:val="24"/>
          <w:lang w:eastAsia="en-AU"/>
        </w:rPr>
        <w:t>Guthrie (as liq of ULT Ltd (rec</w:t>
      </w:r>
      <w:r w:rsidRPr="000D127B">
        <w:rPr>
          <w:rFonts w:eastAsia="Times New Roman"/>
          <w:i/>
          <w:szCs w:val="24"/>
          <w:lang w:eastAsia="en-AU"/>
        </w:rPr>
        <w:br/>
      </w:r>
      <w:proofErr w:type="spellStart"/>
      <w:r w:rsidRPr="000D127B">
        <w:rPr>
          <w:rFonts w:eastAsia="Times New Roman"/>
          <w:i/>
          <w:szCs w:val="24"/>
          <w:lang w:eastAsia="en-AU"/>
        </w:rPr>
        <w:t>apptd</w:t>
      </w:r>
      <w:proofErr w:type="spellEnd"/>
      <w:r w:rsidRPr="000D127B">
        <w:rPr>
          <w:rFonts w:eastAsia="Times New Roman"/>
          <w:i/>
          <w:szCs w:val="24"/>
          <w:lang w:eastAsia="en-AU"/>
        </w:rPr>
        <w:t>) (in liq)) v Radio Frequency Systems Pty Ltd</w:t>
      </w:r>
      <w:r w:rsidRPr="000D127B">
        <w:rPr>
          <w:rFonts w:eastAsia="Times New Roman"/>
          <w:szCs w:val="24"/>
          <w:lang w:eastAsia="en-AU"/>
        </w:rPr>
        <w:t xml:space="preserve"> (2000) 34 ACSR</w:t>
      </w:r>
      <w:r w:rsidRPr="000D127B">
        <w:rPr>
          <w:rFonts w:eastAsia="Times New Roman"/>
          <w:szCs w:val="24"/>
          <w:lang w:eastAsia="en-AU"/>
        </w:rPr>
        <w:br/>
        <w:t>572 at 575;</w:t>
      </w:r>
    </w:p>
    <w:p w:rsidR="00BC096D" w:rsidRPr="000D127B" w:rsidRDefault="00BC096D" w:rsidP="00BC096D">
      <w:pPr>
        <w:pStyle w:val="Quote2"/>
        <w:ind w:left="2160" w:hanging="720"/>
        <w:rPr>
          <w:rFonts w:eastAsia="Times New Roman"/>
          <w:szCs w:val="24"/>
          <w:lang w:eastAsia="en-AU"/>
        </w:rPr>
      </w:pPr>
      <w:r w:rsidRPr="000D127B">
        <w:rPr>
          <w:rFonts w:eastAsia="Times New Roman"/>
          <w:szCs w:val="24"/>
          <w:lang w:eastAsia="en-AU"/>
        </w:rPr>
        <w:t>(iv) </w:t>
      </w:r>
      <w:r w:rsidRPr="000D127B">
        <w:rPr>
          <w:rFonts w:eastAsia="Times New Roman"/>
          <w:szCs w:val="24"/>
          <w:lang w:eastAsia="en-AU"/>
        </w:rPr>
        <w:tab/>
        <w:t>the commercial reality that creditors will normally allow some</w:t>
      </w:r>
      <w:r w:rsidRPr="000D127B">
        <w:rPr>
          <w:rFonts w:eastAsia="Times New Roman"/>
          <w:szCs w:val="24"/>
          <w:lang w:eastAsia="en-AU"/>
        </w:rPr>
        <w:br/>
        <w:t>latitude in time for payment of their debts does not, in itself, warrant</w:t>
      </w:r>
      <w:r w:rsidRPr="000D127B">
        <w:rPr>
          <w:rFonts w:eastAsia="Times New Roman"/>
          <w:szCs w:val="24"/>
          <w:lang w:eastAsia="en-AU"/>
        </w:rPr>
        <w:br/>
        <w:t>a conclusion that the debts are not payable at the times contractually</w:t>
      </w:r>
      <w:r w:rsidRPr="000D127B">
        <w:rPr>
          <w:rFonts w:eastAsia="Times New Roman"/>
          <w:szCs w:val="24"/>
          <w:lang w:eastAsia="en-AU"/>
        </w:rPr>
        <w:br/>
        <w:t>stipulated and have become debts payable only upon demand:</w:t>
      </w:r>
      <w:r w:rsidRPr="000D127B">
        <w:rPr>
          <w:rFonts w:eastAsia="Times New Roman"/>
          <w:szCs w:val="24"/>
          <w:lang w:eastAsia="en-AU"/>
        </w:rPr>
        <w:br/>
      </w:r>
      <w:r w:rsidRPr="000D127B">
        <w:rPr>
          <w:rFonts w:eastAsia="Times New Roman"/>
          <w:i/>
          <w:szCs w:val="24"/>
          <w:lang w:eastAsia="en-AU"/>
        </w:rPr>
        <w:t>Standard Chartered Bank v Antico</w:t>
      </w:r>
      <w:r w:rsidRPr="000D127B">
        <w:rPr>
          <w:rFonts w:eastAsia="Times New Roman"/>
          <w:szCs w:val="24"/>
          <w:lang w:eastAsia="en-AU"/>
        </w:rPr>
        <w:t xml:space="preserve"> (at 331); </w:t>
      </w:r>
      <w:r w:rsidRPr="000D127B">
        <w:rPr>
          <w:rFonts w:eastAsia="Times New Roman"/>
          <w:i/>
          <w:szCs w:val="24"/>
          <w:lang w:eastAsia="en-AU"/>
        </w:rPr>
        <w:t>Hall v Press Plumbing;</w:t>
      </w:r>
      <w:r w:rsidRPr="000D127B">
        <w:rPr>
          <w:rFonts w:eastAsia="Times New Roman"/>
          <w:i/>
          <w:szCs w:val="24"/>
          <w:lang w:eastAsia="en-AU"/>
        </w:rPr>
        <w:br/>
      </w:r>
      <w:proofErr w:type="spellStart"/>
      <w:r w:rsidRPr="000D127B">
        <w:rPr>
          <w:rFonts w:eastAsia="Times New Roman"/>
          <w:i/>
          <w:szCs w:val="24"/>
          <w:lang w:eastAsia="en-AU"/>
        </w:rPr>
        <w:t>Melbase</w:t>
      </w:r>
      <w:proofErr w:type="spellEnd"/>
      <w:r w:rsidRPr="000D127B">
        <w:rPr>
          <w:rFonts w:eastAsia="Times New Roman"/>
          <w:szCs w:val="24"/>
          <w:lang w:eastAsia="en-AU"/>
        </w:rPr>
        <w:t xml:space="preserve"> (at 199; 832–833); </w:t>
      </w:r>
      <w:r w:rsidRPr="000D127B">
        <w:rPr>
          <w:rFonts w:eastAsia="Times New Roman"/>
          <w:i/>
          <w:szCs w:val="24"/>
          <w:lang w:eastAsia="en-AU"/>
        </w:rPr>
        <w:t>Carrier</w:t>
      </w:r>
      <w:r w:rsidRPr="000D127B">
        <w:rPr>
          <w:rFonts w:eastAsia="Times New Roman"/>
          <w:szCs w:val="24"/>
          <w:lang w:eastAsia="en-AU"/>
        </w:rPr>
        <w:t xml:space="preserve"> (at 253; 777–778); </w:t>
      </w:r>
      <w:r w:rsidRPr="000D127B">
        <w:rPr>
          <w:rFonts w:eastAsia="Times New Roman"/>
          <w:i/>
          <w:szCs w:val="24"/>
          <w:lang w:eastAsia="en-AU"/>
        </w:rPr>
        <w:t>Cuthbertson</w:t>
      </w:r>
      <w:r w:rsidRPr="000D127B">
        <w:rPr>
          <w:rFonts w:eastAsia="Times New Roman"/>
          <w:i/>
          <w:szCs w:val="24"/>
          <w:lang w:eastAsia="en-AU"/>
        </w:rPr>
        <w:br/>
        <w:t>v Thomas</w:t>
      </w:r>
      <w:r w:rsidRPr="000D127B">
        <w:rPr>
          <w:rFonts w:eastAsia="Times New Roman"/>
          <w:szCs w:val="24"/>
          <w:lang w:eastAsia="en-AU"/>
        </w:rPr>
        <w:t xml:space="preserve"> (at 320); </w:t>
      </w:r>
      <w:r w:rsidRPr="000D127B">
        <w:rPr>
          <w:rFonts w:eastAsia="Times New Roman"/>
          <w:i/>
          <w:szCs w:val="24"/>
          <w:lang w:eastAsia="en-AU"/>
        </w:rPr>
        <w:t>Lee Kong</w:t>
      </w:r>
      <w:r w:rsidRPr="000D127B">
        <w:rPr>
          <w:rFonts w:eastAsia="Times New Roman"/>
          <w:szCs w:val="24"/>
          <w:lang w:eastAsia="en-AU"/>
        </w:rPr>
        <w:t xml:space="preserve"> (at 112; 1,568);</w:t>
      </w:r>
    </w:p>
    <w:p w:rsidR="00BC096D" w:rsidRPr="000D127B" w:rsidRDefault="00BC096D" w:rsidP="00BC096D">
      <w:pPr>
        <w:pStyle w:val="Quote2"/>
        <w:ind w:left="2160" w:hanging="720"/>
        <w:rPr>
          <w:rFonts w:eastAsia="Times New Roman"/>
          <w:szCs w:val="24"/>
          <w:lang w:eastAsia="en-AU"/>
        </w:rPr>
      </w:pPr>
      <w:r w:rsidRPr="000D127B">
        <w:rPr>
          <w:rFonts w:eastAsia="Times New Roman"/>
          <w:szCs w:val="24"/>
          <w:lang w:eastAsia="en-AU"/>
        </w:rPr>
        <w:lastRenderedPageBreak/>
        <w:t>(v) </w:t>
      </w:r>
      <w:r w:rsidRPr="000D127B">
        <w:rPr>
          <w:rFonts w:eastAsia="Times New Roman"/>
          <w:szCs w:val="24"/>
          <w:lang w:eastAsia="en-AU"/>
        </w:rPr>
        <w:tab/>
      </w:r>
      <w:proofErr w:type="gramStart"/>
      <w:r w:rsidRPr="000D127B">
        <w:rPr>
          <w:rFonts w:eastAsia="Times New Roman"/>
          <w:szCs w:val="24"/>
          <w:lang w:eastAsia="en-AU"/>
        </w:rPr>
        <w:t>in</w:t>
      </w:r>
      <w:proofErr w:type="gramEnd"/>
      <w:r w:rsidRPr="000D127B">
        <w:rPr>
          <w:rFonts w:eastAsia="Times New Roman"/>
          <w:szCs w:val="24"/>
          <w:lang w:eastAsia="en-AU"/>
        </w:rPr>
        <w:t xml:space="preserve"> assessing solvency, the court acts upon the basis that a contract</w:t>
      </w:r>
      <w:r w:rsidRPr="000D127B">
        <w:rPr>
          <w:rFonts w:eastAsia="Times New Roman"/>
          <w:szCs w:val="24"/>
          <w:lang w:eastAsia="en-AU"/>
        </w:rPr>
        <w:br/>
        <w:t>debt is payable at the time stipulated for payment in the contract</w:t>
      </w:r>
      <w:r w:rsidRPr="000D127B">
        <w:rPr>
          <w:rFonts w:eastAsia="Times New Roman"/>
          <w:szCs w:val="24"/>
          <w:lang w:eastAsia="en-AU"/>
        </w:rPr>
        <w:br/>
        <w:t>unless there is evidence, proving to the court's satisfaction, that:</w:t>
      </w:r>
    </w:p>
    <w:p w:rsidR="00BC096D" w:rsidRPr="000D127B" w:rsidRDefault="00BC096D" w:rsidP="00BC096D">
      <w:pPr>
        <w:pStyle w:val="Quote3Bullet"/>
      </w:pPr>
      <w:r w:rsidRPr="000D127B">
        <w:rPr>
          <w:lang w:eastAsia="en-AU"/>
        </w:rPr>
        <w:t>there has been an express or implied agreement between the</w:t>
      </w:r>
      <w:r w:rsidRPr="000D127B">
        <w:rPr>
          <w:lang w:eastAsia="en-AU"/>
        </w:rPr>
        <w:br/>
        <w:t>company and the creditor for an extension of the time</w:t>
      </w:r>
      <w:r w:rsidRPr="000D127B">
        <w:rPr>
          <w:lang w:eastAsia="en-AU"/>
        </w:rPr>
        <w:br/>
        <w:t>stipulated for payment; or</w:t>
      </w:r>
    </w:p>
    <w:p w:rsidR="00BC096D" w:rsidRPr="000D127B" w:rsidRDefault="00BC096D" w:rsidP="00BC096D">
      <w:pPr>
        <w:pStyle w:val="Quote3Bullet"/>
      </w:pPr>
      <w:r w:rsidRPr="000D127B">
        <w:rPr>
          <w:rFonts w:eastAsia="Times New Roman"/>
          <w:szCs w:val="24"/>
          <w:lang w:eastAsia="en-AU"/>
        </w:rPr>
        <w:t>there is a course of conduct between the company and the</w:t>
      </w:r>
      <w:r w:rsidRPr="000D127B">
        <w:rPr>
          <w:rFonts w:eastAsia="Times New Roman"/>
          <w:szCs w:val="24"/>
          <w:lang w:eastAsia="en-AU"/>
        </w:rPr>
        <w:br/>
        <w:t>creditor sufficient to give rise to an estoppel preventing the</w:t>
      </w:r>
      <w:r w:rsidRPr="000D127B">
        <w:rPr>
          <w:rFonts w:eastAsia="Times New Roman"/>
          <w:szCs w:val="24"/>
          <w:lang w:eastAsia="en-AU"/>
        </w:rPr>
        <w:br/>
        <w:t>creditor from relying upon the stipulated time for payment; or</w:t>
      </w:r>
    </w:p>
    <w:p w:rsidR="00BC096D" w:rsidRPr="000D127B" w:rsidRDefault="00BC096D" w:rsidP="00BC096D">
      <w:pPr>
        <w:pStyle w:val="Quote3Bullet"/>
      </w:pPr>
      <w:r w:rsidRPr="000D127B">
        <w:rPr>
          <w:rFonts w:eastAsia="Times New Roman"/>
          <w:szCs w:val="24"/>
          <w:lang w:eastAsia="en-AU"/>
        </w:rPr>
        <w:t>there has been a well-established and recognised course of</w:t>
      </w:r>
      <w:r w:rsidRPr="000D127B">
        <w:rPr>
          <w:rFonts w:eastAsia="Times New Roman"/>
          <w:szCs w:val="24"/>
          <w:lang w:eastAsia="en-AU"/>
        </w:rPr>
        <w:br/>
        <w:t>conduct in the industry in which the company operates, or as</w:t>
      </w:r>
      <w:r w:rsidRPr="000D127B">
        <w:rPr>
          <w:rFonts w:eastAsia="Times New Roman"/>
          <w:szCs w:val="24"/>
          <w:lang w:eastAsia="en-AU"/>
        </w:rPr>
        <w:br/>
        <w:t>between the company and its creditors as a body, whereby</w:t>
      </w:r>
      <w:r w:rsidRPr="000D127B">
        <w:rPr>
          <w:rFonts w:eastAsia="Times New Roman"/>
          <w:szCs w:val="24"/>
          <w:lang w:eastAsia="en-AU"/>
        </w:rPr>
        <w:br/>
        <w:t>debts are payable at a time other than that stipulated in the</w:t>
      </w:r>
      <w:r w:rsidRPr="000D127B">
        <w:rPr>
          <w:rFonts w:eastAsia="Times New Roman"/>
          <w:szCs w:val="24"/>
          <w:lang w:eastAsia="en-AU"/>
        </w:rPr>
        <w:br/>
        <w:t>creditors' terms of trade or are payable only on demand:</w:t>
      </w:r>
    </w:p>
    <w:p w:rsidR="00BC096D" w:rsidRPr="000D127B" w:rsidRDefault="00BC096D" w:rsidP="00BC096D">
      <w:pPr>
        <w:pStyle w:val="Quote2"/>
        <w:ind w:left="2160"/>
        <w:rPr>
          <w:rFonts w:eastAsia="Times New Roman"/>
          <w:szCs w:val="24"/>
          <w:lang w:eastAsia="en-AU"/>
        </w:rPr>
      </w:pPr>
      <w:r w:rsidRPr="000D127B">
        <w:rPr>
          <w:rFonts w:eastAsia="Times New Roman"/>
          <w:i/>
          <w:szCs w:val="24"/>
          <w:lang w:eastAsia="en-AU"/>
        </w:rPr>
        <w:t>Re Newark</w:t>
      </w:r>
      <w:r w:rsidRPr="000D127B">
        <w:rPr>
          <w:rFonts w:eastAsia="Times New Roman"/>
          <w:szCs w:val="24"/>
          <w:lang w:eastAsia="en-AU"/>
        </w:rPr>
        <w:t xml:space="preserve"> (at 414–415); </w:t>
      </w:r>
      <w:r w:rsidRPr="000D127B">
        <w:rPr>
          <w:rFonts w:eastAsia="Times New Roman"/>
          <w:i/>
          <w:szCs w:val="24"/>
          <w:lang w:eastAsia="en-AU"/>
        </w:rPr>
        <w:t>Standard Chartered Bank v Antico</w:t>
      </w:r>
      <w:r w:rsidRPr="000D127B">
        <w:rPr>
          <w:rFonts w:eastAsia="Times New Roman"/>
          <w:szCs w:val="24"/>
          <w:lang w:eastAsia="en-AU"/>
        </w:rPr>
        <w:t xml:space="preserve"> (at</w:t>
      </w:r>
      <w:r w:rsidRPr="000D127B">
        <w:rPr>
          <w:rFonts w:eastAsia="Times New Roman"/>
          <w:szCs w:val="24"/>
          <w:lang w:eastAsia="en-AU"/>
        </w:rPr>
        <w:br/>
        <w:t xml:space="preserve">331); </w:t>
      </w:r>
      <w:proofErr w:type="spellStart"/>
      <w:r w:rsidRPr="000D127B">
        <w:rPr>
          <w:rFonts w:eastAsia="Times New Roman"/>
          <w:i/>
          <w:szCs w:val="24"/>
          <w:lang w:eastAsia="en-AU"/>
        </w:rPr>
        <w:t>Melbase</w:t>
      </w:r>
      <w:proofErr w:type="spellEnd"/>
      <w:r w:rsidRPr="000D127B">
        <w:rPr>
          <w:rFonts w:eastAsia="Times New Roman"/>
          <w:szCs w:val="24"/>
          <w:lang w:eastAsia="en-AU"/>
        </w:rPr>
        <w:t xml:space="preserve">; </w:t>
      </w:r>
      <w:r w:rsidRPr="000D127B">
        <w:rPr>
          <w:rFonts w:eastAsia="Times New Roman"/>
          <w:i/>
          <w:szCs w:val="24"/>
          <w:lang w:eastAsia="en-AU"/>
        </w:rPr>
        <w:t>Cuthbertson v Thomas</w:t>
      </w:r>
      <w:r w:rsidRPr="000D127B">
        <w:rPr>
          <w:rFonts w:eastAsia="Times New Roman"/>
          <w:szCs w:val="24"/>
          <w:lang w:eastAsia="en-AU"/>
        </w:rPr>
        <w:t xml:space="preserve">; </w:t>
      </w:r>
      <w:r w:rsidRPr="000D127B">
        <w:rPr>
          <w:rFonts w:eastAsia="Times New Roman"/>
          <w:i/>
          <w:szCs w:val="24"/>
          <w:lang w:eastAsia="en-AU"/>
        </w:rPr>
        <w:t>Fryer v Powell</w:t>
      </w:r>
      <w:r w:rsidRPr="000D127B">
        <w:rPr>
          <w:rFonts w:eastAsia="Times New Roman"/>
          <w:szCs w:val="24"/>
          <w:lang w:eastAsia="en-AU"/>
        </w:rPr>
        <w:t xml:space="preserve"> (at 444–445);</w:t>
      </w:r>
    </w:p>
    <w:p w:rsidR="00BC096D" w:rsidRPr="000D127B" w:rsidRDefault="00BC096D" w:rsidP="00BC096D">
      <w:pPr>
        <w:pStyle w:val="Quote2"/>
        <w:ind w:left="2160" w:hanging="720"/>
        <w:rPr>
          <w:rFonts w:eastAsia="Times New Roman"/>
          <w:szCs w:val="24"/>
          <w:lang w:eastAsia="en-AU"/>
        </w:rPr>
      </w:pPr>
      <w:r w:rsidRPr="000D127B">
        <w:rPr>
          <w:rFonts w:eastAsia="Times New Roman"/>
          <w:szCs w:val="24"/>
          <w:lang w:eastAsia="en-AU"/>
        </w:rPr>
        <w:t>(vi) </w:t>
      </w:r>
      <w:r w:rsidRPr="000D127B">
        <w:rPr>
          <w:rFonts w:eastAsia="Times New Roman"/>
          <w:szCs w:val="24"/>
          <w:lang w:eastAsia="en-AU"/>
        </w:rPr>
        <w:tab/>
        <w:t>it is for the party asserting that a company's contract debts are not</w:t>
      </w:r>
      <w:r w:rsidRPr="000D127B">
        <w:rPr>
          <w:rFonts w:eastAsia="Times New Roman"/>
          <w:szCs w:val="24"/>
          <w:lang w:eastAsia="en-AU"/>
        </w:rPr>
        <w:br/>
        <w:t>payable at the times contractually stipulated to make good that</w:t>
      </w:r>
      <w:r w:rsidRPr="000D127B">
        <w:rPr>
          <w:rFonts w:eastAsia="Times New Roman"/>
          <w:szCs w:val="24"/>
          <w:lang w:eastAsia="en-AU"/>
        </w:rPr>
        <w:br/>
        <w:t xml:space="preserve">assertion by satisfactory evidence: </w:t>
      </w:r>
      <w:r w:rsidRPr="000D127B">
        <w:rPr>
          <w:rFonts w:eastAsia="Times New Roman"/>
          <w:i/>
          <w:szCs w:val="24"/>
          <w:lang w:eastAsia="en-AU"/>
        </w:rPr>
        <w:t>Fryer v Powell</w:t>
      </w:r>
      <w:r w:rsidRPr="000D127B">
        <w:rPr>
          <w:rFonts w:eastAsia="Times New Roman"/>
          <w:szCs w:val="24"/>
          <w:lang w:eastAsia="en-AU"/>
        </w:rPr>
        <w:t xml:space="preserve"> (at 444–445);</w:t>
      </w:r>
      <w:r w:rsidRPr="000D127B">
        <w:rPr>
          <w:rFonts w:eastAsia="Times New Roman"/>
          <w:szCs w:val="24"/>
          <w:lang w:eastAsia="en-AU"/>
        </w:rPr>
        <w:br/>
      </w:r>
      <w:proofErr w:type="spellStart"/>
      <w:r w:rsidRPr="000D127B">
        <w:rPr>
          <w:rFonts w:eastAsia="Times New Roman"/>
          <w:i/>
          <w:szCs w:val="24"/>
          <w:lang w:eastAsia="en-AU"/>
        </w:rPr>
        <w:t>Melbase</w:t>
      </w:r>
      <w:proofErr w:type="spellEnd"/>
      <w:r w:rsidRPr="000D127B">
        <w:rPr>
          <w:rFonts w:eastAsia="Times New Roman"/>
          <w:szCs w:val="24"/>
          <w:lang w:eastAsia="en-AU"/>
        </w:rPr>
        <w:t xml:space="preserve">; </w:t>
      </w:r>
      <w:r w:rsidRPr="000D127B">
        <w:rPr>
          <w:rFonts w:eastAsia="Times New Roman"/>
          <w:i/>
          <w:szCs w:val="24"/>
          <w:lang w:eastAsia="en-AU"/>
        </w:rPr>
        <w:t>Cuthbertson v Thomas</w:t>
      </w:r>
      <w:r w:rsidRPr="000D127B">
        <w:rPr>
          <w:rFonts w:eastAsia="Times New Roman"/>
          <w:szCs w:val="24"/>
          <w:lang w:eastAsia="en-AU"/>
        </w:rPr>
        <w:t>.</w:t>
      </w:r>
    </w:p>
    <w:p w:rsidR="00BC096D" w:rsidRPr="000D127B" w:rsidRDefault="00BC096D" w:rsidP="00BC096D">
      <w:pPr>
        <w:pStyle w:val="NoNum"/>
      </w:pPr>
      <w:r w:rsidRPr="000D127B">
        <w:rPr>
          <w:lang w:eastAsia="en-AU"/>
        </w:rPr>
        <w:t xml:space="preserve">These principles have been endorsed in numerous cases: see </w:t>
      </w:r>
      <w:proofErr w:type="spellStart"/>
      <w:r w:rsidRPr="000D127B">
        <w:rPr>
          <w:lang w:eastAsia="en-AU"/>
        </w:rPr>
        <w:t>eg</w:t>
      </w:r>
      <w:proofErr w:type="spellEnd"/>
      <w:r w:rsidRPr="000D127B">
        <w:rPr>
          <w:lang w:eastAsia="en-AU"/>
        </w:rPr>
        <w:t xml:space="preserve">, </w:t>
      </w:r>
      <w:r w:rsidRPr="000D127B">
        <w:rPr>
          <w:i/>
        </w:rPr>
        <w:t xml:space="preserve">First Equilibrium Pty Limited v Bluestone Property Services Pty </w:t>
      </w:r>
      <w:proofErr w:type="gramStart"/>
      <w:r w:rsidRPr="000D127B">
        <w:rPr>
          <w:i/>
        </w:rPr>
        <w:t>Limited</w:t>
      </w:r>
      <w:proofErr w:type="gramEnd"/>
      <w:r w:rsidRPr="000D127B">
        <w:rPr>
          <w:i/>
        </w:rPr>
        <w:t xml:space="preserve"> (in liq)</w:t>
      </w:r>
      <w:r w:rsidRPr="000D127B">
        <w:t xml:space="preserve"> [2013] FCAFC 108 at [34]</w:t>
      </w:r>
      <w:r w:rsidR="00AC2DC9" w:rsidRPr="000D127B">
        <w:t xml:space="preserve">. </w:t>
      </w:r>
      <w:r w:rsidRPr="000D127B">
        <w:rPr>
          <w:lang w:eastAsia="en-AU"/>
        </w:rPr>
        <w:t xml:space="preserve"> </w:t>
      </w:r>
    </w:p>
    <w:p w:rsidR="00BC096D" w:rsidRPr="002439C8" w:rsidRDefault="00BC096D" w:rsidP="00017B82">
      <w:pPr>
        <w:pStyle w:val="ParaNumbering"/>
        <w:numPr>
          <w:ilvl w:val="0"/>
          <w:numId w:val="30"/>
        </w:numPr>
      </w:pPr>
      <w:r w:rsidRPr="000D127B">
        <w:t xml:space="preserve">The liquidators also referred to the 14 indicia of insolvency identified in </w:t>
      </w:r>
      <w:r w:rsidRPr="000D127B">
        <w:rPr>
          <w:i/>
        </w:rPr>
        <w:t xml:space="preserve">ASIC v </w:t>
      </w:r>
      <w:proofErr w:type="spellStart"/>
      <w:r w:rsidRPr="000D127B">
        <w:rPr>
          <w:i/>
        </w:rPr>
        <w:t>Plymin</w:t>
      </w:r>
      <w:proofErr w:type="spellEnd"/>
      <w:r w:rsidRPr="000D127B">
        <w:rPr>
          <w:i/>
        </w:rPr>
        <w:t xml:space="preserve"> </w:t>
      </w:r>
      <w:r w:rsidRPr="000D127B">
        <w:t xml:space="preserve">by </w:t>
      </w:r>
      <w:proofErr w:type="spellStart"/>
      <w:r w:rsidRPr="000D127B">
        <w:t>Mandie</w:t>
      </w:r>
      <w:proofErr w:type="spellEnd"/>
      <w:r w:rsidRPr="000D127B">
        <w:t xml:space="preserve"> J, namely</w:t>
      </w:r>
      <w:r w:rsidR="00467FF8" w:rsidRPr="000D127B">
        <w:t>:</w:t>
      </w:r>
      <w:r w:rsidRPr="000D127B">
        <w:t xml:space="preserve"> </w:t>
      </w:r>
      <w:r w:rsidRPr="000D127B">
        <w:rPr>
          <w:lang w:eastAsia="en-AU"/>
        </w:rPr>
        <w:t xml:space="preserve">continuing losses; liquidity ratios below 1; overdue Commonwealth and State taxes; </w:t>
      </w:r>
      <w:r w:rsidR="000D53A5" w:rsidRPr="000D127B">
        <w:rPr>
          <w:lang w:eastAsia="en-AU"/>
        </w:rPr>
        <w:t xml:space="preserve">a </w:t>
      </w:r>
      <w:r w:rsidRPr="000D127B">
        <w:rPr>
          <w:lang w:eastAsia="en-AU"/>
        </w:rPr>
        <w:t>po</w:t>
      </w:r>
      <w:r w:rsidR="00B73A54" w:rsidRPr="000D127B">
        <w:rPr>
          <w:lang w:eastAsia="en-AU"/>
        </w:rPr>
        <w:t>or relationship with the</w:t>
      </w:r>
      <w:r w:rsidRPr="000D127B">
        <w:rPr>
          <w:lang w:eastAsia="en-AU"/>
        </w:rPr>
        <w:t xml:space="preserve"> </w:t>
      </w:r>
      <w:r w:rsidR="00B73A54" w:rsidRPr="000D127B">
        <w:rPr>
          <w:lang w:eastAsia="en-AU"/>
        </w:rPr>
        <w:t>b</w:t>
      </w:r>
      <w:r w:rsidRPr="000D127B">
        <w:rPr>
          <w:lang w:eastAsia="en-AU"/>
        </w:rPr>
        <w:t>ank</w:t>
      </w:r>
      <w:r w:rsidR="008F1FE7" w:rsidRPr="000D127B">
        <w:rPr>
          <w:lang w:eastAsia="en-AU"/>
        </w:rPr>
        <w:t xml:space="preserve">, </w:t>
      </w:r>
      <w:r w:rsidRPr="000D127B">
        <w:rPr>
          <w:lang w:eastAsia="en-AU"/>
        </w:rPr>
        <w:t xml:space="preserve">including an inability to borrow further funds; no access to alternative finance; </w:t>
      </w:r>
      <w:r w:rsidR="000D53A5" w:rsidRPr="000D127B">
        <w:rPr>
          <w:lang w:eastAsia="en-AU"/>
        </w:rPr>
        <w:t xml:space="preserve">an </w:t>
      </w:r>
      <w:r w:rsidRPr="000D127B">
        <w:rPr>
          <w:lang w:eastAsia="en-AU"/>
        </w:rPr>
        <w:t>inability to raise further equity capital; suppliers placing the company on cash on delivery, or otherwise demanding special payments before resuming supply; creditors unpaid outside trading term; issuing of post-dated cheques; dishonoured cheques; special arrangements with selected creditors; solicitors’ letters of demand, summonses, judgments or warrants issued against the company; payments to creditors of rounded sums which are not reconcilable to specific invoices; and the inability to produce timely and accurate financial information to display the company’s trading performance and financial position, and make reliable forecasts</w:t>
      </w:r>
      <w:r w:rsidR="002D25B4">
        <w:rPr>
          <w:lang w:eastAsia="en-AU"/>
        </w:rPr>
        <w:t xml:space="preserve">.  </w:t>
      </w:r>
      <w:r w:rsidRPr="000D127B">
        <w:rPr>
          <w:lang w:eastAsia="en-AU"/>
        </w:rPr>
        <w:t xml:space="preserve">A number of subsequent decisions have referred to this list with approval: </w:t>
      </w:r>
      <w:r w:rsidRPr="000D127B">
        <w:t xml:space="preserve">see for example </w:t>
      </w:r>
      <w:r w:rsidRPr="000D127B">
        <w:rPr>
          <w:i/>
        </w:rPr>
        <w:t xml:space="preserve">Lewis re: </w:t>
      </w:r>
      <w:proofErr w:type="spellStart"/>
      <w:r w:rsidRPr="000D127B">
        <w:rPr>
          <w:i/>
        </w:rPr>
        <w:t>Damilock</w:t>
      </w:r>
      <w:proofErr w:type="spellEnd"/>
      <w:r w:rsidRPr="000D127B">
        <w:rPr>
          <w:i/>
        </w:rPr>
        <w:t xml:space="preserve"> Pty Ltd (in liquidation) v Visa Australia Pty Ltd </w:t>
      </w:r>
      <w:r w:rsidRPr="000D127B">
        <w:t xml:space="preserve">[2008] FCA 1801 at [16]; </w:t>
      </w:r>
      <w:r w:rsidRPr="000D127B">
        <w:rPr>
          <w:i/>
        </w:rPr>
        <w:t xml:space="preserve">International Cat Manufacturing Pty Ltd </w:t>
      </w:r>
      <w:r w:rsidR="002547AA" w:rsidRPr="000D127B">
        <w:rPr>
          <w:i/>
        </w:rPr>
        <w:t xml:space="preserve">(in liquidation) </w:t>
      </w:r>
      <w:r w:rsidRPr="000D127B">
        <w:rPr>
          <w:i/>
        </w:rPr>
        <w:t xml:space="preserve">v Rodrick </w:t>
      </w:r>
      <w:r w:rsidR="002547AA" w:rsidRPr="000D127B">
        <w:t>[2013] QSC 91</w:t>
      </w:r>
      <w:r w:rsidRPr="000D127B">
        <w:t xml:space="preserve"> at [70]</w:t>
      </w:r>
      <w:r w:rsidR="00957666">
        <w:t>–</w:t>
      </w:r>
      <w:r w:rsidRPr="000D127B">
        <w:t xml:space="preserve">[77]; </w:t>
      </w:r>
      <w:proofErr w:type="spellStart"/>
      <w:r w:rsidRPr="000D127B">
        <w:rPr>
          <w:i/>
        </w:rPr>
        <w:t>Trinick</w:t>
      </w:r>
      <w:proofErr w:type="spellEnd"/>
      <w:r w:rsidRPr="000D127B">
        <w:rPr>
          <w:i/>
        </w:rPr>
        <w:t xml:space="preserve"> v </w:t>
      </w:r>
      <w:proofErr w:type="spellStart"/>
      <w:r w:rsidRPr="000D127B">
        <w:rPr>
          <w:i/>
        </w:rPr>
        <w:t>Forgione</w:t>
      </w:r>
      <w:proofErr w:type="spellEnd"/>
      <w:r w:rsidRPr="000D127B">
        <w:rPr>
          <w:i/>
        </w:rPr>
        <w:t xml:space="preserve"> </w:t>
      </w:r>
      <w:r w:rsidRPr="000D127B">
        <w:t>[2015] FCA 642 at [271]</w:t>
      </w:r>
      <w:r w:rsidR="00AC2DC9" w:rsidRPr="000D127B">
        <w:t xml:space="preserve">.  </w:t>
      </w:r>
      <w:r w:rsidRPr="000D127B">
        <w:t xml:space="preserve">As the cases illustrate though, the </w:t>
      </w:r>
      <w:r w:rsidR="00B73A54" w:rsidRPr="000D127B">
        <w:t>presence</w:t>
      </w:r>
      <w:r w:rsidRPr="000D127B">
        <w:t xml:space="preserve"> of one or more </w:t>
      </w:r>
      <w:r w:rsidR="00467FF8" w:rsidRPr="000D127B">
        <w:t xml:space="preserve">of those </w:t>
      </w:r>
      <w:r w:rsidRPr="000D127B">
        <w:t xml:space="preserve">factors </w:t>
      </w:r>
      <w:proofErr w:type="gramStart"/>
      <w:r w:rsidRPr="000D127B">
        <w:t>does</w:t>
      </w:r>
      <w:proofErr w:type="gramEnd"/>
      <w:r w:rsidRPr="000D127B">
        <w:t xml:space="preserve"> not</w:t>
      </w:r>
      <w:r w:rsidR="00B73A54" w:rsidRPr="000D127B">
        <w:t xml:space="preserve"> </w:t>
      </w:r>
      <w:r w:rsidRPr="000D127B">
        <w:t>of itself, establish insolvency</w:t>
      </w:r>
      <w:r w:rsidRPr="00B73A54">
        <w:t xml:space="preserve"> and</w:t>
      </w:r>
      <w:r w:rsidR="00B73A54" w:rsidRPr="00B73A54">
        <w:t>,</w:t>
      </w:r>
      <w:r w:rsidRPr="00B73A54">
        <w:t xml:space="preserve"> in any particular case</w:t>
      </w:r>
      <w:r w:rsidR="00B73A54" w:rsidRPr="00B73A54">
        <w:t>,</w:t>
      </w:r>
      <w:r w:rsidRPr="00B73A54">
        <w:t xml:space="preserve"> one </w:t>
      </w:r>
      <w:r w:rsidRPr="00B73A54">
        <w:lastRenderedPageBreak/>
        <w:t>or more of those factors may be of more particular significance and in some may not be relevant</w:t>
      </w:r>
      <w:r w:rsidR="00AC2DC9" w:rsidRPr="00B73A54">
        <w:t xml:space="preserve">.  </w:t>
      </w:r>
      <w:r w:rsidRPr="00B73A54">
        <w:t>It is always necessary to consider the nature of a company’s assets and the company’s ability to convert those assets into cash within a relatively short time to meet debts as and when they fall due</w:t>
      </w:r>
      <w:r w:rsidR="00AC2DC9" w:rsidRPr="00B73A54">
        <w:t xml:space="preserve">.  </w:t>
      </w:r>
      <w:r w:rsidRPr="00B73A54">
        <w:t>That assessment is objectively made</w:t>
      </w:r>
      <w:r w:rsidR="00AC2DC9" w:rsidRPr="00B73A54">
        <w:t>.</w:t>
      </w:r>
      <w:r w:rsidR="00AC2DC9" w:rsidRPr="002439C8">
        <w:t xml:space="preserve"> </w:t>
      </w:r>
      <w:r w:rsidRPr="002439C8">
        <w:t xml:space="preserve"> </w:t>
      </w:r>
    </w:p>
    <w:p w:rsidR="00BC096D" w:rsidRPr="002439C8" w:rsidRDefault="00BC096D" w:rsidP="00017B82">
      <w:pPr>
        <w:pStyle w:val="ParaNumbering"/>
        <w:numPr>
          <w:ilvl w:val="0"/>
          <w:numId w:val="30"/>
        </w:numPr>
      </w:pPr>
      <w:r w:rsidRPr="002439C8">
        <w:t xml:space="preserve">The liquidators have the onus of establishing the insolvency of the </w:t>
      </w:r>
      <w:proofErr w:type="spellStart"/>
      <w:r w:rsidRPr="002439C8">
        <w:t>Gunns</w:t>
      </w:r>
      <w:proofErr w:type="spellEnd"/>
      <w:r w:rsidRPr="002439C8">
        <w:t xml:space="preserve"> com</w:t>
      </w:r>
      <w:r w:rsidR="00D50A15" w:rsidRPr="002439C8">
        <w:t>panies during the relevant period</w:t>
      </w:r>
      <w:r w:rsidR="00AC2DC9" w:rsidRPr="002439C8">
        <w:t xml:space="preserve">.  </w:t>
      </w:r>
    </w:p>
    <w:p w:rsidR="00BD47D0" w:rsidRPr="00B73A54" w:rsidRDefault="00BD47D0" w:rsidP="00BD47D0">
      <w:pPr>
        <w:pStyle w:val="Heading2"/>
      </w:pPr>
      <w:r w:rsidRPr="00B73A54">
        <w:t xml:space="preserve">The </w:t>
      </w:r>
      <w:proofErr w:type="spellStart"/>
      <w:r w:rsidRPr="00B73A54">
        <w:t>Gunns</w:t>
      </w:r>
      <w:proofErr w:type="spellEnd"/>
      <w:r w:rsidRPr="00B73A54">
        <w:t xml:space="preserve"> </w:t>
      </w:r>
      <w:r w:rsidR="005A4257" w:rsidRPr="00B73A54">
        <w:t>Group</w:t>
      </w:r>
    </w:p>
    <w:p w:rsidR="002C017D" w:rsidRPr="00B73A54" w:rsidRDefault="001D73CB" w:rsidP="00017B82">
      <w:pPr>
        <w:pStyle w:val="ParaNumbering"/>
        <w:numPr>
          <w:ilvl w:val="0"/>
          <w:numId w:val="30"/>
        </w:numPr>
      </w:pPr>
      <w:proofErr w:type="spellStart"/>
      <w:r w:rsidRPr="00B73A54">
        <w:t>Gunns</w:t>
      </w:r>
      <w:proofErr w:type="spellEnd"/>
      <w:r w:rsidRPr="00B73A54">
        <w:t xml:space="preserve"> </w:t>
      </w:r>
      <w:r w:rsidR="002C017D" w:rsidRPr="00B73A54">
        <w:t xml:space="preserve">is </w:t>
      </w:r>
      <w:r w:rsidRPr="00B73A54">
        <w:t xml:space="preserve">the parent company of the </w:t>
      </w:r>
      <w:proofErr w:type="spellStart"/>
      <w:r w:rsidRPr="00B73A54">
        <w:t>Gunns</w:t>
      </w:r>
      <w:proofErr w:type="spellEnd"/>
      <w:r w:rsidRPr="00B73A54">
        <w:t xml:space="preserve"> </w:t>
      </w:r>
      <w:r w:rsidR="005A4257" w:rsidRPr="00B73A54">
        <w:t>Group</w:t>
      </w:r>
      <w:r w:rsidR="002C017D" w:rsidRPr="00B73A54">
        <w:t>, which comprised the companies listed in schedule A</w:t>
      </w:r>
      <w:r w:rsidR="002D25B4">
        <w:t xml:space="preserve">.  </w:t>
      </w:r>
      <w:r w:rsidR="008D0399" w:rsidRPr="00B73A54">
        <w:t xml:space="preserve">The </w:t>
      </w:r>
      <w:proofErr w:type="spellStart"/>
      <w:r w:rsidR="008D0399" w:rsidRPr="00B73A54">
        <w:t>Gunns</w:t>
      </w:r>
      <w:proofErr w:type="spellEnd"/>
      <w:r w:rsidR="008D0399" w:rsidRPr="00B73A54">
        <w:t xml:space="preserve"> </w:t>
      </w:r>
      <w:r w:rsidR="005A4257" w:rsidRPr="00B73A54">
        <w:t xml:space="preserve">Group </w:t>
      </w:r>
      <w:r w:rsidR="008D0399" w:rsidRPr="00B73A54">
        <w:t>was organised on a divisional basis by reference to its major operating business units rather than by reference to individual legal entities or groups of entities and</w:t>
      </w:r>
      <w:r w:rsidR="002E4645" w:rsidRPr="00B73A54">
        <w:t>,</w:t>
      </w:r>
      <w:r w:rsidR="008D0399" w:rsidRPr="00B73A54">
        <w:t xml:space="preserve"> a</w:t>
      </w:r>
      <w:r w:rsidR="0016652A" w:rsidRPr="00B73A54">
        <w:t xml:space="preserve">s the parent company, </w:t>
      </w:r>
      <w:proofErr w:type="spellStart"/>
      <w:r w:rsidR="0016652A" w:rsidRPr="00B73A54">
        <w:t>Gunns</w:t>
      </w:r>
      <w:proofErr w:type="spellEnd"/>
      <w:r w:rsidR="0016652A" w:rsidRPr="00B73A54">
        <w:t xml:space="preserve"> </w:t>
      </w:r>
      <w:r w:rsidR="002E4645" w:rsidRPr="00B73A54">
        <w:t xml:space="preserve">performed various functions for the group, including providing </w:t>
      </w:r>
      <w:r w:rsidR="0016652A" w:rsidRPr="00B73A54">
        <w:t>a centralised treasury and ban</w:t>
      </w:r>
      <w:r w:rsidR="008D0399" w:rsidRPr="00B73A54">
        <w:t>king system</w:t>
      </w:r>
      <w:r w:rsidR="00AC2DC9" w:rsidRPr="00B73A54">
        <w:t xml:space="preserve">.  </w:t>
      </w:r>
      <w:r w:rsidR="008D0399" w:rsidRPr="00B73A54">
        <w:t xml:space="preserve">The principle financier to the </w:t>
      </w:r>
      <w:proofErr w:type="spellStart"/>
      <w:r w:rsidR="008D0399" w:rsidRPr="00B73A54">
        <w:t>Gunns</w:t>
      </w:r>
      <w:proofErr w:type="spellEnd"/>
      <w:r w:rsidR="008D0399" w:rsidRPr="00B73A54">
        <w:t xml:space="preserve"> Group was a syndicate of 10 banks led by ANZ Cavell Court </w:t>
      </w:r>
      <w:r w:rsidR="00E53798" w:rsidRPr="00B73A54">
        <w:t>(</w:t>
      </w:r>
      <w:r w:rsidR="00B73A54" w:rsidRPr="00B73A54">
        <w:t>“</w:t>
      </w:r>
      <w:r w:rsidR="00B73A54" w:rsidRPr="00B73A54">
        <w:rPr>
          <w:b/>
        </w:rPr>
        <w:t>the</w:t>
      </w:r>
      <w:r w:rsidR="00B73A54" w:rsidRPr="00B73A54">
        <w:t xml:space="preserve"> </w:t>
      </w:r>
      <w:r w:rsidR="00B73A54" w:rsidRPr="00B73A54">
        <w:rPr>
          <w:b/>
        </w:rPr>
        <w:t>A</w:t>
      </w:r>
      <w:r w:rsidR="00E53798" w:rsidRPr="00B73A54">
        <w:rPr>
          <w:b/>
        </w:rPr>
        <w:t>N</w:t>
      </w:r>
      <w:r w:rsidR="00B73A54" w:rsidRPr="00B73A54">
        <w:rPr>
          <w:b/>
        </w:rPr>
        <w:t>Z</w:t>
      </w:r>
      <w:r w:rsidR="00E53798" w:rsidRPr="00B73A54">
        <w:t xml:space="preserve">”) </w:t>
      </w:r>
      <w:r w:rsidR="008D0399" w:rsidRPr="00B73A54">
        <w:t>as syndicate agent</w:t>
      </w:r>
      <w:r w:rsidR="00594827">
        <w:t xml:space="preserve"> (“</w:t>
      </w:r>
      <w:r w:rsidR="00594827" w:rsidRPr="00594827">
        <w:rPr>
          <w:b/>
        </w:rPr>
        <w:t>the ANZ debt</w:t>
      </w:r>
      <w:r w:rsidR="00594827">
        <w:t>”)</w:t>
      </w:r>
      <w:r w:rsidR="008D0399" w:rsidRPr="00B73A54">
        <w:t>.</w:t>
      </w:r>
    </w:p>
    <w:p w:rsidR="00BD47D0" w:rsidRPr="00B73A54" w:rsidRDefault="00BD47D0" w:rsidP="00017B82">
      <w:pPr>
        <w:pStyle w:val="ParaNumbering"/>
        <w:numPr>
          <w:ilvl w:val="0"/>
          <w:numId w:val="30"/>
        </w:numPr>
      </w:pPr>
      <w:r w:rsidRPr="00B73A54">
        <w:t>During the period from January 2012 to 25 September 2012 (</w:t>
      </w:r>
      <w:r w:rsidRPr="006D1AF1">
        <w:t>“</w:t>
      </w:r>
      <w:r w:rsidRPr="00B73A54">
        <w:rPr>
          <w:b/>
        </w:rPr>
        <w:t>the relevant period</w:t>
      </w:r>
      <w:r w:rsidRPr="006D1AF1">
        <w:t>”</w:t>
      </w:r>
      <w:r w:rsidRPr="00B73A54">
        <w:t xml:space="preserve">), the principle activities of the </w:t>
      </w:r>
      <w:proofErr w:type="spellStart"/>
      <w:r w:rsidRPr="00B73A54">
        <w:t>Gunns</w:t>
      </w:r>
      <w:proofErr w:type="spellEnd"/>
      <w:r w:rsidRPr="00B73A54">
        <w:t xml:space="preserve"> </w:t>
      </w:r>
      <w:r w:rsidR="005A4257" w:rsidRPr="00B73A54">
        <w:t xml:space="preserve">Group </w:t>
      </w:r>
      <w:r w:rsidRPr="00B73A54">
        <w:t xml:space="preserve">were: </w:t>
      </w:r>
    </w:p>
    <w:p w:rsidR="006C5E13" w:rsidRDefault="00BD47D0" w:rsidP="00017B82">
      <w:pPr>
        <w:pStyle w:val="ListNo2"/>
        <w:numPr>
          <w:ilvl w:val="1"/>
          <w:numId w:val="34"/>
        </w:numPr>
      </w:pPr>
      <w:r w:rsidRPr="002439C8">
        <w:t>the processing, manufacturing and selling of sawn timber products and veneers including merchandising;</w:t>
      </w:r>
    </w:p>
    <w:p w:rsidR="006C5E13" w:rsidRDefault="00BD47D0" w:rsidP="00017B82">
      <w:pPr>
        <w:pStyle w:val="ListNo2"/>
        <w:numPr>
          <w:ilvl w:val="1"/>
          <w:numId w:val="34"/>
        </w:numPr>
      </w:pPr>
      <w:r w:rsidRPr="002439C8">
        <w:t>forest management and development, milling, processing and export of hardwood wood chip products;</w:t>
      </w:r>
    </w:p>
    <w:p w:rsidR="006C5E13" w:rsidRDefault="00BD47D0" w:rsidP="00017B82">
      <w:pPr>
        <w:pStyle w:val="ListNo2"/>
        <w:numPr>
          <w:ilvl w:val="1"/>
          <w:numId w:val="34"/>
        </w:numPr>
      </w:pPr>
      <w:r w:rsidRPr="002439C8">
        <w:t>responsible entity management of various forestry and horticultural managed investment schemes; and</w:t>
      </w:r>
    </w:p>
    <w:p w:rsidR="00BD47D0" w:rsidRPr="002439C8" w:rsidRDefault="00BD47D0" w:rsidP="00017B82">
      <w:pPr>
        <w:pStyle w:val="ListNo2"/>
        <w:numPr>
          <w:ilvl w:val="1"/>
          <w:numId w:val="34"/>
        </w:numPr>
      </w:pPr>
      <w:proofErr w:type="gramStart"/>
      <w:r w:rsidRPr="002439C8">
        <w:t>financing</w:t>
      </w:r>
      <w:proofErr w:type="gramEnd"/>
      <w:r w:rsidRPr="002439C8">
        <w:t xml:space="preserve"> managed investment scheme investors.</w:t>
      </w:r>
    </w:p>
    <w:p w:rsidR="00BD47D0" w:rsidRPr="002439C8" w:rsidRDefault="00BD47D0" w:rsidP="00017B82">
      <w:pPr>
        <w:pStyle w:val="ParaNumbering"/>
        <w:numPr>
          <w:ilvl w:val="0"/>
          <w:numId w:val="30"/>
        </w:numPr>
      </w:pPr>
      <w:r w:rsidRPr="002439C8">
        <w:t xml:space="preserve">The </w:t>
      </w:r>
      <w:proofErr w:type="spellStart"/>
      <w:r w:rsidRPr="002439C8">
        <w:t>Gunns</w:t>
      </w:r>
      <w:proofErr w:type="spellEnd"/>
      <w:r w:rsidRPr="002439C8">
        <w:t xml:space="preserve"> Group operated from various sites during the relevant period, namely:</w:t>
      </w:r>
    </w:p>
    <w:p w:rsidR="00BD47D0" w:rsidRPr="002439C8" w:rsidRDefault="00AC3BAB" w:rsidP="006C5E13">
      <w:pPr>
        <w:pStyle w:val="ListNo2"/>
        <w:numPr>
          <w:ilvl w:val="0"/>
          <w:numId w:val="0"/>
        </w:numPr>
        <w:ind w:left="1474" w:hanging="754"/>
      </w:pPr>
      <w:r>
        <w:t>(</w:t>
      </w:r>
      <w:proofErr w:type="gramStart"/>
      <w:r>
        <w:t>a</w:t>
      </w:r>
      <w:proofErr w:type="gramEnd"/>
      <w:r>
        <w:t>)</w:t>
      </w:r>
      <w:r>
        <w:tab/>
      </w:r>
      <w:r w:rsidR="00BD47D0" w:rsidRPr="002439C8">
        <w:t>sawmills in Tarpeena, South Australia and Bell Bay, Tasmania;</w:t>
      </w:r>
    </w:p>
    <w:p w:rsidR="00BD47D0" w:rsidRPr="002439C8" w:rsidRDefault="00AC3BAB" w:rsidP="006C5E13">
      <w:pPr>
        <w:pStyle w:val="ListNo2"/>
        <w:numPr>
          <w:ilvl w:val="0"/>
          <w:numId w:val="0"/>
        </w:numPr>
        <w:ind w:left="1474" w:hanging="754"/>
      </w:pPr>
      <w:r>
        <w:t>(b)</w:t>
      </w:r>
      <w:r>
        <w:tab/>
      </w:r>
      <w:proofErr w:type="gramStart"/>
      <w:r w:rsidR="00BD47D0" w:rsidRPr="002439C8">
        <w:t>a</w:t>
      </w:r>
      <w:proofErr w:type="gramEnd"/>
      <w:r w:rsidR="00BD47D0" w:rsidRPr="002439C8">
        <w:t xml:space="preserve"> wood chip export facility at the Port of Portland, Victoria (sold in August 2012);</w:t>
      </w:r>
    </w:p>
    <w:p w:rsidR="00BD47D0" w:rsidRPr="002439C8" w:rsidRDefault="00AC3BAB" w:rsidP="006C5E13">
      <w:pPr>
        <w:pStyle w:val="ListNo2"/>
        <w:numPr>
          <w:ilvl w:val="0"/>
          <w:numId w:val="0"/>
        </w:numPr>
        <w:ind w:left="1474" w:hanging="754"/>
      </w:pPr>
      <w:r>
        <w:t>(c)</w:t>
      </w:r>
      <w:r>
        <w:tab/>
      </w:r>
      <w:proofErr w:type="gramStart"/>
      <w:r w:rsidR="00BD47D0" w:rsidRPr="002439C8">
        <w:t>hardwood</w:t>
      </w:r>
      <w:proofErr w:type="gramEnd"/>
      <w:r w:rsidR="00BD47D0" w:rsidRPr="002439C8">
        <w:t xml:space="preserve"> plantations (owned) located in the south east of South Australia;</w:t>
      </w:r>
    </w:p>
    <w:p w:rsidR="00BD47D0" w:rsidRPr="002439C8" w:rsidRDefault="00AC3BAB" w:rsidP="006C5E13">
      <w:pPr>
        <w:pStyle w:val="ListNo2"/>
        <w:numPr>
          <w:ilvl w:val="0"/>
          <w:numId w:val="0"/>
        </w:numPr>
        <w:ind w:left="1474" w:hanging="754"/>
      </w:pPr>
      <w:r>
        <w:t>(d)</w:t>
      </w:r>
      <w:r>
        <w:tab/>
      </w:r>
      <w:proofErr w:type="gramStart"/>
      <w:r w:rsidR="00BD47D0" w:rsidRPr="002439C8">
        <w:t>plantations</w:t>
      </w:r>
      <w:proofErr w:type="gramEnd"/>
      <w:r w:rsidR="00BD47D0" w:rsidRPr="002439C8">
        <w:t xml:space="preserve"> (owned and managed under managed investment schemes) in Tasmania;</w:t>
      </w:r>
    </w:p>
    <w:p w:rsidR="00BD47D0" w:rsidRPr="002439C8" w:rsidRDefault="00AC3BAB" w:rsidP="00AC3BAB">
      <w:pPr>
        <w:pStyle w:val="ListNo2"/>
        <w:numPr>
          <w:ilvl w:val="0"/>
          <w:numId w:val="0"/>
        </w:numPr>
        <w:ind w:left="1474" w:hanging="754"/>
      </w:pPr>
      <w:r>
        <w:lastRenderedPageBreak/>
        <w:t>(e)</w:t>
      </w:r>
      <w:r>
        <w:tab/>
      </w:r>
      <w:proofErr w:type="gramStart"/>
      <w:r w:rsidR="00BD47D0" w:rsidRPr="002439C8">
        <w:t>plantations</w:t>
      </w:r>
      <w:proofErr w:type="gramEnd"/>
      <w:r w:rsidR="00BD47D0" w:rsidRPr="002439C8">
        <w:t xml:space="preserve"> owned by investors under various managed investment schemes located in several states of Australia;</w:t>
      </w:r>
    </w:p>
    <w:p w:rsidR="00BD47D0" w:rsidRPr="002439C8" w:rsidRDefault="00AC3BAB" w:rsidP="00AC3BAB">
      <w:pPr>
        <w:pStyle w:val="ListNo2"/>
        <w:numPr>
          <w:ilvl w:val="0"/>
          <w:numId w:val="0"/>
        </w:numPr>
        <w:ind w:left="1474" w:hanging="754"/>
      </w:pPr>
      <w:r>
        <w:t>(f)</w:t>
      </w:r>
      <w:r>
        <w:tab/>
      </w:r>
      <w:proofErr w:type="gramStart"/>
      <w:r w:rsidR="00BD47D0" w:rsidRPr="002439C8">
        <w:t>softwood</w:t>
      </w:r>
      <w:proofErr w:type="gramEnd"/>
      <w:r w:rsidR="00BD47D0" w:rsidRPr="002439C8">
        <w:t xml:space="preserve"> plantations in the area known as the “green triangle” (</w:t>
      </w:r>
      <w:proofErr w:type="spellStart"/>
      <w:r w:rsidR="00BD47D0" w:rsidRPr="002439C8">
        <w:t>Auspine</w:t>
      </w:r>
      <w:proofErr w:type="spellEnd"/>
      <w:r w:rsidR="00BD47D0" w:rsidRPr="002439C8">
        <w:t xml:space="preserve"> softwood plantations) located in the south east of South Australia and Victoria; and</w:t>
      </w:r>
    </w:p>
    <w:p w:rsidR="00BD47D0" w:rsidRPr="002439C8" w:rsidRDefault="00AC3BAB" w:rsidP="00AC3BAB">
      <w:pPr>
        <w:pStyle w:val="ListNo2"/>
        <w:numPr>
          <w:ilvl w:val="0"/>
          <w:numId w:val="0"/>
        </w:numPr>
        <w:ind w:left="1474" w:hanging="754"/>
      </w:pPr>
      <w:r>
        <w:t>(g)</w:t>
      </w:r>
      <w:r>
        <w:tab/>
      </w:r>
      <w:proofErr w:type="gramStart"/>
      <w:r w:rsidR="00BD47D0" w:rsidRPr="002439C8">
        <w:t>vineyards</w:t>
      </w:r>
      <w:proofErr w:type="gramEnd"/>
      <w:r w:rsidR="00BD47D0" w:rsidRPr="002439C8">
        <w:t xml:space="preserve"> and wineries located in Tasmania.</w:t>
      </w:r>
    </w:p>
    <w:p w:rsidR="003466FE" w:rsidRPr="002439C8" w:rsidRDefault="007910DF" w:rsidP="00017B82">
      <w:pPr>
        <w:pStyle w:val="ParaNumbering"/>
        <w:numPr>
          <w:ilvl w:val="0"/>
          <w:numId w:val="30"/>
        </w:numPr>
      </w:pPr>
      <w:r w:rsidRPr="002439C8">
        <w:t xml:space="preserve">During </w:t>
      </w:r>
      <w:r w:rsidR="003466FE" w:rsidRPr="002439C8">
        <w:t xml:space="preserve">2010 </w:t>
      </w:r>
      <w:r w:rsidR="003466FE" w:rsidRPr="00B73A54">
        <w:t xml:space="preserve">and </w:t>
      </w:r>
      <w:r w:rsidRPr="00B73A54">
        <w:t xml:space="preserve">2011 the trading performance of the </w:t>
      </w:r>
      <w:proofErr w:type="spellStart"/>
      <w:r w:rsidRPr="00B73A54">
        <w:t>Gunns</w:t>
      </w:r>
      <w:proofErr w:type="spellEnd"/>
      <w:r w:rsidRPr="00B73A54">
        <w:t xml:space="preserve"> </w:t>
      </w:r>
      <w:r w:rsidR="005A4257" w:rsidRPr="00B73A54">
        <w:t xml:space="preserve">Group </w:t>
      </w:r>
      <w:r w:rsidRPr="00B73A54">
        <w:t xml:space="preserve">was impacted by several external factors and </w:t>
      </w:r>
      <w:r w:rsidR="003466FE" w:rsidRPr="00B73A54">
        <w:t xml:space="preserve">the </w:t>
      </w:r>
      <w:proofErr w:type="spellStart"/>
      <w:r w:rsidR="003466FE" w:rsidRPr="00B73A54">
        <w:t>Gunns</w:t>
      </w:r>
      <w:proofErr w:type="spellEnd"/>
      <w:r w:rsidR="003466FE" w:rsidRPr="00B73A54">
        <w:t xml:space="preserve"> </w:t>
      </w:r>
      <w:r w:rsidR="005A4257" w:rsidRPr="00B73A54">
        <w:t xml:space="preserve">Group </w:t>
      </w:r>
      <w:r w:rsidR="003466FE" w:rsidRPr="00B73A54">
        <w:t>suffered significant declines in revenue</w:t>
      </w:r>
      <w:r w:rsidR="00AC2DC9" w:rsidRPr="00B73A54">
        <w:t xml:space="preserve">.  </w:t>
      </w:r>
      <w:r w:rsidR="00BB391E" w:rsidRPr="00B73A54">
        <w:t>From mid</w:t>
      </w:r>
      <w:r w:rsidR="00957666">
        <w:noBreakHyphen/>
      </w:r>
      <w:r w:rsidR="00BB391E" w:rsidRPr="00B73A54">
        <w:t>2011 onwards there were ongoing delays in</w:t>
      </w:r>
      <w:r w:rsidR="000D53A5" w:rsidRPr="00B73A54">
        <w:t xml:space="preserve"> the</w:t>
      </w:r>
      <w:r w:rsidR="00BB391E" w:rsidRPr="00B73A54">
        <w:t xml:space="preserve"> payment of creditors and in </w:t>
      </w:r>
      <w:r w:rsidRPr="00B73A54">
        <w:t xml:space="preserve">September 2011, </w:t>
      </w:r>
      <w:proofErr w:type="spellStart"/>
      <w:r w:rsidRPr="00B73A54">
        <w:t>Gunns</w:t>
      </w:r>
      <w:proofErr w:type="spellEnd"/>
      <w:r w:rsidRPr="00B73A54">
        <w:t xml:space="preserve"> identified that it was unlikely to repay the </w:t>
      </w:r>
      <w:r w:rsidR="009C6FCD">
        <w:t>ANZ</w:t>
      </w:r>
      <w:r w:rsidRPr="00B73A54">
        <w:t xml:space="preserve"> debt </w:t>
      </w:r>
      <w:r w:rsidR="008D0399" w:rsidRPr="00B73A54">
        <w:t xml:space="preserve">which was repayable </w:t>
      </w:r>
      <w:r w:rsidRPr="00B73A54">
        <w:t>by 31</w:t>
      </w:r>
      <w:r w:rsidR="00AC2DC9" w:rsidRPr="00B73A54">
        <w:t> </w:t>
      </w:r>
      <w:r w:rsidRPr="00B73A54">
        <w:t xml:space="preserve">January 2012 and would require an extension of the repayment </w:t>
      </w:r>
      <w:r w:rsidRPr="002439C8">
        <w:t>date</w:t>
      </w:r>
      <w:r w:rsidR="00AC2DC9" w:rsidRPr="002439C8">
        <w:t xml:space="preserve">.  </w:t>
      </w:r>
      <w:r w:rsidR="009D5A62" w:rsidRPr="002439C8">
        <w:t>On 31 January 2012 the term was extended to 31 December 2012</w:t>
      </w:r>
      <w:r w:rsidR="003466FE" w:rsidRPr="002439C8">
        <w:t>.</w:t>
      </w:r>
    </w:p>
    <w:p w:rsidR="00A40309" w:rsidRPr="002439C8" w:rsidRDefault="00BB391E" w:rsidP="00017B82">
      <w:pPr>
        <w:pStyle w:val="ParaNumbering"/>
        <w:numPr>
          <w:ilvl w:val="0"/>
          <w:numId w:val="30"/>
        </w:numPr>
      </w:pPr>
      <w:r w:rsidRPr="002439C8">
        <w:t xml:space="preserve">Despite steps taken by the </w:t>
      </w:r>
      <w:proofErr w:type="spellStart"/>
      <w:r w:rsidRPr="002439C8">
        <w:t>Gunns</w:t>
      </w:r>
      <w:proofErr w:type="spellEnd"/>
      <w:r w:rsidRPr="002439C8">
        <w:t xml:space="preserve"> </w:t>
      </w:r>
      <w:r w:rsidR="005A4257" w:rsidRPr="00B73A54">
        <w:t xml:space="preserve">Group </w:t>
      </w:r>
      <w:r w:rsidRPr="002439C8">
        <w:t>to reduce its</w:t>
      </w:r>
      <w:r w:rsidR="00715F90" w:rsidRPr="002439C8">
        <w:t xml:space="preserve"> </w:t>
      </w:r>
      <w:r w:rsidR="00277C71" w:rsidRPr="00467FF8">
        <w:t xml:space="preserve">finance debt </w:t>
      </w:r>
      <w:proofErr w:type="spellStart"/>
      <w:r w:rsidRPr="002439C8">
        <w:t>Gunns</w:t>
      </w:r>
      <w:proofErr w:type="spellEnd"/>
      <w:r w:rsidRPr="002439C8">
        <w:t xml:space="preserve"> </w:t>
      </w:r>
      <w:r w:rsidR="005A4257" w:rsidRPr="00B73A54">
        <w:t xml:space="preserve">Group </w:t>
      </w:r>
      <w:r w:rsidRPr="002439C8">
        <w:t>remained reliant on the lenders to fund its working capital requirements</w:t>
      </w:r>
      <w:r w:rsidR="00AC2DC9" w:rsidRPr="002439C8">
        <w:t xml:space="preserve">.  </w:t>
      </w:r>
      <w:r w:rsidRPr="002439C8">
        <w:t xml:space="preserve">A capital </w:t>
      </w:r>
      <w:proofErr w:type="gramStart"/>
      <w:r w:rsidRPr="002439C8">
        <w:t>raising</w:t>
      </w:r>
      <w:proofErr w:type="gramEnd"/>
      <w:r w:rsidRPr="002439C8">
        <w:t xml:space="preserve"> announced in early February 2012 did not proceed and </w:t>
      </w:r>
      <w:r w:rsidR="00A40309" w:rsidRPr="002439C8">
        <w:t>alternative equity raising</w:t>
      </w:r>
      <w:r w:rsidR="00786CA9" w:rsidRPr="002439C8">
        <w:t xml:space="preserve"> options </w:t>
      </w:r>
      <w:r w:rsidRPr="002439C8">
        <w:t>did not eventuate</w:t>
      </w:r>
      <w:r w:rsidR="00AC2DC9" w:rsidRPr="002439C8">
        <w:t xml:space="preserve">.  </w:t>
      </w:r>
    </w:p>
    <w:p w:rsidR="00A40309" w:rsidRPr="002439C8" w:rsidRDefault="00A40309" w:rsidP="00017B82">
      <w:pPr>
        <w:pStyle w:val="ParaNumbering"/>
        <w:numPr>
          <w:ilvl w:val="0"/>
          <w:numId w:val="30"/>
        </w:numPr>
      </w:pPr>
      <w:r w:rsidRPr="002439C8">
        <w:t xml:space="preserve">On 25 September 2012, the directors of </w:t>
      </w:r>
      <w:proofErr w:type="spellStart"/>
      <w:r w:rsidRPr="002439C8">
        <w:t>Gunns</w:t>
      </w:r>
      <w:proofErr w:type="spellEnd"/>
      <w:r w:rsidRPr="002439C8">
        <w:t xml:space="preserve"> appointed the liquidators as joint and several administrators of </w:t>
      </w:r>
      <w:proofErr w:type="spellStart"/>
      <w:r w:rsidRPr="002439C8">
        <w:t>Gunns</w:t>
      </w:r>
      <w:proofErr w:type="spellEnd"/>
      <w:r w:rsidRPr="002439C8">
        <w:t xml:space="preserve"> and its subsidiaries</w:t>
      </w:r>
      <w:r w:rsidR="002D25B4">
        <w:t xml:space="preserve">.  </w:t>
      </w:r>
      <w:r w:rsidRPr="002439C8">
        <w:t xml:space="preserve">On 5 March 2013 at the second meeting of creditors it was resolved to put </w:t>
      </w:r>
      <w:proofErr w:type="spellStart"/>
      <w:r w:rsidRPr="002439C8">
        <w:t>Gunns</w:t>
      </w:r>
      <w:proofErr w:type="spellEnd"/>
      <w:r w:rsidRPr="002439C8">
        <w:t xml:space="preserve"> and the</w:t>
      </w:r>
      <w:r w:rsidR="00B73A54">
        <w:t xml:space="preserve"> companies in the</w:t>
      </w:r>
      <w:r w:rsidRPr="002439C8">
        <w:t xml:space="preserve"> </w:t>
      </w:r>
      <w:proofErr w:type="spellStart"/>
      <w:r w:rsidRPr="002439C8">
        <w:t>Gunns</w:t>
      </w:r>
      <w:proofErr w:type="spellEnd"/>
      <w:r w:rsidRPr="002439C8">
        <w:t xml:space="preserve"> Group into liquidation</w:t>
      </w:r>
      <w:r w:rsidR="00AC2DC9" w:rsidRPr="002439C8">
        <w:t xml:space="preserve">.  </w:t>
      </w:r>
    </w:p>
    <w:p w:rsidR="00A40309" w:rsidRPr="002439C8" w:rsidRDefault="00A40309" w:rsidP="00017B82">
      <w:pPr>
        <w:pStyle w:val="ParaNumbering"/>
        <w:numPr>
          <w:ilvl w:val="0"/>
          <w:numId w:val="30"/>
        </w:numPr>
      </w:pPr>
      <w:r w:rsidRPr="002439C8">
        <w:t xml:space="preserve">As at 25 September 2012, the creditors of the </w:t>
      </w:r>
      <w:proofErr w:type="spellStart"/>
      <w:r w:rsidRPr="002439C8">
        <w:t>Gunns</w:t>
      </w:r>
      <w:proofErr w:type="spellEnd"/>
      <w:r w:rsidRPr="002439C8">
        <w:t xml:space="preserve"> Group totalled $780,798,000</w:t>
      </w:r>
      <w:r w:rsidR="00CD2378" w:rsidRPr="002439C8">
        <w:t>, which included unsecured trade creditors of $</w:t>
      </w:r>
      <w:r w:rsidR="00B236F4">
        <w:t>61</w:t>
      </w:r>
      <w:r w:rsidR="00CD2378" w:rsidRPr="002439C8">
        <w:t>,</w:t>
      </w:r>
      <w:r w:rsidR="00B236F4">
        <w:t>820</w:t>
      </w:r>
      <w:r w:rsidR="00CD2378" w:rsidRPr="002439C8">
        <w:t>,000</w:t>
      </w:r>
      <w:r w:rsidR="00B236F4">
        <w:t xml:space="preserve"> and other unsecured creditors of $73,016,000</w:t>
      </w:r>
      <w:r w:rsidR="00AC2DC9" w:rsidRPr="002439C8">
        <w:t xml:space="preserve">.  </w:t>
      </w:r>
    </w:p>
    <w:p w:rsidR="00BC096D" w:rsidRPr="002439C8" w:rsidRDefault="00BC096D" w:rsidP="00BC096D">
      <w:pPr>
        <w:pStyle w:val="Heading2"/>
      </w:pPr>
      <w:r w:rsidRPr="002439C8">
        <w:t>The expert’s reports</w:t>
      </w:r>
    </w:p>
    <w:p w:rsidR="00BC096D" w:rsidRPr="00B73A54" w:rsidRDefault="00D50A15" w:rsidP="00017B82">
      <w:pPr>
        <w:pStyle w:val="ParaNumbering"/>
        <w:numPr>
          <w:ilvl w:val="0"/>
          <w:numId w:val="30"/>
        </w:numPr>
      </w:pPr>
      <w:r w:rsidRPr="002439C8">
        <w:t xml:space="preserve">In his first report, </w:t>
      </w:r>
      <w:r w:rsidR="00BC096D" w:rsidRPr="002439C8">
        <w:t>Mr Georges</w:t>
      </w:r>
      <w:r w:rsidRPr="002439C8">
        <w:t xml:space="preserve"> examined the </w:t>
      </w:r>
      <w:r w:rsidRPr="00B73A54">
        <w:t xml:space="preserve">financial position of the </w:t>
      </w:r>
      <w:proofErr w:type="spellStart"/>
      <w:r w:rsidRPr="00B73A54">
        <w:t>Gunns</w:t>
      </w:r>
      <w:proofErr w:type="spellEnd"/>
      <w:r w:rsidRPr="00B73A54">
        <w:t xml:space="preserve"> Group on a consolidated basis and concluded that </w:t>
      </w:r>
      <w:proofErr w:type="spellStart"/>
      <w:r w:rsidRPr="00B73A54">
        <w:t>Gunns</w:t>
      </w:r>
      <w:proofErr w:type="spellEnd"/>
      <w:r w:rsidRPr="00B73A54">
        <w:t xml:space="preserve"> and the </w:t>
      </w:r>
      <w:proofErr w:type="spellStart"/>
      <w:r w:rsidR="00BC096D" w:rsidRPr="00B73A54">
        <w:t>Gunns</w:t>
      </w:r>
      <w:proofErr w:type="spellEnd"/>
      <w:r w:rsidR="00BC096D" w:rsidRPr="00B73A54">
        <w:t xml:space="preserve"> </w:t>
      </w:r>
      <w:r w:rsidR="005A4257" w:rsidRPr="00B73A54">
        <w:t xml:space="preserve">Group </w:t>
      </w:r>
      <w:r w:rsidR="00BC096D" w:rsidRPr="00B73A54">
        <w:t>were insolvent from on or around 30 March 2012 and continuously from that date through to the date of the appointment of the administrators</w:t>
      </w:r>
      <w:r w:rsidR="00AC2DC9" w:rsidRPr="00B73A54">
        <w:t xml:space="preserve">.  </w:t>
      </w:r>
      <w:r w:rsidRPr="00B73A54">
        <w:t xml:space="preserve">Mr Georges explained that he examined the financial position of the </w:t>
      </w:r>
      <w:proofErr w:type="spellStart"/>
      <w:r w:rsidRPr="00B73A54">
        <w:t>Gunns</w:t>
      </w:r>
      <w:proofErr w:type="spellEnd"/>
      <w:r w:rsidRPr="00B73A54">
        <w:t xml:space="preserve"> Group on a consolidated basis because from the financial year ending 30 June 2010 onwards, the </w:t>
      </w:r>
      <w:proofErr w:type="spellStart"/>
      <w:r w:rsidRPr="00B73A54">
        <w:t>Gunns</w:t>
      </w:r>
      <w:proofErr w:type="spellEnd"/>
      <w:r w:rsidRPr="00B73A54">
        <w:t xml:space="preserve"> Group, for tax and financial reporting purposes, was </w:t>
      </w:r>
      <w:r w:rsidRPr="00B73A54">
        <w:lastRenderedPageBreak/>
        <w:t>treated as a single economic entity and financial statements were prepared on a consolidated group basis, including monthly management reports</w:t>
      </w:r>
      <w:r w:rsidR="00AC2DC9" w:rsidRPr="00B73A54">
        <w:t xml:space="preserve">.  </w:t>
      </w:r>
    </w:p>
    <w:p w:rsidR="00834503" w:rsidRPr="00B73A54" w:rsidRDefault="00834503" w:rsidP="00017B82">
      <w:pPr>
        <w:pStyle w:val="ParaNumbering"/>
        <w:numPr>
          <w:ilvl w:val="0"/>
          <w:numId w:val="30"/>
        </w:numPr>
      </w:pPr>
      <w:r w:rsidRPr="00B73A54">
        <w:t xml:space="preserve">In his first report, Mr Georges </w:t>
      </w:r>
      <w:r w:rsidR="0090279C" w:rsidRPr="00B73A54">
        <w:t xml:space="preserve">noted that there were numerous indicators of the insolvency of </w:t>
      </w:r>
      <w:proofErr w:type="spellStart"/>
      <w:r w:rsidR="0090279C" w:rsidRPr="00B73A54">
        <w:t>Gunns</w:t>
      </w:r>
      <w:proofErr w:type="spellEnd"/>
      <w:r w:rsidR="0090279C" w:rsidRPr="00B73A54">
        <w:t xml:space="preserve"> and the </w:t>
      </w:r>
      <w:proofErr w:type="spellStart"/>
      <w:r w:rsidR="0090279C" w:rsidRPr="00B73A54">
        <w:t>Gunns</w:t>
      </w:r>
      <w:proofErr w:type="spellEnd"/>
      <w:r w:rsidR="0090279C" w:rsidRPr="00B73A54">
        <w:t xml:space="preserve"> </w:t>
      </w:r>
      <w:r w:rsidR="005A4257" w:rsidRPr="00B73A54">
        <w:t xml:space="preserve">Group </w:t>
      </w:r>
      <w:r w:rsidR="0090279C" w:rsidRPr="00B73A54">
        <w:t>during the re</w:t>
      </w:r>
      <w:r w:rsidR="007C2C05" w:rsidRPr="00B73A54">
        <w:t>levant period</w:t>
      </w:r>
      <w:r w:rsidR="00AC2DC9" w:rsidRPr="00B73A54">
        <w:t xml:space="preserve">.  </w:t>
      </w:r>
      <w:r w:rsidR="007C2C05" w:rsidRPr="00B73A54">
        <w:t>In summary they we</w:t>
      </w:r>
      <w:r w:rsidR="0090279C" w:rsidRPr="00B73A54">
        <w:t>re</w:t>
      </w:r>
      <w:r w:rsidRPr="00B73A54">
        <w:t>:</w:t>
      </w:r>
      <w:r w:rsidR="00467FF8">
        <w:t xml:space="preserve"> </w:t>
      </w:r>
      <w:r w:rsidR="00D80D2A" w:rsidRPr="00B73A54">
        <w:t xml:space="preserve"> </w:t>
      </w:r>
    </w:p>
    <w:p w:rsidR="0090279C" w:rsidRPr="00B73A54" w:rsidRDefault="00503703" w:rsidP="006C5E13">
      <w:pPr>
        <w:pStyle w:val="ListNo2"/>
        <w:numPr>
          <w:ilvl w:val="0"/>
          <w:numId w:val="0"/>
        </w:numPr>
        <w:ind w:left="1474" w:hanging="754"/>
      </w:pPr>
      <w:r>
        <w:t>(a)</w:t>
      </w:r>
      <w:r>
        <w:tab/>
      </w:r>
      <w:proofErr w:type="gramStart"/>
      <w:r w:rsidR="0090279C" w:rsidRPr="00B73A54">
        <w:t>the</w:t>
      </w:r>
      <w:proofErr w:type="gramEnd"/>
      <w:r w:rsidR="0090279C" w:rsidRPr="00B73A54">
        <w:t xml:space="preserve"> </w:t>
      </w:r>
      <w:r w:rsidR="00AC6AEA" w:rsidRPr="00B73A54">
        <w:t xml:space="preserve">trading performance of the </w:t>
      </w:r>
      <w:proofErr w:type="spellStart"/>
      <w:r w:rsidR="0090279C" w:rsidRPr="00B73A54">
        <w:t>Gunns</w:t>
      </w:r>
      <w:proofErr w:type="spellEnd"/>
      <w:r w:rsidR="0090279C" w:rsidRPr="00B73A54">
        <w:t xml:space="preserve"> </w:t>
      </w:r>
      <w:r w:rsidR="005A4257" w:rsidRPr="00B73A54">
        <w:t xml:space="preserve">Group </w:t>
      </w:r>
      <w:r w:rsidR="00AC6AEA" w:rsidRPr="00B73A54">
        <w:t>had deteriora</w:t>
      </w:r>
      <w:r w:rsidR="008A0367">
        <w:t>ted as at 31 </w:t>
      </w:r>
      <w:r w:rsidR="00AC6AEA" w:rsidRPr="00B73A54">
        <w:t>December 2011 and budgeted sales and profit were not met;</w:t>
      </w:r>
    </w:p>
    <w:p w:rsidR="00AC6AEA" w:rsidRPr="00B73A54" w:rsidRDefault="00503703" w:rsidP="006C5E13">
      <w:pPr>
        <w:pStyle w:val="ListNo2"/>
        <w:numPr>
          <w:ilvl w:val="0"/>
          <w:numId w:val="0"/>
        </w:numPr>
        <w:ind w:left="1474" w:hanging="754"/>
      </w:pPr>
      <w:r>
        <w:t>(b)</w:t>
      </w:r>
      <w:r>
        <w:tab/>
      </w:r>
      <w:proofErr w:type="gramStart"/>
      <w:r w:rsidR="00AC6AEA" w:rsidRPr="00B73A54">
        <w:t>the</w:t>
      </w:r>
      <w:proofErr w:type="gramEnd"/>
      <w:r w:rsidR="00AC6AEA" w:rsidRPr="00B73A54">
        <w:t xml:space="preserve"> trading performance continued to deterior</w:t>
      </w:r>
      <w:r w:rsidR="008A0367">
        <w:t xml:space="preserve">ate in the three month period to </w:t>
      </w:r>
      <w:r w:rsidR="008A0367" w:rsidRPr="008A0367">
        <w:t>31</w:t>
      </w:r>
      <w:r w:rsidR="00AC6AEA" w:rsidRPr="008A0367">
        <w:t>March</w:t>
      </w:r>
      <w:r w:rsidR="00AC6AEA" w:rsidRPr="00B73A54">
        <w:t xml:space="preserve"> 2012 and the cash flows were insufficient to bring overdue unsecured trade creditors within terms;</w:t>
      </w:r>
    </w:p>
    <w:p w:rsidR="00AC6AEA" w:rsidRPr="00B73A54" w:rsidRDefault="00503703" w:rsidP="006C5E13">
      <w:pPr>
        <w:pStyle w:val="ListNo2"/>
        <w:numPr>
          <w:ilvl w:val="0"/>
          <w:numId w:val="0"/>
        </w:numPr>
        <w:ind w:left="1474" w:hanging="754"/>
      </w:pPr>
      <w:r>
        <w:t>(c)</w:t>
      </w:r>
      <w:r>
        <w:tab/>
      </w:r>
      <w:proofErr w:type="spellStart"/>
      <w:r w:rsidR="00AC6AEA" w:rsidRPr="00B73A54">
        <w:t>Gunns</w:t>
      </w:r>
      <w:proofErr w:type="spellEnd"/>
      <w:r w:rsidR="00AC6AEA" w:rsidRPr="00B73A54">
        <w:t xml:space="preserve">’ </w:t>
      </w:r>
      <w:r w:rsidR="00EA272E" w:rsidRPr="00B73A54">
        <w:t>cash flow</w:t>
      </w:r>
      <w:r w:rsidR="00AC6AEA" w:rsidRPr="00B73A54">
        <w:t xml:space="preserve"> assumptions prepared in February 2012 were based on assumptions that</w:t>
      </w:r>
      <w:r w:rsidR="006F331B">
        <w:t>,</w:t>
      </w:r>
      <w:r w:rsidR="00AC6AEA" w:rsidRPr="00B73A54">
        <w:t xml:space="preserve"> in Mr Georges’ opinion</w:t>
      </w:r>
      <w:r w:rsidR="006F331B">
        <w:t>,</w:t>
      </w:r>
      <w:r w:rsidR="00AC6AEA" w:rsidRPr="00B73A54">
        <w:t xml:space="preserve"> were unrealistic;</w:t>
      </w:r>
    </w:p>
    <w:p w:rsidR="00834503" w:rsidRPr="00B73A54" w:rsidRDefault="00503703" w:rsidP="006C5E13">
      <w:pPr>
        <w:pStyle w:val="ListNo2"/>
        <w:numPr>
          <w:ilvl w:val="0"/>
          <w:numId w:val="0"/>
        </w:numPr>
        <w:ind w:left="1474" w:hanging="754"/>
      </w:pPr>
      <w:r>
        <w:t>(d)</w:t>
      </w:r>
      <w:r>
        <w:tab/>
      </w:r>
      <w:proofErr w:type="gramStart"/>
      <w:r w:rsidR="0090279C" w:rsidRPr="00B73A54">
        <w:t>t</w:t>
      </w:r>
      <w:r w:rsidR="00834503" w:rsidRPr="00B73A54">
        <w:t>he</w:t>
      </w:r>
      <w:proofErr w:type="gramEnd"/>
      <w:r w:rsidR="00834503" w:rsidRPr="00B73A54">
        <w:t xml:space="preserve"> </w:t>
      </w:r>
      <w:proofErr w:type="spellStart"/>
      <w:r w:rsidR="00834503" w:rsidRPr="00B73A54">
        <w:t>Gunns</w:t>
      </w:r>
      <w:proofErr w:type="spellEnd"/>
      <w:r w:rsidR="00834503" w:rsidRPr="00B73A54">
        <w:t xml:space="preserve"> </w:t>
      </w:r>
      <w:r w:rsidR="005A4257" w:rsidRPr="00B73A54">
        <w:t xml:space="preserve">Group </w:t>
      </w:r>
      <w:r w:rsidR="00834503" w:rsidRPr="00B73A54">
        <w:t>had a significant net liquid asset deficienc</w:t>
      </w:r>
      <w:r w:rsidR="00AC6AEA" w:rsidRPr="00B73A54">
        <w:t>y as at 3</w:t>
      </w:r>
      <w:r w:rsidR="008A0367">
        <w:t>1 </w:t>
      </w:r>
      <w:r w:rsidR="00834503" w:rsidRPr="00B73A54">
        <w:t xml:space="preserve">December 2011 of </w:t>
      </w:r>
      <w:r w:rsidR="00AC6AEA" w:rsidRPr="00B73A54">
        <w:t>approximately</w:t>
      </w:r>
      <w:r w:rsidR="00834503" w:rsidRPr="00B73A54">
        <w:t xml:space="preserve"> $14 million which deteriorated to </w:t>
      </w:r>
      <w:r w:rsidR="00AC6AEA" w:rsidRPr="00B73A54">
        <w:t>approximately</w:t>
      </w:r>
      <w:r w:rsidR="00834503" w:rsidRPr="00B73A54">
        <w:t xml:space="preserve"> $45 million by 25 September 2012;</w:t>
      </w:r>
    </w:p>
    <w:p w:rsidR="00834503" w:rsidRPr="00B73A54" w:rsidRDefault="00503703" w:rsidP="006C5E13">
      <w:pPr>
        <w:pStyle w:val="ListNo2"/>
        <w:numPr>
          <w:ilvl w:val="0"/>
          <w:numId w:val="0"/>
        </w:numPr>
        <w:ind w:left="1474" w:hanging="754"/>
      </w:pPr>
      <w:r>
        <w:t>(e)</w:t>
      </w:r>
      <w:r>
        <w:tab/>
      </w:r>
      <w:r w:rsidR="00AC6AEA" w:rsidRPr="00B73A54">
        <w:t>t</w:t>
      </w:r>
      <w:r w:rsidR="00834503" w:rsidRPr="00B73A54">
        <w:t xml:space="preserve">he </w:t>
      </w:r>
      <w:proofErr w:type="spellStart"/>
      <w:r w:rsidR="00AC6AEA" w:rsidRPr="00B73A54">
        <w:t>Gunns</w:t>
      </w:r>
      <w:proofErr w:type="spellEnd"/>
      <w:r w:rsidR="00AC6AEA" w:rsidRPr="00B73A54">
        <w:t xml:space="preserve"> Grou</w:t>
      </w:r>
      <w:r w:rsidR="00834503" w:rsidRPr="00B73A54">
        <w:t>p ha</w:t>
      </w:r>
      <w:r w:rsidR="00CD2378" w:rsidRPr="00B73A54">
        <w:t>d a working capital deficiency o</w:t>
      </w:r>
      <w:r w:rsidR="008A0367">
        <w:t>f $533 million as at 31 </w:t>
      </w:r>
      <w:r w:rsidR="00834503" w:rsidRPr="00B73A54">
        <w:t>January 2012 which deteriorated to $5</w:t>
      </w:r>
      <w:r w:rsidR="00EB5678">
        <w:t>9</w:t>
      </w:r>
      <w:r w:rsidR="00834503" w:rsidRPr="00B73A54">
        <w:t xml:space="preserve">0 million as at 31 March 2012 and to $614 million by 31 July 2012 after adjusting reported balances for overstated carrying values of assets </w:t>
      </w:r>
      <w:r w:rsidR="0090279C" w:rsidRPr="00B73A54">
        <w:t>held for sale included as current asset</w:t>
      </w:r>
      <w:r w:rsidR="00AC6AEA" w:rsidRPr="00B73A54">
        <w:t>s</w:t>
      </w:r>
      <w:r w:rsidR="0090279C" w:rsidRPr="00B73A54">
        <w:t xml:space="preserve"> and adjusted for additional provisioning against aged </w:t>
      </w:r>
      <w:r w:rsidR="00AC6AEA" w:rsidRPr="00B73A54">
        <w:t>receivables</w:t>
      </w:r>
      <w:r w:rsidR="0090279C" w:rsidRPr="00B73A54">
        <w:t>;</w:t>
      </w:r>
    </w:p>
    <w:p w:rsidR="0090279C" w:rsidRPr="00B73A54" w:rsidRDefault="00503703" w:rsidP="006C5E13">
      <w:pPr>
        <w:pStyle w:val="ListNo2"/>
        <w:numPr>
          <w:ilvl w:val="0"/>
          <w:numId w:val="0"/>
        </w:numPr>
        <w:ind w:left="1474" w:hanging="754"/>
      </w:pPr>
      <w:r>
        <w:t>(f)</w:t>
      </w:r>
      <w:r>
        <w:tab/>
      </w:r>
      <w:proofErr w:type="gramStart"/>
      <w:r w:rsidR="00AC6AEA" w:rsidRPr="00B73A54">
        <w:t>t</w:t>
      </w:r>
      <w:r w:rsidR="0090279C" w:rsidRPr="00B73A54">
        <w:t>he</w:t>
      </w:r>
      <w:proofErr w:type="gramEnd"/>
      <w:r w:rsidR="0090279C" w:rsidRPr="00B73A54">
        <w:t xml:space="preserve"> </w:t>
      </w:r>
      <w:proofErr w:type="spellStart"/>
      <w:r w:rsidR="0090279C" w:rsidRPr="00B73A54">
        <w:t>Gunns</w:t>
      </w:r>
      <w:proofErr w:type="spellEnd"/>
      <w:r w:rsidR="0090279C" w:rsidRPr="00B73A54">
        <w:t xml:space="preserve"> </w:t>
      </w:r>
      <w:r w:rsidR="005A4257" w:rsidRPr="00B73A54">
        <w:t xml:space="preserve">Group </w:t>
      </w:r>
      <w:r w:rsidR="0090279C" w:rsidRPr="00B73A54">
        <w:t xml:space="preserve">had significant levels of </w:t>
      </w:r>
      <w:r w:rsidR="00AC6AEA" w:rsidRPr="00B73A54">
        <w:t>overdue</w:t>
      </w:r>
      <w:r w:rsidR="0090279C" w:rsidRPr="00B73A54">
        <w:t xml:space="preserve"> unsecured trade creditors as at 31 December 2011 of $16 million which fluctuat</w:t>
      </w:r>
      <w:r w:rsidR="00E83764">
        <w:t>ed and peaked in July 2012 at $</w:t>
      </w:r>
      <w:r w:rsidR="0090279C" w:rsidRPr="00B73A54">
        <w:t xml:space="preserve">46 million and </w:t>
      </w:r>
      <w:r w:rsidR="00AC6AEA" w:rsidRPr="00B73A54">
        <w:t>were $33 million as at 25 September 2012;</w:t>
      </w:r>
    </w:p>
    <w:p w:rsidR="00AC6AEA" w:rsidRPr="00B73A54" w:rsidRDefault="00503703" w:rsidP="006C5E13">
      <w:pPr>
        <w:pStyle w:val="ListNo2"/>
        <w:numPr>
          <w:ilvl w:val="0"/>
          <w:numId w:val="0"/>
        </w:numPr>
        <w:ind w:left="1474" w:hanging="754"/>
      </w:pPr>
      <w:r>
        <w:t>(g)</w:t>
      </w:r>
      <w:r>
        <w:tab/>
      </w:r>
      <w:proofErr w:type="gramStart"/>
      <w:r w:rsidR="00AC6AEA" w:rsidRPr="00B73A54">
        <w:t>unsecured</w:t>
      </w:r>
      <w:proofErr w:type="gramEnd"/>
      <w:r w:rsidR="00AC6AEA" w:rsidRPr="00B73A54">
        <w:t xml:space="preserve"> trade creditors were being paid outside terms and some major unsecured trade creditors had threatened legal action or stopped supplying;</w:t>
      </w:r>
    </w:p>
    <w:p w:rsidR="00AC6AEA" w:rsidRPr="00B73A54" w:rsidRDefault="00503703" w:rsidP="006C5E13">
      <w:pPr>
        <w:pStyle w:val="ListNo2"/>
        <w:numPr>
          <w:ilvl w:val="0"/>
          <w:numId w:val="0"/>
        </w:numPr>
        <w:ind w:left="1474" w:hanging="754"/>
      </w:pPr>
      <w:r>
        <w:t>(h)</w:t>
      </w:r>
      <w:r>
        <w:tab/>
      </w:r>
      <w:r w:rsidR="00AC6AEA" w:rsidRPr="00B73A54">
        <w:t>no undrawn working capital f</w:t>
      </w:r>
      <w:r w:rsidR="00F4558A" w:rsidRPr="00B73A54">
        <w:t xml:space="preserve">acilities were available to </w:t>
      </w:r>
      <w:r w:rsidR="007C2C05" w:rsidRPr="00B73A54">
        <w:t xml:space="preserve">address overdue unsecured trade creditors during the relevant period and </w:t>
      </w:r>
      <w:proofErr w:type="spellStart"/>
      <w:r w:rsidR="007C2C05" w:rsidRPr="00B73A54">
        <w:t>Gunns</w:t>
      </w:r>
      <w:proofErr w:type="spellEnd"/>
      <w:r w:rsidR="007C2C05" w:rsidRPr="00B73A54">
        <w:t>’ overdraft continually operated in excess of the approve</w:t>
      </w:r>
      <w:r w:rsidR="008A0367">
        <w:t>d facility limit from around 30 </w:t>
      </w:r>
      <w:r w:rsidR="007C2C05" w:rsidRPr="00B73A54">
        <w:t>March 2012;</w:t>
      </w:r>
    </w:p>
    <w:p w:rsidR="00D654CE" w:rsidRPr="00B73A54" w:rsidRDefault="00503703" w:rsidP="006C5E13">
      <w:pPr>
        <w:pStyle w:val="ListNo2"/>
        <w:numPr>
          <w:ilvl w:val="0"/>
          <w:numId w:val="0"/>
        </w:numPr>
        <w:ind w:left="1474" w:hanging="754"/>
      </w:pPr>
      <w:r>
        <w:t>(</w:t>
      </w:r>
      <w:proofErr w:type="spellStart"/>
      <w:r>
        <w:t>i</w:t>
      </w:r>
      <w:proofErr w:type="spellEnd"/>
      <w:r>
        <w:t>)</w:t>
      </w:r>
      <w:r>
        <w:tab/>
      </w:r>
      <w:proofErr w:type="spellStart"/>
      <w:r w:rsidR="00D654CE" w:rsidRPr="00B73A54">
        <w:t>Gunns</w:t>
      </w:r>
      <w:proofErr w:type="spellEnd"/>
      <w:r w:rsidR="00D654CE" w:rsidRPr="00B73A54">
        <w:t xml:space="preserve"> could not repay its senior syndicat</w:t>
      </w:r>
      <w:r w:rsidR="008A0367">
        <w:t>ed lenders their debt due by 31 </w:t>
      </w:r>
      <w:r w:rsidR="00D654CE" w:rsidRPr="00B73A54">
        <w:t>December 2011 and negotiated a 12 month extension of the repayment date to 31 December 2012</w:t>
      </w:r>
      <w:r w:rsidR="00AC2DC9" w:rsidRPr="00B73A54">
        <w:t xml:space="preserve">.  </w:t>
      </w:r>
      <w:proofErr w:type="spellStart"/>
      <w:r w:rsidR="00D654CE" w:rsidRPr="00B73A54">
        <w:t>Gunns</w:t>
      </w:r>
      <w:proofErr w:type="spellEnd"/>
      <w:r w:rsidR="00D654CE" w:rsidRPr="00B73A54">
        <w:t xml:space="preserve"> then undertook an asset sale process during 2012 with the object of reducing its secured debt which was $516.7 </w:t>
      </w:r>
      <w:r w:rsidR="00D654CE" w:rsidRPr="00B73A54">
        <w:lastRenderedPageBreak/>
        <w:t>million as at January 2012</w:t>
      </w:r>
      <w:r w:rsidR="00AC2DC9" w:rsidRPr="00B73A54">
        <w:t xml:space="preserve">.  </w:t>
      </w:r>
      <w:r w:rsidR="00D654CE" w:rsidRPr="00B73A54">
        <w:t>The assets subject to this sale process were secured in favour of the lenders;</w:t>
      </w:r>
    </w:p>
    <w:p w:rsidR="00D654CE" w:rsidRPr="00B73A54" w:rsidRDefault="00634E45" w:rsidP="006C5E13">
      <w:pPr>
        <w:pStyle w:val="ListNo2"/>
        <w:numPr>
          <w:ilvl w:val="0"/>
          <w:numId w:val="0"/>
        </w:numPr>
        <w:ind w:left="1474" w:hanging="754"/>
      </w:pPr>
      <w:r>
        <w:t>(j)</w:t>
      </w:r>
      <w:r>
        <w:tab/>
      </w:r>
      <w:proofErr w:type="gramStart"/>
      <w:r w:rsidR="00D654CE" w:rsidRPr="00B73A54">
        <w:t>ass</w:t>
      </w:r>
      <w:r w:rsidR="006D1AF1">
        <w:t>et</w:t>
      </w:r>
      <w:proofErr w:type="gramEnd"/>
      <w:r w:rsidR="006D1AF1">
        <w:t xml:space="preserve"> sales did not produce funds </w:t>
      </w:r>
      <w:r w:rsidR="00D654CE" w:rsidRPr="00B73A54">
        <w:t>to bring overdue unsecured trade creditors within terms</w:t>
      </w:r>
      <w:r w:rsidR="00AC2DC9" w:rsidRPr="00B73A54">
        <w:t xml:space="preserve">.  </w:t>
      </w:r>
      <w:proofErr w:type="spellStart"/>
      <w:r w:rsidR="00840378" w:rsidRPr="00B73A54">
        <w:t>Gunns</w:t>
      </w:r>
      <w:proofErr w:type="spellEnd"/>
      <w:r w:rsidR="006F331B">
        <w:t>’</w:t>
      </w:r>
      <w:r w:rsidR="00840378" w:rsidRPr="00B73A54">
        <w:t xml:space="preserve"> secured debt of $516.7 million as at January 2012 was only reduced by $16.1 million to $500.6 million as at the appointment of admi</w:t>
      </w:r>
      <w:r w:rsidR="00424EA0" w:rsidRPr="00B73A54">
        <w:t xml:space="preserve">nistrators to the </w:t>
      </w:r>
      <w:proofErr w:type="spellStart"/>
      <w:r w:rsidR="00424EA0" w:rsidRPr="00B73A54">
        <w:t>Gunns</w:t>
      </w:r>
      <w:proofErr w:type="spellEnd"/>
      <w:r w:rsidR="00424EA0" w:rsidRPr="00B73A54">
        <w:t xml:space="preserve"> </w:t>
      </w:r>
      <w:r w:rsidR="005A4257" w:rsidRPr="00B73A54">
        <w:t xml:space="preserve">Group </w:t>
      </w:r>
      <w:r w:rsidR="00424EA0" w:rsidRPr="00B73A54">
        <w:t>on 26 September 2012;</w:t>
      </w:r>
    </w:p>
    <w:p w:rsidR="00B76FF6" w:rsidRPr="000D127B" w:rsidRDefault="00634E45" w:rsidP="006C5E13">
      <w:pPr>
        <w:pStyle w:val="ListNo2"/>
        <w:numPr>
          <w:ilvl w:val="0"/>
          <w:numId w:val="0"/>
        </w:numPr>
        <w:ind w:left="1474" w:hanging="754"/>
      </w:pPr>
      <w:r>
        <w:t>(k)</w:t>
      </w:r>
      <w:r>
        <w:tab/>
      </w:r>
      <w:proofErr w:type="spellStart"/>
      <w:r w:rsidR="00840378" w:rsidRPr="00B73A54">
        <w:t>Gunns</w:t>
      </w:r>
      <w:proofErr w:type="spellEnd"/>
      <w:r w:rsidR="00840378" w:rsidRPr="00B73A54">
        <w:t xml:space="preserve"> incurred an extension fee in January 2012 of $60 million due to the ANZ in consideration for the lenders extending the due date for repayment, which </w:t>
      </w:r>
      <w:r w:rsidR="00445DE7" w:rsidRPr="00B73A54">
        <w:t>was fully repayable by 31 December 2012 but</w:t>
      </w:r>
      <w:r w:rsidR="006F331B">
        <w:t>,</w:t>
      </w:r>
      <w:r w:rsidR="00445DE7" w:rsidRPr="00B73A54">
        <w:t xml:space="preserve"> </w:t>
      </w:r>
      <w:r w:rsidR="00840378" w:rsidRPr="00B73A54">
        <w:t xml:space="preserve">in </w:t>
      </w:r>
      <w:r w:rsidR="00445DE7" w:rsidRPr="00B73A54">
        <w:t xml:space="preserve">Mr Georges’ </w:t>
      </w:r>
      <w:r w:rsidR="00840378" w:rsidRPr="00B73A54">
        <w:t xml:space="preserve">opinion, there was no reasonable basis as at 30 March 2012 or thereafter to </w:t>
      </w:r>
      <w:r w:rsidR="00840378" w:rsidRPr="000D127B">
        <w:t>assume that the $60 million could be paid by 31 December 2012;</w:t>
      </w:r>
    </w:p>
    <w:p w:rsidR="00467FF8" w:rsidRPr="000D127B" w:rsidRDefault="00634E45" w:rsidP="006C5E13">
      <w:pPr>
        <w:pStyle w:val="ListNo2"/>
        <w:numPr>
          <w:ilvl w:val="0"/>
          <w:numId w:val="0"/>
        </w:numPr>
        <w:ind w:left="1474" w:hanging="754"/>
      </w:pPr>
      <w:r>
        <w:t>(l)</w:t>
      </w:r>
      <w:r>
        <w:tab/>
      </w:r>
      <w:proofErr w:type="spellStart"/>
      <w:r w:rsidR="00467FF8" w:rsidRPr="000D127B">
        <w:t>Gunns</w:t>
      </w:r>
      <w:proofErr w:type="spellEnd"/>
      <w:r w:rsidR="00467FF8" w:rsidRPr="000D127B">
        <w:t xml:space="preserve"> was unable to raise further equity: a proposed capital raising announced in February 2012 did not proceed; in March 2012 an alternative capital raising was initiated to raise $450 million in capital and a draft prospectus was prepared but, in May 2012 Credit Suisse (which was engaged to assess the capital structure options) advised that $605 million would in fact be required to repay the finance debt and capital raising costs, and the prospectus was never issued; and </w:t>
      </w:r>
    </w:p>
    <w:p w:rsidR="00840378" w:rsidRPr="000D127B" w:rsidRDefault="00634E45" w:rsidP="006C5E13">
      <w:pPr>
        <w:pStyle w:val="ListNo2"/>
        <w:numPr>
          <w:ilvl w:val="0"/>
          <w:numId w:val="0"/>
        </w:numPr>
        <w:ind w:left="1474" w:hanging="754"/>
      </w:pPr>
      <w:r>
        <w:t>(m)</w:t>
      </w:r>
      <w:r>
        <w:tab/>
      </w:r>
      <w:proofErr w:type="spellStart"/>
      <w:r w:rsidR="00831724" w:rsidRPr="000D127B">
        <w:t>Gunns</w:t>
      </w:r>
      <w:proofErr w:type="spellEnd"/>
      <w:r w:rsidR="00831724" w:rsidRPr="000D127B">
        <w:t xml:space="preserve"> was reliant on its lenders f</w:t>
      </w:r>
      <w:r w:rsidR="00B73A54" w:rsidRPr="000D127B">
        <w:t>or support to continue to trade</w:t>
      </w:r>
      <w:r w:rsidR="006F331B">
        <w:t xml:space="preserve"> throughout the period from 30 March 2012 onwards</w:t>
      </w:r>
      <w:r w:rsidR="00B73A54" w:rsidRPr="000D127B">
        <w:t xml:space="preserve">. </w:t>
      </w:r>
    </w:p>
    <w:p w:rsidR="00834503" w:rsidRPr="000D127B" w:rsidRDefault="00467FF8" w:rsidP="00017B82">
      <w:pPr>
        <w:pStyle w:val="ParaNumbering"/>
        <w:numPr>
          <w:ilvl w:val="0"/>
          <w:numId w:val="30"/>
        </w:numPr>
      </w:pPr>
      <w:r w:rsidRPr="000D127B">
        <w:t xml:space="preserve">These opinions are cogently supported by the evidence which Mr Georges referenced in his </w:t>
      </w:r>
      <w:r w:rsidR="009A7184">
        <w:t xml:space="preserve">first </w:t>
      </w:r>
      <w:r w:rsidRPr="000D127B">
        <w:t xml:space="preserve">report. </w:t>
      </w:r>
    </w:p>
    <w:p w:rsidR="00467FF8" w:rsidRPr="000D127B" w:rsidRDefault="00467FF8" w:rsidP="00017B82">
      <w:pPr>
        <w:pStyle w:val="ParaNumbering"/>
        <w:numPr>
          <w:ilvl w:val="0"/>
          <w:numId w:val="30"/>
        </w:numPr>
      </w:pPr>
      <w:r w:rsidRPr="000D127B">
        <w:t xml:space="preserve">In his second report of 10 November 2016, Mr Georges examined the solvency of </w:t>
      </w:r>
      <w:proofErr w:type="spellStart"/>
      <w:r w:rsidRPr="000D127B">
        <w:t>Gunns</w:t>
      </w:r>
      <w:proofErr w:type="spellEnd"/>
      <w:r w:rsidRPr="000D127B">
        <w:t xml:space="preserve"> and four of its subsidiaries on a standalone basis, namely </w:t>
      </w:r>
      <w:proofErr w:type="spellStart"/>
      <w:r w:rsidRPr="000D127B">
        <w:t>Auspine</w:t>
      </w:r>
      <w:proofErr w:type="spellEnd"/>
      <w:r w:rsidRPr="000D127B">
        <w:t xml:space="preserve"> Limited (“</w:t>
      </w:r>
      <w:proofErr w:type="spellStart"/>
      <w:r w:rsidRPr="000D127B">
        <w:rPr>
          <w:b/>
        </w:rPr>
        <w:t>Auspine</w:t>
      </w:r>
      <w:proofErr w:type="spellEnd"/>
      <w:r w:rsidRPr="000D127B">
        <w:t>”), GTP Heyfield Pty Ltd (“</w:t>
      </w:r>
      <w:r w:rsidRPr="000D127B">
        <w:rPr>
          <w:b/>
        </w:rPr>
        <w:t>GTPH</w:t>
      </w:r>
      <w:r w:rsidRPr="000D127B">
        <w:t>”), GTP Alexandra Pty Ltd (“</w:t>
      </w:r>
      <w:r w:rsidRPr="000D127B">
        <w:rPr>
          <w:b/>
        </w:rPr>
        <w:t>GTPA</w:t>
      </w:r>
      <w:r w:rsidRPr="000D127B">
        <w:t xml:space="preserve">”) and </w:t>
      </w:r>
      <w:proofErr w:type="spellStart"/>
      <w:r w:rsidRPr="000D127B">
        <w:t>Gunns</w:t>
      </w:r>
      <w:proofErr w:type="spellEnd"/>
      <w:r w:rsidRPr="000D127B">
        <w:t xml:space="preserve"> Forest Products Pty Ltd (“</w:t>
      </w:r>
      <w:r w:rsidRPr="000D127B">
        <w:rPr>
          <w:b/>
        </w:rPr>
        <w:t>GFPPL</w:t>
      </w:r>
      <w:r w:rsidRPr="000D127B">
        <w:t>”) (termed collectively in Mr Georges’ report “</w:t>
      </w:r>
      <w:r w:rsidRPr="000D127B">
        <w:rPr>
          <w:b/>
        </w:rPr>
        <w:t>the relevant subsid</w:t>
      </w:r>
      <w:r w:rsidRPr="00B73A54">
        <w:rPr>
          <w:b/>
        </w:rPr>
        <w:t>iaries</w:t>
      </w:r>
      <w:r w:rsidRPr="006D1AF1">
        <w:t>”</w:t>
      </w:r>
      <w:r w:rsidRPr="00B73A54">
        <w:rPr>
          <w:b/>
        </w:rPr>
        <w:t xml:space="preserve"> </w:t>
      </w:r>
      <w:r w:rsidRPr="00B73A54">
        <w:t>or</w:t>
      </w:r>
      <w:r w:rsidRPr="00B73A54">
        <w:rPr>
          <w:b/>
        </w:rPr>
        <w:t xml:space="preserve"> </w:t>
      </w:r>
      <w:r w:rsidRPr="006D1AF1">
        <w:t>“</w:t>
      </w:r>
      <w:r w:rsidRPr="00B73A54">
        <w:rPr>
          <w:b/>
        </w:rPr>
        <w:t>the ANZ security group</w:t>
      </w:r>
      <w:r w:rsidRPr="006D1AF1">
        <w:t>”).</w:t>
      </w:r>
      <w:r w:rsidRPr="00B73A54">
        <w:t xml:space="preserve">  Those companies had each given cross guarantees in favour of the ANZ under the syndicated facility agreement.  For the purpose of forming his opinions, Mr Georges prepared reconstructed financial statements for each of those companies and his conclusions as to the solvency of those companies was based on his reconstructed single entity financial statements as well as his consideration of whether the solvency of each entity was inextricably bound up with, and dependant on, the solvency of the other companies in the </w:t>
      </w:r>
      <w:proofErr w:type="spellStart"/>
      <w:r w:rsidRPr="00B73A54">
        <w:lastRenderedPageBreak/>
        <w:t>Gunns</w:t>
      </w:r>
      <w:proofErr w:type="spellEnd"/>
      <w:r w:rsidRPr="00B73A54">
        <w:t xml:space="preserve"> Group.  From that review, Mr Georges reached the same conclusion that each of those companies was insolvent from 30 March 2012 onwards.  His reasons included that the solvency of each of </w:t>
      </w:r>
      <w:r w:rsidRPr="000D127B">
        <w:t xml:space="preserve">those companies was inextricably linked because of the facility agreement and cross guarantees.  </w:t>
      </w:r>
    </w:p>
    <w:p w:rsidR="007975FE" w:rsidRPr="000D127B" w:rsidRDefault="007975FE" w:rsidP="00017B82">
      <w:pPr>
        <w:pStyle w:val="ParaNumbering"/>
        <w:numPr>
          <w:ilvl w:val="0"/>
          <w:numId w:val="30"/>
        </w:numPr>
        <w:rPr>
          <w:lang w:eastAsia="en-AU"/>
        </w:rPr>
      </w:pPr>
      <w:r w:rsidRPr="000D127B">
        <w:t xml:space="preserve">In his </w:t>
      </w:r>
      <w:r w:rsidR="00846967" w:rsidRPr="000D127B">
        <w:t>second</w:t>
      </w:r>
      <w:r w:rsidRPr="000D127B">
        <w:t xml:space="preserve"> report, Mr Georges </w:t>
      </w:r>
      <w:r w:rsidR="00535144" w:rsidRPr="000D127B">
        <w:t>gave the following reasons</w:t>
      </w:r>
      <w:r w:rsidR="00535144" w:rsidRPr="000D127B">
        <w:rPr>
          <w:lang w:eastAsia="en-AU"/>
        </w:rPr>
        <w:t xml:space="preserve"> for his opinion that </w:t>
      </w:r>
      <w:proofErr w:type="spellStart"/>
      <w:r w:rsidR="00535144" w:rsidRPr="000D127B">
        <w:t>Auspine</w:t>
      </w:r>
      <w:proofErr w:type="spellEnd"/>
      <w:r w:rsidRPr="000D127B">
        <w:rPr>
          <w:lang w:eastAsia="en-AU"/>
        </w:rPr>
        <w:t xml:space="preserve"> w</w:t>
      </w:r>
      <w:r w:rsidR="00535144" w:rsidRPr="000D127B">
        <w:rPr>
          <w:lang w:eastAsia="en-AU"/>
        </w:rPr>
        <w:t>as insolvent from 30 March 2012:</w:t>
      </w:r>
    </w:p>
    <w:p w:rsidR="006C5E13" w:rsidRDefault="007975FE" w:rsidP="00017B82">
      <w:pPr>
        <w:pStyle w:val="ListNo2"/>
        <w:numPr>
          <w:ilvl w:val="1"/>
          <w:numId w:val="35"/>
        </w:numPr>
        <w:rPr>
          <w:lang w:eastAsia="en-AU"/>
        </w:rPr>
      </w:pPr>
      <w:proofErr w:type="spellStart"/>
      <w:r w:rsidRPr="000D127B">
        <w:rPr>
          <w:lang w:eastAsia="en-AU"/>
        </w:rPr>
        <w:t>Auspine</w:t>
      </w:r>
      <w:proofErr w:type="spellEnd"/>
      <w:r w:rsidRPr="000D127B">
        <w:rPr>
          <w:lang w:eastAsia="en-AU"/>
        </w:rPr>
        <w:t xml:space="preserve"> did not have access to operating cash flows other than to service </w:t>
      </w:r>
      <w:r w:rsidR="00535144" w:rsidRPr="000D127B">
        <w:rPr>
          <w:lang w:eastAsia="en-AU"/>
        </w:rPr>
        <w:t xml:space="preserve">its secured debt to the </w:t>
      </w:r>
      <w:r w:rsidRPr="000D127B">
        <w:rPr>
          <w:lang w:eastAsia="en-AU"/>
        </w:rPr>
        <w:t xml:space="preserve">NAB </w:t>
      </w:r>
      <w:r w:rsidR="00535144" w:rsidRPr="000D127B">
        <w:rPr>
          <w:lang w:eastAsia="en-AU"/>
        </w:rPr>
        <w:t>facilities</w:t>
      </w:r>
      <w:r w:rsidR="00AC2DC9" w:rsidRPr="000D127B">
        <w:rPr>
          <w:lang w:eastAsia="en-AU"/>
        </w:rPr>
        <w:t xml:space="preserve">.  </w:t>
      </w:r>
      <w:r w:rsidR="00535144" w:rsidRPr="000D127B">
        <w:rPr>
          <w:lang w:eastAsia="en-AU"/>
        </w:rPr>
        <w:t xml:space="preserve">This was </w:t>
      </w:r>
      <w:r w:rsidR="006D1AF1" w:rsidRPr="000D127B">
        <w:rPr>
          <w:lang w:eastAsia="en-AU"/>
        </w:rPr>
        <w:t xml:space="preserve">because the balance of the cash </w:t>
      </w:r>
      <w:r w:rsidRPr="000D127B">
        <w:rPr>
          <w:lang w:eastAsia="en-AU"/>
        </w:rPr>
        <w:t xml:space="preserve">generated by </w:t>
      </w:r>
      <w:proofErr w:type="spellStart"/>
      <w:r w:rsidRPr="000D127B">
        <w:rPr>
          <w:lang w:eastAsia="en-AU"/>
        </w:rPr>
        <w:t>Auspine</w:t>
      </w:r>
      <w:proofErr w:type="spellEnd"/>
      <w:r w:rsidRPr="000D127B">
        <w:rPr>
          <w:lang w:eastAsia="en-AU"/>
        </w:rPr>
        <w:t xml:space="preserve"> after payments to the NAB was regularly transferred to the </w:t>
      </w:r>
      <w:proofErr w:type="spellStart"/>
      <w:r w:rsidRPr="000D127B">
        <w:rPr>
          <w:lang w:eastAsia="en-AU"/>
        </w:rPr>
        <w:t>Gunns</w:t>
      </w:r>
      <w:proofErr w:type="spellEnd"/>
      <w:r w:rsidRPr="000D127B">
        <w:rPr>
          <w:lang w:eastAsia="en-AU"/>
        </w:rPr>
        <w:t xml:space="preserve"> ANZ overdraft account for use by the </w:t>
      </w:r>
      <w:proofErr w:type="spellStart"/>
      <w:r w:rsidRPr="000D127B">
        <w:rPr>
          <w:lang w:eastAsia="en-AU"/>
        </w:rPr>
        <w:t>Gunns</w:t>
      </w:r>
      <w:proofErr w:type="spellEnd"/>
      <w:r w:rsidRPr="000D127B">
        <w:rPr>
          <w:lang w:eastAsia="en-AU"/>
        </w:rPr>
        <w:t xml:space="preserve"> Group</w:t>
      </w:r>
      <w:r w:rsidR="00535144" w:rsidRPr="000D127B">
        <w:rPr>
          <w:lang w:eastAsia="en-AU"/>
        </w:rPr>
        <w:t>;</w:t>
      </w:r>
    </w:p>
    <w:p w:rsidR="006C5E13" w:rsidRPr="006C5E13" w:rsidRDefault="00535144" w:rsidP="00017B82">
      <w:pPr>
        <w:pStyle w:val="ListNo2"/>
        <w:numPr>
          <w:ilvl w:val="1"/>
          <w:numId w:val="35"/>
        </w:numPr>
        <w:rPr>
          <w:lang w:eastAsia="en-AU"/>
        </w:rPr>
      </w:pPr>
      <w:proofErr w:type="spellStart"/>
      <w:r w:rsidRPr="000D127B">
        <w:t>Auspine</w:t>
      </w:r>
      <w:proofErr w:type="spellEnd"/>
      <w:r w:rsidRPr="000D127B">
        <w:t xml:space="preserve"> was in breach of one of its quarterly borrowing covenants as at December 2011 and it had no undrawn facilities available nor any</w:t>
      </w:r>
      <w:r w:rsidR="007975FE" w:rsidRPr="000D127B">
        <w:rPr>
          <w:lang w:eastAsia="en-AU"/>
        </w:rPr>
        <w:t xml:space="preserve"> independent capacity to increase its borrowings because its assets had been pledged to secure the NAB’</w:t>
      </w:r>
      <w:r w:rsidRPr="000D127B">
        <w:rPr>
          <w:lang w:eastAsia="en-AU"/>
        </w:rPr>
        <w:t xml:space="preserve">s debts and </w:t>
      </w:r>
      <w:r w:rsidR="007975FE" w:rsidRPr="000D127B">
        <w:rPr>
          <w:lang w:eastAsia="en-AU"/>
        </w:rPr>
        <w:t xml:space="preserve">those of the </w:t>
      </w:r>
      <w:proofErr w:type="spellStart"/>
      <w:r w:rsidRPr="000D127B">
        <w:rPr>
          <w:lang w:eastAsia="en-AU"/>
        </w:rPr>
        <w:t>Gunns</w:t>
      </w:r>
      <w:proofErr w:type="spellEnd"/>
      <w:r w:rsidRPr="000D127B">
        <w:rPr>
          <w:lang w:eastAsia="en-AU"/>
        </w:rPr>
        <w:t xml:space="preserve"> syndicated l</w:t>
      </w:r>
      <w:r w:rsidR="007975FE" w:rsidRPr="000D127B">
        <w:rPr>
          <w:lang w:eastAsia="en-AU"/>
        </w:rPr>
        <w:t>enders</w:t>
      </w:r>
      <w:r w:rsidRPr="006C5E13">
        <w:rPr>
          <w:rFonts w:ascii="ArialMT" w:hAnsi="ArialMT" w:cs="ArialMT"/>
          <w:lang w:eastAsia="en-AU"/>
        </w:rPr>
        <w:t>;</w:t>
      </w:r>
    </w:p>
    <w:p w:rsidR="006C5E13" w:rsidRDefault="007975FE" w:rsidP="00017B82">
      <w:pPr>
        <w:pStyle w:val="ListNo2"/>
        <w:numPr>
          <w:ilvl w:val="1"/>
          <w:numId w:val="35"/>
        </w:numPr>
        <w:rPr>
          <w:lang w:eastAsia="en-AU"/>
        </w:rPr>
      </w:pPr>
      <w:proofErr w:type="spellStart"/>
      <w:r w:rsidRPr="000D127B">
        <w:rPr>
          <w:lang w:eastAsia="en-AU"/>
        </w:rPr>
        <w:t>Auspine</w:t>
      </w:r>
      <w:proofErr w:type="spellEnd"/>
      <w:r w:rsidRPr="000D127B">
        <w:rPr>
          <w:lang w:eastAsia="en-AU"/>
        </w:rPr>
        <w:t xml:space="preserve"> was a guarantor of </w:t>
      </w:r>
      <w:proofErr w:type="spellStart"/>
      <w:r w:rsidR="00D2520B" w:rsidRPr="000D127B">
        <w:rPr>
          <w:lang w:eastAsia="en-AU"/>
        </w:rPr>
        <w:t>Gunns</w:t>
      </w:r>
      <w:proofErr w:type="spellEnd"/>
      <w:r w:rsidR="00D2520B" w:rsidRPr="000D127B">
        <w:rPr>
          <w:lang w:eastAsia="en-AU"/>
        </w:rPr>
        <w:t xml:space="preserve">’ debt to the </w:t>
      </w:r>
      <w:r w:rsidRPr="000D127B">
        <w:rPr>
          <w:lang w:eastAsia="en-AU"/>
        </w:rPr>
        <w:t xml:space="preserve">ANZ and accordingly was jointly liable for the net deficiency in </w:t>
      </w:r>
      <w:proofErr w:type="spellStart"/>
      <w:r w:rsidRPr="000D127B">
        <w:rPr>
          <w:lang w:eastAsia="en-AU"/>
        </w:rPr>
        <w:t>Gunns</w:t>
      </w:r>
      <w:proofErr w:type="spellEnd"/>
      <w:r w:rsidR="00AC2DC9" w:rsidRPr="000D127B">
        <w:rPr>
          <w:lang w:eastAsia="en-AU"/>
        </w:rPr>
        <w:t xml:space="preserve">.  </w:t>
      </w:r>
      <w:r w:rsidRPr="000D127B">
        <w:rPr>
          <w:lang w:eastAsia="en-AU"/>
        </w:rPr>
        <w:t xml:space="preserve">After recognition of the guarantee liability for the </w:t>
      </w:r>
      <w:proofErr w:type="spellStart"/>
      <w:r w:rsidRPr="000D127B">
        <w:rPr>
          <w:lang w:eastAsia="en-AU"/>
        </w:rPr>
        <w:t>Gunns</w:t>
      </w:r>
      <w:proofErr w:type="spellEnd"/>
      <w:r w:rsidRPr="000D127B">
        <w:rPr>
          <w:lang w:eastAsia="en-AU"/>
        </w:rPr>
        <w:t xml:space="preserve"> shortfall, </w:t>
      </w:r>
      <w:proofErr w:type="spellStart"/>
      <w:r w:rsidRPr="000D127B">
        <w:rPr>
          <w:lang w:eastAsia="en-AU"/>
        </w:rPr>
        <w:t>Auspine</w:t>
      </w:r>
      <w:proofErr w:type="spellEnd"/>
      <w:r w:rsidRPr="000D127B">
        <w:rPr>
          <w:lang w:eastAsia="en-AU"/>
        </w:rPr>
        <w:t xml:space="preserve"> had a deficiency of current assets to current liabilities of $51</w:t>
      </w:r>
      <w:r w:rsidR="00D2520B" w:rsidRPr="000D127B">
        <w:rPr>
          <w:lang w:eastAsia="en-AU"/>
        </w:rPr>
        <w:t>4m as at 31 March 2012 and</w:t>
      </w:r>
      <w:r w:rsidR="006F331B">
        <w:rPr>
          <w:lang w:eastAsia="en-AU"/>
        </w:rPr>
        <w:t>,</w:t>
      </w:r>
      <w:r w:rsidR="00D2520B" w:rsidRPr="000D127B">
        <w:rPr>
          <w:lang w:eastAsia="en-AU"/>
        </w:rPr>
        <w:t xml:space="preserve"> in Mr Georges’ opinion, given the </w:t>
      </w:r>
      <w:proofErr w:type="spellStart"/>
      <w:r w:rsidR="00D2520B" w:rsidRPr="000D127B">
        <w:rPr>
          <w:lang w:eastAsia="en-AU"/>
        </w:rPr>
        <w:t>Gunns</w:t>
      </w:r>
      <w:proofErr w:type="spellEnd"/>
      <w:r w:rsidR="00D2520B" w:rsidRPr="000D127B">
        <w:rPr>
          <w:lang w:eastAsia="en-AU"/>
        </w:rPr>
        <w:t xml:space="preserve"> </w:t>
      </w:r>
      <w:r w:rsidR="005A4257" w:rsidRPr="000D127B">
        <w:t>Group</w:t>
      </w:r>
      <w:r w:rsidR="00451177" w:rsidRPr="000D127B">
        <w:t>’s</w:t>
      </w:r>
      <w:r w:rsidR="005A4257" w:rsidRPr="000D127B">
        <w:t xml:space="preserve"> </w:t>
      </w:r>
      <w:r w:rsidR="00D2520B" w:rsidRPr="000D127B">
        <w:rPr>
          <w:lang w:eastAsia="en-AU"/>
        </w:rPr>
        <w:t xml:space="preserve">overall position </w:t>
      </w:r>
      <w:r w:rsidRPr="000D127B">
        <w:rPr>
          <w:lang w:eastAsia="en-AU"/>
        </w:rPr>
        <w:t>there was no reasonable basis, as at 31 March 2012, to expect that the ANZ debt could be repaid; and</w:t>
      </w:r>
    </w:p>
    <w:p w:rsidR="007975FE" w:rsidRPr="000D127B" w:rsidRDefault="00D2520B" w:rsidP="00017B82">
      <w:pPr>
        <w:pStyle w:val="ListNo2"/>
        <w:numPr>
          <w:ilvl w:val="1"/>
          <w:numId w:val="35"/>
        </w:numPr>
        <w:rPr>
          <w:lang w:eastAsia="en-AU"/>
        </w:rPr>
      </w:pPr>
      <w:proofErr w:type="gramStart"/>
      <w:r w:rsidRPr="000D127B">
        <w:rPr>
          <w:lang w:eastAsia="en-AU"/>
        </w:rPr>
        <w:t>i</w:t>
      </w:r>
      <w:r w:rsidR="007975FE" w:rsidRPr="000D127B">
        <w:rPr>
          <w:lang w:eastAsia="en-AU"/>
        </w:rPr>
        <w:t>ncluding</w:t>
      </w:r>
      <w:proofErr w:type="gramEnd"/>
      <w:r w:rsidR="007975FE" w:rsidRPr="000D127B">
        <w:rPr>
          <w:lang w:eastAsia="en-AU"/>
        </w:rPr>
        <w:t xml:space="preserve"> the </w:t>
      </w:r>
      <w:proofErr w:type="spellStart"/>
      <w:r w:rsidR="007975FE" w:rsidRPr="000D127B">
        <w:rPr>
          <w:lang w:eastAsia="en-AU"/>
        </w:rPr>
        <w:t>Gunns</w:t>
      </w:r>
      <w:proofErr w:type="spellEnd"/>
      <w:r w:rsidR="007975FE" w:rsidRPr="000D127B">
        <w:rPr>
          <w:lang w:eastAsia="en-AU"/>
        </w:rPr>
        <w:t xml:space="preserve"> shortfall, total liabilities exceeded total assets by $242m, after eliminating intercompany loans, intercompany investments, </w:t>
      </w:r>
      <w:r w:rsidRPr="000D127B">
        <w:rPr>
          <w:lang w:eastAsia="en-AU"/>
        </w:rPr>
        <w:t>and tax account balances.</w:t>
      </w:r>
    </w:p>
    <w:p w:rsidR="00D2520B" w:rsidRPr="000D127B" w:rsidRDefault="007975FE" w:rsidP="00017B82">
      <w:pPr>
        <w:pStyle w:val="ParaNumbering"/>
        <w:numPr>
          <w:ilvl w:val="0"/>
          <w:numId w:val="30"/>
        </w:numPr>
      </w:pPr>
      <w:r w:rsidRPr="000D127B">
        <w:t>Mr Georges gave the following reasons</w:t>
      </w:r>
      <w:r w:rsidR="00D2520B" w:rsidRPr="000D127B">
        <w:t xml:space="preserve"> for his </w:t>
      </w:r>
      <w:r w:rsidR="00D2520B" w:rsidRPr="000D127B">
        <w:rPr>
          <w:lang w:eastAsia="en-AU"/>
        </w:rPr>
        <w:t xml:space="preserve">opinion that </w:t>
      </w:r>
      <w:r w:rsidR="00846967" w:rsidRPr="000D127B">
        <w:t xml:space="preserve">GTPH </w:t>
      </w:r>
      <w:r w:rsidR="00FD6A5D">
        <w:rPr>
          <w:lang w:eastAsia="en-AU"/>
        </w:rPr>
        <w:t>was insolvent from 30 </w:t>
      </w:r>
      <w:r w:rsidR="00D2520B" w:rsidRPr="000D127B">
        <w:rPr>
          <w:lang w:eastAsia="en-AU"/>
        </w:rPr>
        <w:t>March 2012:</w:t>
      </w:r>
    </w:p>
    <w:p w:rsidR="006C5E13" w:rsidRDefault="00594827" w:rsidP="00017B82">
      <w:pPr>
        <w:pStyle w:val="ListNo2"/>
        <w:numPr>
          <w:ilvl w:val="1"/>
          <w:numId w:val="36"/>
        </w:numPr>
      </w:pPr>
      <w:r w:rsidRPr="000D127B">
        <w:rPr>
          <w:lang w:eastAsia="en-AU"/>
        </w:rPr>
        <w:t>GTPH</w:t>
      </w:r>
      <w:r w:rsidR="002A6F3F" w:rsidRPr="000D127B">
        <w:rPr>
          <w:lang w:eastAsia="en-AU"/>
        </w:rPr>
        <w:t xml:space="preserve"> </w:t>
      </w:r>
      <w:r w:rsidR="007975FE" w:rsidRPr="000D127B">
        <w:rPr>
          <w:lang w:eastAsia="en-AU"/>
        </w:rPr>
        <w:t>had no</w:t>
      </w:r>
      <w:r w:rsidR="0041588B" w:rsidRPr="000D127B">
        <w:rPr>
          <w:lang w:eastAsia="en-AU"/>
        </w:rPr>
        <w:t xml:space="preserve"> trading activity</w:t>
      </w:r>
      <w:r w:rsidR="005D7A28" w:rsidRPr="000D127B">
        <w:rPr>
          <w:lang w:eastAsia="en-AU"/>
        </w:rPr>
        <w:t xml:space="preserve"> and was economically </w:t>
      </w:r>
      <w:r w:rsidR="00234EC4" w:rsidRPr="000D127B">
        <w:rPr>
          <w:lang w:eastAsia="en-AU"/>
        </w:rPr>
        <w:t>dependent</w:t>
      </w:r>
      <w:r w:rsidR="005D7A28" w:rsidRPr="000D127B">
        <w:rPr>
          <w:lang w:eastAsia="en-AU"/>
        </w:rPr>
        <w:t xml:space="preserve"> on </w:t>
      </w:r>
      <w:proofErr w:type="spellStart"/>
      <w:r w:rsidR="005D7A28" w:rsidRPr="000D127B">
        <w:rPr>
          <w:lang w:eastAsia="en-AU"/>
        </w:rPr>
        <w:t>Gunns</w:t>
      </w:r>
      <w:proofErr w:type="spellEnd"/>
      <w:r w:rsidR="005D7A28" w:rsidRPr="000D127B">
        <w:rPr>
          <w:lang w:eastAsia="en-AU"/>
        </w:rPr>
        <w:t xml:space="preserve"> and/or the </w:t>
      </w:r>
      <w:proofErr w:type="spellStart"/>
      <w:r w:rsidR="005D7A28" w:rsidRPr="000D127B">
        <w:rPr>
          <w:lang w:eastAsia="en-AU"/>
        </w:rPr>
        <w:t>Gunns</w:t>
      </w:r>
      <w:proofErr w:type="spellEnd"/>
      <w:r w:rsidR="005D7A28" w:rsidRPr="000D127B">
        <w:rPr>
          <w:lang w:eastAsia="en-AU"/>
        </w:rPr>
        <w:t xml:space="preserve"> </w:t>
      </w:r>
      <w:r w:rsidR="005A4257" w:rsidRPr="000D127B">
        <w:t>Group</w:t>
      </w:r>
      <w:r w:rsidR="007975FE" w:rsidRPr="000D127B">
        <w:rPr>
          <w:lang w:eastAsia="en-AU"/>
        </w:rPr>
        <w:t>;</w:t>
      </w:r>
    </w:p>
    <w:p w:rsidR="006C5E13" w:rsidRDefault="0041588B" w:rsidP="00017B82">
      <w:pPr>
        <w:pStyle w:val="ListNo2"/>
        <w:numPr>
          <w:ilvl w:val="1"/>
          <w:numId w:val="36"/>
        </w:numPr>
      </w:pPr>
      <w:r w:rsidRPr="000D127B">
        <w:rPr>
          <w:lang w:eastAsia="en-AU"/>
        </w:rPr>
        <w:t xml:space="preserve">GTPH’s major asset was an </w:t>
      </w:r>
      <w:r w:rsidR="005D7A28" w:rsidRPr="000D127B">
        <w:rPr>
          <w:lang w:eastAsia="en-AU"/>
        </w:rPr>
        <w:t xml:space="preserve">amount owed to it by another member of the </w:t>
      </w:r>
      <w:proofErr w:type="spellStart"/>
      <w:r w:rsidR="005D7A28" w:rsidRPr="000D127B">
        <w:rPr>
          <w:lang w:eastAsia="en-AU"/>
        </w:rPr>
        <w:t>Gunns</w:t>
      </w:r>
      <w:proofErr w:type="spellEnd"/>
      <w:r w:rsidR="005D7A28" w:rsidRPr="000D127B">
        <w:rPr>
          <w:lang w:eastAsia="en-AU"/>
        </w:rPr>
        <w:t xml:space="preserve"> </w:t>
      </w:r>
      <w:r w:rsidR="005A4257" w:rsidRPr="000D127B">
        <w:t>Group</w:t>
      </w:r>
      <w:r w:rsidR="005D7A28" w:rsidRPr="000D127B">
        <w:rPr>
          <w:lang w:eastAsia="en-AU"/>
        </w:rPr>
        <w:t>, GTP Holdings Pty Ltd;</w:t>
      </w:r>
    </w:p>
    <w:p w:rsidR="006C5E13" w:rsidRDefault="0041588B" w:rsidP="00017B82">
      <w:pPr>
        <w:pStyle w:val="ListNo2"/>
        <w:numPr>
          <w:ilvl w:val="1"/>
          <w:numId w:val="36"/>
        </w:numPr>
      </w:pPr>
      <w:r w:rsidRPr="000D127B">
        <w:rPr>
          <w:lang w:eastAsia="en-AU"/>
        </w:rPr>
        <w:t xml:space="preserve">its </w:t>
      </w:r>
      <w:r w:rsidR="005D7A28" w:rsidRPr="000D127B">
        <w:rPr>
          <w:lang w:eastAsia="en-AU"/>
        </w:rPr>
        <w:t xml:space="preserve">other </w:t>
      </w:r>
      <w:r w:rsidRPr="000D127B">
        <w:rPr>
          <w:lang w:eastAsia="en-AU"/>
        </w:rPr>
        <w:t>asset was land which formed part of the security for the NAB facility</w:t>
      </w:r>
      <w:r w:rsidR="00D2520B" w:rsidRPr="000D127B">
        <w:rPr>
          <w:lang w:eastAsia="en-AU"/>
        </w:rPr>
        <w:t>;</w:t>
      </w:r>
    </w:p>
    <w:p w:rsidR="006C5E13" w:rsidRDefault="007975FE" w:rsidP="00017B82">
      <w:pPr>
        <w:pStyle w:val="ListNo2"/>
        <w:numPr>
          <w:ilvl w:val="1"/>
          <w:numId w:val="36"/>
        </w:numPr>
      </w:pPr>
      <w:r w:rsidRPr="000D127B">
        <w:rPr>
          <w:lang w:eastAsia="en-AU"/>
        </w:rPr>
        <w:lastRenderedPageBreak/>
        <w:t xml:space="preserve">GTPH was a guarantor of </w:t>
      </w:r>
      <w:proofErr w:type="spellStart"/>
      <w:r w:rsidRPr="000D127B">
        <w:rPr>
          <w:lang w:eastAsia="en-AU"/>
        </w:rPr>
        <w:t>Gunns</w:t>
      </w:r>
      <w:proofErr w:type="spellEnd"/>
      <w:r w:rsidRPr="000D127B">
        <w:rPr>
          <w:lang w:eastAsia="en-AU"/>
        </w:rPr>
        <w:t xml:space="preserve">’ ANZ debt and </w:t>
      </w:r>
      <w:r w:rsidR="005D7A28" w:rsidRPr="000D127B">
        <w:rPr>
          <w:lang w:eastAsia="en-AU"/>
        </w:rPr>
        <w:t>in view of GT</w:t>
      </w:r>
      <w:r w:rsidR="00234EC4" w:rsidRPr="000D127B">
        <w:rPr>
          <w:lang w:eastAsia="en-AU"/>
        </w:rPr>
        <w:t>P</w:t>
      </w:r>
      <w:r w:rsidR="005D7A28" w:rsidRPr="000D127B">
        <w:rPr>
          <w:lang w:eastAsia="en-AU"/>
        </w:rPr>
        <w:t xml:space="preserve">H’s economic dependency on </w:t>
      </w:r>
      <w:proofErr w:type="spellStart"/>
      <w:r w:rsidR="005D7A28" w:rsidRPr="000D127B">
        <w:rPr>
          <w:lang w:eastAsia="en-AU"/>
        </w:rPr>
        <w:t>Gunns</w:t>
      </w:r>
      <w:proofErr w:type="spellEnd"/>
      <w:r w:rsidR="005D7A28" w:rsidRPr="000D127B">
        <w:rPr>
          <w:lang w:eastAsia="en-AU"/>
        </w:rPr>
        <w:t xml:space="preserve">, GTPH had no ability to satisfy the debt to the secured lenders </w:t>
      </w:r>
      <w:r w:rsidR="0041588B" w:rsidRPr="000D127B">
        <w:rPr>
          <w:lang w:eastAsia="en-AU"/>
        </w:rPr>
        <w:t>as at 31 March 2012</w:t>
      </w:r>
      <w:r w:rsidR="00987983" w:rsidRPr="000D127B">
        <w:rPr>
          <w:lang w:eastAsia="en-AU"/>
        </w:rPr>
        <w:t>;</w:t>
      </w:r>
      <w:r w:rsidR="0041588B" w:rsidRPr="000D127B">
        <w:rPr>
          <w:lang w:eastAsia="en-AU"/>
        </w:rPr>
        <w:t xml:space="preserve"> </w:t>
      </w:r>
    </w:p>
    <w:p w:rsidR="007975FE" w:rsidRPr="000D127B" w:rsidRDefault="0041588B" w:rsidP="00017B82">
      <w:pPr>
        <w:pStyle w:val="ListNo2"/>
        <w:numPr>
          <w:ilvl w:val="1"/>
          <w:numId w:val="36"/>
        </w:numPr>
      </w:pPr>
      <w:proofErr w:type="gramStart"/>
      <w:r w:rsidRPr="000D127B">
        <w:rPr>
          <w:lang w:eastAsia="en-AU"/>
        </w:rPr>
        <w:t>a</w:t>
      </w:r>
      <w:r w:rsidR="00987983" w:rsidRPr="000D127B">
        <w:rPr>
          <w:lang w:eastAsia="en-AU"/>
        </w:rPr>
        <w:t>s</w:t>
      </w:r>
      <w:proofErr w:type="gramEnd"/>
      <w:r w:rsidR="00987983" w:rsidRPr="000D127B">
        <w:rPr>
          <w:lang w:eastAsia="en-AU"/>
        </w:rPr>
        <w:t xml:space="preserve"> at 30</w:t>
      </w:r>
      <w:r w:rsidR="007975FE" w:rsidRPr="000D127B">
        <w:rPr>
          <w:lang w:eastAsia="en-AU"/>
        </w:rPr>
        <w:t xml:space="preserve"> March 2012 the deficiency in </w:t>
      </w:r>
      <w:proofErr w:type="spellStart"/>
      <w:r w:rsidR="007975FE" w:rsidRPr="000D127B">
        <w:rPr>
          <w:lang w:eastAsia="en-AU"/>
        </w:rPr>
        <w:t>Gunns</w:t>
      </w:r>
      <w:proofErr w:type="spellEnd"/>
      <w:r w:rsidR="007975FE" w:rsidRPr="000D127B">
        <w:rPr>
          <w:lang w:eastAsia="en-AU"/>
        </w:rPr>
        <w:t xml:space="preserve"> was approximately $352m</w:t>
      </w:r>
      <w:r w:rsidR="00987983" w:rsidRPr="000D127B">
        <w:rPr>
          <w:lang w:eastAsia="en-AU"/>
        </w:rPr>
        <w:t xml:space="preserve"> and there was no reasonable basis to assume as at 30 March 2012 that the ANZ </w:t>
      </w:r>
      <w:r w:rsidR="00594827" w:rsidRPr="000D127B">
        <w:rPr>
          <w:lang w:eastAsia="en-AU"/>
        </w:rPr>
        <w:t>debt</w:t>
      </w:r>
      <w:r w:rsidR="00987983" w:rsidRPr="000D127B">
        <w:rPr>
          <w:lang w:eastAsia="en-AU"/>
        </w:rPr>
        <w:t xml:space="preserve"> coul</w:t>
      </w:r>
      <w:r w:rsidR="006F331B">
        <w:rPr>
          <w:lang w:eastAsia="en-AU"/>
        </w:rPr>
        <w:t>d be repaid by 31 December 2012</w:t>
      </w:r>
      <w:r w:rsidR="007975FE" w:rsidRPr="000D127B">
        <w:rPr>
          <w:lang w:eastAsia="en-AU"/>
        </w:rPr>
        <w:t>.</w:t>
      </w:r>
    </w:p>
    <w:p w:rsidR="00987983" w:rsidRPr="000D127B" w:rsidRDefault="007975FE" w:rsidP="00017B82">
      <w:pPr>
        <w:pStyle w:val="ParaNumbering"/>
        <w:numPr>
          <w:ilvl w:val="0"/>
          <w:numId w:val="30"/>
        </w:numPr>
      </w:pPr>
      <w:r w:rsidRPr="000D127B">
        <w:t>In respect of GTPA, Mr Geor</w:t>
      </w:r>
      <w:r w:rsidR="00987983" w:rsidRPr="000D127B">
        <w:t>ges gave the following reasons:</w:t>
      </w:r>
      <w:r w:rsidRPr="000D127B">
        <w:rPr>
          <w:lang w:eastAsia="en-AU"/>
        </w:rPr>
        <w:t xml:space="preserve"> </w:t>
      </w:r>
      <w:r w:rsidRPr="000D127B">
        <w:rPr>
          <w:lang w:eastAsia="en-AU"/>
        </w:rPr>
        <w:tab/>
      </w:r>
    </w:p>
    <w:p w:rsidR="007975FE" w:rsidRPr="000D127B" w:rsidRDefault="006C5E13" w:rsidP="006C5E13">
      <w:pPr>
        <w:pStyle w:val="ListNo2"/>
        <w:numPr>
          <w:ilvl w:val="0"/>
          <w:numId w:val="0"/>
        </w:numPr>
        <w:ind w:left="1474" w:hanging="754"/>
      </w:pPr>
      <w:r>
        <w:rPr>
          <w:lang w:eastAsia="en-AU"/>
        </w:rPr>
        <w:t>(a)</w:t>
      </w:r>
      <w:r>
        <w:rPr>
          <w:lang w:eastAsia="en-AU"/>
        </w:rPr>
        <w:tab/>
      </w:r>
      <w:r w:rsidR="007975FE" w:rsidRPr="000D127B">
        <w:rPr>
          <w:lang w:eastAsia="en-AU"/>
        </w:rPr>
        <w:t xml:space="preserve">GTPA </w:t>
      </w:r>
      <w:r w:rsidR="00987983" w:rsidRPr="000D127B">
        <w:rPr>
          <w:lang w:eastAsia="en-AU"/>
        </w:rPr>
        <w:t xml:space="preserve">had no trading activity and </w:t>
      </w:r>
      <w:r w:rsidR="007975FE" w:rsidRPr="000D127B">
        <w:rPr>
          <w:lang w:eastAsia="en-AU"/>
        </w:rPr>
        <w:t xml:space="preserve">was </w:t>
      </w:r>
      <w:r w:rsidR="00987983" w:rsidRPr="000D127B">
        <w:rPr>
          <w:lang w:eastAsia="en-AU"/>
        </w:rPr>
        <w:t xml:space="preserve">also </w:t>
      </w:r>
      <w:r w:rsidR="007975FE" w:rsidRPr="000D127B">
        <w:rPr>
          <w:lang w:eastAsia="en-AU"/>
        </w:rPr>
        <w:t xml:space="preserve">economically dependent upon </w:t>
      </w:r>
      <w:proofErr w:type="spellStart"/>
      <w:r w:rsidR="007975FE" w:rsidRPr="000D127B">
        <w:rPr>
          <w:lang w:eastAsia="en-AU"/>
        </w:rPr>
        <w:t>Gunns</w:t>
      </w:r>
      <w:proofErr w:type="spellEnd"/>
      <w:r w:rsidR="007975FE" w:rsidRPr="000D127B">
        <w:rPr>
          <w:lang w:eastAsia="en-AU"/>
        </w:rPr>
        <w:t xml:space="preserve"> and/or the </w:t>
      </w:r>
      <w:proofErr w:type="spellStart"/>
      <w:r w:rsidR="007975FE" w:rsidRPr="000D127B">
        <w:rPr>
          <w:lang w:eastAsia="en-AU"/>
        </w:rPr>
        <w:t>Gunns</w:t>
      </w:r>
      <w:proofErr w:type="spellEnd"/>
      <w:r w:rsidR="007975FE" w:rsidRPr="000D127B">
        <w:rPr>
          <w:lang w:eastAsia="en-AU"/>
        </w:rPr>
        <w:t xml:space="preserve"> Group;</w:t>
      </w:r>
    </w:p>
    <w:p w:rsidR="007975FE" w:rsidRPr="000D127B" w:rsidRDefault="006C5E13" w:rsidP="006C5E13">
      <w:pPr>
        <w:pStyle w:val="ListNo2"/>
        <w:numPr>
          <w:ilvl w:val="0"/>
          <w:numId w:val="0"/>
        </w:numPr>
        <w:ind w:left="1474" w:hanging="754"/>
      </w:pPr>
      <w:r>
        <w:rPr>
          <w:lang w:eastAsia="en-AU"/>
        </w:rPr>
        <w:t>(b)</w:t>
      </w:r>
      <w:r>
        <w:rPr>
          <w:lang w:eastAsia="en-AU"/>
        </w:rPr>
        <w:tab/>
      </w:r>
      <w:r w:rsidR="007975FE" w:rsidRPr="000D127B">
        <w:rPr>
          <w:lang w:eastAsia="en-AU"/>
        </w:rPr>
        <w:t>GTPA had no assets of realisable value;</w:t>
      </w:r>
    </w:p>
    <w:p w:rsidR="007975FE" w:rsidRPr="000D127B" w:rsidRDefault="006C5E13" w:rsidP="006C5E13">
      <w:pPr>
        <w:pStyle w:val="ListNo2"/>
        <w:numPr>
          <w:ilvl w:val="0"/>
          <w:numId w:val="0"/>
        </w:numPr>
        <w:ind w:left="1474" w:hanging="754"/>
      </w:pPr>
      <w:r>
        <w:rPr>
          <w:lang w:eastAsia="en-AU"/>
        </w:rPr>
        <w:t>(c)</w:t>
      </w:r>
      <w:r>
        <w:rPr>
          <w:lang w:eastAsia="en-AU"/>
        </w:rPr>
        <w:tab/>
      </w:r>
      <w:r w:rsidR="007975FE" w:rsidRPr="000D127B">
        <w:rPr>
          <w:lang w:eastAsia="en-AU"/>
        </w:rPr>
        <w:t xml:space="preserve">GTPA was </w:t>
      </w:r>
      <w:r w:rsidR="00987983" w:rsidRPr="000D127B">
        <w:rPr>
          <w:lang w:eastAsia="en-AU"/>
        </w:rPr>
        <w:t xml:space="preserve">also </w:t>
      </w:r>
      <w:r w:rsidR="007975FE" w:rsidRPr="000D127B">
        <w:rPr>
          <w:lang w:eastAsia="en-AU"/>
        </w:rPr>
        <w:t xml:space="preserve">a guarantor of </w:t>
      </w:r>
      <w:r w:rsidR="00987983" w:rsidRPr="000D127B">
        <w:rPr>
          <w:lang w:eastAsia="en-AU"/>
        </w:rPr>
        <w:t xml:space="preserve">the </w:t>
      </w:r>
      <w:r w:rsidR="007975FE" w:rsidRPr="000D127B">
        <w:rPr>
          <w:lang w:eastAsia="en-AU"/>
        </w:rPr>
        <w:t xml:space="preserve">ANZ debt and was accordingly jointly liable for the net deficiency in </w:t>
      </w:r>
      <w:proofErr w:type="spellStart"/>
      <w:r w:rsidR="007975FE" w:rsidRPr="000D127B">
        <w:rPr>
          <w:lang w:eastAsia="en-AU"/>
        </w:rPr>
        <w:t>Gunns</w:t>
      </w:r>
      <w:proofErr w:type="spellEnd"/>
      <w:r w:rsidR="007975FE" w:rsidRPr="000D127B">
        <w:rPr>
          <w:lang w:eastAsia="en-AU"/>
        </w:rPr>
        <w:t xml:space="preserve"> and there was no reasonable basis to assume that as at 30 March 2012 that the debt could</w:t>
      </w:r>
      <w:r w:rsidR="00987983" w:rsidRPr="000D127B">
        <w:rPr>
          <w:lang w:eastAsia="en-AU"/>
        </w:rPr>
        <w:t xml:space="preserve"> be repaid by 31 December 2012</w:t>
      </w:r>
      <w:r w:rsidR="00AC2DC9" w:rsidRPr="000D127B">
        <w:rPr>
          <w:lang w:eastAsia="en-AU"/>
        </w:rPr>
        <w:t xml:space="preserve">.  </w:t>
      </w:r>
    </w:p>
    <w:p w:rsidR="007975FE" w:rsidRPr="000D127B" w:rsidRDefault="007975FE" w:rsidP="00017B82">
      <w:pPr>
        <w:pStyle w:val="ParaNumbering"/>
        <w:numPr>
          <w:ilvl w:val="0"/>
          <w:numId w:val="30"/>
        </w:numPr>
      </w:pPr>
      <w:r w:rsidRPr="000D127B">
        <w:t>In respect of GFPPL, Mr Georges gave the following reasons:</w:t>
      </w:r>
    </w:p>
    <w:p w:rsidR="007975FE" w:rsidRPr="000D127B" w:rsidRDefault="006C5E13" w:rsidP="006C5E13">
      <w:pPr>
        <w:pStyle w:val="ListNo2"/>
        <w:numPr>
          <w:ilvl w:val="0"/>
          <w:numId w:val="0"/>
        </w:numPr>
        <w:ind w:left="1474" w:hanging="754"/>
      </w:pPr>
      <w:r>
        <w:rPr>
          <w:lang w:eastAsia="en-AU"/>
        </w:rPr>
        <w:t>(a)</w:t>
      </w:r>
      <w:r>
        <w:rPr>
          <w:lang w:eastAsia="en-AU"/>
        </w:rPr>
        <w:tab/>
      </w:r>
      <w:r w:rsidR="007975FE" w:rsidRPr="000D127B">
        <w:rPr>
          <w:lang w:eastAsia="en-AU"/>
        </w:rPr>
        <w:t xml:space="preserve">GFPPL was </w:t>
      </w:r>
      <w:r w:rsidR="00987983" w:rsidRPr="000D127B">
        <w:rPr>
          <w:lang w:eastAsia="en-AU"/>
        </w:rPr>
        <w:t xml:space="preserve">also </w:t>
      </w:r>
      <w:r w:rsidR="007975FE" w:rsidRPr="000D127B">
        <w:rPr>
          <w:lang w:eastAsia="en-AU"/>
        </w:rPr>
        <w:t xml:space="preserve">economically dependent upon </w:t>
      </w:r>
      <w:proofErr w:type="spellStart"/>
      <w:r w:rsidR="007975FE" w:rsidRPr="000D127B">
        <w:rPr>
          <w:lang w:eastAsia="en-AU"/>
        </w:rPr>
        <w:t>Gunns</w:t>
      </w:r>
      <w:proofErr w:type="spellEnd"/>
      <w:r w:rsidR="007975FE" w:rsidRPr="000D127B">
        <w:rPr>
          <w:lang w:eastAsia="en-AU"/>
        </w:rPr>
        <w:t xml:space="preserve"> and/or the </w:t>
      </w:r>
      <w:proofErr w:type="spellStart"/>
      <w:r w:rsidR="007975FE" w:rsidRPr="000D127B">
        <w:rPr>
          <w:lang w:eastAsia="en-AU"/>
        </w:rPr>
        <w:t>Gunns</w:t>
      </w:r>
      <w:proofErr w:type="spellEnd"/>
      <w:r w:rsidR="007975FE" w:rsidRPr="000D127B">
        <w:rPr>
          <w:lang w:eastAsia="en-AU"/>
        </w:rPr>
        <w:t xml:space="preserve"> Group; </w:t>
      </w:r>
    </w:p>
    <w:p w:rsidR="007975FE" w:rsidRPr="000D127B" w:rsidRDefault="006C5E13" w:rsidP="006C5E13">
      <w:pPr>
        <w:pStyle w:val="ListNo2"/>
        <w:numPr>
          <w:ilvl w:val="0"/>
          <w:numId w:val="0"/>
        </w:numPr>
        <w:ind w:left="1474" w:hanging="754"/>
      </w:pPr>
      <w:r>
        <w:rPr>
          <w:lang w:eastAsia="en-AU"/>
        </w:rPr>
        <w:t>(b)</w:t>
      </w:r>
      <w:r>
        <w:rPr>
          <w:lang w:eastAsia="en-AU"/>
        </w:rPr>
        <w:tab/>
      </w:r>
      <w:r w:rsidR="007975FE" w:rsidRPr="000D127B">
        <w:rPr>
          <w:lang w:eastAsia="en-AU"/>
        </w:rPr>
        <w:t xml:space="preserve">GFPPL was a guarantor of </w:t>
      </w:r>
      <w:proofErr w:type="spellStart"/>
      <w:r w:rsidR="007975FE" w:rsidRPr="000D127B">
        <w:rPr>
          <w:lang w:eastAsia="en-AU"/>
        </w:rPr>
        <w:t>Gunns</w:t>
      </w:r>
      <w:proofErr w:type="spellEnd"/>
      <w:r w:rsidR="007975FE" w:rsidRPr="000D127B">
        <w:rPr>
          <w:lang w:eastAsia="en-AU"/>
        </w:rPr>
        <w:t xml:space="preserve">’ ANZ debt and was accordingly jointly liable for the net deficiency in </w:t>
      </w:r>
      <w:proofErr w:type="spellStart"/>
      <w:r w:rsidR="007975FE" w:rsidRPr="000D127B">
        <w:rPr>
          <w:lang w:eastAsia="en-AU"/>
        </w:rPr>
        <w:t>Gunns</w:t>
      </w:r>
      <w:proofErr w:type="spellEnd"/>
      <w:r w:rsidR="007975FE" w:rsidRPr="000D127B">
        <w:rPr>
          <w:lang w:eastAsia="en-AU"/>
        </w:rPr>
        <w:t xml:space="preserve"> and there was no reasonable basis to assume that as at 30 March 2012 that the debt could be repaid by 31 December 2012;</w:t>
      </w:r>
    </w:p>
    <w:p w:rsidR="007975FE" w:rsidRPr="000D127B" w:rsidRDefault="006C5E13" w:rsidP="006C5E13">
      <w:pPr>
        <w:pStyle w:val="ListNo2"/>
        <w:numPr>
          <w:ilvl w:val="0"/>
          <w:numId w:val="0"/>
        </w:numPr>
        <w:ind w:left="1474" w:hanging="754"/>
      </w:pPr>
      <w:r>
        <w:rPr>
          <w:lang w:eastAsia="en-AU"/>
        </w:rPr>
        <w:t>(c)</w:t>
      </w:r>
      <w:r>
        <w:rPr>
          <w:lang w:eastAsia="en-AU"/>
        </w:rPr>
        <w:tab/>
      </w:r>
      <w:proofErr w:type="gramStart"/>
      <w:r w:rsidR="00987983" w:rsidRPr="000D127B">
        <w:rPr>
          <w:lang w:eastAsia="en-AU"/>
        </w:rPr>
        <w:t>a</w:t>
      </w:r>
      <w:r w:rsidR="007975FE" w:rsidRPr="000D127B">
        <w:rPr>
          <w:lang w:eastAsia="en-AU"/>
        </w:rPr>
        <w:t>fter</w:t>
      </w:r>
      <w:proofErr w:type="gramEnd"/>
      <w:r w:rsidR="007975FE" w:rsidRPr="000D127B">
        <w:rPr>
          <w:lang w:eastAsia="en-AU"/>
        </w:rPr>
        <w:t xml:space="preserve"> recognition of the guarantee liability for the </w:t>
      </w:r>
      <w:proofErr w:type="spellStart"/>
      <w:r w:rsidR="007975FE" w:rsidRPr="000D127B">
        <w:rPr>
          <w:lang w:eastAsia="en-AU"/>
        </w:rPr>
        <w:t>Gunns</w:t>
      </w:r>
      <w:proofErr w:type="spellEnd"/>
      <w:r w:rsidR="007975FE" w:rsidRPr="000D127B">
        <w:rPr>
          <w:lang w:eastAsia="en-AU"/>
        </w:rPr>
        <w:t xml:space="preserve"> shortfall, GFPPL had a deficiency of current assets to current liabilities of $565m as at 31 </w:t>
      </w:r>
      <w:r w:rsidR="00987983" w:rsidRPr="000D127B">
        <w:rPr>
          <w:lang w:eastAsia="en-AU"/>
        </w:rPr>
        <w:t>March 2012</w:t>
      </w:r>
      <w:r w:rsidR="007975FE" w:rsidRPr="000D127B">
        <w:rPr>
          <w:lang w:eastAsia="en-AU"/>
        </w:rPr>
        <w:t>; and</w:t>
      </w:r>
    </w:p>
    <w:p w:rsidR="007975FE" w:rsidRPr="000D127B" w:rsidRDefault="006C5E13" w:rsidP="006C5E13">
      <w:pPr>
        <w:pStyle w:val="ListNo2"/>
        <w:numPr>
          <w:ilvl w:val="0"/>
          <w:numId w:val="0"/>
        </w:numPr>
        <w:ind w:left="1474" w:hanging="754"/>
      </w:pPr>
      <w:r>
        <w:rPr>
          <w:lang w:eastAsia="en-AU"/>
        </w:rPr>
        <w:t>(d)</w:t>
      </w:r>
      <w:r>
        <w:rPr>
          <w:lang w:eastAsia="en-AU"/>
        </w:rPr>
        <w:tab/>
      </w:r>
      <w:proofErr w:type="gramStart"/>
      <w:r w:rsidR="00987983" w:rsidRPr="000D127B">
        <w:rPr>
          <w:lang w:eastAsia="en-AU"/>
        </w:rPr>
        <w:t>i</w:t>
      </w:r>
      <w:r w:rsidR="007975FE" w:rsidRPr="000D127B">
        <w:rPr>
          <w:lang w:eastAsia="en-AU"/>
        </w:rPr>
        <w:t>ncluding</w:t>
      </w:r>
      <w:proofErr w:type="gramEnd"/>
      <w:r w:rsidR="007975FE" w:rsidRPr="000D127B">
        <w:rPr>
          <w:lang w:eastAsia="en-AU"/>
        </w:rPr>
        <w:t xml:space="preserve"> the </w:t>
      </w:r>
      <w:proofErr w:type="spellStart"/>
      <w:r w:rsidR="007975FE" w:rsidRPr="000D127B">
        <w:rPr>
          <w:lang w:eastAsia="en-AU"/>
        </w:rPr>
        <w:t>Gunns</w:t>
      </w:r>
      <w:proofErr w:type="spellEnd"/>
      <w:r w:rsidR="007975FE" w:rsidRPr="000D127B">
        <w:rPr>
          <w:lang w:eastAsia="en-AU"/>
        </w:rPr>
        <w:t xml:space="preserve"> shortfall, total liabilities exceeded total assets by $105m, after eliminating intercompany loans and tax account balances as at </w:t>
      </w:r>
      <w:r w:rsidR="00987983" w:rsidRPr="000D127B">
        <w:rPr>
          <w:lang w:eastAsia="en-AU"/>
        </w:rPr>
        <w:t>31 March 2012</w:t>
      </w:r>
      <w:r w:rsidR="007975FE" w:rsidRPr="000D127B">
        <w:rPr>
          <w:lang w:eastAsia="en-AU"/>
        </w:rPr>
        <w:t>.</w:t>
      </w:r>
    </w:p>
    <w:p w:rsidR="00BC096D" w:rsidRPr="000D127B" w:rsidRDefault="00BD47D0" w:rsidP="00017B82">
      <w:pPr>
        <w:pStyle w:val="ParaNumbering"/>
        <w:numPr>
          <w:ilvl w:val="0"/>
          <w:numId w:val="30"/>
        </w:numPr>
      </w:pPr>
      <w:r w:rsidRPr="000D127B">
        <w:t xml:space="preserve">These opinions are cogently supported by the evidence which Mr Georges referenced in his </w:t>
      </w:r>
      <w:r w:rsidR="00846967" w:rsidRPr="000D127B">
        <w:t>second</w:t>
      </w:r>
      <w:r w:rsidRPr="000D127B">
        <w:t xml:space="preserve"> report</w:t>
      </w:r>
      <w:r w:rsidR="003C2CD2" w:rsidRPr="000D127B">
        <w:t>.</w:t>
      </w:r>
    </w:p>
    <w:p w:rsidR="003C2CD2" w:rsidRPr="000D127B" w:rsidRDefault="003C2CD2" w:rsidP="00017B82">
      <w:pPr>
        <w:pStyle w:val="ParaNumbering"/>
        <w:numPr>
          <w:ilvl w:val="0"/>
          <w:numId w:val="30"/>
        </w:numPr>
      </w:pPr>
      <w:r w:rsidRPr="000D127B">
        <w:lastRenderedPageBreak/>
        <w:t xml:space="preserve">Mr Georges also opined that the solvency of </w:t>
      </w:r>
      <w:proofErr w:type="spellStart"/>
      <w:r w:rsidRPr="000D127B">
        <w:t>Gunns</w:t>
      </w:r>
      <w:proofErr w:type="spellEnd"/>
      <w:r w:rsidRPr="000D127B">
        <w:t xml:space="preserve"> and the relevant </w:t>
      </w:r>
      <w:r w:rsidR="006F331B" w:rsidRPr="006F331B">
        <w:t>subsidiaries in the ANZ security group</w:t>
      </w:r>
      <w:r w:rsidRPr="000D127B">
        <w:t xml:space="preserve"> were inextricably bound up with and dependent upon the solvency of the other entities in the </w:t>
      </w:r>
      <w:proofErr w:type="spellStart"/>
      <w:r w:rsidRPr="000D127B">
        <w:t>Gunns</w:t>
      </w:r>
      <w:proofErr w:type="spellEnd"/>
      <w:r w:rsidRPr="000D127B">
        <w:t xml:space="preserve"> Group</w:t>
      </w:r>
      <w:r w:rsidR="00AC2DC9" w:rsidRPr="000D127B">
        <w:t xml:space="preserve">.  </w:t>
      </w:r>
      <w:r w:rsidRPr="000D127B">
        <w:t>Mr Georges concluded that this was the case by reason of the terms of the A</w:t>
      </w:r>
      <w:r w:rsidR="00FD6A5D">
        <w:t xml:space="preserve">NZ facility agreement and cross </w:t>
      </w:r>
      <w:r w:rsidRPr="000D127B">
        <w:t xml:space="preserve">guarantees granted by the relevant </w:t>
      </w:r>
      <w:proofErr w:type="spellStart"/>
      <w:r w:rsidRPr="000D127B">
        <w:t>Gunns</w:t>
      </w:r>
      <w:proofErr w:type="spellEnd"/>
      <w:r w:rsidRPr="000D127B">
        <w:t xml:space="preserve"> Group entities in favour of the ANZ</w:t>
      </w:r>
      <w:r w:rsidR="00AC2DC9" w:rsidRPr="000D127B">
        <w:t xml:space="preserve">.  </w:t>
      </w:r>
      <w:r w:rsidRPr="000D127B">
        <w:t>Mr Georges stated that:</w:t>
      </w:r>
    </w:p>
    <w:p w:rsidR="003C2CD2" w:rsidRPr="000D127B" w:rsidRDefault="003C2CD2" w:rsidP="003C2CD2">
      <w:pPr>
        <w:pStyle w:val="Quote1"/>
      </w:pPr>
      <w:r w:rsidRPr="000D127B">
        <w:t>In my opinion, the ANZ security group was insolvent from 30 March 2012 and otherwise continued to trade principally because of the non</w:t>
      </w:r>
      <w:r w:rsidRPr="000D127B">
        <w:noBreakHyphen/>
        <w:t xml:space="preserve">payment of overdue unsecured trade creditors…, the accommodation of the ANZ in allowing </w:t>
      </w:r>
      <w:proofErr w:type="spellStart"/>
      <w:r w:rsidRPr="000D127B">
        <w:t>Gunns</w:t>
      </w:r>
      <w:proofErr w:type="spellEnd"/>
      <w:r w:rsidRPr="000D127B">
        <w:t xml:space="preserve"> to operate the overdraft account in excess of approved limits…, and the ongoing ad hoc support of its lenders…that support was backed by a first ranking charge over the assets of the ANZ security group, was conditional upon various milestone and covenant events, and had a specified repayment date of 31 December 2012.</w:t>
      </w:r>
    </w:p>
    <w:p w:rsidR="00846967" w:rsidRPr="000D127B" w:rsidRDefault="00846967" w:rsidP="00846967">
      <w:pPr>
        <w:pStyle w:val="Heading2"/>
      </w:pPr>
      <w:r w:rsidRPr="000D127B">
        <w:t xml:space="preserve">Conclusion  </w:t>
      </w:r>
    </w:p>
    <w:p w:rsidR="001648A2" w:rsidRPr="000D127B" w:rsidRDefault="002E4645" w:rsidP="00017B82">
      <w:pPr>
        <w:pStyle w:val="ParaNumbering"/>
        <w:numPr>
          <w:ilvl w:val="0"/>
          <w:numId w:val="30"/>
        </w:numPr>
      </w:pPr>
      <w:r w:rsidRPr="000D127B">
        <w:t>The analysis conducted by Mr Georges s</w:t>
      </w:r>
      <w:r w:rsidR="00846967" w:rsidRPr="000D127B">
        <w:t xml:space="preserve">hows as at 30 March 2012 </w:t>
      </w:r>
      <w:proofErr w:type="spellStart"/>
      <w:r w:rsidR="00846967" w:rsidRPr="000D127B">
        <w:t>Gunns</w:t>
      </w:r>
      <w:proofErr w:type="spellEnd"/>
      <w:r w:rsidR="00846967" w:rsidRPr="000D127B">
        <w:t xml:space="preserve"> and the </w:t>
      </w:r>
      <w:proofErr w:type="spellStart"/>
      <w:r w:rsidRPr="000D127B">
        <w:t>Gunns</w:t>
      </w:r>
      <w:proofErr w:type="spellEnd"/>
      <w:r w:rsidRPr="000D127B">
        <w:t xml:space="preserve"> </w:t>
      </w:r>
      <w:r w:rsidR="005A4257" w:rsidRPr="000D127B">
        <w:t xml:space="preserve">Group </w:t>
      </w:r>
      <w:r w:rsidRPr="000D127B">
        <w:t xml:space="preserve">had an </w:t>
      </w:r>
      <w:r w:rsidRPr="000D127B">
        <w:rPr>
          <w:rStyle w:val="ssl2"/>
        </w:rPr>
        <w:t>insurmountable endemic illiquidity and did not have the resources available to meet debts as and when they fell due</w:t>
      </w:r>
      <w:r w:rsidR="00AC2DC9" w:rsidRPr="000D127B">
        <w:rPr>
          <w:rStyle w:val="ssl2"/>
        </w:rPr>
        <w:t xml:space="preserve">.  </w:t>
      </w:r>
      <w:r w:rsidR="00316F1F" w:rsidRPr="000D127B">
        <w:t xml:space="preserve">As at March 2012, </w:t>
      </w:r>
      <w:proofErr w:type="spellStart"/>
      <w:r w:rsidR="00316F1F" w:rsidRPr="000D127B">
        <w:t>Gunns</w:t>
      </w:r>
      <w:proofErr w:type="spellEnd"/>
      <w:r w:rsidR="00316F1F" w:rsidRPr="000D127B">
        <w:t xml:space="preserve"> had a significant deficiency in cash flow needed to pay the debts as and when they became due and payable and even though the banks extended finance, </w:t>
      </w:r>
      <w:proofErr w:type="spellStart"/>
      <w:r w:rsidR="00316F1F" w:rsidRPr="000D127B">
        <w:t>Gunns</w:t>
      </w:r>
      <w:proofErr w:type="spellEnd"/>
      <w:r w:rsidR="00316F1F" w:rsidRPr="000D127B">
        <w:t xml:space="preserve"> did not have the capacity to repay those facilities out of its available resources and nor were any other source</w:t>
      </w:r>
      <w:r w:rsidR="007A3E71" w:rsidRPr="000D127B">
        <w:t>s</w:t>
      </w:r>
      <w:r w:rsidR="00316F1F" w:rsidRPr="000D127B">
        <w:t xml:space="preserve"> of funds realistically available</w:t>
      </w:r>
      <w:r w:rsidR="002D25B4">
        <w:t xml:space="preserve">. </w:t>
      </w:r>
      <w:r w:rsidR="00316F1F" w:rsidRPr="000D127B">
        <w:t xml:space="preserve"> </w:t>
      </w:r>
      <w:r w:rsidR="00316F1F" w:rsidRPr="000D127B">
        <w:rPr>
          <w:rStyle w:val="ssl2"/>
        </w:rPr>
        <w:t xml:space="preserve">As </w:t>
      </w:r>
      <w:r w:rsidR="005A4257" w:rsidRPr="000D127B">
        <w:rPr>
          <w:rStyle w:val="ssl2"/>
        </w:rPr>
        <w:t>of</w:t>
      </w:r>
      <w:r w:rsidR="00316F1F" w:rsidRPr="000D127B">
        <w:rPr>
          <w:rStyle w:val="ssl2"/>
        </w:rPr>
        <w:t xml:space="preserve"> March 2012, there were substantial </w:t>
      </w:r>
      <w:r w:rsidRPr="000D127B">
        <w:t xml:space="preserve">overdue </w:t>
      </w:r>
      <w:r w:rsidR="00316F1F" w:rsidRPr="000D127B">
        <w:t xml:space="preserve">amounts owed to </w:t>
      </w:r>
      <w:r w:rsidRPr="000D127B">
        <w:t>unsecured trade creditors</w:t>
      </w:r>
      <w:r w:rsidR="00316F1F" w:rsidRPr="000D127B">
        <w:t xml:space="preserve"> and, on Mr George’s analysis, </w:t>
      </w:r>
      <w:r w:rsidR="00316F1F" w:rsidRPr="000D127B">
        <w:rPr>
          <w:lang w:eastAsia="en-AU"/>
        </w:rPr>
        <w:t xml:space="preserve">there was no reasonable basis to assume that the </w:t>
      </w:r>
      <w:r w:rsidR="00594827" w:rsidRPr="000D127B">
        <w:rPr>
          <w:lang w:eastAsia="en-AU"/>
        </w:rPr>
        <w:t>ANZ</w:t>
      </w:r>
      <w:r w:rsidR="00316F1F" w:rsidRPr="000D127B">
        <w:rPr>
          <w:lang w:eastAsia="en-AU"/>
        </w:rPr>
        <w:t xml:space="preserve"> debt could be repaid by 31 December 2012; </w:t>
      </w:r>
      <w:proofErr w:type="spellStart"/>
      <w:r w:rsidR="00316F1F" w:rsidRPr="000D127B">
        <w:t>Gunns</w:t>
      </w:r>
      <w:proofErr w:type="spellEnd"/>
      <w:r w:rsidR="00316F1F" w:rsidRPr="000D127B">
        <w:t xml:space="preserve"> was trading at a loss and below budget; </w:t>
      </w:r>
      <w:proofErr w:type="spellStart"/>
      <w:r w:rsidRPr="000D127B">
        <w:t>Gunns</w:t>
      </w:r>
      <w:proofErr w:type="spellEnd"/>
      <w:r w:rsidRPr="000D127B">
        <w:t xml:space="preserve"> did not have access to additional borrowin</w:t>
      </w:r>
      <w:r w:rsidR="00FD6A5D">
        <w:t xml:space="preserve">gs during the relevant period; </w:t>
      </w:r>
      <w:r w:rsidRPr="000D127B">
        <w:t xml:space="preserve">all of its finance facilities were fully drawn down as at 30 March 2012, other than a leasing facility which could not have contributed cash to pay overdue trade creditors; there </w:t>
      </w:r>
      <w:r w:rsidR="007A3E71" w:rsidRPr="000D127B">
        <w:t>were</w:t>
      </w:r>
      <w:r w:rsidRPr="000D127B">
        <w:t xml:space="preserve"> no undrawn working capital finance facilities available to </w:t>
      </w:r>
      <w:proofErr w:type="spellStart"/>
      <w:r w:rsidRPr="000D127B">
        <w:t>Gunns</w:t>
      </w:r>
      <w:proofErr w:type="spellEnd"/>
      <w:r w:rsidRPr="000D127B">
        <w:t xml:space="preserve"> to address overdue or unsecured trade creditors during the relevant period and </w:t>
      </w:r>
      <w:proofErr w:type="spellStart"/>
      <w:r w:rsidRPr="000D127B">
        <w:t>Gunns</w:t>
      </w:r>
      <w:proofErr w:type="spellEnd"/>
      <w:r w:rsidRPr="000D127B">
        <w:t xml:space="preserve">’ overdraft continually operated in excess of its approved facility limit from around 30 March 2012; further, </w:t>
      </w:r>
      <w:proofErr w:type="spellStart"/>
      <w:r w:rsidRPr="000D127B">
        <w:t>Gunns</w:t>
      </w:r>
      <w:proofErr w:type="spellEnd"/>
      <w:r w:rsidRPr="000D127B">
        <w:t>’ efforts to raise additional capital during 2012 were unsuccessful</w:t>
      </w:r>
      <w:r w:rsidR="00AC2DC9" w:rsidRPr="000D127B">
        <w:t xml:space="preserve">.  </w:t>
      </w:r>
      <w:r w:rsidR="00316F1F" w:rsidRPr="000D127B">
        <w:t>The evidence showed a further deterioration in the company’s financial position as from 30 March 2012 with no realistic prospect of meeting its liabilities as and when they fell due</w:t>
      </w:r>
      <w:r w:rsidR="00AC2DC9" w:rsidRPr="000D127B">
        <w:t xml:space="preserve">.  </w:t>
      </w:r>
      <w:r w:rsidR="002176B0" w:rsidRPr="000D127B">
        <w:t xml:space="preserve">I </w:t>
      </w:r>
      <w:r w:rsidR="00316F1F" w:rsidRPr="000D127B">
        <w:t xml:space="preserve">accordingly </w:t>
      </w:r>
      <w:r w:rsidR="002176B0" w:rsidRPr="000D127B">
        <w:t xml:space="preserve">accept Mr Georges’ conclusion that </w:t>
      </w:r>
      <w:proofErr w:type="spellStart"/>
      <w:r w:rsidR="002176B0" w:rsidRPr="000D127B">
        <w:t>Gunns</w:t>
      </w:r>
      <w:proofErr w:type="spellEnd"/>
      <w:r w:rsidR="002176B0" w:rsidRPr="000D127B">
        <w:t xml:space="preserve"> and the other companies were </w:t>
      </w:r>
      <w:r w:rsidR="001648A2" w:rsidRPr="000D127B">
        <w:t>insolvent</w:t>
      </w:r>
      <w:r w:rsidR="002176B0" w:rsidRPr="000D127B">
        <w:t xml:space="preserve"> </w:t>
      </w:r>
      <w:r w:rsidR="00316F1F" w:rsidRPr="000D127B">
        <w:t xml:space="preserve">as </w:t>
      </w:r>
      <w:r w:rsidR="002176B0" w:rsidRPr="000D127B">
        <w:t xml:space="preserve">from 30 March 2012 and </w:t>
      </w:r>
      <w:r w:rsidR="00316F1F" w:rsidRPr="000D127B">
        <w:t xml:space="preserve">remained insolvent </w:t>
      </w:r>
      <w:r w:rsidR="001648A2" w:rsidRPr="000D127B">
        <w:t>to the date of the appointment of the administrators.</w:t>
      </w:r>
    </w:p>
    <w:p w:rsidR="007A2C51" w:rsidRPr="000D127B" w:rsidRDefault="007A2C51" w:rsidP="007A2C51">
      <w:pPr>
        <w:pStyle w:val="Heading1"/>
      </w:pPr>
      <w:r w:rsidRPr="000D127B">
        <w:lastRenderedPageBreak/>
        <w:t>The amendment question</w:t>
      </w:r>
    </w:p>
    <w:p w:rsidR="007A2C51" w:rsidRPr="000D127B" w:rsidRDefault="007A2C51" w:rsidP="00017B82">
      <w:pPr>
        <w:pStyle w:val="ParaNumbering"/>
        <w:numPr>
          <w:ilvl w:val="0"/>
          <w:numId w:val="30"/>
        </w:numPr>
      </w:pPr>
      <w:r w:rsidRPr="000D127B">
        <w:t>Pursuant to s 588FF(3) of the Act, an application by a liquidator for relief under s 588FF(1) in relation to a transaction which is voidable because of s 588FE may only be made:</w:t>
      </w:r>
    </w:p>
    <w:p w:rsidR="007A2C51" w:rsidRPr="000D127B" w:rsidRDefault="007A2C51" w:rsidP="007A2C51">
      <w:pPr>
        <w:pStyle w:val="Quote1"/>
      </w:pPr>
      <w:r w:rsidRPr="000D127B">
        <w:t>(a)</w:t>
      </w:r>
      <w:r w:rsidRPr="000D127B">
        <w:tab/>
      </w:r>
      <w:proofErr w:type="gramStart"/>
      <w:r w:rsidRPr="000D127B">
        <w:t>during</w:t>
      </w:r>
      <w:proofErr w:type="gramEnd"/>
      <w:r w:rsidRPr="000D127B">
        <w:t xml:space="preserve"> the period beginning on the relation</w:t>
      </w:r>
      <w:r w:rsidRPr="000D127B">
        <w:noBreakHyphen/>
        <w:t>back day and ending:</w:t>
      </w:r>
    </w:p>
    <w:p w:rsidR="007A2C51" w:rsidRPr="000D127B" w:rsidRDefault="007A2C51" w:rsidP="007A2C51">
      <w:pPr>
        <w:pStyle w:val="Quote2"/>
      </w:pPr>
      <w:r w:rsidRPr="000D127B">
        <w:t>(</w:t>
      </w:r>
      <w:proofErr w:type="spellStart"/>
      <w:r w:rsidRPr="000D127B">
        <w:t>i</w:t>
      </w:r>
      <w:proofErr w:type="spellEnd"/>
      <w:r w:rsidRPr="000D127B">
        <w:t>)</w:t>
      </w:r>
      <w:r w:rsidRPr="000D127B">
        <w:tab/>
        <w:t>3 years after the relation</w:t>
      </w:r>
      <w:r w:rsidRPr="000D127B">
        <w:noBreakHyphen/>
        <w:t>back day; or</w:t>
      </w:r>
    </w:p>
    <w:p w:rsidR="007A2C51" w:rsidRPr="000D127B" w:rsidRDefault="007A2C51" w:rsidP="007A2C51">
      <w:pPr>
        <w:pStyle w:val="Quote2"/>
        <w:ind w:left="2160" w:hanging="720"/>
      </w:pPr>
      <w:r w:rsidRPr="000D127B">
        <w:t>(ii)</w:t>
      </w:r>
      <w:r w:rsidRPr="000D127B">
        <w:tab/>
        <w:t>12 months after the first appointment of a liquidator in relation to the winding up of the company;</w:t>
      </w:r>
    </w:p>
    <w:p w:rsidR="007A2C51" w:rsidRPr="000D127B" w:rsidRDefault="007A2C51" w:rsidP="007A2C51">
      <w:pPr>
        <w:pStyle w:val="Quote2"/>
        <w:ind w:left="2160" w:hanging="720"/>
      </w:pPr>
      <w:proofErr w:type="gramStart"/>
      <w:r w:rsidRPr="000D127B">
        <w:t>whichever</w:t>
      </w:r>
      <w:proofErr w:type="gramEnd"/>
      <w:r w:rsidRPr="000D127B">
        <w:t xml:space="preserve"> is the later; or</w:t>
      </w:r>
    </w:p>
    <w:p w:rsidR="007A2C51" w:rsidRPr="000D127B" w:rsidRDefault="007A2C51" w:rsidP="007A2C51">
      <w:pPr>
        <w:pStyle w:val="Quote1"/>
        <w:ind w:left="1440" w:hanging="703"/>
      </w:pPr>
      <w:r w:rsidRPr="000D127B">
        <w:t>(b)</w:t>
      </w:r>
      <w:r w:rsidRPr="000D127B">
        <w:tab/>
      </w:r>
      <w:proofErr w:type="gramStart"/>
      <w:r w:rsidRPr="000D127B">
        <w:t>within</w:t>
      </w:r>
      <w:proofErr w:type="gramEnd"/>
      <w:r w:rsidRPr="000D127B">
        <w:t xml:space="preserve"> such longer period as the Court orders on an application under this paragraph made by the liquidator during the paragraph (a) period.</w:t>
      </w:r>
    </w:p>
    <w:p w:rsidR="007A2C51" w:rsidRPr="000D127B" w:rsidRDefault="007A2C51" w:rsidP="00017B82">
      <w:pPr>
        <w:pStyle w:val="ParaNumbering"/>
        <w:numPr>
          <w:ilvl w:val="0"/>
          <w:numId w:val="30"/>
        </w:numPr>
        <w:rPr>
          <w:rFonts w:ascii="TimesNewRoman" w:hAnsi="TimesNewRoman" w:cs="TimesNewRoman"/>
          <w:szCs w:val="24"/>
          <w:lang w:eastAsia="en-AU"/>
        </w:rPr>
      </w:pPr>
      <w:r w:rsidRPr="000D127B">
        <w:rPr>
          <w:rFonts w:ascii="TimesNewRoman" w:hAnsi="TimesNewRoman" w:cs="TimesNewRoman"/>
          <w:szCs w:val="24"/>
          <w:lang w:eastAsia="en-AU"/>
        </w:rPr>
        <w:t xml:space="preserve">After the period specified in s </w:t>
      </w:r>
      <w:proofErr w:type="gramStart"/>
      <w:r w:rsidRPr="000D127B">
        <w:rPr>
          <w:rFonts w:ascii="TimesNewRoman" w:hAnsi="TimesNewRoman" w:cs="TimesNewRoman"/>
          <w:szCs w:val="24"/>
          <w:lang w:eastAsia="en-AU"/>
        </w:rPr>
        <w:t>588FF(</w:t>
      </w:r>
      <w:proofErr w:type="gramEnd"/>
      <w:r w:rsidRPr="000D127B">
        <w:rPr>
          <w:rFonts w:ascii="TimesNewRoman" w:hAnsi="TimesNewRoman" w:cs="TimesNewRoman"/>
          <w:szCs w:val="24"/>
          <w:lang w:eastAsia="en-AU"/>
        </w:rPr>
        <w:t xml:space="preserve">3)(a), Middleton J gave conditional leave to the plaintiffs pursuant to r 8.21 of the </w:t>
      </w:r>
      <w:r w:rsidRPr="000D127B">
        <w:rPr>
          <w:rFonts w:ascii="TimesNewRoman" w:hAnsi="TimesNewRoman" w:cs="TimesNewRoman"/>
          <w:i/>
          <w:szCs w:val="24"/>
          <w:lang w:eastAsia="en-AU"/>
        </w:rPr>
        <w:t>Federal Court Rules</w:t>
      </w:r>
      <w:r w:rsidRPr="000D127B">
        <w:rPr>
          <w:rFonts w:ascii="TimesNewRoman" w:hAnsi="TimesNewRoman" w:cs="TimesNewRoman"/>
          <w:szCs w:val="24"/>
          <w:lang w:eastAsia="en-AU"/>
        </w:rPr>
        <w:t xml:space="preserve"> to amend the originating process and statement of claim in </w:t>
      </w:r>
      <w:r w:rsidRPr="000D127B">
        <w:t xml:space="preserve">proceedings WAD 553 of 2015, WAD 540 of 2015, WAD 550 of 2015 and SAD 334 of 2015 </w:t>
      </w:r>
      <w:r w:rsidRPr="000D127B">
        <w:rPr>
          <w:rFonts w:ascii="TimesNewRoman" w:hAnsi="TimesNewRoman" w:cs="TimesNewRoman"/>
          <w:szCs w:val="24"/>
          <w:lang w:eastAsia="en-AU"/>
        </w:rPr>
        <w:t xml:space="preserve">to include additional voidable preference claims against those defendants.  Rule 8.21 of the </w:t>
      </w:r>
      <w:r w:rsidR="007B669B" w:rsidRPr="000D127B">
        <w:rPr>
          <w:rFonts w:ascii="TimesNewRoman" w:hAnsi="TimesNewRoman" w:cs="TimesNewRoman"/>
          <w:i/>
          <w:szCs w:val="24"/>
          <w:lang w:eastAsia="en-AU"/>
        </w:rPr>
        <w:t>Federal Court Rules</w:t>
      </w:r>
      <w:r w:rsidR="007B669B" w:rsidRPr="000D127B">
        <w:rPr>
          <w:rFonts w:ascii="TimesNewRoman" w:hAnsi="TimesNewRoman" w:cs="TimesNewRoman"/>
          <w:szCs w:val="24"/>
          <w:lang w:eastAsia="en-AU"/>
        </w:rPr>
        <w:t xml:space="preserve"> </w:t>
      </w:r>
      <w:r w:rsidRPr="000D127B">
        <w:rPr>
          <w:rFonts w:ascii="TimesNewRoman" w:hAnsi="TimesNewRoman" w:cs="TimesNewRoman"/>
          <w:szCs w:val="24"/>
          <w:lang w:eastAsia="en-AU"/>
        </w:rPr>
        <w:t>relevantly provides:</w:t>
      </w:r>
      <w:r w:rsidR="00D00E19" w:rsidRPr="000D127B">
        <w:rPr>
          <w:rFonts w:ascii="TimesNewRoman" w:hAnsi="TimesNewRoman" w:cs="TimesNewRoman"/>
          <w:szCs w:val="24"/>
          <w:lang w:eastAsia="en-AU"/>
        </w:rPr>
        <w:t xml:space="preserve"> </w:t>
      </w:r>
    </w:p>
    <w:p w:rsidR="007A2C51" w:rsidRPr="000D127B" w:rsidRDefault="007A2C51" w:rsidP="007A2C51">
      <w:pPr>
        <w:pStyle w:val="Quote2"/>
        <w:ind w:left="0" w:firstLine="720"/>
        <w:rPr>
          <w:lang w:eastAsia="en-AU"/>
        </w:rPr>
      </w:pPr>
      <w:r w:rsidRPr="000D127B">
        <w:rPr>
          <w:lang w:eastAsia="en-AU"/>
        </w:rPr>
        <w:t>Amendment generally</w:t>
      </w:r>
    </w:p>
    <w:p w:rsidR="007A2C51" w:rsidRPr="000D127B" w:rsidRDefault="007A2C51" w:rsidP="007A2C51">
      <w:pPr>
        <w:pStyle w:val="Quote2"/>
        <w:ind w:hanging="720"/>
        <w:rPr>
          <w:rFonts w:ascii="TimesNewRoman" w:hAnsi="TimesNewRoman" w:cs="TimesNewRoman"/>
          <w:szCs w:val="22"/>
          <w:lang w:eastAsia="en-AU"/>
        </w:rPr>
      </w:pPr>
      <w:r w:rsidRPr="000D127B">
        <w:rPr>
          <w:lang w:eastAsia="en-AU"/>
        </w:rPr>
        <w:t xml:space="preserve">(1) </w:t>
      </w:r>
      <w:r w:rsidRPr="000D127B">
        <w:rPr>
          <w:lang w:eastAsia="en-AU"/>
        </w:rPr>
        <w:tab/>
        <w:t xml:space="preserve">An applicant may apply to the Court for leave to amend an originating application for </w:t>
      </w:r>
      <w:r w:rsidRPr="000D127B">
        <w:rPr>
          <w:rFonts w:ascii="TimesNewRoman" w:hAnsi="TimesNewRoman" w:cs="TimesNewRoman"/>
          <w:szCs w:val="22"/>
          <w:lang w:eastAsia="en-AU"/>
        </w:rPr>
        <w:t>any reason, including:</w:t>
      </w:r>
    </w:p>
    <w:p w:rsidR="007A2C51" w:rsidRPr="000D127B" w:rsidRDefault="007A2C51" w:rsidP="007A2C51">
      <w:pPr>
        <w:pStyle w:val="Quote2"/>
        <w:ind w:left="2160" w:hanging="720"/>
        <w:rPr>
          <w:rFonts w:ascii="TimesNewRoman" w:hAnsi="TimesNewRoman" w:cs="TimesNewRoman"/>
          <w:szCs w:val="22"/>
          <w:lang w:eastAsia="en-AU"/>
        </w:rPr>
      </w:pPr>
      <w:r w:rsidRPr="000D127B">
        <w:rPr>
          <w:rFonts w:ascii="TimesNewRoman" w:hAnsi="TimesNewRoman" w:cs="TimesNewRoman"/>
          <w:szCs w:val="22"/>
          <w:lang w:eastAsia="en-AU"/>
        </w:rPr>
        <w:t>…</w:t>
      </w:r>
    </w:p>
    <w:p w:rsidR="007A2C51" w:rsidRPr="000D127B" w:rsidRDefault="007A2C51" w:rsidP="007A2C51">
      <w:pPr>
        <w:pStyle w:val="Quote3"/>
        <w:ind w:hanging="720"/>
        <w:rPr>
          <w:rFonts w:ascii="TimesNewRoman" w:hAnsi="TimesNewRoman" w:cs="TimesNewRoman"/>
          <w:szCs w:val="22"/>
          <w:lang w:eastAsia="en-AU"/>
        </w:rPr>
      </w:pPr>
      <w:r w:rsidRPr="000D127B">
        <w:rPr>
          <w:lang w:eastAsia="en-AU"/>
        </w:rPr>
        <w:t xml:space="preserve">(g) </w:t>
      </w:r>
      <w:r w:rsidRPr="000D127B">
        <w:rPr>
          <w:lang w:eastAsia="en-AU"/>
        </w:rPr>
        <w:tab/>
      </w:r>
      <w:proofErr w:type="gramStart"/>
      <w:r w:rsidRPr="000D127B">
        <w:rPr>
          <w:lang w:eastAsia="en-AU"/>
        </w:rPr>
        <w:t>to</w:t>
      </w:r>
      <w:proofErr w:type="gramEnd"/>
      <w:r w:rsidRPr="000D127B">
        <w:rPr>
          <w:lang w:eastAsia="en-AU"/>
        </w:rPr>
        <w:t xml:space="preserve"> add or substitute a new claim for relief, or a new foundation in law for a </w:t>
      </w:r>
      <w:r w:rsidRPr="000D127B">
        <w:rPr>
          <w:rFonts w:ascii="TimesNewRoman" w:hAnsi="TimesNewRoman" w:cs="TimesNewRoman"/>
          <w:szCs w:val="22"/>
          <w:lang w:eastAsia="en-AU"/>
        </w:rPr>
        <w:t>claim for relief, that arises:</w:t>
      </w:r>
    </w:p>
    <w:p w:rsidR="007A2C51" w:rsidRPr="000D127B" w:rsidRDefault="007A2C51" w:rsidP="007A2C51">
      <w:pPr>
        <w:pStyle w:val="Quote3"/>
        <w:ind w:left="2880" w:hanging="720"/>
        <w:rPr>
          <w:lang w:eastAsia="en-AU"/>
        </w:rPr>
      </w:pPr>
      <w:r w:rsidRPr="000D127B">
        <w:rPr>
          <w:rFonts w:ascii="TimesNewRoman" w:hAnsi="TimesNewRoman" w:cs="TimesNewRoman"/>
          <w:szCs w:val="22"/>
          <w:lang w:eastAsia="en-AU"/>
        </w:rPr>
        <w:t>(</w:t>
      </w:r>
      <w:proofErr w:type="spellStart"/>
      <w:r w:rsidRPr="000D127B">
        <w:rPr>
          <w:rFonts w:ascii="TimesNewRoman" w:hAnsi="TimesNewRoman" w:cs="TimesNewRoman"/>
          <w:szCs w:val="22"/>
          <w:lang w:eastAsia="en-AU"/>
        </w:rPr>
        <w:t>i</w:t>
      </w:r>
      <w:proofErr w:type="spellEnd"/>
      <w:r w:rsidRPr="000D127B">
        <w:rPr>
          <w:rFonts w:ascii="TimesNewRoman" w:hAnsi="TimesNewRoman" w:cs="TimesNewRoman"/>
          <w:szCs w:val="22"/>
          <w:lang w:eastAsia="en-AU"/>
        </w:rPr>
        <w:t xml:space="preserve">) </w:t>
      </w:r>
      <w:r w:rsidRPr="000D127B">
        <w:rPr>
          <w:rFonts w:ascii="TimesNewRoman" w:hAnsi="TimesNewRoman" w:cs="TimesNewRoman"/>
          <w:szCs w:val="22"/>
          <w:lang w:eastAsia="en-AU"/>
        </w:rPr>
        <w:tab/>
      </w:r>
      <w:proofErr w:type="gramStart"/>
      <w:r w:rsidRPr="000D127B">
        <w:rPr>
          <w:rFonts w:ascii="TimesNewRoman" w:hAnsi="TimesNewRoman" w:cs="TimesNewRoman"/>
          <w:szCs w:val="22"/>
          <w:lang w:eastAsia="en-AU"/>
        </w:rPr>
        <w:t>out</w:t>
      </w:r>
      <w:proofErr w:type="gramEnd"/>
      <w:r w:rsidRPr="000D127B">
        <w:rPr>
          <w:rFonts w:ascii="TimesNewRoman" w:hAnsi="TimesNewRoman" w:cs="TimesNewRoman"/>
          <w:szCs w:val="22"/>
          <w:lang w:eastAsia="en-AU"/>
        </w:rPr>
        <w:t xml:space="preserve"> of the same facts or substantially the same facts as those already pleaded to support an existing claim for relief by the applicant; or</w:t>
      </w:r>
    </w:p>
    <w:p w:rsidR="007A2C51" w:rsidRPr="000D127B" w:rsidRDefault="007A2C51" w:rsidP="007A2C51">
      <w:pPr>
        <w:pStyle w:val="Quote3"/>
        <w:ind w:left="2880" w:hanging="720"/>
        <w:rPr>
          <w:rFonts w:ascii="TimesNewRoman" w:hAnsi="TimesNewRoman" w:cs="TimesNewRoman"/>
          <w:szCs w:val="22"/>
          <w:lang w:eastAsia="en-AU"/>
        </w:rPr>
      </w:pPr>
      <w:r w:rsidRPr="000D127B">
        <w:rPr>
          <w:rFonts w:ascii="TimesNewRoman" w:hAnsi="TimesNewRoman" w:cs="TimesNewRoman"/>
          <w:szCs w:val="22"/>
          <w:lang w:eastAsia="en-AU"/>
        </w:rPr>
        <w:t xml:space="preserve">(ii) </w:t>
      </w:r>
      <w:r w:rsidRPr="000D127B">
        <w:rPr>
          <w:rFonts w:ascii="TimesNewRoman" w:hAnsi="TimesNewRoman" w:cs="TimesNewRoman"/>
          <w:szCs w:val="22"/>
          <w:lang w:eastAsia="en-AU"/>
        </w:rPr>
        <w:tab/>
      </w:r>
      <w:proofErr w:type="gramStart"/>
      <w:r w:rsidRPr="000D127B">
        <w:rPr>
          <w:rFonts w:ascii="TimesNewRoman" w:hAnsi="TimesNewRoman" w:cs="TimesNewRoman"/>
          <w:szCs w:val="22"/>
          <w:lang w:eastAsia="en-AU"/>
        </w:rPr>
        <w:t>in</w:t>
      </w:r>
      <w:proofErr w:type="gramEnd"/>
      <w:r w:rsidRPr="000D127B">
        <w:rPr>
          <w:rFonts w:ascii="TimesNewRoman" w:hAnsi="TimesNewRoman" w:cs="TimesNewRoman"/>
          <w:szCs w:val="22"/>
          <w:lang w:eastAsia="en-AU"/>
        </w:rPr>
        <w:t xml:space="preserve"> whole or in part, out of facts or matters that have occurred or arisen since the start of the proceeding.</w:t>
      </w:r>
      <w:r w:rsidR="00D00E19" w:rsidRPr="000D127B">
        <w:rPr>
          <w:rFonts w:ascii="TimesNewRoman" w:hAnsi="TimesNewRoman" w:cs="TimesNewRoman"/>
          <w:szCs w:val="22"/>
          <w:lang w:eastAsia="en-AU"/>
        </w:rPr>
        <w:t xml:space="preserve"> </w:t>
      </w:r>
    </w:p>
    <w:p w:rsidR="007A2C51" w:rsidRPr="000D127B" w:rsidRDefault="007A2C51" w:rsidP="007A2C51">
      <w:pPr>
        <w:pStyle w:val="Quote2"/>
        <w:ind w:hanging="720"/>
        <w:rPr>
          <w:rFonts w:ascii="TimesNewRoman" w:hAnsi="TimesNewRoman" w:cs="TimesNewRoman"/>
          <w:szCs w:val="22"/>
          <w:lang w:eastAsia="en-AU"/>
        </w:rPr>
      </w:pPr>
      <w:r w:rsidRPr="000D127B">
        <w:rPr>
          <w:rFonts w:ascii="TimesNewRoman" w:hAnsi="TimesNewRoman" w:cs="TimesNewRoman"/>
          <w:szCs w:val="22"/>
          <w:lang w:eastAsia="en-AU"/>
        </w:rPr>
        <w:t xml:space="preserve">(2) </w:t>
      </w:r>
      <w:r w:rsidRPr="000D127B">
        <w:rPr>
          <w:rFonts w:ascii="TimesNewRoman" w:hAnsi="TimesNewRoman" w:cs="TimesNewRoman"/>
          <w:szCs w:val="22"/>
          <w:lang w:eastAsia="en-AU"/>
        </w:rPr>
        <w:tab/>
        <w:t>An applicant may apply to the Court for leave to amend an originating application in accordance with … subparagraph (1)(g)(</w:t>
      </w:r>
      <w:proofErr w:type="spellStart"/>
      <w:r w:rsidRPr="000D127B">
        <w:rPr>
          <w:rFonts w:ascii="TimesNewRoman" w:hAnsi="TimesNewRoman" w:cs="TimesNewRoman"/>
          <w:szCs w:val="22"/>
          <w:lang w:eastAsia="en-AU"/>
        </w:rPr>
        <w:t>i</w:t>
      </w:r>
      <w:proofErr w:type="spellEnd"/>
      <w:r w:rsidRPr="000D127B">
        <w:rPr>
          <w:rFonts w:ascii="TimesNewRoman" w:hAnsi="TimesNewRoman" w:cs="TimesNewRoman"/>
          <w:szCs w:val="22"/>
          <w:lang w:eastAsia="en-AU"/>
        </w:rPr>
        <w:t>) even if the application is made after the end of any relevant period of limitation applying at the date the proceeding was started.</w:t>
      </w:r>
    </w:p>
    <w:p w:rsidR="007A2C51" w:rsidRPr="000D127B" w:rsidRDefault="007A2C51" w:rsidP="007A2C51">
      <w:pPr>
        <w:pStyle w:val="Quote2"/>
        <w:ind w:hanging="720"/>
        <w:rPr>
          <w:rFonts w:ascii="TimesNewRoman" w:hAnsi="TimesNewRoman" w:cs="TimesNewRoman"/>
          <w:szCs w:val="22"/>
          <w:lang w:eastAsia="en-AU"/>
        </w:rPr>
      </w:pPr>
      <w:r w:rsidRPr="000D127B">
        <w:rPr>
          <w:rFonts w:ascii="TimesNewRoman" w:hAnsi="TimesNewRoman" w:cs="TimesNewRoman"/>
          <w:szCs w:val="22"/>
          <w:lang w:eastAsia="en-AU"/>
        </w:rPr>
        <w:t xml:space="preserve">(3) </w:t>
      </w:r>
      <w:r w:rsidRPr="000D127B">
        <w:rPr>
          <w:rFonts w:ascii="TimesNewRoman" w:hAnsi="TimesNewRoman" w:cs="TimesNewRoman"/>
          <w:szCs w:val="22"/>
          <w:lang w:eastAsia="en-AU"/>
        </w:rPr>
        <w:tab/>
        <w:t>However, an applicant must not apply to amend an originating application in accordance with subparagraph (1</w:t>
      </w:r>
      <w:proofErr w:type="gramStart"/>
      <w:r w:rsidRPr="000D127B">
        <w:rPr>
          <w:rFonts w:ascii="TimesNewRoman" w:hAnsi="TimesNewRoman" w:cs="TimesNewRoman"/>
          <w:szCs w:val="22"/>
          <w:lang w:eastAsia="en-AU"/>
        </w:rPr>
        <w:t>)(</w:t>
      </w:r>
      <w:proofErr w:type="gramEnd"/>
      <w:r w:rsidRPr="000D127B">
        <w:rPr>
          <w:rFonts w:ascii="TimesNewRoman" w:hAnsi="TimesNewRoman" w:cs="TimesNewRoman"/>
          <w:szCs w:val="22"/>
          <w:lang w:eastAsia="en-AU"/>
        </w:rPr>
        <w:t>g)(ii) after the time within which any statute that limits the time within which a proceeding may be started has expired.</w:t>
      </w:r>
    </w:p>
    <w:p w:rsidR="007A2C51" w:rsidRPr="000D127B" w:rsidRDefault="007A2C51" w:rsidP="00017B82">
      <w:pPr>
        <w:pStyle w:val="ParaNumbering"/>
        <w:numPr>
          <w:ilvl w:val="0"/>
          <w:numId w:val="30"/>
        </w:numPr>
      </w:pPr>
      <w:r w:rsidRPr="000D127B">
        <w:rPr>
          <w:rFonts w:ascii="TimesNewRoman" w:hAnsi="TimesNewRoman" w:cs="TimesNewRoman"/>
          <w:szCs w:val="24"/>
          <w:lang w:eastAsia="en-AU"/>
        </w:rPr>
        <w:t xml:space="preserve">The condition of the grant of leave was that any defendant wishing to raise a limitation point had liberty to do so and the defendants </w:t>
      </w:r>
      <w:r w:rsidR="004807F9">
        <w:rPr>
          <w:rFonts w:ascii="TimesNewRoman" w:hAnsi="TimesNewRoman" w:cs="TimesNewRoman"/>
          <w:szCs w:val="24"/>
          <w:lang w:eastAsia="en-AU"/>
        </w:rPr>
        <w:t xml:space="preserve">in this proceeding </w:t>
      </w:r>
      <w:r w:rsidRPr="000D127B">
        <w:rPr>
          <w:rFonts w:ascii="TimesNewRoman" w:hAnsi="TimesNewRoman" w:cs="TimesNewRoman"/>
          <w:szCs w:val="24"/>
          <w:lang w:eastAsia="en-AU"/>
        </w:rPr>
        <w:t xml:space="preserve">have all raised the limitation point </w:t>
      </w:r>
      <w:r w:rsidRPr="000D127B">
        <w:rPr>
          <w:rFonts w:ascii="TimesNewRoman" w:hAnsi="TimesNewRoman" w:cs="TimesNewRoman"/>
          <w:szCs w:val="24"/>
          <w:lang w:eastAsia="en-AU"/>
        </w:rPr>
        <w:lastRenderedPageBreak/>
        <w:t xml:space="preserve">by way of defence to the additional voidable preference claims against them, alleging that those claims are statute barred </w:t>
      </w:r>
      <w:r w:rsidRPr="000D127B">
        <w:t>by reason of the operation of s </w:t>
      </w:r>
      <w:proofErr w:type="gramStart"/>
      <w:r w:rsidRPr="000D127B">
        <w:t>588FF(</w:t>
      </w:r>
      <w:proofErr w:type="gramEnd"/>
      <w:r w:rsidRPr="000D127B">
        <w:t>3) of the Act.</w:t>
      </w:r>
    </w:p>
    <w:p w:rsidR="007A2C51" w:rsidRPr="000D127B" w:rsidRDefault="007A2C51" w:rsidP="00017B82">
      <w:pPr>
        <w:pStyle w:val="ParaNumbering"/>
        <w:numPr>
          <w:ilvl w:val="0"/>
          <w:numId w:val="30"/>
        </w:numPr>
      </w:pPr>
      <w:r w:rsidRPr="000D127B">
        <w:t xml:space="preserve">A trial of the following preliminary questions was ordered pursuant to r 30.01 of the </w:t>
      </w:r>
      <w:r w:rsidR="007B669B" w:rsidRPr="000D127B">
        <w:rPr>
          <w:rFonts w:ascii="TimesNewRoman" w:hAnsi="TimesNewRoman" w:cs="TimesNewRoman"/>
          <w:i/>
          <w:szCs w:val="24"/>
          <w:lang w:eastAsia="en-AU"/>
        </w:rPr>
        <w:t>Federal Court Rules</w:t>
      </w:r>
      <w:r w:rsidRPr="000D127B">
        <w:t xml:space="preserve">: </w:t>
      </w:r>
    </w:p>
    <w:p w:rsidR="007A2C51" w:rsidRPr="000D127B" w:rsidRDefault="00634E45" w:rsidP="00634E45">
      <w:pPr>
        <w:pStyle w:val="ListNo1"/>
        <w:numPr>
          <w:ilvl w:val="0"/>
          <w:numId w:val="0"/>
        </w:numPr>
        <w:ind w:left="737" w:hanging="737"/>
      </w:pPr>
      <w:r>
        <w:t>1.</w:t>
      </w:r>
      <w:r>
        <w:tab/>
      </w:r>
      <w:r w:rsidR="007A2C51" w:rsidRPr="000D127B">
        <w:t>Whether any (and if so which) of the claims that were added by the plaintiffs pursuant to the grant of leave are statute barred by reason of s </w:t>
      </w:r>
      <w:proofErr w:type="gramStart"/>
      <w:r w:rsidR="007A2C51" w:rsidRPr="000D127B">
        <w:t>588FF(</w:t>
      </w:r>
      <w:proofErr w:type="gramEnd"/>
      <w:r w:rsidR="007A2C51" w:rsidRPr="000D127B">
        <w:t xml:space="preserve">3) of the </w:t>
      </w:r>
      <w:r w:rsidR="007A2C51" w:rsidRPr="003F105D">
        <w:rPr>
          <w:i/>
        </w:rPr>
        <w:t>Corporations Act 2001</w:t>
      </w:r>
      <w:r w:rsidR="007A2C51" w:rsidRPr="000D127B">
        <w:t xml:space="preserve"> (Cth).</w:t>
      </w:r>
    </w:p>
    <w:p w:rsidR="007A2C51" w:rsidRPr="000D127B" w:rsidRDefault="00634E45" w:rsidP="00634E45">
      <w:pPr>
        <w:pStyle w:val="ListNo1"/>
        <w:numPr>
          <w:ilvl w:val="0"/>
          <w:numId w:val="0"/>
        </w:numPr>
        <w:ind w:left="737" w:hanging="737"/>
      </w:pPr>
      <w:r>
        <w:t>2.</w:t>
      </w:r>
      <w:r>
        <w:tab/>
      </w:r>
      <w:r w:rsidR="007A2C51" w:rsidRPr="000D127B">
        <w:t xml:space="preserve">Whether the conditional leave granted </w:t>
      </w:r>
      <w:proofErr w:type="gramStart"/>
      <w:r w:rsidR="007A2C51" w:rsidRPr="000D127B">
        <w:t>ought</w:t>
      </w:r>
      <w:proofErr w:type="gramEnd"/>
      <w:r w:rsidR="007A2C51" w:rsidRPr="000D127B">
        <w:t xml:space="preserve"> be granted in any event.</w:t>
      </w:r>
    </w:p>
    <w:p w:rsidR="007A2C51" w:rsidRPr="000D127B" w:rsidRDefault="007A2C51" w:rsidP="007A2C51">
      <w:pPr>
        <w:pStyle w:val="Heading2"/>
      </w:pPr>
      <w:r w:rsidRPr="000D127B">
        <w:t>Factual background</w:t>
      </w:r>
    </w:p>
    <w:p w:rsidR="007A2C51" w:rsidRPr="000D127B" w:rsidRDefault="007A2C51" w:rsidP="00017B82">
      <w:pPr>
        <w:pStyle w:val="ParaNumbering"/>
        <w:numPr>
          <w:ilvl w:val="0"/>
          <w:numId w:val="30"/>
        </w:numPr>
      </w:pPr>
      <w:r w:rsidRPr="000D127B">
        <w:t>Between 17 and 24 September 2015, the liquidators commenced 73 actions by originating process supported by affidavits of one of the liquidators, Mr Bryant, in the Victorian, South Australian, New South Wales and Western Australian Registries of this Court</w:t>
      </w:r>
      <w:r w:rsidR="002D25B4">
        <w:t xml:space="preserve">.  </w:t>
      </w:r>
      <w:r w:rsidRPr="000D127B">
        <w:t xml:space="preserve">In each proceeding the liquidators seek declarations that payments made by </w:t>
      </w:r>
      <w:proofErr w:type="spellStart"/>
      <w:r w:rsidRPr="000D127B">
        <w:t>Gunns</w:t>
      </w:r>
      <w:proofErr w:type="spellEnd"/>
      <w:r w:rsidRPr="000D127B">
        <w:t xml:space="preserve"> or alternatively </w:t>
      </w:r>
      <w:proofErr w:type="spellStart"/>
      <w:r w:rsidRPr="000D127B">
        <w:t>Gunns</w:t>
      </w:r>
      <w:proofErr w:type="spellEnd"/>
      <w:r w:rsidRPr="000D127B">
        <w:t xml:space="preserve"> on behalf of, relevantly, </w:t>
      </w:r>
      <w:proofErr w:type="spellStart"/>
      <w:r w:rsidRPr="000D127B">
        <w:t>Auspine</w:t>
      </w:r>
      <w:proofErr w:type="spellEnd"/>
      <w:r w:rsidRPr="000D127B">
        <w:t xml:space="preserve"> or </w:t>
      </w:r>
      <w:proofErr w:type="spellStart"/>
      <w:r w:rsidRPr="000D127B">
        <w:t>Gunns</w:t>
      </w:r>
      <w:proofErr w:type="spellEnd"/>
      <w:r w:rsidRPr="000D127B">
        <w:t xml:space="preserve"> Forest Products Pty Ltd (in liq) (“</w:t>
      </w:r>
      <w:r w:rsidRPr="000D127B">
        <w:rPr>
          <w:b/>
        </w:rPr>
        <w:t>GFP</w:t>
      </w:r>
      <w:r w:rsidRPr="000D127B">
        <w:t xml:space="preserve">”) during the period between 3 July 2012 and 25 September 2012 (the relation back day) were unfair preferences pursuant to s 588FA, insolvent transactions pursuant to s 588FC and/or voidable transactions pursuant to s 588FE of the Act.  </w:t>
      </w:r>
    </w:p>
    <w:p w:rsidR="007A2C51" w:rsidRPr="000D127B" w:rsidRDefault="007A2C51" w:rsidP="00017B82">
      <w:pPr>
        <w:pStyle w:val="ParaNumbering"/>
        <w:numPr>
          <w:ilvl w:val="0"/>
          <w:numId w:val="30"/>
        </w:numPr>
      </w:pPr>
      <w:r w:rsidRPr="000D127B">
        <w:t xml:space="preserve">In the original statements of claim, it was </w:t>
      </w:r>
      <w:proofErr w:type="spellStart"/>
      <w:r w:rsidRPr="000D127B">
        <w:t>pleaded</w:t>
      </w:r>
      <w:proofErr w:type="spellEnd"/>
      <w:r w:rsidRPr="000D127B">
        <w:t xml:space="preserve"> that the payments in issue were made at a time that </w:t>
      </w:r>
      <w:proofErr w:type="spellStart"/>
      <w:r w:rsidRPr="000D127B">
        <w:t>Gunns</w:t>
      </w:r>
      <w:proofErr w:type="spellEnd"/>
      <w:r w:rsidRPr="000D127B">
        <w:t xml:space="preserve"> </w:t>
      </w:r>
      <w:r w:rsidR="006F331B">
        <w:t>(</w:t>
      </w:r>
      <w:r w:rsidRPr="000D127B">
        <w:t>or, relevantly</w:t>
      </w:r>
      <w:r w:rsidR="00D00E19" w:rsidRPr="000D127B">
        <w:t>,</w:t>
      </w:r>
      <w:r w:rsidRPr="000D127B">
        <w:t xml:space="preserve"> </w:t>
      </w:r>
      <w:proofErr w:type="spellStart"/>
      <w:r w:rsidRPr="000D127B">
        <w:t>Auspine</w:t>
      </w:r>
      <w:proofErr w:type="spellEnd"/>
      <w:r w:rsidRPr="000D127B">
        <w:t>, or GFP</w:t>
      </w:r>
      <w:r w:rsidR="006F331B">
        <w:t>)</w:t>
      </w:r>
      <w:r w:rsidRPr="000D127B">
        <w:t xml:space="preserve"> was insolvent.  It was particularised that “the following matters … indicate that </w:t>
      </w:r>
      <w:proofErr w:type="spellStart"/>
      <w:r w:rsidRPr="000D127B">
        <w:t>Gunns</w:t>
      </w:r>
      <w:proofErr w:type="spellEnd"/>
      <w:r w:rsidRPr="000D127B">
        <w:t xml:space="preserve"> was insolvent from at least 3 July 2012 and possibly earlier”.  The “following matters” set out in the sub-paragraphs contained factual circumstances and events spanning from January 2012 through to 25 September 2012.</w:t>
      </w:r>
    </w:p>
    <w:p w:rsidR="007A2C51" w:rsidRPr="000D127B" w:rsidRDefault="007A2C51" w:rsidP="00017B82">
      <w:pPr>
        <w:pStyle w:val="ParaNumbering"/>
        <w:numPr>
          <w:ilvl w:val="0"/>
          <w:numId w:val="30"/>
        </w:numPr>
      </w:pPr>
      <w:r w:rsidRPr="000D127B">
        <w:t xml:space="preserve">On 16 February 2016 the plaintiffs served on the defendants the solvency report of Mr Georges of 12 February 2016.  In that report, Mr Georges expressed his opinion that </w:t>
      </w:r>
      <w:proofErr w:type="spellStart"/>
      <w:r w:rsidRPr="000D127B">
        <w:t>Gunns</w:t>
      </w:r>
      <w:proofErr w:type="spellEnd"/>
      <w:r w:rsidRPr="000D127B">
        <w:t xml:space="preserve"> an</w:t>
      </w:r>
      <w:r w:rsidR="002769C8">
        <w:t xml:space="preserve">d the other companies in </w:t>
      </w:r>
      <w:proofErr w:type="spellStart"/>
      <w:r w:rsidR="002769C8">
        <w:t>Gunns</w:t>
      </w:r>
      <w:proofErr w:type="spellEnd"/>
      <w:r w:rsidR="002769C8">
        <w:t xml:space="preserve"> G</w:t>
      </w:r>
      <w:r w:rsidRPr="000D127B">
        <w:t xml:space="preserve">roup, which included </w:t>
      </w:r>
      <w:proofErr w:type="spellStart"/>
      <w:r w:rsidRPr="000D127B">
        <w:t>Auspine</w:t>
      </w:r>
      <w:proofErr w:type="spellEnd"/>
      <w:r w:rsidRPr="000D127B">
        <w:t xml:space="preserve"> and GFP, were insolvent as from 30 March 2012.  The plaintiffs gave notice to each of the relevant defendants that they proposed to seek leave under r 8.21 of the </w:t>
      </w:r>
      <w:r w:rsidR="007B669B" w:rsidRPr="000D127B">
        <w:rPr>
          <w:rFonts w:ascii="TimesNewRoman" w:hAnsi="TimesNewRoman" w:cs="TimesNewRoman"/>
          <w:i/>
          <w:szCs w:val="24"/>
          <w:lang w:eastAsia="en-AU"/>
        </w:rPr>
        <w:t>Federal Court Rules</w:t>
      </w:r>
      <w:r w:rsidR="007B669B" w:rsidRPr="000D127B">
        <w:rPr>
          <w:rFonts w:ascii="TimesNewRoman" w:hAnsi="TimesNewRoman" w:cs="TimesNewRoman"/>
          <w:szCs w:val="24"/>
          <w:lang w:eastAsia="en-AU"/>
        </w:rPr>
        <w:t xml:space="preserve"> </w:t>
      </w:r>
      <w:r w:rsidRPr="000D127B">
        <w:t xml:space="preserve">to amend the statement of claim to “capture all payments made to [that defendant] between 30 March 2012 and 25 September 2012”.  </w:t>
      </w:r>
    </w:p>
    <w:p w:rsidR="007A2C51" w:rsidRPr="000D127B" w:rsidRDefault="007A2C51" w:rsidP="00017B82">
      <w:pPr>
        <w:pStyle w:val="ParaNumbering"/>
        <w:numPr>
          <w:ilvl w:val="0"/>
          <w:numId w:val="30"/>
        </w:numPr>
        <w:rPr>
          <w:lang w:eastAsia="en-AU"/>
        </w:rPr>
      </w:pPr>
      <w:r w:rsidRPr="000D127B">
        <w:rPr>
          <w:lang w:eastAsia="en-AU"/>
        </w:rPr>
        <w:t xml:space="preserve">On 6 May 2016 the Court made an order in each of the relevant proceedings granting the plaintiffs conditional leave to file and serve an amended originating process and statement of </w:t>
      </w:r>
      <w:r w:rsidRPr="000D127B">
        <w:rPr>
          <w:lang w:eastAsia="en-AU"/>
        </w:rPr>
        <w:lastRenderedPageBreak/>
        <w:t>claim on or before 13 May 2016 but without prejudice to the right of the defendant to argue that leave ought not to have been granted.  Amended originating processes and statements of claim were filed in accordance with the order and e</w:t>
      </w:r>
      <w:r w:rsidRPr="000D127B">
        <w:rPr>
          <w:rFonts w:ascii="TimesNewRoman" w:hAnsi="TimesNewRoman" w:cs="TimesNewRoman"/>
          <w:szCs w:val="24"/>
          <w:lang w:eastAsia="en-AU"/>
        </w:rPr>
        <w:t>ach amended statement of claim now pleads payments in the expanded period from 30 March 2012 to 25 September 2012 (“</w:t>
      </w:r>
      <w:r w:rsidRPr="000D127B">
        <w:rPr>
          <w:rFonts w:ascii="TimesNewRoman" w:hAnsi="TimesNewRoman" w:cs="TimesNewRoman"/>
          <w:b/>
          <w:szCs w:val="24"/>
          <w:lang w:eastAsia="en-AU"/>
        </w:rPr>
        <w:t>the additional claims</w:t>
      </w:r>
      <w:r w:rsidRPr="000D127B">
        <w:rPr>
          <w:rFonts w:ascii="TimesNewRoman" w:hAnsi="TimesNewRoman" w:cs="TimesNewRoman"/>
          <w:szCs w:val="24"/>
          <w:lang w:eastAsia="en-AU"/>
        </w:rPr>
        <w:t xml:space="preserve">”) which are alleged to have been unfair preferences made at a time when </w:t>
      </w:r>
      <w:proofErr w:type="spellStart"/>
      <w:r w:rsidRPr="000D127B">
        <w:rPr>
          <w:rFonts w:ascii="TimesNewRoman" w:hAnsi="TimesNewRoman" w:cs="TimesNewRoman"/>
          <w:szCs w:val="24"/>
          <w:lang w:eastAsia="en-AU"/>
        </w:rPr>
        <w:t>Gunns</w:t>
      </w:r>
      <w:proofErr w:type="spellEnd"/>
      <w:r w:rsidRPr="000D127B">
        <w:rPr>
          <w:rFonts w:ascii="TimesNewRoman" w:hAnsi="TimesNewRoman" w:cs="TimesNewRoman"/>
          <w:szCs w:val="24"/>
          <w:lang w:eastAsia="en-AU"/>
        </w:rPr>
        <w:t xml:space="preserve"> (or </w:t>
      </w:r>
      <w:r w:rsidRPr="000D127B">
        <w:t xml:space="preserve">relevantly </w:t>
      </w:r>
      <w:proofErr w:type="spellStart"/>
      <w:r w:rsidRPr="000D127B">
        <w:t>Auspine</w:t>
      </w:r>
      <w:proofErr w:type="spellEnd"/>
      <w:r w:rsidRPr="000D127B">
        <w:t xml:space="preserve"> or GFP)</w:t>
      </w:r>
      <w:r w:rsidRPr="000D127B">
        <w:rPr>
          <w:rFonts w:ascii="TimesNewRoman" w:hAnsi="TimesNewRoman" w:cs="TimesNewRoman"/>
          <w:szCs w:val="24"/>
          <w:lang w:eastAsia="en-AU"/>
        </w:rPr>
        <w:t xml:space="preserve"> was insolvent.  The particulars of insolvency allege that “the following matters … indicate that Gunn was insolvent from at least 30 March 2012 and possibly earlier”.  The “following matters” include f</w:t>
      </w:r>
      <w:r w:rsidRPr="000D127B">
        <w:rPr>
          <w:lang w:eastAsia="en-AU"/>
        </w:rPr>
        <w:t xml:space="preserve">urther facts and circumstances in the period January through to September </w:t>
      </w:r>
      <w:r w:rsidRPr="000D127B">
        <w:rPr>
          <w:rFonts w:ascii="TimesNewRoman" w:hAnsi="TimesNewRoman" w:cs="TimesNewRoman"/>
          <w:szCs w:val="24"/>
          <w:lang w:eastAsia="en-AU"/>
        </w:rPr>
        <w:t xml:space="preserve">2012 and reliance upon the expert report of Mr Georges of 12 February 2016 is also expressly pleaded.  </w:t>
      </w:r>
    </w:p>
    <w:p w:rsidR="007A2C51" w:rsidRPr="000D127B" w:rsidRDefault="007A2C51" w:rsidP="00017B82">
      <w:pPr>
        <w:pStyle w:val="ParaNumbering"/>
        <w:numPr>
          <w:ilvl w:val="0"/>
          <w:numId w:val="30"/>
        </w:numPr>
      </w:pPr>
      <w:r w:rsidRPr="000D127B">
        <w:t>The defendant in SAD 334 of 2015 (“</w:t>
      </w:r>
      <w:r w:rsidRPr="000D127B">
        <w:rPr>
          <w:b/>
        </w:rPr>
        <w:t>the SA defendant</w:t>
      </w:r>
      <w:r w:rsidR="006D1AF1" w:rsidRPr="000D127B">
        <w:t>”</w:t>
      </w:r>
      <w:r w:rsidRPr="000D127B">
        <w:t>) has filed an amended defence, pleading to the new claims against it as follows:</w:t>
      </w:r>
    </w:p>
    <w:p w:rsidR="007A2C51" w:rsidRPr="000D127B" w:rsidRDefault="007A2C51" w:rsidP="007A2C51">
      <w:pPr>
        <w:pStyle w:val="Quote1"/>
        <w:ind w:left="720"/>
        <w:rPr>
          <w:lang w:eastAsia="en-AU"/>
        </w:rPr>
      </w:pPr>
      <w:r w:rsidRPr="000D127B">
        <w:rPr>
          <w:lang w:eastAsia="en-AU"/>
        </w:rPr>
        <w:t>Further, the Defendant says that in respect of the payments numbered 1 to 11 both inclusive in paragraph 8 the Plaintiff’s action is time barred under section 588FF (3) of the Act and the claims relating to those payments do not arise out of the same facts or substantially the same facts as the claims pleaded in respect of the payments numbered 12 to 17 in paragraph 8 of the Amended Statement of Claim.</w:t>
      </w:r>
    </w:p>
    <w:p w:rsidR="007A2C51" w:rsidRPr="000D127B" w:rsidRDefault="007A2C51" w:rsidP="00017B82">
      <w:pPr>
        <w:pStyle w:val="ParaNumbering"/>
        <w:numPr>
          <w:ilvl w:val="0"/>
          <w:numId w:val="30"/>
        </w:numPr>
        <w:rPr>
          <w:rFonts w:ascii="TimesNewRoman" w:hAnsi="TimesNewRoman" w:cs="TimesNewRoman"/>
          <w:sz w:val="21"/>
          <w:szCs w:val="21"/>
          <w:lang w:eastAsia="en-AU"/>
        </w:rPr>
      </w:pPr>
      <w:r w:rsidRPr="000D127B">
        <w:t>Each of the defendants in WAD 553 of 2015, 540 of 2015 and 550 of 2015 (“</w:t>
      </w:r>
      <w:r w:rsidRPr="000D127B">
        <w:rPr>
          <w:b/>
        </w:rPr>
        <w:t>the WA defendants</w:t>
      </w:r>
      <w:r w:rsidRPr="000D127B">
        <w:t>”) have filed amended defences, pleading to the additional claims against them as follows:</w:t>
      </w:r>
      <w:r w:rsidR="00CB5E79" w:rsidRPr="000D127B">
        <w:rPr>
          <w:rFonts w:ascii="TimesNewRoman" w:hAnsi="TimesNewRoman" w:cs="TimesNewRoman"/>
          <w:szCs w:val="24"/>
          <w:lang w:eastAsia="en-AU"/>
        </w:rPr>
        <w:t xml:space="preserve"> </w:t>
      </w:r>
      <w:r w:rsidR="00E77AB6" w:rsidRPr="000D127B">
        <w:rPr>
          <w:rFonts w:ascii="TimesNewRoman" w:hAnsi="TimesNewRoman" w:cs="TimesNewRoman"/>
          <w:szCs w:val="24"/>
          <w:lang w:eastAsia="en-AU"/>
        </w:rPr>
        <w:t xml:space="preserve"> </w:t>
      </w:r>
    </w:p>
    <w:p w:rsidR="007A2C51" w:rsidRPr="000D127B" w:rsidRDefault="007A2C51" w:rsidP="007A2C51">
      <w:pPr>
        <w:pStyle w:val="Quote2"/>
        <w:ind w:left="720"/>
        <w:rPr>
          <w:lang w:eastAsia="en-AU"/>
        </w:rPr>
      </w:pPr>
      <w:r w:rsidRPr="000D127B">
        <w:rPr>
          <w:lang w:eastAsia="en-AU"/>
        </w:rPr>
        <w:t xml:space="preserve">Section 588FF(3) of the </w:t>
      </w:r>
      <w:r w:rsidRPr="000D127B">
        <w:rPr>
          <w:rFonts w:ascii="TimesNewRoman,Italic" w:hAnsi="TimesNewRoman,Italic" w:cs="TimesNewRoman,Italic"/>
          <w:i/>
          <w:iCs/>
          <w:lang w:eastAsia="en-AU"/>
        </w:rPr>
        <w:t xml:space="preserve">Corporations Act 2001(Cth) </w:t>
      </w:r>
      <w:r w:rsidRPr="000D127B">
        <w:rPr>
          <w:lang w:eastAsia="en-AU"/>
        </w:rPr>
        <w:t>(“the Act”) bars the Plaintiffs from making an application under s.588FF(1) of the Act with respect to the Additional Payments.</w:t>
      </w:r>
    </w:p>
    <w:p w:rsidR="007A2C51" w:rsidRPr="000D127B" w:rsidRDefault="007A2C51" w:rsidP="007A2C51">
      <w:pPr>
        <w:pStyle w:val="Quote2"/>
        <w:ind w:left="2160" w:firstLine="720"/>
        <w:rPr>
          <w:b/>
          <w:lang w:eastAsia="en-AU"/>
        </w:rPr>
      </w:pPr>
      <w:r w:rsidRPr="000D127B">
        <w:rPr>
          <w:b/>
          <w:lang w:eastAsia="en-AU"/>
        </w:rPr>
        <w:t>Particulars</w:t>
      </w:r>
    </w:p>
    <w:p w:rsidR="007A2C51" w:rsidRPr="000D127B" w:rsidRDefault="007A2C51" w:rsidP="00017B82">
      <w:pPr>
        <w:pStyle w:val="Quote3"/>
        <w:numPr>
          <w:ilvl w:val="0"/>
          <w:numId w:val="24"/>
        </w:numPr>
        <w:ind w:left="1843" w:hanging="567"/>
        <w:rPr>
          <w:rFonts w:ascii="TimesNewRoman" w:hAnsi="TimesNewRoman" w:cs="TimesNewRoman"/>
          <w:sz w:val="21"/>
          <w:szCs w:val="21"/>
          <w:lang w:eastAsia="en-AU"/>
        </w:rPr>
      </w:pPr>
      <w:r w:rsidRPr="000D127B">
        <w:rPr>
          <w:lang w:eastAsia="en-AU"/>
        </w:rPr>
        <w:t>The Relation Back Day for the purposes</w:t>
      </w:r>
      <w:r w:rsidR="002769C8">
        <w:rPr>
          <w:lang w:eastAsia="en-AU"/>
        </w:rPr>
        <w:t xml:space="preserve"> of s.588FF(3) of the Act is 25 </w:t>
      </w:r>
      <w:r w:rsidRPr="000D127B">
        <w:rPr>
          <w:rFonts w:ascii="TimesNewRoman" w:hAnsi="TimesNewRoman" w:cs="TimesNewRoman"/>
          <w:sz w:val="21"/>
          <w:szCs w:val="21"/>
          <w:lang w:eastAsia="en-AU"/>
        </w:rPr>
        <w:t>September 2012 (“the Relation Back Day”);</w:t>
      </w:r>
    </w:p>
    <w:p w:rsidR="007A2C51" w:rsidRPr="000D127B" w:rsidRDefault="007A2C51" w:rsidP="00017B82">
      <w:pPr>
        <w:pStyle w:val="Quote3"/>
        <w:numPr>
          <w:ilvl w:val="0"/>
          <w:numId w:val="24"/>
        </w:numPr>
        <w:ind w:left="1843" w:hanging="567"/>
        <w:rPr>
          <w:rFonts w:ascii="TimesNewRoman" w:hAnsi="TimesNewRoman" w:cs="TimesNewRoman"/>
          <w:sz w:val="21"/>
          <w:szCs w:val="21"/>
          <w:lang w:eastAsia="en-AU"/>
        </w:rPr>
      </w:pPr>
      <w:r w:rsidRPr="000D127B">
        <w:rPr>
          <w:rFonts w:ascii="TimesNewRoman" w:hAnsi="TimesNewRoman" w:cs="TimesNewRoman"/>
          <w:sz w:val="21"/>
          <w:szCs w:val="21"/>
          <w:lang w:eastAsia="en-AU"/>
        </w:rPr>
        <w:t>The Plaintiffs’ claim for the Additional Pa</w:t>
      </w:r>
      <w:r w:rsidR="002769C8">
        <w:rPr>
          <w:rFonts w:ascii="TimesNewRoman" w:hAnsi="TimesNewRoman" w:cs="TimesNewRoman"/>
          <w:sz w:val="21"/>
          <w:szCs w:val="21"/>
          <w:lang w:eastAsia="en-AU"/>
        </w:rPr>
        <w:t>yments was first made on 12 May </w:t>
      </w:r>
      <w:r w:rsidRPr="000D127B">
        <w:rPr>
          <w:rFonts w:ascii="TimesNewRoman" w:hAnsi="TimesNewRoman" w:cs="TimesNewRoman"/>
          <w:sz w:val="21"/>
          <w:szCs w:val="21"/>
          <w:lang w:eastAsia="en-AU"/>
        </w:rPr>
        <w:t>2016 being more than 3 years after the Relation Back Day;</w:t>
      </w:r>
    </w:p>
    <w:p w:rsidR="007A2C51" w:rsidRPr="000D127B" w:rsidRDefault="007A2C51" w:rsidP="007A2C51">
      <w:pPr>
        <w:pStyle w:val="Quote3"/>
        <w:ind w:left="1843" w:hanging="567"/>
        <w:rPr>
          <w:rFonts w:ascii="TimesNewRoman" w:hAnsi="TimesNewRoman" w:cs="TimesNewRoman"/>
          <w:sz w:val="21"/>
          <w:szCs w:val="21"/>
          <w:lang w:eastAsia="en-AU"/>
        </w:rPr>
      </w:pPr>
      <w:r w:rsidRPr="000D127B">
        <w:rPr>
          <w:rFonts w:ascii="TimesNewRoman" w:hAnsi="TimesNewRoman" w:cs="TimesNewRoman"/>
          <w:sz w:val="21"/>
          <w:szCs w:val="21"/>
          <w:lang w:eastAsia="en-AU"/>
        </w:rPr>
        <w:t xml:space="preserve">(c) </w:t>
      </w:r>
      <w:r w:rsidRPr="000D127B">
        <w:rPr>
          <w:rFonts w:ascii="TimesNewRoman" w:hAnsi="TimesNewRoman" w:cs="TimesNewRoman"/>
          <w:sz w:val="21"/>
          <w:szCs w:val="21"/>
          <w:lang w:eastAsia="en-AU"/>
        </w:rPr>
        <w:tab/>
        <w:t>The Plaintiffs’ claim for the Additional Payments is a new claim for relief and it does not arise out of the same facts or substantially the same facts as those pleaded in their Originating Process dated 23 September 2015 and Statement of</w:t>
      </w:r>
      <w:r w:rsidRPr="000D127B">
        <w:rPr>
          <w:lang w:eastAsia="en-AU"/>
        </w:rPr>
        <w:t xml:space="preserve"> </w:t>
      </w:r>
      <w:r w:rsidRPr="000D127B">
        <w:rPr>
          <w:rFonts w:ascii="TimesNewRoman" w:hAnsi="TimesNewRoman" w:cs="TimesNewRoman"/>
          <w:sz w:val="21"/>
          <w:szCs w:val="21"/>
          <w:lang w:eastAsia="en-AU"/>
        </w:rPr>
        <w:t>Claim dated 19 November 2015.</w:t>
      </w:r>
    </w:p>
    <w:p w:rsidR="007A2C51" w:rsidRPr="000D127B" w:rsidRDefault="007A2C51" w:rsidP="007A2C51">
      <w:pPr>
        <w:pStyle w:val="Quote3"/>
        <w:ind w:firstLine="720"/>
        <w:rPr>
          <w:rFonts w:ascii="TimesNewRoman,Bold" w:hAnsi="TimesNewRoman,Bold" w:cs="TimesNewRoman,Bold"/>
          <w:b/>
          <w:bCs/>
          <w:sz w:val="21"/>
          <w:szCs w:val="21"/>
          <w:lang w:eastAsia="en-AU"/>
        </w:rPr>
      </w:pPr>
      <w:r w:rsidRPr="000D127B">
        <w:rPr>
          <w:rFonts w:ascii="TimesNewRoman,Bold" w:hAnsi="TimesNewRoman,Bold" w:cs="TimesNewRoman,Bold"/>
          <w:b/>
          <w:bCs/>
          <w:sz w:val="21"/>
          <w:szCs w:val="21"/>
          <w:lang w:eastAsia="en-AU"/>
        </w:rPr>
        <w:t>Particulars of Different Facts</w:t>
      </w:r>
    </w:p>
    <w:p w:rsidR="007A2C51" w:rsidRPr="000D127B" w:rsidRDefault="007A2C51" w:rsidP="007A2C51">
      <w:pPr>
        <w:pStyle w:val="Quote3"/>
        <w:ind w:left="2880" w:hanging="720"/>
        <w:rPr>
          <w:lang w:eastAsia="en-AU"/>
        </w:rPr>
      </w:pPr>
      <w:r w:rsidRPr="000D127B">
        <w:rPr>
          <w:lang w:eastAsia="en-AU"/>
        </w:rPr>
        <w:t>(</w:t>
      </w:r>
      <w:proofErr w:type="spellStart"/>
      <w:r w:rsidRPr="000D127B">
        <w:rPr>
          <w:lang w:eastAsia="en-AU"/>
        </w:rPr>
        <w:t>i</w:t>
      </w:r>
      <w:proofErr w:type="spellEnd"/>
      <w:r w:rsidRPr="000D127B">
        <w:rPr>
          <w:lang w:eastAsia="en-AU"/>
        </w:rPr>
        <w:t xml:space="preserve">) </w:t>
      </w:r>
      <w:r w:rsidRPr="000D127B">
        <w:rPr>
          <w:lang w:eastAsia="en-AU"/>
        </w:rPr>
        <w:tab/>
        <w:t>The date of insolvency be</w:t>
      </w:r>
      <w:r w:rsidR="002769C8">
        <w:rPr>
          <w:lang w:eastAsia="en-AU"/>
        </w:rPr>
        <w:t>ing 30 March 2012 rather than 3 </w:t>
      </w:r>
      <w:r w:rsidRPr="000D127B">
        <w:rPr>
          <w:lang w:eastAsia="en-AU"/>
        </w:rPr>
        <w:t xml:space="preserve">July </w:t>
      </w:r>
      <w:r w:rsidRPr="000D127B">
        <w:rPr>
          <w:rFonts w:ascii="TimesNewRoman" w:hAnsi="TimesNewRoman" w:cs="TimesNewRoman"/>
          <w:sz w:val="21"/>
          <w:szCs w:val="21"/>
          <w:lang w:eastAsia="en-AU"/>
        </w:rPr>
        <w:t>2012; and</w:t>
      </w:r>
    </w:p>
    <w:p w:rsidR="007A2C51" w:rsidRPr="000D127B" w:rsidRDefault="007A2C51" w:rsidP="007A2C51">
      <w:pPr>
        <w:pStyle w:val="Quote3"/>
        <w:rPr>
          <w:lang w:eastAsia="en-AU"/>
        </w:rPr>
      </w:pPr>
      <w:r w:rsidRPr="000D127B">
        <w:rPr>
          <w:rFonts w:ascii="TimesNewRoman" w:hAnsi="TimesNewRoman" w:cs="TimesNewRoman"/>
          <w:sz w:val="21"/>
          <w:szCs w:val="21"/>
          <w:lang w:eastAsia="en-AU"/>
        </w:rPr>
        <w:t xml:space="preserve">(ii) </w:t>
      </w:r>
      <w:r w:rsidRPr="000D127B">
        <w:rPr>
          <w:rFonts w:ascii="TimesNewRoman" w:hAnsi="TimesNewRoman" w:cs="TimesNewRoman"/>
          <w:sz w:val="21"/>
          <w:szCs w:val="21"/>
          <w:lang w:eastAsia="en-AU"/>
        </w:rPr>
        <w:tab/>
        <w:t>The fact of the Additional Payments having been made.</w:t>
      </w:r>
    </w:p>
    <w:p w:rsidR="007A2C51" w:rsidRPr="000D127B" w:rsidRDefault="007A2C51" w:rsidP="007A2C51">
      <w:pPr>
        <w:pStyle w:val="Heading2"/>
        <w:rPr>
          <w:lang w:eastAsia="en-AU"/>
        </w:rPr>
      </w:pPr>
      <w:r w:rsidRPr="000D127B">
        <w:rPr>
          <w:lang w:eastAsia="en-AU"/>
        </w:rPr>
        <w:lastRenderedPageBreak/>
        <w:t xml:space="preserve">Question 1: </w:t>
      </w:r>
      <w:r w:rsidRPr="000D127B">
        <w:t>Whether any (and if so which) of the claims that were added by the plaintiffs pursuant to the grant of leave are statute barred by reason of s </w:t>
      </w:r>
      <w:proofErr w:type="gramStart"/>
      <w:r w:rsidRPr="000D127B">
        <w:t>588FF(</w:t>
      </w:r>
      <w:proofErr w:type="gramEnd"/>
      <w:r w:rsidRPr="000D127B">
        <w:t>3) of the Corporations Act 2001 (Cth)</w:t>
      </w:r>
    </w:p>
    <w:p w:rsidR="007A2C51" w:rsidRPr="000D127B" w:rsidRDefault="00100173" w:rsidP="00017B82">
      <w:pPr>
        <w:pStyle w:val="ParaNumbering"/>
        <w:numPr>
          <w:ilvl w:val="0"/>
          <w:numId w:val="30"/>
        </w:numPr>
        <w:rPr>
          <w:szCs w:val="24"/>
          <w:lang w:eastAsia="en-AU"/>
        </w:rPr>
      </w:pPr>
      <w:r w:rsidRPr="000D127B">
        <w:rPr>
          <w:lang w:eastAsia="en-AU"/>
        </w:rPr>
        <w:t>It was common ground that the</w:t>
      </w:r>
      <w:r w:rsidR="001E6B3B">
        <w:rPr>
          <w:lang w:eastAsia="en-AU"/>
        </w:rPr>
        <w:t xml:space="preserve"> </w:t>
      </w:r>
      <w:r w:rsidRPr="000D127B">
        <w:rPr>
          <w:lang w:eastAsia="en-AU"/>
        </w:rPr>
        <w:t xml:space="preserve">additional claims </w:t>
      </w:r>
      <w:r w:rsidR="001E6B3B">
        <w:rPr>
          <w:lang w:eastAsia="en-AU"/>
        </w:rPr>
        <w:t xml:space="preserve">for relief referable to the expanded </w:t>
      </w:r>
      <w:r w:rsidRPr="000D127B">
        <w:rPr>
          <w:lang w:eastAsia="en-AU"/>
        </w:rPr>
        <w:t xml:space="preserve">period between 30 March 2012 and 2 July 2012 </w:t>
      </w:r>
      <w:r w:rsidR="001E6B3B">
        <w:rPr>
          <w:lang w:eastAsia="en-AU"/>
        </w:rPr>
        <w:t>were</w:t>
      </w:r>
      <w:r w:rsidRPr="000D127B">
        <w:rPr>
          <w:lang w:eastAsia="en-AU"/>
        </w:rPr>
        <w:t xml:space="preserve"> not made within the time limi</w:t>
      </w:r>
      <w:r w:rsidR="00E60B55" w:rsidRPr="000D127B">
        <w:rPr>
          <w:lang w:eastAsia="en-AU"/>
        </w:rPr>
        <w:t>ts prescribed by s 588FF(3)(a)</w:t>
      </w:r>
      <w:r w:rsidR="002D25B4">
        <w:rPr>
          <w:lang w:eastAsia="en-AU"/>
        </w:rPr>
        <w:t xml:space="preserve">.  </w:t>
      </w:r>
      <w:r w:rsidR="007A2C51" w:rsidRPr="000D127B">
        <w:rPr>
          <w:lang w:eastAsia="en-AU"/>
        </w:rPr>
        <w:t xml:space="preserve">The plaintiffs argued in reliance on </w:t>
      </w:r>
      <w:r w:rsidR="007A2C51" w:rsidRPr="000D127B">
        <w:rPr>
          <w:i/>
          <w:lang w:eastAsia="en-AU"/>
        </w:rPr>
        <w:t xml:space="preserve">Rodgers v Commissioner of Taxation </w:t>
      </w:r>
      <w:r w:rsidR="007A2C51" w:rsidRPr="000D127B">
        <w:rPr>
          <w:lang w:eastAsia="en-AU"/>
        </w:rPr>
        <w:t>(1998) 88 FCR 61 (“</w:t>
      </w:r>
      <w:r w:rsidR="007A2C51" w:rsidRPr="000D127B">
        <w:rPr>
          <w:b/>
          <w:i/>
          <w:lang w:eastAsia="en-AU"/>
        </w:rPr>
        <w:t>Rodgers</w:t>
      </w:r>
      <w:r w:rsidR="007A2C51" w:rsidRPr="000D127B">
        <w:rPr>
          <w:lang w:eastAsia="en-AU"/>
        </w:rPr>
        <w:t>”) that the Court was empowered by r 8.21(1</w:t>
      </w:r>
      <w:proofErr w:type="gramStart"/>
      <w:r w:rsidR="007A2C51" w:rsidRPr="000D127B">
        <w:rPr>
          <w:lang w:eastAsia="en-AU"/>
        </w:rPr>
        <w:t>)(</w:t>
      </w:r>
      <w:proofErr w:type="gramEnd"/>
      <w:r w:rsidR="007A2C51" w:rsidRPr="000D127B">
        <w:rPr>
          <w:lang w:eastAsia="en-AU"/>
        </w:rPr>
        <w:t xml:space="preserve">g) of the </w:t>
      </w:r>
      <w:r w:rsidR="007A2C51" w:rsidRPr="000D127B">
        <w:rPr>
          <w:i/>
          <w:lang w:eastAsia="en-AU"/>
        </w:rPr>
        <w:t>Federal Court Rules</w:t>
      </w:r>
      <w:r w:rsidR="007A2C51" w:rsidRPr="000D127B">
        <w:rPr>
          <w:lang w:eastAsia="en-AU"/>
        </w:rPr>
        <w:t xml:space="preserve"> to grant leave to the plaintiffs to amend the pleadings</w:t>
      </w:r>
      <w:r w:rsidRPr="000D127B">
        <w:rPr>
          <w:lang w:eastAsia="en-AU"/>
        </w:rPr>
        <w:t>,</w:t>
      </w:r>
      <w:r w:rsidR="007A2C51" w:rsidRPr="000D127B">
        <w:rPr>
          <w:lang w:eastAsia="en-AU"/>
        </w:rPr>
        <w:t xml:space="preserve"> notwithstanding the limitation period in s 588FF(3)(a) to add the new claims which, it was contended, arose “from the same or substantially the same facts” as those already pleaded.  In </w:t>
      </w:r>
      <w:r w:rsidR="007A2C51" w:rsidRPr="000D127B">
        <w:rPr>
          <w:i/>
          <w:lang w:eastAsia="en-AU"/>
        </w:rPr>
        <w:t>Rodgers</w:t>
      </w:r>
      <w:r w:rsidR="007A2C51" w:rsidRPr="000D127B">
        <w:rPr>
          <w:lang w:eastAsia="en-AU"/>
        </w:rPr>
        <w:t xml:space="preserve"> the Full Federal Court held that O 13 r 2 of the </w:t>
      </w:r>
      <w:r w:rsidR="007B669B" w:rsidRPr="000D127B">
        <w:rPr>
          <w:rFonts w:ascii="TimesNewRoman" w:hAnsi="TimesNewRoman" w:cs="TimesNewRoman"/>
          <w:i/>
          <w:szCs w:val="24"/>
          <w:lang w:eastAsia="en-AU"/>
        </w:rPr>
        <w:t>Federal Court Rules</w:t>
      </w:r>
      <w:r w:rsidR="00AD668D">
        <w:rPr>
          <w:lang w:eastAsia="en-AU"/>
        </w:rPr>
        <w:t>, the predecessor rule to r </w:t>
      </w:r>
      <w:r w:rsidR="007A2C51" w:rsidRPr="000D127B">
        <w:rPr>
          <w:lang w:eastAsia="en-AU"/>
        </w:rPr>
        <w:t>8.21, enabled the Court to allow an amendment to add additional claims for rel</w:t>
      </w:r>
      <w:r w:rsidR="00AD668D">
        <w:rPr>
          <w:lang w:eastAsia="en-AU"/>
        </w:rPr>
        <w:t>ief under s </w:t>
      </w:r>
      <w:r w:rsidR="007A2C51" w:rsidRPr="000D127B">
        <w:rPr>
          <w:lang w:eastAsia="en-AU"/>
        </w:rPr>
        <w:t xml:space="preserve">588FF(1) notwithstanding the expiry of the limitation period prescribed by s 588FF(3).  The decision in </w:t>
      </w:r>
      <w:r w:rsidR="007A2C51" w:rsidRPr="000D127B">
        <w:rPr>
          <w:i/>
          <w:lang w:eastAsia="en-AU"/>
        </w:rPr>
        <w:t>Rodgers</w:t>
      </w:r>
      <w:r w:rsidR="007A2C51" w:rsidRPr="000D127B">
        <w:rPr>
          <w:lang w:eastAsia="en-AU"/>
        </w:rPr>
        <w:t xml:space="preserve"> has been followed and applied numerous times at first instance (</w:t>
      </w:r>
      <w:r w:rsidR="007A2C51" w:rsidRPr="000D127B">
        <w:rPr>
          <w:i/>
          <w:iCs/>
          <w:szCs w:val="24"/>
          <w:lang w:eastAsia="en-AU"/>
        </w:rPr>
        <w:t xml:space="preserve">Carter, Re Spec FS NSW Pty Ltd (in liq) </w:t>
      </w:r>
      <w:r w:rsidR="00846967" w:rsidRPr="000D127B">
        <w:rPr>
          <w:szCs w:val="24"/>
          <w:lang w:eastAsia="en-AU"/>
        </w:rPr>
        <w:t>[</w:t>
      </w:r>
      <w:r w:rsidR="007A2C51" w:rsidRPr="000D127B">
        <w:rPr>
          <w:szCs w:val="24"/>
          <w:lang w:eastAsia="en-AU"/>
        </w:rPr>
        <w:t>2013</w:t>
      </w:r>
      <w:r w:rsidR="00846967" w:rsidRPr="000D127B">
        <w:rPr>
          <w:szCs w:val="24"/>
          <w:lang w:eastAsia="en-AU"/>
        </w:rPr>
        <w:t>]</w:t>
      </w:r>
      <w:r w:rsidR="007A2C51" w:rsidRPr="000D127B">
        <w:rPr>
          <w:szCs w:val="24"/>
          <w:lang w:eastAsia="en-AU"/>
        </w:rPr>
        <w:t xml:space="preserve"> </w:t>
      </w:r>
      <w:r w:rsidR="00846967" w:rsidRPr="000D127B">
        <w:rPr>
          <w:szCs w:val="24"/>
          <w:lang w:eastAsia="en-AU"/>
        </w:rPr>
        <w:t>FCA 1027</w:t>
      </w:r>
      <w:r w:rsidR="007A2C51" w:rsidRPr="000D127B">
        <w:rPr>
          <w:szCs w:val="24"/>
          <w:lang w:eastAsia="en-AU"/>
        </w:rPr>
        <w:t xml:space="preserve">; </w:t>
      </w:r>
      <w:proofErr w:type="spellStart"/>
      <w:r w:rsidR="007A2C51" w:rsidRPr="000D127B">
        <w:rPr>
          <w:i/>
          <w:iCs/>
          <w:szCs w:val="24"/>
          <w:lang w:eastAsia="en-AU"/>
        </w:rPr>
        <w:t>Manday</w:t>
      </w:r>
      <w:proofErr w:type="spellEnd"/>
      <w:r w:rsidR="007A2C51" w:rsidRPr="000D127B">
        <w:rPr>
          <w:i/>
          <w:iCs/>
          <w:szCs w:val="24"/>
          <w:lang w:eastAsia="en-AU"/>
        </w:rPr>
        <w:t xml:space="preserve"> Investments Pty Ltd v Commonwealth Bank of Australia </w:t>
      </w:r>
      <w:r w:rsidR="007A2C51" w:rsidRPr="000D127B">
        <w:rPr>
          <w:szCs w:val="24"/>
          <w:lang w:eastAsia="en-AU"/>
        </w:rPr>
        <w:t xml:space="preserve">[2011] FCA 681; </w:t>
      </w:r>
      <w:proofErr w:type="spellStart"/>
      <w:r w:rsidR="007A2C51" w:rsidRPr="000D127B">
        <w:rPr>
          <w:i/>
          <w:iCs/>
          <w:szCs w:val="24"/>
          <w:lang w:eastAsia="en-AU"/>
        </w:rPr>
        <w:t>Tolcher</w:t>
      </w:r>
      <w:proofErr w:type="spellEnd"/>
      <w:r w:rsidR="007A2C51" w:rsidRPr="000D127B">
        <w:rPr>
          <w:i/>
          <w:iCs/>
          <w:szCs w:val="24"/>
          <w:lang w:eastAsia="en-AU"/>
        </w:rPr>
        <w:t xml:space="preserve"> v Capital Finance Australia Ltd </w:t>
      </w:r>
      <w:r w:rsidR="007A2C51" w:rsidRPr="000D127B">
        <w:rPr>
          <w:szCs w:val="24"/>
          <w:lang w:eastAsia="en-AU"/>
        </w:rPr>
        <w:t xml:space="preserve">(2005) 143 FCR 300; </w:t>
      </w:r>
      <w:r w:rsidR="007A2C51" w:rsidRPr="000D127B">
        <w:rPr>
          <w:i/>
          <w:iCs/>
          <w:szCs w:val="24"/>
          <w:lang w:eastAsia="en-AU"/>
        </w:rPr>
        <w:t xml:space="preserve">Darcy v </w:t>
      </w:r>
      <w:proofErr w:type="spellStart"/>
      <w:r w:rsidR="007A2C51" w:rsidRPr="000D127B">
        <w:rPr>
          <w:i/>
          <w:iCs/>
          <w:szCs w:val="24"/>
          <w:lang w:eastAsia="en-AU"/>
        </w:rPr>
        <w:t>Medtel</w:t>
      </w:r>
      <w:proofErr w:type="spellEnd"/>
      <w:r w:rsidR="007A2C51" w:rsidRPr="000D127B">
        <w:rPr>
          <w:i/>
          <w:iCs/>
          <w:szCs w:val="24"/>
          <w:lang w:eastAsia="en-AU"/>
        </w:rPr>
        <w:t xml:space="preserve"> Pty Ltd (No 3) </w:t>
      </w:r>
      <w:r w:rsidR="007A2C51" w:rsidRPr="000D127B">
        <w:rPr>
          <w:szCs w:val="24"/>
          <w:lang w:eastAsia="en-AU"/>
        </w:rPr>
        <w:t xml:space="preserve">[2004] FCA 807; </w:t>
      </w:r>
      <w:proofErr w:type="spellStart"/>
      <w:r w:rsidR="007A2C51" w:rsidRPr="000D127B">
        <w:rPr>
          <w:i/>
          <w:iCs/>
          <w:szCs w:val="24"/>
          <w:lang w:eastAsia="en-AU"/>
        </w:rPr>
        <w:t>Bryer</w:t>
      </w:r>
      <w:proofErr w:type="spellEnd"/>
      <w:r w:rsidR="007A2C51" w:rsidRPr="000D127B">
        <w:rPr>
          <w:i/>
          <w:iCs/>
          <w:szCs w:val="24"/>
          <w:lang w:eastAsia="en-AU"/>
        </w:rPr>
        <w:t xml:space="preserve"> Merchandisers Pty Ltd v Nike Australia Pty Ltd </w:t>
      </w:r>
      <w:r w:rsidR="00846967" w:rsidRPr="000D127B">
        <w:rPr>
          <w:szCs w:val="24"/>
          <w:lang w:eastAsia="en-AU"/>
        </w:rPr>
        <w:t>[2003] FCA 472</w:t>
      </w:r>
      <w:r w:rsidR="007A2C51" w:rsidRPr="000D127B">
        <w:rPr>
          <w:szCs w:val="24"/>
          <w:lang w:eastAsia="en-AU"/>
        </w:rPr>
        <w:t xml:space="preserve">; </w:t>
      </w:r>
      <w:r w:rsidR="007A2C51" w:rsidRPr="000D127B">
        <w:rPr>
          <w:i/>
          <w:iCs/>
          <w:szCs w:val="24"/>
          <w:lang w:eastAsia="en-AU"/>
        </w:rPr>
        <w:t xml:space="preserve">Titan v Romano </w:t>
      </w:r>
      <w:r w:rsidR="007A2C51" w:rsidRPr="000D127B">
        <w:rPr>
          <w:szCs w:val="24"/>
          <w:lang w:eastAsia="en-AU"/>
        </w:rPr>
        <w:t>[2000] FCA 431 and by intermediate courts of appeal in Victoria (</w:t>
      </w:r>
      <w:r w:rsidR="007A2C51" w:rsidRPr="000D127B">
        <w:rPr>
          <w:i/>
          <w:iCs/>
          <w:szCs w:val="24"/>
          <w:lang w:eastAsia="en-AU"/>
        </w:rPr>
        <w:t xml:space="preserve">PSL Industries Ltd v Simplot Australia Pty Ltd </w:t>
      </w:r>
      <w:r w:rsidR="007A2C51" w:rsidRPr="000D127B">
        <w:rPr>
          <w:szCs w:val="24"/>
          <w:lang w:eastAsia="en-AU"/>
        </w:rPr>
        <w:t>(2003) 7 VR 106 at [17]</w:t>
      </w:r>
      <w:r w:rsidR="007A2C51" w:rsidRPr="000D127B">
        <w:rPr>
          <w:sz w:val="18"/>
          <w:szCs w:val="18"/>
          <w:lang w:eastAsia="en-AU"/>
        </w:rPr>
        <w:t>)</w:t>
      </w:r>
      <w:r w:rsidR="007A2C51" w:rsidRPr="000D127B">
        <w:rPr>
          <w:szCs w:val="24"/>
          <w:lang w:eastAsia="en-AU"/>
        </w:rPr>
        <w:t>, New South Wales (</w:t>
      </w:r>
      <w:r w:rsidR="007A2C51" w:rsidRPr="000D127B">
        <w:rPr>
          <w:i/>
          <w:iCs/>
          <w:szCs w:val="24"/>
          <w:lang w:eastAsia="en-AU"/>
        </w:rPr>
        <w:t xml:space="preserve">Air Link Pty Ltd v Paterson (No 2) </w:t>
      </w:r>
      <w:r w:rsidR="007A2C51" w:rsidRPr="000D127B">
        <w:rPr>
          <w:szCs w:val="24"/>
          <w:lang w:eastAsia="en-AU"/>
        </w:rPr>
        <w:t>(2003) 58 NSWLR 388, 404, 429</w:t>
      </w:r>
      <w:r w:rsidR="007A2C51" w:rsidRPr="000D127B">
        <w:rPr>
          <w:i/>
          <w:iCs/>
          <w:szCs w:val="24"/>
          <w:lang w:eastAsia="en-AU"/>
        </w:rPr>
        <w:t xml:space="preserve">; Sydney Recycling Park Pty Ltd v Cardinal Group Pty Ltd (In Liq) </w:t>
      </w:r>
      <w:r w:rsidR="00FA6FEE" w:rsidRPr="000D127B">
        <w:rPr>
          <w:szCs w:val="24"/>
          <w:lang w:eastAsia="en-AU"/>
        </w:rPr>
        <w:t>[2016]</w:t>
      </w:r>
      <w:r w:rsidR="007A2C51" w:rsidRPr="000D127B">
        <w:rPr>
          <w:szCs w:val="24"/>
          <w:lang w:eastAsia="en-AU"/>
        </w:rPr>
        <w:t xml:space="preserve"> </w:t>
      </w:r>
      <w:r w:rsidR="00FA6FEE" w:rsidRPr="000D127B">
        <w:rPr>
          <w:szCs w:val="24"/>
          <w:lang w:eastAsia="en-AU"/>
        </w:rPr>
        <w:t>NSWCA 329</w:t>
      </w:r>
      <w:r w:rsidR="002851B1" w:rsidRPr="000D127B">
        <w:rPr>
          <w:szCs w:val="24"/>
          <w:lang w:eastAsia="en-AU"/>
        </w:rPr>
        <w:t xml:space="preserve"> (“</w:t>
      </w:r>
      <w:r w:rsidR="002851B1" w:rsidRPr="00E9769D">
        <w:rPr>
          <w:b/>
          <w:i/>
          <w:szCs w:val="24"/>
          <w:lang w:eastAsia="en-AU"/>
        </w:rPr>
        <w:t>Sydney Recycling</w:t>
      </w:r>
      <w:r w:rsidR="002851B1" w:rsidRPr="000D127B">
        <w:rPr>
          <w:szCs w:val="24"/>
          <w:lang w:eastAsia="en-AU"/>
        </w:rPr>
        <w:t>”)</w:t>
      </w:r>
      <w:r w:rsidR="007A2C51" w:rsidRPr="000D127B">
        <w:rPr>
          <w:szCs w:val="24"/>
          <w:lang w:eastAsia="en-AU"/>
        </w:rPr>
        <w:t>), South Australia (</w:t>
      </w:r>
      <w:r w:rsidR="007A2C51" w:rsidRPr="000D127B">
        <w:rPr>
          <w:i/>
          <w:iCs/>
          <w:szCs w:val="24"/>
          <w:lang w:eastAsia="en-AU"/>
        </w:rPr>
        <w:t xml:space="preserve">Davies v Chicago Boot Co Pty Ltd (No 2) </w:t>
      </w:r>
      <w:r w:rsidR="007A2C51" w:rsidRPr="000D127B">
        <w:rPr>
          <w:szCs w:val="24"/>
          <w:lang w:eastAsia="en-AU"/>
        </w:rPr>
        <w:t>(2007) 96 SASR 164) and Queensland (</w:t>
      </w:r>
      <w:proofErr w:type="spellStart"/>
      <w:r w:rsidR="007A2C51" w:rsidRPr="000D127B">
        <w:rPr>
          <w:i/>
          <w:iCs/>
          <w:szCs w:val="24"/>
          <w:lang w:eastAsia="en-AU"/>
        </w:rPr>
        <w:t>Greig</w:t>
      </w:r>
      <w:proofErr w:type="spellEnd"/>
      <w:r w:rsidR="007A2C51" w:rsidRPr="000D127B">
        <w:rPr>
          <w:i/>
          <w:iCs/>
          <w:szCs w:val="24"/>
          <w:lang w:eastAsia="en-AU"/>
        </w:rPr>
        <w:t xml:space="preserve"> v </w:t>
      </w:r>
      <w:proofErr w:type="spellStart"/>
      <w:r w:rsidR="007A2C51" w:rsidRPr="000D127B">
        <w:rPr>
          <w:i/>
          <w:iCs/>
          <w:szCs w:val="24"/>
          <w:lang w:eastAsia="en-AU"/>
        </w:rPr>
        <w:t>Stramit</w:t>
      </w:r>
      <w:proofErr w:type="spellEnd"/>
      <w:r w:rsidR="007A2C51" w:rsidRPr="000D127B">
        <w:rPr>
          <w:i/>
          <w:iCs/>
          <w:szCs w:val="24"/>
          <w:lang w:eastAsia="en-AU"/>
        </w:rPr>
        <w:t xml:space="preserve"> Corporation Pty Ltd </w:t>
      </w:r>
      <w:r w:rsidR="007A2C51" w:rsidRPr="000D127B">
        <w:rPr>
          <w:szCs w:val="24"/>
          <w:lang w:eastAsia="en-AU"/>
        </w:rPr>
        <w:t xml:space="preserve">[2004] 2 </w:t>
      </w:r>
      <w:proofErr w:type="spellStart"/>
      <w:r w:rsidR="007A2C51" w:rsidRPr="000D127B">
        <w:rPr>
          <w:szCs w:val="24"/>
          <w:lang w:eastAsia="en-AU"/>
        </w:rPr>
        <w:t>Qd</w:t>
      </w:r>
      <w:proofErr w:type="spellEnd"/>
      <w:r w:rsidR="007A2C51" w:rsidRPr="000D127B">
        <w:rPr>
          <w:szCs w:val="24"/>
          <w:lang w:eastAsia="en-AU"/>
        </w:rPr>
        <w:t xml:space="preserve"> R 17 at 37).  The plaintiffs submitted that this Court is bound by </w:t>
      </w:r>
      <w:r w:rsidR="007A2C51" w:rsidRPr="000D127B">
        <w:rPr>
          <w:i/>
          <w:lang w:eastAsia="en-AU"/>
        </w:rPr>
        <w:t>Rodgers.</w:t>
      </w:r>
    </w:p>
    <w:p w:rsidR="003D0309" w:rsidRPr="000D127B" w:rsidRDefault="003D0309" w:rsidP="00017B82">
      <w:pPr>
        <w:pStyle w:val="ParaNumbering"/>
        <w:numPr>
          <w:ilvl w:val="0"/>
          <w:numId w:val="30"/>
        </w:numPr>
        <w:rPr>
          <w:szCs w:val="24"/>
          <w:lang w:eastAsia="en-AU"/>
        </w:rPr>
      </w:pPr>
      <w:r w:rsidRPr="000D127B">
        <w:rPr>
          <w:szCs w:val="24"/>
          <w:lang w:eastAsia="en-AU"/>
        </w:rPr>
        <w:t xml:space="preserve">The WA defendants argued that </w:t>
      </w:r>
      <w:r w:rsidRPr="000D127B">
        <w:rPr>
          <w:lang w:eastAsia="en-AU"/>
        </w:rPr>
        <w:t>r 8.21 did not authorise the amendments which added the additional claims for relief under s 588FF(1) against them because the requirement of</w:t>
      </w:r>
      <w:r w:rsidR="00EE2B43" w:rsidRPr="000D127B">
        <w:rPr>
          <w:lang w:eastAsia="en-AU"/>
        </w:rPr>
        <w:t xml:space="preserve"> r </w:t>
      </w:r>
      <w:r w:rsidRPr="000D127B">
        <w:rPr>
          <w:lang w:eastAsia="en-AU"/>
        </w:rPr>
        <w:t>8.21(1)(g)(</w:t>
      </w:r>
      <w:proofErr w:type="spellStart"/>
      <w:r w:rsidRPr="000D127B">
        <w:rPr>
          <w:lang w:eastAsia="en-AU"/>
        </w:rPr>
        <w:t>i</w:t>
      </w:r>
      <w:proofErr w:type="spellEnd"/>
      <w:r w:rsidRPr="000D127B">
        <w:rPr>
          <w:lang w:eastAsia="en-AU"/>
        </w:rPr>
        <w:t xml:space="preserve">) that the new claims arise out of the same or substantially the same set of facts </w:t>
      </w:r>
      <w:r w:rsidR="0067028E" w:rsidRPr="000D127B">
        <w:rPr>
          <w:lang w:eastAsia="en-AU"/>
        </w:rPr>
        <w:t>was not met.</w:t>
      </w:r>
    </w:p>
    <w:p w:rsidR="00313C70" w:rsidRPr="000D127B" w:rsidRDefault="007A2C51" w:rsidP="00017B82">
      <w:pPr>
        <w:pStyle w:val="ParaNumbering"/>
        <w:numPr>
          <w:ilvl w:val="0"/>
          <w:numId w:val="30"/>
        </w:numPr>
      </w:pPr>
      <w:r w:rsidRPr="000D127B">
        <w:rPr>
          <w:lang w:eastAsia="en-AU"/>
        </w:rPr>
        <w:t xml:space="preserve">The </w:t>
      </w:r>
      <w:r w:rsidR="003D0309" w:rsidRPr="000D127B">
        <w:rPr>
          <w:lang w:eastAsia="en-AU"/>
        </w:rPr>
        <w:t>SA defendant</w:t>
      </w:r>
      <w:r w:rsidRPr="000D127B">
        <w:rPr>
          <w:lang w:eastAsia="en-AU"/>
        </w:rPr>
        <w:t xml:space="preserve"> </w:t>
      </w:r>
      <w:r w:rsidR="0067028E" w:rsidRPr="000D127B">
        <w:rPr>
          <w:lang w:eastAsia="en-AU"/>
        </w:rPr>
        <w:t>similarly argued that the new claims against it did not arise out of the same or substantially the same set of facts and thus r 8.21 did not authorise the amendments in the proceeding against it</w:t>
      </w:r>
      <w:r w:rsidR="002D25B4">
        <w:rPr>
          <w:lang w:eastAsia="en-AU"/>
        </w:rPr>
        <w:t xml:space="preserve">.  </w:t>
      </w:r>
      <w:r w:rsidR="0067028E" w:rsidRPr="000D127B">
        <w:rPr>
          <w:lang w:eastAsia="en-AU"/>
        </w:rPr>
        <w:t xml:space="preserve">The SA defendant also raised a threshold question for determination, namely whether the amendments were precluded by s </w:t>
      </w:r>
      <w:proofErr w:type="gramStart"/>
      <w:r w:rsidR="0067028E" w:rsidRPr="000D127B">
        <w:rPr>
          <w:lang w:eastAsia="en-AU"/>
        </w:rPr>
        <w:t>588FF(</w:t>
      </w:r>
      <w:proofErr w:type="gramEnd"/>
      <w:r w:rsidR="0067028E" w:rsidRPr="000D127B">
        <w:rPr>
          <w:lang w:eastAsia="en-AU"/>
        </w:rPr>
        <w:t>3)</w:t>
      </w:r>
      <w:r w:rsidR="002D25B4">
        <w:rPr>
          <w:lang w:eastAsia="en-AU"/>
        </w:rPr>
        <w:t xml:space="preserve">.  </w:t>
      </w:r>
      <w:r w:rsidR="0067028E" w:rsidRPr="000D127B">
        <w:rPr>
          <w:lang w:eastAsia="en-AU"/>
        </w:rPr>
        <w:t xml:space="preserve">It was argued </w:t>
      </w:r>
      <w:r w:rsidRPr="000D127B">
        <w:rPr>
          <w:lang w:eastAsia="en-AU"/>
        </w:rPr>
        <w:t>that</w:t>
      </w:r>
      <w:r w:rsidR="00EE2B43" w:rsidRPr="000D127B">
        <w:rPr>
          <w:lang w:eastAsia="en-AU"/>
        </w:rPr>
        <w:t xml:space="preserve"> s </w:t>
      </w:r>
      <w:r w:rsidRPr="000D127B">
        <w:rPr>
          <w:lang w:eastAsia="en-AU"/>
        </w:rPr>
        <w:t>588FF(3) states a jurisdictional requirement in respect of an action for</w:t>
      </w:r>
      <w:r w:rsidR="002851B1" w:rsidRPr="000D127B">
        <w:rPr>
          <w:lang w:eastAsia="en-AU"/>
        </w:rPr>
        <w:t xml:space="preserve"> relief pursuant to </w:t>
      </w:r>
      <w:r w:rsidR="002851B1" w:rsidRPr="000D127B">
        <w:rPr>
          <w:lang w:eastAsia="en-AU"/>
        </w:rPr>
        <w:lastRenderedPageBreak/>
        <w:t>s </w:t>
      </w:r>
      <w:r w:rsidRPr="000D127B">
        <w:rPr>
          <w:lang w:eastAsia="en-AU"/>
        </w:rPr>
        <w:t>588FF and that  r 8.21(g)(</w:t>
      </w:r>
      <w:proofErr w:type="spellStart"/>
      <w:r w:rsidRPr="000D127B">
        <w:rPr>
          <w:lang w:eastAsia="en-AU"/>
        </w:rPr>
        <w:t>i</w:t>
      </w:r>
      <w:proofErr w:type="spellEnd"/>
      <w:r w:rsidRPr="000D127B">
        <w:rPr>
          <w:lang w:eastAsia="en-AU"/>
        </w:rPr>
        <w:t xml:space="preserve">) of the </w:t>
      </w:r>
      <w:r w:rsidRPr="000D127B">
        <w:rPr>
          <w:i/>
          <w:lang w:eastAsia="en-AU"/>
        </w:rPr>
        <w:t>Federal Court Rules</w:t>
      </w:r>
      <w:r w:rsidRPr="000D127B">
        <w:rPr>
          <w:lang w:eastAsia="en-AU"/>
        </w:rPr>
        <w:t xml:space="preserve"> does not authorise the Court to permit amendments raising additional claims for relief after expiry of the time limits prescrib</w:t>
      </w:r>
      <w:r w:rsidR="002851B1" w:rsidRPr="000D127B">
        <w:rPr>
          <w:lang w:eastAsia="en-AU"/>
        </w:rPr>
        <w:t>ed by s </w:t>
      </w:r>
      <w:r w:rsidRPr="000D127B">
        <w:rPr>
          <w:lang w:eastAsia="en-AU"/>
        </w:rPr>
        <w:t xml:space="preserve">588FF(3).  </w:t>
      </w:r>
      <w:r w:rsidR="00313C70" w:rsidRPr="000D127B">
        <w:rPr>
          <w:lang w:eastAsia="en-AU"/>
        </w:rPr>
        <w:t xml:space="preserve">The SA defendant also raised a </w:t>
      </w:r>
      <w:r w:rsidR="00EB5C9E" w:rsidRPr="000D127B">
        <w:rPr>
          <w:lang w:eastAsia="en-AU"/>
        </w:rPr>
        <w:t xml:space="preserve">further </w:t>
      </w:r>
      <w:r w:rsidR="00313C70" w:rsidRPr="000D127B">
        <w:rPr>
          <w:lang w:eastAsia="en-AU"/>
        </w:rPr>
        <w:t xml:space="preserve">threshold question as to whether </w:t>
      </w:r>
      <w:r w:rsidR="00313C70" w:rsidRPr="000D127B">
        <w:rPr>
          <w:i/>
          <w:lang w:eastAsia="en-AU"/>
        </w:rPr>
        <w:t>Rodgers</w:t>
      </w:r>
      <w:r w:rsidR="00313C70" w:rsidRPr="000D127B">
        <w:rPr>
          <w:lang w:eastAsia="en-AU"/>
        </w:rPr>
        <w:t xml:space="preserve"> remains good law and should not be followed in light of three </w:t>
      </w:r>
      <w:r w:rsidR="00313C70" w:rsidRPr="000D127B">
        <w:rPr>
          <w:szCs w:val="24"/>
          <w:lang w:eastAsia="en-AU"/>
        </w:rPr>
        <w:t xml:space="preserve">subsequent High Court cases: </w:t>
      </w:r>
      <w:r w:rsidR="00313C70" w:rsidRPr="000D127B">
        <w:rPr>
          <w:i/>
          <w:szCs w:val="24"/>
          <w:lang w:eastAsia="en-AU"/>
        </w:rPr>
        <w:t xml:space="preserve">Gordon v </w:t>
      </w:r>
      <w:proofErr w:type="spellStart"/>
      <w:r w:rsidR="00313C70" w:rsidRPr="000D127B">
        <w:rPr>
          <w:i/>
          <w:szCs w:val="24"/>
          <w:lang w:eastAsia="en-AU"/>
        </w:rPr>
        <w:t>Tolcher</w:t>
      </w:r>
      <w:proofErr w:type="spellEnd"/>
      <w:r w:rsidR="00313C70" w:rsidRPr="000D127B">
        <w:rPr>
          <w:i/>
          <w:szCs w:val="24"/>
          <w:lang w:eastAsia="en-AU"/>
        </w:rPr>
        <w:t xml:space="preserve"> </w:t>
      </w:r>
      <w:r w:rsidR="00313C70" w:rsidRPr="000D127B">
        <w:rPr>
          <w:szCs w:val="24"/>
          <w:lang w:eastAsia="en-AU"/>
        </w:rPr>
        <w:t>(2006) 221 CLR 334 (“</w:t>
      </w:r>
      <w:proofErr w:type="spellStart"/>
      <w:r w:rsidR="00313C70" w:rsidRPr="00E9769D">
        <w:rPr>
          <w:b/>
          <w:i/>
          <w:szCs w:val="24"/>
          <w:lang w:eastAsia="en-AU"/>
        </w:rPr>
        <w:t>Tolcher</w:t>
      </w:r>
      <w:proofErr w:type="spellEnd"/>
      <w:r w:rsidR="00313C70" w:rsidRPr="000D127B">
        <w:rPr>
          <w:szCs w:val="24"/>
          <w:lang w:eastAsia="en-AU"/>
        </w:rPr>
        <w:t xml:space="preserve">”); </w:t>
      </w:r>
      <w:r w:rsidR="00313C70" w:rsidRPr="000D127B">
        <w:rPr>
          <w:i/>
          <w:szCs w:val="24"/>
          <w:lang w:eastAsia="en-AU"/>
        </w:rPr>
        <w:t xml:space="preserve">Grant Samuel Corporation v Fletcher </w:t>
      </w:r>
      <w:r w:rsidR="00313C70" w:rsidRPr="000D127B">
        <w:rPr>
          <w:szCs w:val="24"/>
          <w:lang w:eastAsia="en-AU"/>
        </w:rPr>
        <w:t>(2015) 254 CLR 477 (“</w:t>
      </w:r>
      <w:r w:rsidR="00313C70" w:rsidRPr="00E9769D">
        <w:rPr>
          <w:b/>
          <w:i/>
          <w:szCs w:val="24"/>
          <w:lang w:eastAsia="en-AU"/>
        </w:rPr>
        <w:t>Grant Samuel</w:t>
      </w:r>
      <w:r w:rsidR="00313C70" w:rsidRPr="000D127B">
        <w:rPr>
          <w:szCs w:val="24"/>
          <w:lang w:eastAsia="en-AU"/>
        </w:rPr>
        <w:t>”)</w:t>
      </w:r>
      <w:r w:rsidR="00313C70" w:rsidRPr="000D127B">
        <w:rPr>
          <w:b/>
          <w:szCs w:val="24"/>
          <w:lang w:eastAsia="en-AU"/>
        </w:rPr>
        <w:t xml:space="preserve"> </w:t>
      </w:r>
      <w:r w:rsidR="00313C70" w:rsidRPr="000D127B">
        <w:rPr>
          <w:szCs w:val="24"/>
          <w:lang w:eastAsia="en-AU"/>
        </w:rPr>
        <w:t xml:space="preserve">and </w:t>
      </w:r>
      <w:r w:rsidR="00313C70" w:rsidRPr="000D127B">
        <w:rPr>
          <w:i/>
          <w:szCs w:val="24"/>
          <w:lang w:eastAsia="en-AU"/>
        </w:rPr>
        <w:t xml:space="preserve">Fortress Credit Corporation (Australia) II Pty Ltd v Fletcher </w:t>
      </w:r>
      <w:r w:rsidR="00313C70" w:rsidRPr="000D127B">
        <w:rPr>
          <w:szCs w:val="24"/>
          <w:lang w:eastAsia="en-AU"/>
        </w:rPr>
        <w:t>(2015) 254 CLR 489 (“</w:t>
      </w:r>
      <w:r w:rsidR="00313C70" w:rsidRPr="00E9769D">
        <w:rPr>
          <w:b/>
          <w:i/>
          <w:szCs w:val="24"/>
          <w:lang w:eastAsia="en-AU"/>
        </w:rPr>
        <w:t>Fortress Credit</w:t>
      </w:r>
      <w:r w:rsidR="00313C70" w:rsidRPr="000D127B">
        <w:rPr>
          <w:szCs w:val="24"/>
          <w:lang w:eastAsia="en-AU"/>
        </w:rPr>
        <w:t>”)</w:t>
      </w:r>
      <w:r w:rsidR="002D25B4">
        <w:rPr>
          <w:szCs w:val="24"/>
          <w:lang w:eastAsia="en-AU"/>
        </w:rPr>
        <w:t xml:space="preserve">. </w:t>
      </w:r>
      <w:r w:rsidR="00313C70" w:rsidRPr="000D127B">
        <w:rPr>
          <w:szCs w:val="24"/>
          <w:lang w:eastAsia="en-AU"/>
        </w:rPr>
        <w:t xml:space="preserve"> Recently in </w:t>
      </w:r>
      <w:r w:rsidR="002851B1" w:rsidRPr="000D127B">
        <w:rPr>
          <w:i/>
          <w:szCs w:val="24"/>
          <w:lang w:eastAsia="en-AU"/>
        </w:rPr>
        <w:t xml:space="preserve">Sydney Recycling, </w:t>
      </w:r>
      <w:r w:rsidR="00313C70" w:rsidRPr="000D127B">
        <w:rPr>
          <w:szCs w:val="24"/>
          <w:lang w:eastAsia="en-AU"/>
        </w:rPr>
        <w:t xml:space="preserve">a five member bench of the New South Wales Court of Appeal rejected the submission that </w:t>
      </w:r>
      <w:r w:rsidR="00313C70" w:rsidRPr="000D127B">
        <w:rPr>
          <w:i/>
          <w:szCs w:val="24"/>
          <w:lang w:eastAsia="en-AU"/>
        </w:rPr>
        <w:t>Rodgers</w:t>
      </w:r>
      <w:r w:rsidR="00313C70" w:rsidRPr="000D127B">
        <w:rPr>
          <w:szCs w:val="24"/>
          <w:lang w:eastAsia="en-AU"/>
        </w:rPr>
        <w:t xml:space="preserve"> was no longer good law by reason of those High Court decisions.  The SA defendant respectfully submitted that the decision in </w:t>
      </w:r>
      <w:r w:rsidR="00313C70" w:rsidRPr="000D127B">
        <w:rPr>
          <w:i/>
          <w:szCs w:val="24"/>
          <w:lang w:eastAsia="en-AU"/>
        </w:rPr>
        <w:t>Sydney Recycling</w:t>
      </w:r>
      <w:r w:rsidR="00E60B55" w:rsidRPr="000D127B">
        <w:rPr>
          <w:i/>
          <w:szCs w:val="24"/>
          <w:lang w:eastAsia="en-AU"/>
        </w:rPr>
        <w:t xml:space="preserve"> </w:t>
      </w:r>
      <w:r w:rsidR="00E60B55" w:rsidRPr="000D127B">
        <w:rPr>
          <w:szCs w:val="24"/>
          <w:lang w:eastAsia="en-AU"/>
        </w:rPr>
        <w:t>was plainly wrong.</w:t>
      </w:r>
      <w:r w:rsidR="00100173" w:rsidRPr="000D127B">
        <w:rPr>
          <w:szCs w:val="24"/>
          <w:lang w:eastAsia="en-AU"/>
        </w:rPr>
        <w:t xml:space="preserve"> </w:t>
      </w:r>
    </w:p>
    <w:p w:rsidR="0067028E" w:rsidRPr="000D127B" w:rsidRDefault="0067028E" w:rsidP="0067028E">
      <w:pPr>
        <w:pStyle w:val="Heading2"/>
        <w:rPr>
          <w:lang w:eastAsia="en-AU"/>
        </w:rPr>
      </w:pPr>
      <w:r w:rsidRPr="000D127B">
        <w:rPr>
          <w:lang w:eastAsia="en-AU"/>
        </w:rPr>
        <w:t>The threshold question</w:t>
      </w:r>
      <w:r w:rsidR="001E6B3B">
        <w:rPr>
          <w:lang w:eastAsia="en-AU"/>
        </w:rPr>
        <w:t>s</w:t>
      </w:r>
    </w:p>
    <w:p w:rsidR="007A2C51" w:rsidRPr="000D127B" w:rsidRDefault="007A2C51" w:rsidP="00017B82">
      <w:pPr>
        <w:pStyle w:val="ParaNumbering"/>
        <w:numPr>
          <w:ilvl w:val="0"/>
          <w:numId w:val="30"/>
        </w:numPr>
        <w:rPr>
          <w:szCs w:val="24"/>
          <w:lang w:eastAsia="en-AU"/>
        </w:rPr>
      </w:pPr>
      <w:r w:rsidRPr="000D127B">
        <w:rPr>
          <w:szCs w:val="24"/>
          <w:lang w:eastAsia="en-AU"/>
        </w:rPr>
        <w:t>In view of the</w:t>
      </w:r>
      <w:r w:rsidR="0067028E" w:rsidRPr="000D127B">
        <w:rPr>
          <w:szCs w:val="24"/>
          <w:lang w:eastAsia="en-AU"/>
        </w:rPr>
        <w:t xml:space="preserve"> threshold question</w:t>
      </w:r>
      <w:r w:rsidR="001E6B3B">
        <w:rPr>
          <w:szCs w:val="24"/>
          <w:lang w:eastAsia="en-AU"/>
        </w:rPr>
        <w:t>s</w:t>
      </w:r>
      <w:r w:rsidR="0067028E" w:rsidRPr="000D127B">
        <w:rPr>
          <w:szCs w:val="24"/>
          <w:lang w:eastAsia="en-AU"/>
        </w:rPr>
        <w:t xml:space="preserve"> raised by the SA defendant</w:t>
      </w:r>
      <w:r w:rsidRPr="000D127B">
        <w:rPr>
          <w:szCs w:val="24"/>
          <w:lang w:eastAsia="en-AU"/>
        </w:rPr>
        <w:t xml:space="preserve">, it is necessary to refer to the relevant authorities in some detail.  </w:t>
      </w:r>
    </w:p>
    <w:p w:rsidR="007A2C51" w:rsidRPr="000D127B" w:rsidRDefault="007A2C51" w:rsidP="007A2C51">
      <w:pPr>
        <w:pStyle w:val="Heading2"/>
        <w:rPr>
          <w:i/>
          <w:lang w:eastAsia="en-AU"/>
        </w:rPr>
      </w:pPr>
      <w:r w:rsidRPr="000D127B">
        <w:rPr>
          <w:i/>
          <w:lang w:eastAsia="en-AU"/>
        </w:rPr>
        <w:t>Rodgers</w:t>
      </w:r>
    </w:p>
    <w:p w:rsidR="007A2C51" w:rsidRPr="000D127B" w:rsidRDefault="007A2C51" w:rsidP="00017B82">
      <w:pPr>
        <w:pStyle w:val="ParaNumbering"/>
        <w:numPr>
          <w:ilvl w:val="0"/>
          <w:numId w:val="30"/>
        </w:numPr>
        <w:rPr>
          <w:szCs w:val="24"/>
          <w:lang w:eastAsia="en-AU"/>
        </w:rPr>
      </w:pPr>
      <w:r w:rsidRPr="000D127B">
        <w:rPr>
          <w:szCs w:val="24"/>
          <w:lang w:eastAsia="en-AU"/>
        </w:rPr>
        <w:t xml:space="preserve">In </w:t>
      </w:r>
      <w:r w:rsidRPr="000D127B">
        <w:rPr>
          <w:i/>
          <w:szCs w:val="24"/>
          <w:lang w:eastAsia="en-AU"/>
        </w:rPr>
        <w:t>Rodgers</w:t>
      </w:r>
      <w:r w:rsidRPr="000D127B">
        <w:rPr>
          <w:szCs w:val="24"/>
          <w:lang w:eastAsia="en-AU"/>
        </w:rPr>
        <w:t>, the liquidator had commenced proceedings seeking orders under s 588FF in respect of group tax paid by the company to the Commissio</w:t>
      </w:r>
      <w:r w:rsidR="00B75F90" w:rsidRPr="000D127B">
        <w:rPr>
          <w:szCs w:val="24"/>
          <w:lang w:eastAsia="en-AU"/>
        </w:rPr>
        <w:t>ner of Taxation within the time</w:t>
      </w:r>
      <w:r w:rsidR="00957666">
        <w:rPr>
          <w:szCs w:val="24"/>
          <w:lang w:eastAsia="en-AU"/>
        </w:rPr>
        <w:noBreakHyphen/>
      </w:r>
      <w:r w:rsidRPr="000D127B">
        <w:rPr>
          <w:szCs w:val="24"/>
          <w:lang w:eastAsia="en-AU"/>
        </w:rPr>
        <w:t xml:space="preserve">frame prescribed by s 588FF(3)(a).  After the </w:t>
      </w:r>
      <w:r w:rsidR="00957666">
        <w:rPr>
          <w:szCs w:val="24"/>
          <w:lang w:eastAsia="en-AU"/>
        </w:rPr>
        <w:t>expiry of the period fixed by s </w:t>
      </w:r>
      <w:proofErr w:type="gramStart"/>
      <w:r w:rsidRPr="000D127B">
        <w:rPr>
          <w:szCs w:val="24"/>
          <w:lang w:eastAsia="en-AU"/>
        </w:rPr>
        <w:t>588FF(</w:t>
      </w:r>
      <w:proofErr w:type="gramEnd"/>
      <w:r w:rsidRPr="000D127B">
        <w:rPr>
          <w:szCs w:val="24"/>
          <w:lang w:eastAsia="en-AU"/>
        </w:rPr>
        <w:t xml:space="preserve">3)(a), the liquidator became aware of two additional payments also in respect of group tax.  The Court (Wilcox, </w:t>
      </w:r>
      <w:proofErr w:type="spellStart"/>
      <w:r w:rsidRPr="000D127B">
        <w:rPr>
          <w:szCs w:val="24"/>
          <w:lang w:eastAsia="en-AU"/>
        </w:rPr>
        <w:t>Tamberlin</w:t>
      </w:r>
      <w:proofErr w:type="spellEnd"/>
      <w:r w:rsidRPr="000D127B">
        <w:rPr>
          <w:szCs w:val="24"/>
          <w:lang w:eastAsia="en-AU"/>
        </w:rPr>
        <w:t xml:space="preserve"> and Emmett JJ) allowed an appeal from the decision of the primary judge refusing amendment under O 13 r 2 (the predecessor to r 8.21</w:t>
      </w:r>
      <w:r w:rsidR="00E60B55" w:rsidRPr="000D127B">
        <w:rPr>
          <w:szCs w:val="24"/>
          <w:lang w:eastAsia="en-AU"/>
        </w:rPr>
        <w:t>)</w:t>
      </w:r>
      <w:r w:rsidR="002D25B4">
        <w:rPr>
          <w:szCs w:val="24"/>
          <w:lang w:eastAsia="en-AU"/>
        </w:rPr>
        <w:t xml:space="preserve">.  </w:t>
      </w:r>
      <w:r w:rsidRPr="000D127B">
        <w:rPr>
          <w:w w:val="105"/>
        </w:rPr>
        <w:t xml:space="preserve">The Court distinguished between a voidable preference claim first made outside the prescribed time in s </w:t>
      </w:r>
      <w:proofErr w:type="gramStart"/>
      <w:r w:rsidRPr="000D127B">
        <w:rPr>
          <w:w w:val="105"/>
        </w:rPr>
        <w:t>588FF(</w:t>
      </w:r>
      <w:proofErr w:type="gramEnd"/>
      <w:r w:rsidRPr="000D127B">
        <w:rPr>
          <w:w w:val="105"/>
        </w:rPr>
        <w:t xml:space="preserve">3) and an application to amend </w:t>
      </w:r>
      <w:proofErr w:type="spellStart"/>
      <w:r w:rsidRPr="000D127B">
        <w:rPr>
          <w:w w:val="105"/>
        </w:rPr>
        <w:t>a</w:t>
      </w:r>
      <w:r w:rsidR="00100173" w:rsidRPr="000D127B">
        <w:rPr>
          <w:w w:val="105"/>
        </w:rPr>
        <w:t xml:space="preserve"> </w:t>
      </w:r>
      <w:r w:rsidRPr="000D127B">
        <w:rPr>
          <w:w w:val="105"/>
        </w:rPr>
        <w:t>voidable</w:t>
      </w:r>
      <w:proofErr w:type="spellEnd"/>
      <w:r w:rsidRPr="000D127B">
        <w:rPr>
          <w:w w:val="105"/>
        </w:rPr>
        <w:t xml:space="preserve"> preference claim first made within the prescribed time, holding that</w:t>
      </w:r>
      <w:r w:rsidRPr="000D127B">
        <w:rPr>
          <w:spacing w:val="25"/>
        </w:rPr>
        <w:t xml:space="preserve"> O </w:t>
      </w:r>
      <w:r w:rsidRPr="000D127B">
        <w:t>13 r 2(3)</w:t>
      </w:r>
      <w:r w:rsidRPr="000D127B">
        <w:rPr>
          <w:spacing w:val="20"/>
        </w:rPr>
        <w:t xml:space="preserve"> </w:t>
      </w:r>
      <w:r w:rsidRPr="000D127B">
        <w:t>enabled the Court to allow the amendment notwithstanding the expiry of the limitation period</w:t>
      </w:r>
      <w:r w:rsidR="002D25B4">
        <w:rPr>
          <w:w w:val="105"/>
        </w:rPr>
        <w:t xml:space="preserve">.  </w:t>
      </w:r>
      <w:r w:rsidRPr="000D127B">
        <w:rPr>
          <w:w w:val="105"/>
        </w:rPr>
        <w:t xml:space="preserve">The Court </w:t>
      </w:r>
      <w:r w:rsidRPr="000D127B">
        <w:rPr>
          <w:szCs w:val="24"/>
          <w:lang w:eastAsia="en-AU"/>
        </w:rPr>
        <w:t>reasoned at</w:t>
      </w:r>
      <w:r w:rsidR="002575EF" w:rsidRPr="000D127B">
        <w:rPr>
          <w:szCs w:val="24"/>
          <w:lang w:eastAsia="en-AU"/>
        </w:rPr>
        <w:t xml:space="preserve"> </w:t>
      </w:r>
      <w:r w:rsidR="00100173" w:rsidRPr="000D127B">
        <w:rPr>
          <w:szCs w:val="24"/>
          <w:lang w:eastAsia="en-AU"/>
        </w:rPr>
        <w:t>pages</w:t>
      </w:r>
      <w:r w:rsidR="00957666">
        <w:rPr>
          <w:szCs w:val="24"/>
          <w:lang w:eastAsia="en-AU"/>
        </w:rPr>
        <w:t xml:space="preserve"> 67</w:t>
      </w:r>
      <w:r w:rsidR="00957666">
        <w:t>–</w:t>
      </w:r>
      <w:r w:rsidR="002575EF" w:rsidRPr="000D127B">
        <w:rPr>
          <w:szCs w:val="24"/>
          <w:lang w:eastAsia="en-AU"/>
        </w:rPr>
        <w:t>8</w:t>
      </w:r>
      <w:r w:rsidRPr="000D127B">
        <w:rPr>
          <w:lang w:eastAsia="en-AU"/>
        </w:rPr>
        <w:t>:</w:t>
      </w:r>
    </w:p>
    <w:p w:rsidR="007A2C51" w:rsidRPr="000D127B" w:rsidRDefault="007A2C51" w:rsidP="002575EF">
      <w:pPr>
        <w:pStyle w:val="Quote1"/>
        <w:ind w:left="709"/>
        <w:rPr>
          <w:rFonts w:eastAsia="Times New Roman"/>
          <w:szCs w:val="22"/>
        </w:rPr>
      </w:pPr>
      <w:r w:rsidRPr="000D127B">
        <w:rPr>
          <w:w w:val="105"/>
          <w:szCs w:val="22"/>
        </w:rPr>
        <w:t>In</w:t>
      </w:r>
      <w:r w:rsidRPr="000D127B">
        <w:rPr>
          <w:spacing w:val="16"/>
          <w:w w:val="105"/>
          <w:szCs w:val="22"/>
        </w:rPr>
        <w:t xml:space="preserve"> </w:t>
      </w:r>
      <w:r w:rsidRPr="000D127B">
        <w:rPr>
          <w:w w:val="105"/>
          <w:szCs w:val="22"/>
        </w:rPr>
        <w:t>support</w:t>
      </w:r>
      <w:r w:rsidRPr="000D127B">
        <w:rPr>
          <w:spacing w:val="17"/>
          <w:w w:val="105"/>
          <w:szCs w:val="22"/>
        </w:rPr>
        <w:t xml:space="preserve"> </w:t>
      </w:r>
      <w:r w:rsidRPr="000D127B">
        <w:rPr>
          <w:w w:val="105"/>
          <w:szCs w:val="22"/>
        </w:rPr>
        <w:t>of</w:t>
      </w:r>
      <w:r w:rsidRPr="000D127B">
        <w:rPr>
          <w:spacing w:val="20"/>
          <w:w w:val="105"/>
          <w:szCs w:val="22"/>
        </w:rPr>
        <w:t xml:space="preserve"> </w:t>
      </w:r>
      <w:r w:rsidRPr="000D127B">
        <w:rPr>
          <w:w w:val="105"/>
          <w:szCs w:val="22"/>
        </w:rPr>
        <w:t>the</w:t>
      </w:r>
      <w:r w:rsidRPr="000D127B">
        <w:rPr>
          <w:spacing w:val="9"/>
          <w:w w:val="105"/>
          <w:szCs w:val="22"/>
        </w:rPr>
        <w:t xml:space="preserve"> </w:t>
      </w:r>
      <w:r w:rsidRPr="000D127B">
        <w:rPr>
          <w:w w:val="105"/>
          <w:szCs w:val="22"/>
        </w:rPr>
        <w:t>submission</w:t>
      </w:r>
      <w:r w:rsidRPr="000D127B">
        <w:rPr>
          <w:spacing w:val="23"/>
          <w:w w:val="105"/>
          <w:szCs w:val="22"/>
        </w:rPr>
        <w:t xml:space="preserve"> </w:t>
      </w:r>
      <w:r w:rsidRPr="000D127B">
        <w:rPr>
          <w:w w:val="105"/>
          <w:szCs w:val="22"/>
        </w:rPr>
        <w:t>that</w:t>
      </w:r>
      <w:r w:rsidRPr="000D127B">
        <w:rPr>
          <w:spacing w:val="22"/>
          <w:w w:val="105"/>
          <w:szCs w:val="22"/>
        </w:rPr>
        <w:t xml:space="preserve"> </w:t>
      </w:r>
      <w:r w:rsidRPr="000D127B">
        <w:rPr>
          <w:w w:val="105"/>
          <w:szCs w:val="22"/>
        </w:rPr>
        <w:t>s</w:t>
      </w:r>
      <w:r w:rsidRPr="000D127B">
        <w:rPr>
          <w:spacing w:val="-2"/>
          <w:w w:val="105"/>
          <w:szCs w:val="22"/>
        </w:rPr>
        <w:t xml:space="preserve"> </w:t>
      </w:r>
      <w:r w:rsidRPr="000D127B">
        <w:rPr>
          <w:w w:val="105"/>
          <w:szCs w:val="22"/>
        </w:rPr>
        <w:t>588FF(3)</w:t>
      </w:r>
      <w:r w:rsidRPr="000D127B">
        <w:rPr>
          <w:spacing w:val="8"/>
          <w:w w:val="105"/>
          <w:szCs w:val="22"/>
        </w:rPr>
        <w:t xml:space="preserve"> </w:t>
      </w:r>
      <w:r w:rsidRPr="000D127B">
        <w:rPr>
          <w:w w:val="105"/>
          <w:szCs w:val="22"/>
        </w:rPr>
        <w:t>governed</w:t>
      </w:r>
      <w:r w:rsidRPr="000D127B">
        <w:rPr>
          <w:spacing w:val="19"/>
          <w:w w:val="105"/>
          <w:szCs w:val="22"/>
        </w:rPr>
        <w:t xml:space="preserve"> </w:t>
      </w:r>
      <w:r w:rsidRPr="000D127B">
        <w:rPr>
          <w:w w:val="105"/>
          <w:szCs w:val="22"/>
        </w:rPr>
        <w:t>this</w:t>
      </w:r>
      <w:r w:rsidRPr="000D127B">
        <w:rPr>
          <w:spacing w:val="15"/>
          <w:w w:val="105"/>
          <w:szCs w:val="22"/>
        </w:rPr>
        <w:t xml:space="preserve"> </w:t>
      </w:r>
      <w:r w:rsidRPr="000D127B">
        <w:rPr>
          <w:w w:val="105"/>
          <w:szCs w:val="22"/>
        </w:rPr>
        <w:t>case,</w:t>
      </w:r>
      <w:r w:rsidRPr="000D127B">
        <w:rPr>
          <w:spacing w:val="16"/>
          <w:w w:val="105"/>
          <w:szCs w:val="22"/>
        </w:rPr>
        <w:t xml:space="preserve"> </w:t>
      </w:r>
      <w:r w:rsidRPr="000D127B">
        <w:rPr>
          <w:w w:val="105"/>
          <w:szCs w:val="22"/>
        </w:rPr>
        <w:t>counsel</w:t>
      </w:r>
      <w:r w:rsidRPr="000D127B">
        <w:rPr>
          <w:spacing w:val="19"/>
          <w:w w:val="105"/>
          <w:szCs w:val="22"/>
        </w:rPr>
        <w:t xml:space="preserve"> </w:t>
      </w:r>
      <w:r w:rsidRPr="000D127B">
        <w:rPr>
          <w:w w:val="105"/>
          <w:szCs w:val="22"/>
        </w:rPr>
        <w:t>for the</w:t>
      </w:r>
      <w:r w:rsidRPr="000D127B">
        <w:rPr>
          <w:spacing w:val="-5"/>
          <w:w w:val="105"/>
          <w:szCs w:val="22"/>
        </w:rPr>
        <w:t xml:space="preserve"> </w:t>
      </w:r>
      <w:r w:rsidRPr="000D127B">
        <w:rPr>
          <w:w w:val="105"/>
          <w:szCs w:val="22"/>
        </w:rPr>
        <w:t>Commissioner</w:t>
      </w:r>
      <w:r w:rsidRPr="000D127B">
        <w:rPr>
          <w:spacing w:val="1"/>
          <w:w w:val="105"/>
          <w:szCs w:val="22"/>
        </w:rPr>
        <w:t xml:space="preserve"> </w:t>
      </w:r>
      <w:r w:rsidRPr="000D127B">
        <w:rPr>
          <w:w w:val="105"/>
          <w:szCs w:val="22"/>
        </w:rPr>
        <w:t>referred</w:t>
      </w:r>
      <w:r w:rsidRPr="000D127B">
        <w:rPr>
          <w:spacing w:val="14"/>
          <w:w w:val="105"/>
          <w:szCs w:val="22"/>
        </w:rPr>
        <w:t xml:space="preserve"> </w:t>
      </w:r>
      <w:r w:rsidRPr="000D127B">
        <w:rPr>
          <w:w w:val="105"/>
          <w:szCs w:val="22"/>
        </w:rPr>
        <w:t>to</w:t>
      </w:r>
      <w:r w:rsidRPr="000D127B">
        <w:rPr>
          <w:spacing w:val="-5"/>
          <w:w w:val="105"/>
          <w:szCs w:val="22"/>
        </w:rPr>
        <w:t xml:space="preserve"> </w:t>
      </w:r>
      <w:r w:rsidRPr="000D127B">
        <w:rPr>
          <w:w w:val="105"/>
          <w:szCs w:val="22"/>
        </w:rPr>
        <w:t>the</w:t>
      </w:r>
      <w:r w:rsidRPr="000D127B">
        <w:rPr>
          <w:spacing w:val="1"/>
          <w:w w:val="105"/>
          <w:szCs w:val="22"/>
        </w:rPr>
        <w:t xml:space="preserve"> </w:t>
      </w:r>
      <w:r w:rsidRPr="000D127B">
        <w:rPr>
          <w:w w:val="105"/>
          <w:szCs w:val="22"/>
        </w:rPr>
        <w:t>High</w:t>
      </w:r>
      <w:r w:rsidRPr="000D127B">
        <w:rPr>
          <w:spacing w:val="-1"/>
          <w:w w:val="105"/>
          <w:szCs w:val="22"/>
        </w:rPr>
        <w:t xml:space="preserve"> </w:t>
      </w:r>
      <w:r w:rsidRPr="000D127B">
        <w:rPr>
          <w:w w:val="105"/>
          <w:szCs w:val="22"/>
        </w:rPr>
        <w:t>Court decision</w:t>
      </w:r>
      <w:r w:rsidRPr="000D127B">
        <w:rPr>
          <w:spacing w:val="1"/>
          <w:w w:val="105"/>
          <w:szCs w:val="22"/>
        </w:rPr>
        <w:t xml:space="preserve"> </w:t>
      </w:r>
      <w:r w:rsidRPr="000D127B">
        <w:rPr>
          <w:w w:val="105"/>
          <w:szCs w:val="22"/>
        </w:rPr>
        <w:t>in</w:t>
      </w:r>
      <w:r w:rsidRPr="000D127B">
        <w:rPr>
          <w:spacing w:val="-5"/>
          <w:w w:val="105"/>
          <w:szCs w:val="22"/>
        </w:rPr>
        <w:t xml:space="preserve"> </w:t>
      </w:r>
      <w:r w:rsidRPr="000D127B">
        <w:rPr>
          <w:i/>
          <w:w w:val="105"/>
          <w:szCs w:val="22"/>
        </w:rPr>
        <w:t>David</w:t>
      </w:r>
      <w:r w:rsidRPr="000D127B">
        <w:rPr>
          <w:i/>
          <w:spacing w:val="19"/>
          <w:w w:val="105"/>
          <w:szCs w:val="22"/>
        </w:rPr>
        <w:t xml:space="preserve"> </w:t>
      </w:r>
      <w:r w:rsidRPr="000D127B">
        <w:rPr>
          <w:i/>
          <w:w w:val="105"/>
          <w:szCs w:val="22"/>
        </w:rPr>
        <w:t>Grant &amp;</w:t>
      </w:r>
      <w:r w:rsidRPr="000D127B">
        <w:rPr>
          <w:w w:val="105"/>
          <w:szCs w:val="22"/>
        </w:rPr>
        <w:t xml:space="preserve"> </w:t>
      </w:r>
      <w:r w:rsidRPr="000D127B">
        <w:rPr>
          <w:i/>
          <w:w w:val="105"/>
          <w:szCs w:val="22"/>
        </w:rPr>
        <w:t>Co</w:t>
      </w:r>
      <w:r w:rsidRPr="000D127B">
        <w:rPr>
          <w:i/>
          <w:spacing w:val="-17"/>
          <w:w w:val="105"/>
          <w:szCs w:val="22"/>
        </w:rPr>
        <w:t xml:space="preserve"> </w:t>
      </w:r>
      <w:r w:rsidRPr="000D127B">
        <w:rPr>
          <w:i/>
          <w:w w:val="105"/>
          <w:szCs w:val="22"/>
        </w:rPr>
        <w:t>Pty</w:t>
      </w:r>
      <w:r w:rsidRPr="000D127B">
        <w:rPr>
          <w:i/>
          <w:w w:val="93"/>
          <w:szCs w:val="22"/>
        </w:rPr>
        <w:t xml:space="preserve"> </w:t>
      </w:r>
      <w:r w:rsidRPr="000D127B">
        <w:rPr>
          <w:i/>
          <w:w w:val="105"/>
          <w:szCs w:val="22"/>
        </w:rPr>
        <w:t>Ltd</w:t>
      </w:r>
      <w:r w:rsidRPr="000D127B">
        <w:rPr>
          <w:i/>
          <w:spacing w:val="8"/>
          <w:w w:val="105"/>
          <w:szCs w:val="22"/>
        </w:rPr>
        <w:t xml:space="preserve"> </w:t>
      </w:r>
      <w:r w:rsidRPr="000D127B">
        <w:rPr>
          <w:i/>
          <w:w w:val="105"/>
          <w:szCs w:val="22"/>
        </w:rPr>
        <w:t>(rec</w:t>
      </w:r>
      <w:r w:rsidRPr="000D127B">
        <w:rPr>
          <w:i/>
          <w:spacing w:val="-1"/>
          <w:w w:val="105"/>
          <w:szCs w:val="22"/>
        </w:rPr>
        <w:t xml:space="preserve"> </w:t>
      </w:r>
      <w:proofErr w:type="spellStart"/>
      <w:r w:rsidRPr="000D127B">
        <w:rPr>
          <w:i/>
          <w:spacing w:val="3"/>
          <w:w w:val="105"/>
          <w:szCs w:val="22"/>
        </w:rPr>
        <w:t>apptd</w:t>
      </w:r>
      <w:proofErr w:type="spellEnd"/>
      <w:r w:rsidRPr="000D127B">
        <w:rPr>
          <w:i/>
          <w:spacing w:val="4"/>
          <w:w w:val="105"/>
          <w:szCs w:val="22"/>
        </w:rPr>
        <w:t>)</w:t>
      </w:r>
      <w:r w:rsidRPr="000D127B">
        <w:rPr>
          <w:i/>
          <w:spacing w:val="9"/>
          <w:w w:val="105"/>
          <w:szCs w:val="22"/>
        </w:rPr>
        <w:t xml:space="preserve"> </w:t>
      </w:r>
      <w:r w:rsidRPr="000D127B">
        <w:rPr>
          <w:i/>
          <w:w w:val="105"/>
          <w:szCs w:val="22"/>
        </w:rPr>
        <w:t>v</w:t>
      </w:r>
      <w:r w:rsidRPr="000D127B">
        <w:rPr>
          <w:i/>
          <w:spacing w:val="7"/>
          <w:w w:val="105"/>
          <w:szCs w:val="22"/>
        </w:rPr>
        <w:t xml:space="preserve"> </w:t>
      </w:r>
      <w:r w:rsidRPr="000D127B">
        <w:rPr>
          <w:i/>
          <w:w w:val="105"/>
          <w:szCs w:val="22"/>
        </w:rPr>
        <w:t>Westpac</w:t>
      </w:r>
      <w:r w:rsidRPr="000D127B">
        <w:rPr>
          <w:i/>
          <w:spacing w:val="-11"/>
          <w:w w:val="105"/>
          <w:szCs w:val="22"/>
        </w:rPr>
        <w:t xml:space="preserve"> </w:t>
      </w:r>
      <w:r w:rsidRPr="000D127B">
        <w:rPr>
          <w:i/>
          <w:w w:val="105"/>
          <w:szCs w:val="22"/>
        </w:rPr>
        <w:t>Banking</w:t>
      </w:r>
      <w:r w:rsidRPr="000D127B">
        <w:rPr>
          <w:i/>
          <w:spacing w:val="23"/>
          <w:w w:val="105"/>
          <w:szCs w:val="22"/>
        </w:rPr>
        <w:t xml:space="preserve"> </w:t>
      </w:r>
      <w:r w:rsidRPr="000D127B">
        <w:rPr>
          <w:i/>
          <w:w w:val="105"/>
          <w:szCs w:val="22"/>
        </w:rPr>
        <w:t>Corp</w:t>
      </w:r>
      <w:r w:rsidRPr="000D127B">
        <w:rPr>
          <w:i/>
          <w:spacing w:val="-2"/>
          <w:w w:val="105"/>
          <w:szCs w:val="22"/>
        </w:rPr>
        <w:t xml:space="preserve"> </w:t>
      </w:r>
      <w:r w:rsidRPr="000D127B">
        <w:rPr>
          <w:w w:val="105"/>
          <w:szCs w:val="22"/>
        </w:rPr>
        <w:t>(1995)</w:t>
      </w:r>
      <w:r w:rsidRPr="000D127B">
        <w:rPr>
          <w:spacing w:val="10"/>
          <w:w w:val="105"/>
          <w:szCs w:val="22"/>
        </w:rPr>
        <w:t xml:space="preserve"> </w:t>
      </w:r>
      <w:r w:rsidRPr="000D127B">
        <w:rPr>
          <w:w w:val="105"/>
          <w:szCs w:val="22"/>
        </w:rPr>
        <w:t>184</w:t>
      </w:r>
      <w:r w:rsidRPr="000D127B">
        <w:rPr>
          <w:spacing w:val="-14"/>
          <w:w w:val="105"/>
          <w:szCs w:val="22"/>
        </w:rPr>
        <w:t xml:space="preserve"> </w:t>
      </w:r>
      <w:r w:rsidRPr="000D127B">
        <w:rPr>
          <w:w w:val="105"/>
          <w:szCs w:val="22"/>
        </w:rPr>
        <w:t>CLR</w:t>
      </w:r>
      <w:r w:rsidRPr="000D127B">
        <w:rPr>
          <w:spacing w:val="8"/>
          <w:w w:val="105"/>
          <w:szCs w:val="22"/>
        </w:rPr>
        <w:t xml:space="preserve"> </w:t>
      </w:r>
      <w:r w:rsidRPr="000D127B">
        <w:rPr>
          <w:w w:val="105"/>
          <w:szCs w:val="22"/>
        </w:rPr>
        <w:t>265;</w:t>
      </w:r>
      <w:r w:rsidRPr="000D127B">
        <w:rPr>
          <w:spacing w:val="14"/>
          <w:w w:val="105"/>
          <w:szCs w:val="22"/>
        </w:rPr>
        <w:t xml:space="preserve"> </w:t>
      </w:r>
      <w:r w:rsidRPr="000D127B">
        <w:rPr>
          <w:w w:val="105"/>
          <w:szCs w:val="22"/>
        </w:rPr>
        <w:t>131</w:t>
      </w:r>
      <w:r w:rsidRPr="000D127B">
        <w:rPr>
          <w:spacing w:val="-20"/>
          <w:w w:val="105"/>
          <w:szCs w:val="22"/>
        </w:rPr>
        <w:t xml:space="preserve"> </w:t>
      </w:r>
      <w:r w:rsidRPr="000D127B">
        <w:rPr>
          <w:w w:val="105"/>
          <w:szCs w:val="22"/>
        </w:rPr>
        <w:t>ALR</w:t>
      </w:r>
      <w:r w:rsidRPr="000D127B">
        <w:rPr>
          <w:spacing w:val="12"/>
          <w:w w:val="105"/>
          <w:szCs w:val="22"/>
        </w:rPr>
        <w:t xml:space="preserve"> </w:t>
      </w:r>
      <w:r w:rsidRPr="000D127B">
        <w:rPr>
          <w:w w:val="105"/>
          <w:szCs w:val="22"/>
        </w:rPr>
        <w:t>353.  That</w:t>
      </w:r>
      <w:r w:rsidRPr="000D127B">
        <w:rPr>
          <w:spacing w:val="-8"/>
          <w:w w:val="105"/>
          <w:szCs w:val="22"/>
        </w:rPr>
        <w:t xml:space="preserve"> </w:t>
      </w:r>
      <w:r w:rsidRPr="000D127B">
        <w:rPr>
          <w:w w:val="105"/>
          <w:szCs w:val="22"/>
        </w:rPr>
        <w:t>case</w:t>
      </w:r>
      <w:r w:rsidRPr="000D127B">
        <w:rPr>
          <w:spacing w:val="-10"/>
          <w:w w:val="105"/>
          <w:szCs w:val="22"/>
        </w:rPr>
        <w:t xml:space="preserve"> </w:t>
      </w:r>
      <w:r w:rsidRPr="000D127B">
        <w:rPr>
          <w:w w:val="105"/>
          <w:szCs w:val="22"/>
        </w:rPr>
        <w:t>concerned</w:t>
      </w:r>
      <w:r w:rsidRPr="000D127B">
        <w:rPr>
          <w:spacing w:val="5"/>
          <w:w w:val="105"/>
          <w:szCs w:val="22"/>
        </w:rPr>
        <w:t xml:space="preserve"> </w:t>
      </w:r>
      <w:r w:rsidRPr="000D127B">
        <w:rPr>
          <w:w w:val="105"/>
          <w:szCs w:val="22"/>
        </w:rPr>
        <w:t>a</w:t>
      </w:r>
      <w:r w:rsidRPr="000D127B">
        <w:rPr>
          <w:spacing w:val="-14"/>
          <w:w w:val="105"/>
          <w:szCs w:val="22"/>
        </w:rPr>
        <w:t xml:space="preserve"> </w:t>
      </w:r>
      <w:r w:rsidRPr="000D127B">
        <w:rPr>
          <w:w w:val="105"/>
          <w:szCs w:val="22"/>
        </w:rPr>
        <w:t>time</w:t>
      </w:r>
      <w:r w:rsidRPr="000D127B">
        <w:rPr>
          <w:spacing w:val="-5"/>
          <w:w w:val="105"/>
          <w:szCs w:val="22"/>
        </w:rPr>
        <w:t xml:space="preserve"> </w:t>
      </w:r>
      <w:r w:rsidRPr="000D127B">
        <w:rPr>
          <w:w w:val="105"/>
          <w:szCs w:val="22"/>
        </w:rPr>
        <w:t>limitation</w:t>
      </w:r>
      <w:r w:rsidRPr="000D127B">
        <w:rPr>
          <w:spacing w:val="6"/>
          <w:w w:val="105"/>
          <w:szCs w:val="22"/>
        </w:rPr>
        <w:t xml:space="preserve"> </w:t>
      </w:r>
      <w:r w:rsidRPr="000D127B">
        <w:rPr>
          <w:w w:val="105"/>
          <w:szCs w:val="22"/>
        </w:rPr>
        <w:t>on</w:t>
      </w:r>
      <w:r w:rsidRPr="000D127B">
        <w:rPr>
          <w:spacing w:val="-8"/>
          <w:w w:val="105"/>
          <w:szCs w:val="22"/>
        </w:rPr>
        <w:t xml:space="preserve"> </w:t>
      </w:r>
      <w:r w:rsidRPr="000D127B">
        <w:rPr>
          <w:w w:val="105"/>
          <w:szCs w:val="22"/>
        </w:rPr>
        <w:t>the</w:t>
      </w:r>
      <w:r w:rsidRPr="000D127B">
        <w:rPr>
          <w:spacing w:val="-6"/>
          <w:w w:val="105"/>
          <w:szCs w:val="22"/>
        </w:rPr>
        <w:t xml:space="preserve"> </w:t>
      </w:r>
      <w:r w:rsidRPr="000D127B">
        <w:rPr>
          <w:w w:val="105"/>
          <w:szCs w:val="22"/>
        </w:rPr>
        <w:t>making of</w:t>
      </w:r>
      <w:r w:rsidRPr="000D127B">
        <w:rPr>
          <w:spacing w:val="-3"/>
          <w:w w:val="105"/>
          <w:szCs w:val="22"/>
        </w:rPr>
        <w:t xml:space="preserve"> </w:t>
      </w:r>
      <w:r w:rsidRPr="000D127B">
        <w:rPr>
          <w:w w:val="105"/>
          <w:szCs w:val="22"/>
        </w:rPr>
        <w:t>a</w:t>
      </w:r>
      <w:r w:rsidRPr="000D127B">
        <w:rPr>
          <w:spacing w:val="-14"/>
          <w:w w:val="105"/>
          <w:szCs w:val="22"/>
        </w:rPr>
        <w:t xml:space="preserve"> </w:t>
      </w:r>
      <w:r w:rsidRPr="000D127B">
        <w:rPr>
          <w:w w:val="105"/>
          <w:szCs w:val="22"/>
        </w:rPr>
        <w:t>statutory</w:t>
      </w:r>
      <w:r w:rsidRPr="000D127B">
        <w:rPr>
          <w:spacing w:val="-4"/>
          <w:w w:val="105"/>
          <w:szCs w:val="22"/>
        </w:rPr>
        <w:t xml:space="preserve"> </w:t>
      </w:r>
      <w:r w:rsidRPr="000D127B">
        <w:rPr>
          <w:w w:val="105"/>
          <w:szCs w:val="22"/>
        </w:rPr>
        <w:t>demand.  More</w:t>
      </w:r>
      <w:r w:rsidRPr="000D127B">
        <w:rPr>
          <w:w w:val="102"/>
          <w:szCs w:val="22"/>
        </w:rPr>
        <w:t xml:space="preserve"> </w:t>
      </w:r>
      <w:r w:rsidRPr="000D127B">
        <w:rPr>
          <w:w w:val="105"/>
          <w:szCs w:val="22"/>
        </w:rPr>
        <w:t>precisely,</w:t>
      </w:r>
      <w:r w:rsidRPr="000D127B">
        <w:rPr>
          <w:spacing w:val="8"/>
          <w:w w:val="105"/>
          <w:szCs w:val="22"/>
        </w:rPr>
        <w:t xml:space="preserve"> </w:t>
      </w:r>
      <w:r w:rsidRPr="000D127B">
        <w:rPr>
          <w:w w:val="105"/>
          <w:szCs w:val="22"/>
        </w:rPr>
        <w:t>the</w:t>
      </w:r>
      <w:r w:rsidRPr="000D127B">
        <w:rPr>
          <w:spacing w:val="-7"/>
          <w:w w:val="105"/>
          <w:szCs w:val="22"/>
        </w:rPr>
        <w:t xml:space="preserve"> </w:t>
      </w:r>
      <w:r w:rsidRPr="000D127B">
        <w:rPr>
          <w:w w:val="105"/>
          <w:szCs w:val="22"/>
        </w:rPr>
        <w:t>question</w:t>
      </w:r>
      <w:r w:rsidRPr="000D127B">
        <w:rPr>
          <w:spacing w:val="13"/>
          <w:w w:val="105"/>
          <w:szCs w:val="22"/>
        </w:rPr>
        <w:t xml:space="preserve"> </w:t>
      </w:r>
      <w:r w:rsidRPr="000D127B">
        <w:rPr>
          <w:w w:val="105"/>
          <w:szCs w:val="22"/>
        </w:rPr>
        <w:t>was</w:t>
      </w:r>
      <w:r w:rsidRPr="000D127B">
        <w:rPr>
          <w:spacing w:val="-1"/>
          <w:w w:val="105"/>
          <w:szCs w:val="22"/>
        </w:rPr>
        <w:t xml:space="preserve"> </w:t>
      </w:r>
      <w:r w:rsidRPr="000D127B">
        <w:rPr>
          <w:w w:val="105"/>
          <w:szCs w:val="22"/>
        </w:rPr>
        <w:t>whether</w:t>
      </w:r>
      <w:r w:rsidRPr="000D127B">
        <w:rPr>
          <w:spacing w:val="5"/>
          <w:w w:val="105"/>
          <w:szCs w:val="22"/>
        </w:rPr>
        <w:t xml:space="preserve"> </w:t>
      </w:r>
      <w:r w:rsidRPr="000D127B">
        <w:rPr>
          <w:w w:val="105"/>
          <w:szCs w:val="22"/>
        </w:rPr>
        <w:t>s 1322</w:t>
      </w:r>
      <w:r w:rsidRPr="000D127B">
        <w:rPr>
          <w:spacing w:val="-24"/>
          <w:w w:val="105"/>
          <w:szCs w:val="22"/>
        </w:rPr>
        <w:t xml:space="preserve"> </w:t>
      </w:r>
      <w:r w:rsidRPr="000D127B">
        <w:rPr>
          <w:w w:val="105"/>
          <w:szCs w:val="22"/>
        </w:rPr>
        <w:t>of</w:t>
      </w:r>
      <w:r w:rsidRPr="000D127B">
        <w:rPr>
          <w:spacing w:val="-3"/>
          <w:w w:val="105"/>
          <w:szCs w:val="22"/>
        </w:rPr>
        <w:t xml:space="preserve"> </w:t>
      </w:r>
      <w:r w:rsidRPr="000D127B">
        <w:rPr>
          <w:w w:val="105"/>
          <w:szCs w:val="22"/>
        </w:rPr>
        <w:t>the</w:t>
      </w:r>
      <w:r w:rsidRPr="000D127B">
        <w:rPr>
          <w:spacing w:val="-7"/>
          <w:w w:val="105"/>
          <w:szCs w:val="22"/>
        </w:rPr>
        <w:t xml:space="preserve"> </w:t>
      </w:r>
      <w:r w:rsidRPr="000D127B">
        <w:rPr>
          <w:w w:val="105"/>
          <w:szCs w:val="22"/>
        </w:rPr>
        <w:t>Law</w:t>
      </w:r>
      <w:r w:rsidRPr="000D127B">
        <w:rPr>
          <w:spacing w:val="3"/>
          <w:w w:val="105"/>
          <w:szCs w:val="22"/>
        </w:rPr>
        <w:t xml:space="preserve"> </w:t>
      </w:r>
      <w:r w:rsidRPr="000D127B">
        <w:rPr>
          <w:w w:val="105"/>
          <w:szCs w:val="22"/>
        </w:rPr>
        <w:t>authorises</w:t>
      </w:r>
      <w:r w:rsidRPr="000D127B">
        <w:rPr>
          <w:spacing w:val="1"/>
          <w:w w:val="105"/>
          <w:szCs w:val="22"/>
        </w:rPr>
        <w:t xml:space="preserve"> </w:t>
      </w:r>
      <w:r w:rsidRPr="000D127B">
        <w:rPr>
          <w:w w:val="105"/>
          <w:szCs w:val="22"/>
        </w:rPr>
        <w:t>an</w:t>
      </w:r>
      <w:r w:rsidRPr="000D127B">
        <w:rPr>
          <w:spacing w:val="-2"/>
          <w:w w:val="105"/>
          <w:szCs w:val="22"/>
        </w:rPr>
        <w:t xml:space="preserve"> </w:t>
      </w:r>
      <w:r w:rsidRPr="000D127B">
        <w:rPr>
          <w:w w:val="105"/>
          <w:szCs w:val="22"/>
        </w:rPr>
        <w:t>extension</w:t>
      </w:r>
      <w:r w:rsidRPr="000D127B">
        <w:rPr>
          <w:spacing w:val="1"/>
          <w:w w:val="105"/>
          <w:szCs w:val="22"/>
        </w:rPr>
        <w:t xml:space="preserve"> </w:t>
      </w:r>
      <w:r w:rsidRPr="000D127B">
        <w:rPr>
          <w:w w:val="105"/>
          <w:szCs w:val="22"/>
        </w:rPr>
        <w:t>of</w:t>
      </w:r>
      <w:r w:rsidRPr="000D127B">
        <w:rPr>
          <w:w w:val="99"/>
          <w:szCs w:val="22"/>
        </w:rPr>
        <w:t xml:space="preserve"> </w:t>
      </w:r>
      <w:r w:rsidRPr="000D127B">
        <w:rPr>
          <w:w w:val="105"/>
          <w:szCs w:val="22"/>
        </w:rPr>
        <w:t>time</w:t>
      </w:r>
      <w:r w:rsidRPr="000D127B">
        <w:rPr>
          <w:spacing w:val="29"/>
          <w:w w:val="105"/>
          <w:szCs w:val="22"/>
        </w:rPr>
        <w:t xml:space="preserve"> </w:t>
      </w:r>
      <w:r w:rsidRPr="000D127B">
        <w:rPr>
          <w:w w:val="105"/>
          <w:szCs w:val="22"/>
        </w:rPr>
        <w:t>for</w:t>
      </w:r>
      <w:r w:rsidRPr="000D127B">
        <w:rPr>
          <w:spacing w:val="22"/>
          <w:w w:val="105"/>
          <w:szCs w:val="22"/>
        </w:rPr>
        <w:t xml:space="preserve"> </w:t>
      </w:r>
      <w:r w:rsidRPr="000D127B">
        <w:rPr>
          <w:w w:val="105"/>
          <w:szCs w:val="22"/>
        </w:rPr>
        <w:t>compliance</w:t>
      </w:r>
      <w:r w:rsidRPr="000D127B">
        <w:rPr>
          <w:spacing w:val="27"/>
          <w:w w:val="105"/>
          <w:szCs w:val="22"/>
        </w:rPr>
        <w:t xml:space="preserve"> </w:t>
      </w:r>
      <w:r w:rsidRPr="000D127B">
        <w:rPr>
          <w:w w:val="105"/>
          <w:szCs w:val="22"/>
        </w:rPr>
        <w:t>to</w:t>
      </w:r>
      <w:r w:rsidRPr="000D127B">
        <w:rPr>
          <w:spacing w:val="21"/>
          <w:w w:val="105"/>
          <w:szCs w:val="22"/>
        </w:rPr>
        <w:t xml:space="preserve"> </w:t>
      </w:r>
      <w:r w:rsidRPr="000D127B">
        <w:rPr>
          <w:w w:val="105"/>
          <w:szCs w:val="22"/>
        </w:rPr>
        <w:t>be</w:t>
      </w:r>
      <w:r w:rsidRPr="000D127B">
        <w:rPr>
          <w:spacing w:val="23"/>
          <w:w w:val="105"/>
          <w:szCs w:val="22"/>
        </w:rPr>
        <w:t xml:space="preserve"> </w:t>
      </w:r>
      <w:r w:rsidRPr="000D127B">
        <w:rPr>
          <w:w w:val="105"/>
          <w:szCs w:val="22"/>
        </w:rPr>
        <w:t>granted</w:t>
      </w:r>
      <w:r w:rsidRPr="000D127B">
        <w:rPr>
          <w:spacing w:val="34"/>
          <w:w w:val="105"/>
          <w:szCs w:val="22"/>
        </w:rPr>
        <w:t xml:space="preserve"> </w:t>
      </w:r>
      <w:r w:rsidRPr="000D127B">
        <w:rPr>
          <w:w w:val="105"/>
          <w:szCs w:val="22"/>
        </w:rPr>
        <w:t>in</w:t>
      </w:r>
      <w:r w:rsidRPr="000D127B">
        <w:rPr>
          <w:spacing w:val="21"/>
          <w:w w:val="105"/>
          <w:szCs w:val="22"/>
        </w:rPr>
        <w:t xml:space="preserve"> </w:t>
      </w:r>
      <w:r w:rsidRPr="000D127B">
        <w:rPr>
          <w:w w:val="105"/>
          <w:szCs w:val="22"/>
        </w:rPr>
        <w:t>circumstances</w:t>
      </w:r>
      <w:r w:rsidRPr="000D127B">
        <w:rPr>
          <w:spacing w:val="29"/>
          <w:w w:val="105"/>
          <w:szCs w:val="22"/>
        </w:rPr>
        <w:t xml:space="preserve"> </w:t>
      </w:r>
      <w:r w:rsidRPr="000D127B">
        <w:rPr>
          <w:w w:val="105"/>
          <w:szCs w:val="22"/>
        </w:rPr>
        <w:t>where</w:t>
      </w:r>
      <w:r w:rsidRPr="000D127B">
        <w:rPr>
          <w:spacing w:val="32"/>
          <w:w w:val="105"/>
          <w:szCs w:val="22"/>
        </w:rPr>
        <w:t xml:space="preserve"> </w:t>
      </w:r>
      <w:r w:rsidRPr="000D127B">
        <w:rPr>
          <w:w w:val="105"/>
          <w:szCs w:val="22"/>
        </w:rPr>
        <w:t>no</w:t>
      </w:r>
      <w:r w:rsidRPr="000D127B">
        <w:rPr>
          <w:spacing w:val="21"/>
          <w:w w:val="105"/>
          <w:szCs w:val="22"/>
        </w:rPr>
        <w:t xml:space="preserve"> </w:t>
      </w:r>
      <w:r w:rsidRPr="000D127B">
        <w:rPr>
          <w:w w:val="105"/>
          <w:szCs w:val="22"/>
        </w:rPr>
        <w:t>application</w:t>
      </w:r>
      <w:r w:rsidRPr="000D127B">
        <w:rPr>
          <w:spacing w:val="39"/>
          <w:w w:val="105"/>
          <w:szCs w:val="22"/>
        </w:rPr>
        <w:t xml:space="preserve"> </w:t>
      </w:r>
      <w:r w:rsidRPr="000D127B">
        <w:rPr>
          <w:w w:val="105"/>
          <w:szCs w:val="22"/>
        </w:rPr>
        <w:t>had</w:t>
      </w:r>
      <w:r w:rsidRPr="000D127B">
        <w:rPr>
          <w:szCs w:val="22"/>
        </w:rPr>
        <w:t xml:space="preserve"> </w:t>
      </w:r>
      <w:r w:rsidRPr="000D127B">
        <w:rPr>
          <w:w w:val="105"/>
          <w:szCs w:val="22"/>
        </w:rPr>
        <w:t>been</w:t>
      </w:r>
      <w:r w:rsidRPr="000D127B">
        <w:rPr>
          <w:spacing w:val="10"/>
          <w:w w:val="105"/>
          <w:szCs w:val="22"/>
        </w:rPr>
        <w:t xml:space="preserve"> </w:t>
      </w:r>
      <w:r w:rsidRPr="000D127B">
        <w:rPr>
          <w:w w:val="105"/>
          <w:szCs w:val="22"/>
        </w:rPr>
        <w:t>made</w:t>
      </w:r>
      <w:r w:rsidRPr="000D127B">
        <w:rPr>
          <w:spacing w:val="14"/>
          <w:w w:val="105"/>
          <w:szCs w:val="22"/>
        </w:rPr>
        <w:t xml:space="preserve"> </w:t>
      </w:r>
      <w:r w:rsidRPr="000D127B">
        <w:rPr>
          <w:w w:val="105"/>
          <w:szCs w:val="22"/>
        </w:rPr>
        <w:t>within</w:t>
      </w:r>
      <w:r w:rsidRPr="000D127B">
        <w:rPr>
          <w:spacing w:val="12"/>
          <w:w w:val="105"/>
          <w:szCs w:val="22"/>
        </w:rPr>
        <w:t xml:space="preserve"> </w:t>
      </w:r>
      <w:r w:rsidRPr="000D127B">
        <w:rPr>
          <w:w w:val="105"/>
          <w:szCs w:val="22"/>
        </w:rPr>
        <w:t>time.  Section</w:t>
      </w:r>
      <w:r w:rsidRPr="000D127B">
        <w:rPr>
          <w:spacing w:val="4"/>
          <w:w w:val="105"/>
          <w:szCs w:val="22"/>
        </w:rPr>
        <w:t xml:space="preserve"> </w:t>
      </w:r>
      <w:proofErr w:type="gramStart"/>
      <w:r w:rsidRPr="000D127B">
        <w:rPr>
          <w:w w:val="105"/>
          <w:szCs w:val="22"/>
        </w:rPr>
        <w:t>459G(</w:t>
      </w:r>
      <w:proofErr w:type="gramEnd"/>
      <w:r w:rsidRPr="000D127B">
        <w:rPr>
          <w:w w:val="105"/>
          <w:szCs w:val="22"/>
        </w:rPr>
        <w:t>2)</w:t>
      </w:r>
      <w:r w:rsidRPr="000D127B">
        <w:rPr>
          <w:spacing w:val="1"/>
          <w:w w:val="105"/>
          <w:szCs w:val="22"/>
        </w:rPr>
        <w:t xml:space="preserve"> </w:t>
      </w:r>
      <w:r w:rsidRPr="000D127B">
        <w:rPr>
          <w:w w:val="105"/>
          <w:szCs w:val="22"/>
        </w:rPr>
        <w:t>of</w:t>
      </w:r>
      <w:r w:rsidRPr="000D127B">
        <w:rPr>
          <w:spacing w:val="2"/>
          <w:w w:val="105"/>
          <w:szCs w:val="22"/>
        </w:rPr>
        <w:t xml:space="preserve"> </w:t>
      </w:r>
      <w:r w:rsidRPr="000D127B">
        <w:rPr>
          <w:w w:val="105"/>
          <w:szCs w:val="22"/>
        </w:rPr>
        <w:t>the</w:t>
      </w:r>
      <w:r w:rsidRPr="000D127B">
        <w:rPr>
          <w:spacing w:val="-3"/>
          <w:w w:val="105"/>
          <w:szCs w:val="22"/>
        </w:rPr>
        <w:t xml:space="preserve"> </w:t>
      </w:r>
      <w:r w:rsidRPr="000D127B">
        <w:rPr>
          <w:w w:val="105"/>
          <w:szCs w:val="22"/>
        </w:rPr>
        <w:t>Law</w:t>
      </w:r>
      <w:r w:rsidRPr="000D127B">
        <w:rPr>
          <w:spacing w:val="7"/>
          <w:w w:val="105"/>
          <w:szCs w:val="22"/>
        </w:rPr>
        <w:t xml:space="preserve"> </w:t>
      </w:r>
      <w:r w:rsidRPr="000D127B">
        <w:rPr>
          <w:w w:val="105"/>
          <w:szCs w:val="22"/>
        </w:rPr>
        <w:t>stipulates</w:t>
      </w:r>
      <w:r w:rsidRPr="000D127B">
        <w:rPr>
          <w:spacing w:val="3"/>
          <w:w w:val="105"/>
          <w:szCs w:val="22"/>
        </w:rPr>
        <w:t xml:space="preserve"> </w:t>
      </w:r>
      <w:r w:rsidRPr="000D127B">
        <w:rPr>
          <w:w w:val="105"/>
          <w:szCs w:val="22"/>
        </w:rPr>
        <w:t>an</w:t>
      </w:r>
      <w:r w:rsidRPr="000D127B">
        <w:rPr>
          <w:spacing w:val="8"/>
          <w:w w:val="105"/>
          <w:szCs w:val="22"/>
        </w:rPr>
        <w:t xml:space="preserve"> </w:t>
      </w:r>
      <w:r w:rsidRPr="000D127B">
        <w:rPr>
          <w:w w:val="105"/>
          <w:szCs w:val="22"/>
        </w:rPr>
        <w:t>application</w:t>
      </w:r>
      <w:r w:rsidRPr="000D127B">
        <w:rPr>
          <w:spacing w:val="15"/>
          <w:w w:val="105"/>
          <w:szCs w:val="22"/>
        </w:rPr>
        <w:t xml:space="preserve"> </w:t>
      </w:r>
      <w:r w:rsidRPr="000D127B">
        <w:rPr>
          <w:w w:val="105"/>
          <w:szCs w:val="22"/>
        </w:rPr>
        <w:t>for an</w:t>
      </w:r>
      <w:r w:rsidRPr="000D127B">
        <w:rPr>
          <w:spacing w:val="-2"/>
          <w:w w:val="105"/>
          <w:szCs w:val="22"/>
        </w:rPr>
        <w:t xml:space="preserve"> </w:t>
      </w:r>
      <w:r w:rsidRPr="000D127B">
        <w:rPr>
          <w:w w:val="105"/>
          <w:szCs w:val="22"/>
        </w:rPr>
        <w:t>order</w:t>
      </w:r>
      <w:r w:rsidRPr="000D127B">
        <w:rPr>
          <w:spacing w:val="5"/>
          <w:w w:val="105"/>
          <w:szCs w:val="22"/>
        </w:rPr>
        <w:t xml:space="preserve"> </w:t>
      </w:r>
      <w:r w:rsidRPr="000D127B">
        <w:rPr>
          <w:w w:val="105"/>
          <w:szCs w:val="22"/>
        </w:rPr>
        <w:t>setting</w:t>
      </w:r>
      <w:r w:rsidRPr="000D127B">
        <w:rPr>
          <w:spacing w:val="-3"/>
          <w:w w:val="105"/>
          <w:szCs w:val="22"/>
        </w:rPr>
        <w:t xml:space="preserve"> </w:t>
      </w:r>
      <w:r w:rsidRPr="000D127B">
        <w:rPr>
          <w:w w:val="105"/>
          <w:szCs w:val="22"/>
        </w:rPr>
        <w:t>aside</w:t>
      </w:r>
      <w:r w:rsidRPr="000D127B">
        <w:rPr>
          <w:spacing w:val="-2"/>
          <w:w w:val="105"/>
          <w:szCs w:val="22"/>
        </w:rPr>
        <w:t xml:space="preserve"> </w:t>
      </w:r>
      <w:r w:rsidRPr="000D127B">
        <w:rPr>
          <w:w w:val="105"/>
          <w:szCs w:val="22"/>
        </w:rPr>
        <w:t>a</w:t>
      </w:r>
      <w:r w:rsidRPr="000D127B">
        <w:rPr>
          <w:spacing w:val="-2"/>
          <w:w w:val="105"/>
          <w:szCs w:val="22"/>
        </w:rPr>
        <w:t xml:space="preserve"> </w:t>
      </w:r>
      <w:r w:rsidRPr="000D127B">
        <w:rPr>
          <w:w w:val="105"/>
          <w:szCs w:val="22"/>
        </w:rPr>
        <w:t>statutory</w:t>
      </w:r>
      <w:r w:rsidRPr="000D127B">
        <w:rPr>
          <w:spacing w:val="2"/>
          <w:w w:val="105"/>
          <w:szCs w:val="22"/>
        </w:rPr>
        <w:t xml:space="preserve"> </w:t>
      </w:r>
      <w:r w:rsidRPr="000D127B">
        <w:rPr>
          <w:w w:val="105"/>
          <w:szCs w:val="22"/>
        </w:rPr>
        <w:t>demand</w:t>
      </w:r>
      <w:r w:rsidRPr="000D127B">
        <w:rPr>
          <w:spacing w:val="8"/>
          <w:w w:val="105"/>
          <w:szCs w:val="22"/>
        </w:rPr>
        <w:t xml:space="preserve"> </w:t>
      </w:r>
      <w:r w:rsidRPr="000D127B">
        <w:rPr>
          <w:i/>
          <w:w w:val="105"/>
          <w:szCs w:val="22"/>
        </w:rPr>
        <w:t>may</w:t>
      </w:r>
      <w:r w:rsidRPr="000D127B">
        <w:rPr>
          <w:i/>
          <w:spacing w:val="-5"/>
          <w:w w:val="105"/>
          <w:szCs w:val="22"/>
        </w:rPr>
        <w:t xml:space="preserve"> </w:t>
      </w:r>
      <w:r w:rsidRPr="000D127B">
        <w:rPr>
          <w:i/>
          <w:w w:val="105"/>
          <w:szCs w:val="22"/>
        </w:rPr>
        <w:t xml:space="preserve">only </w:t>
      </w:r>
      <w:r w:rsidRPr="000D127B">
        <w:rPr>
          <w:w w:val="105"/>
          <w:szCs w:val="22"/>
        </w:rPr>
        <w:t>be</w:t>
      </w:r>
      <w:r w:rsidRPr="000D127B">
        <w:rPr>
          <w:spacing w:val="2"/>
          <w:w w:val="105"/>
          <w:szCs w:val="22"/>
        </w:rPr>
        <w:t xml:space="preserve"> </w:t>
      </w:r>
      <w:r w:rsidRPr="000D127B">
        <w:rPr>
          <w:w w:val="105"/>
          <w:szCs w:val="22"/>
        </w:rPr>
        <w:t>made</w:t>
      </w:r>
      <w:r w:rsidRPr="000D127B">
        <w:rPr>
          <w:spacing w:val="3"/>
          <w:w w:val="105"/>
          <w:szCs w:val="22"/>
        </w:rPr>
        <w:t xml:space="preserve"> </w:t>
      </w:r>
      <w:r w:rsidRPr="000D127B">
        <w:rPr>
          <w:w w:val="105"/>
          <w:szCs w:val="22"/>
        </w:rPr>
        <w:t>within</w:t>
      </w:r>
      <w:r w:rsidRPr="000D127B">
        <w:rPr>
          <w:spacing w:val="7"/>
          <w:w w:val="105"/>
          <w:szCs w:val="22"/>
        </w:rPr>
        <w:t xml:space="preserve"> </w:t>
      </w:r>
      <w:r w:rsidRPr="000D127B">
        <w:rPr>
          <w:w w:val="105"/>
          <w:szCs w:val="22"/>
        </w:rPr>
        <w:t>21</w:t>
      </w:r>
      <w:r w:rsidRPr="000D127B">
        <w:rPr>
          <w:spacing w:val="-7"/>
          <w:w w:val="105"/>
          <w:szCs w:val="22"/>
        </w:rPr>
        <w:t xml:space="preserve"> </w:t>
      </w:r>
      <w:r w:rsidRPr="000D127B">
        <w:rPr>
          <w:w w:val="105"/>
          <w:szCs w:val="22"/>
        </w:rPr>
        <w:t>days</w:t>
      </w:r>
      <w:r w:rsidRPr="000D127B">
        <w:rPr>
          <w:spacing w:val="-2"/>
          <w:w w:val="105"/>
          <w:szCs w:val="22"/>
        </w:rPr>
        <w:t xml:space="preserve"> </w:t>
      </w:r>
      <w:r w:rsidRPr="000D127B">
        <w:rPr>
          <w:w w:val="105"/>
          <w:szCs w:val="22"/>
        </w:rPr>
        <w:t>after</w:t>
      </w:r>
      <w:r w:rsidRPr="000D127B">
        <w:rPr>
          <w:w w:val="104"/>
          <w:szCs w:val="22"/>
        </w:rPr>
        <w:t xml:space="preserve"> </w:t>
      </w:r>
      <w:r w:rsidRPr="000D127B">
        <w:rPr>
          <w:w w:val="105"/>
          <w:szCs w:val="22"/>
        </w:rPr>
        <w:t>the</w:t>
      </w:r>
      <w:r w:rsidRPr="000D127B">
        <w:rPr>
          <w:spacing w:val="9"/>
          <w:w w:val="105"/>
          <w:szCs w:val="22"/>
        </w:rPr>
        <w:t xml:space="preserve"> </w:t>
      </w:r>
      <w:r w:rsidRPr="000D127B">
        <w:rPr>
          <w:w w:val="105"/>
          <w:szCs w:val="22"/>
        </w:rPr>
        <w:t>demand</w:t>
      </w:r>
      <w:r w:rsidRPr="000D127B">
        <w:rPr>
          <w:spacing w:val="19"/>
          <w:w w:val="105"/>
          <w:szCs w:val="22"/>
        </w:rPr>
        <w:t xml:space="preserve"> </w:t>
      </w:r>
      <w:r w:rsidRPr="000D127B">
        <w:rPr>
          <w:w w:val="105"/>
          <w:szCs w:val="22"/>
        </w:rPr>
        <w:t>is</w:t>
      </w:r>
      <w:r w:rsidRPr="000D127B">
        <w:rPr>
          <w:spacing w:val="10"/>
          <w:w w:val="105"/>
          <w:szCs w:val="22"/>
        </w:rPr>
        <w:t xml:space="preserve"> </w:t>
      </w:r>
      <w:r w:rsidRPr="000D127B">
        <w:rPr>
          <w:w w:val="105"/>
          <w:szCs w:val="22"/>
        </w:rPr>
        <w:t>served.  Section</w:t>
      </w:r>
      <w:r w:rsidRPr="000D127B">
        <w:rPr>
          <w:spacing w:val="29"/>
          <w:w w:val="105"/>
          <w:szCs w:val="22"/>
        </w:rPr>
        <w:t xml:space="preserve"> </w:t>
      </w:r>
      <w:r w:rsidRPr="000D127B">
        <w:rPr>
          <w:w w:val="105"/>
          <w:szCs w:val="22"/>
        </w:rPr>
        <w:t>1322</w:t>
      </w:r>
      <w:r w:rsidRPr="000D127B">
        <w:rPr>
          <w:spacing w:val="-10"/>
          <w:w w:val="105"/>
          <w:szCs w:val="22"/>
        </w:rPr>
        <w:t xml:space="preserve"> </w:t>
      </w:r>
      <w:r w:rsidRPr="000D127B">
        <w:rPr>
          <w:w w:val="105"/>
          <w:szCs w:val="22"/>
        </w:rPr>
        <w:t>of</w:t>
      </w:r>
      <w:r w:rsidRPr="000D127B">
        <w:rPr>
          <w:spacing w:val="8"/>
          <w:w w:val="105"/>
          <w:szCs w:val="22"/>
        </w:rPr>
        <w:t xml:space="preserve"> </w:t>
      </w:r>
      <w:r w:rsidRPr="000D127B">
        <w:rPr>
          <w:w w:val="105"/>
          <w:szCs w:val="22"/>
        </w:rPr>
        <w:t>the</w:t>
      </w:r>
      <w:r w:rsidRPr="000D127B">
        <w:rPr>
          <w:spacing w:val="9"/>
          <w:w w:val="105"/>
          <w:szCs w:val="22"/>
        </w:rPr>
        <w:t xml:space="preserve"> </w:t>
      </w:r>
      <w:r w:rsidRPr="000D127B">
        <w:rPr>
          <w:w w:val="105"/>
          <w:szCs w:val="22"/>
        </w:rPr>
        <w:t>Law</w:t>
      </w:r>
      <w:r w:rsidRPr="000D127B">
        <w:rPr>
          <w:spacing w:val="13"/>
          <w:w w:val="105"/>
          <w:szCs w:val="22"/>
        </w:rPr>
        <w:t xml:space="preserve"> </w:t>
      </w:r>
      <w:r w:rsidRPr="000D127B">
        <w:rPr>
          <w:w w:val="105"/>
          <w:szCs w:val="22"/>
        </w:rPr>
        <w:t>empowers</w:t>
      </w:r>
      <w:r w:rsidRPr="000D127B">
        <w:rPr>
          <w:spacing w:val="15"/>
          <w:w w:val="105"/>
          <w:szCs w:val="22"/>
        </w:rPr>
        <w:t xml:space="preserve"> </w:t>
      </w:r>
      <w:r w:rsidRPr="000D127B">
        <w:rPr>
          <w:w w:val="105"/>
          <w:szCs w:val="22"/>
        </w:rPr>
        <w:t>the</w:t>
      </w:r>
      <w:r w:rsidRPr="000D127B">
        <w:rPr>
          <w:spacing w:val="3"/>
          <w:w w:val="105"/>
          <w:szCs w:val="22"/>
        </w:rPr>
        <w:t xml:space="preserve"> </w:t>
      </w:r>
      <w:r w:rsidRPr="000D127B">
        <w:rPr>
          <w:w w:val="105"/>
          <w:szCs w:val="22"/>
        </w:rPr>
        <w:t>court</w:t>
      </w:r>
      <w:r w:rsidRPr="000D127B">
        <w:rPr>
          <w:spacing w:val="13"/>
          <w:w w:val="105"/>
          <w:szCs w:val="22"/>
        </w:rPr>
        <w:t xml:space="preserve"> </w:t>
      </w:r>
      <w:r w:rsidRPr="000D127B">
        <w:rPr>
          <w:w w:val="105"/>
          <w:szCs w:val="22"/>
        </w:rPr>
        <w:t>to</w:t>
      </w:r>
      <w:r w:rsidRPr="000D127B">
        <w:rPr>
          <w:spacing w:val="8"/>
          <w:w w:val="105"/>
          <w:szCs w:val="22"/>
        </w:rPr>
        <w:t xml:space="preserve"> </w:t>
      </w:r>
      <w:r w:rsidRPr="000D127B">
        <w:rPr>
          <w:w w:val="105"/>
          <w:szCs w:val="22"/>
        </w:rPr>
        <w:t>make</w:t>
      </w:r>
      <w:r w:rsidRPr="000D127B">
        <w:rPr>
          <w:spacing w:val="14"/>
          <w:w w:val="105"/>
          <w:szCs w:val="22"/>
        </w:rPr>
        <w:t xml:space="preserve"> </w:t>
      </w:r>
      <w:r w:rsidRPr="000D127B">
        <w:rPr>
          <w:w w:val="105"/>
          <w:szCs w:val="22"/>
        </w:rPr>
        <w:t>an</w:t>
      </w:r>
      <w:r w:rsidRPr="000D127B">
        <w:rPr>
          <w:w w:val="98"/>
          <w:szCs w:val="22"/>
        </w:rPr>
        <w:t xml:space="preserve"> </w:t>
      </w:r>
      <w:r w:rsidRPr="000D127B">
        <w:rPr>
          <w:w w:val="105"/>
          <w:szCs w:val="22"/>
        </w:rPr>
        <w:lastRenderedPageBreak/>
        <w:t>order</w:t>
      </w:r>
      <w:r w:rsidRPr="000D127B">
        <w:rPr>
          <w:spacing w:val="-9"/>
          <w:w w:val="105"/>
          <w:szCs w:val="22"/>
        </w:rPr>
        <w:t xml:space="preserve"> </w:t>
      </w:r>
      <w:r w:rsidRPr="000D127B">
        <w:rPr>
          <w:w w:val="105"/>
          <w:szCs w:val="22"/>
        </w:rPr>
        <w:t>extending</w:t>
      </w:r>
      <w:r w:rsidRPr="000D127B">
        <w:rPr>
          <w:spacing w:val="-3"/>
          <w:w w:val="105"/>
          <w:szCs w:val="22"/>
        </w:rPr>
        <w:t xml:space="preserve"> </w:t>
      </w:r>
      <w:r w:rsidRPr="000D127B">
        <w:rPr>
          <w:w w:val="105"/>
          <w:szCs w:val="22"/>
        </w:rPr>
        <w:t>the</w:t>
      </w:r>
      <w:r w:rsidRPr="000D127B">
        <w:rPr>
          <w:spacing w:val="-9"/>
          <w:w w:val="105"/>
          <w:szCs w:val="22"/>
        </w:rPr>
        <w:t xml:space="preserve"> </w:t>
      </w:r>
      <w:r w:rsidRPr="000D127B">
        <w:rPr>
          <w:w w:val="105"/>
          <w:szCs w:val="22"/>
        </w:rPr>
        <w:t>period</w:t>
      </w:r>
      <w:r w:rsidRPr="000D127B">
        <w:rPr>
          <w:spacing w:val="1"/>
          <w:w w:val="105"/>
          <w:szCs w:val="22"/>
        </w:rPr>
        <w:t xml:space="preserve"> </w:t>
      </w:r>
      <w:r w:rsidRPr="000D127B">
        <w:rPr>
          <w:w w:val="105"/>
          <w:szCs w:val="22"/>
        </w:rPr>
        <w:t>for</w:t>
      </w:r>
      <w:r w:rsidRPr="000D127B">
        <w:rPr>
          <w:spacing w:val="-13"/>
          <w:w w:val="105"/>
          <w:szCs w:val="22"/>
        </w:rPr>
        <w:t xml:space="preserve"> </w:t>
      </w:r>
      <w:r w:rsidRPr="000D127B">
        <w:rPr>
          <w:w w:val="105"/>
          <w:szCs w:val="22"/>
        </w:rPr>
        <w:t>taking</w:t>
      </w:r>
      <w:r w:rsidRPr="000D127B">
        <w:rPr>
          <w:spacing w:val="-2"/>
          <w:w w:val="105"/>
          <w:szCs w:val="22"/>
        </w:rPr>
        <w:t xml:space="preserve"> </w:t>
      </w:r>
      <w:r w:rsidRPr="000D127B">
        <w:rPr>
          <w:w w:val="105"/>
          <w:szCs w:val="22"/>
        </w:rPr>
        <w:t>any</w:t>
      </w:r>
      <w:r w:rsidRPr="000D127B">
        <w:rPr>
          <w:spacing w:val="-9"/>
          <w:w w:val="105"/>
          <w:szCs w:val="22"/>
        </w:rPr>
        <w:t xml:space="preserve"> </w:t>
      </w:r>
      <w:r w:rsidRPr="000D127B">
        <w:rPr>
          <w:w w:val="105"/>
          <w:szCs w:val="22"/>
        </w:rPr>
        <w:t>proceeding</w:t>
      </w:r>
      <w:r w:rsidRPr="000D127B">
        <w:rPr>
          <w:spacing w:val="7"/>
          <w:w w:val="105"/>
          <w:szCs w:val="22"/>
        </w:rPr>
        <w:t xml:space="preserve"> </w:t>
      </w:r>
      <w:r w:rsidRPr="000D127B">
        <w:rPr>
          <w:w w:val="105"/>
          <w:szCs w:val="22"/>
        </w:rPr>
        <w:t>under</w:t>
      </w:r>
      <w:r w:rsidRPr="000D127B">
        <w:rPr>
          <w:spacing w:val="1"/>
          <w:w w:val="105"/>
          <w:szCs w:val="22"/>
        </w:rPr>
        <w:t xml:space="preserve"> </w:t>
      </w:r>
      <w:r w:rsidRPr="000D127B">
        <w:rPr>
          <w:w w:val="105"/>
          <w:szCs w:val="22"/>
        </w:rPr>
        <w:t>the</w:t>
      </w:r>
      <w:r w:rsidRPr="000D127B">
        <w:rPr>
          <w:spacing w:val="-9"/>
          <w:w w:val="105"/>
          <w:szCs w:val="22"/>
        </w:rPr>
        <w:t xml:space="preserve"> </w:t>
      </w:r>
      <w:r w:rsidRPr="000D127B">
        <w:rPr>
          <w:w w:val="105"/>
          <w:szCs w:val="22"/>
        </w:rPr>
        <w:t>Law</w:t>
      </w:r>
      <w:r w:rsidRPr="000D127B">
        <w:rPr>
          <w:spacing w:val="-5"/>
          <w:w w:val="105"/>
          <w:szCs w:val="22"/>
        </w:rPr>
        <w:t xml:space="preserve"> </w:t>
      </w:r>
      <w:r w:rsidRPr="000D127B">
        <w:rPr>
          <w:w w:val="105"/>
          <w:szCs w:val="22"/>
        </w:rPr>
        <w:t>or</w:t>
      </w:r>
      <w:r w:rsidRPr="000D127B">
        <w:rPr>
          <w:spacing w:val="-9"/>
          <w:w w:val="105"/>
          <w:szCs w:val="22"/>
        </w:rPr>
        <w:t xml:space="preserve"> </w:t>
      </w:r>
      <w:r w:rsidRPr="000D127B">
        <w:rPr>
          <w:w w:val="105"/>
          <w:szCs w:val="22"/>
        </w:rPr>
        <w:t>in</w:t>
      </w:r>
      <w:r w:rsidRPr="000D127B">
        <w:rPr>
          <w:spacing w:val="-3"/>
          <w:w w:val="105"/>
          <w:szCs w:val="22"/>
        </w:rPr>
        <w:t xml:space="preserve"> </w:t>
      </w:r>
      <w:r w:rsidRPr="000D127B">
        <w:rPr>
          <w:w w:val="105"/>
          <w:szCs w:val="22"/>
        </w:rPr>
        <w:t>relation</w:t>
      </w:r>
      <w:r w:rsidRPr="000D127B">
        <w:rPr>
          <w:w w:val="101"/>
          <w:szCs w:val="22"/>
        </w:rPr>
        <w:t xml:space="preserve"> </w:t>
      </w:r>
      <w:r w:rsidRPr="000D127B">
        <w:rPr>
          <w:w w:val="105"/>
          <w:szCs w:val="22"/>
        </w:rPr>
        <w:t>to</w:t>
      </w:r>
      <w:r w:rsidRPr="000D127B">
        <w:rPr>
          <w:spacing w:val="4"/>
          <w:w w:val="105"/>
          <w:szCs w:val="22"/>
        </w:rPr>
        <w:t xml:space="preserve"> </w:t>
      </w:r>
      <w:r w:rsidRPr="000D127B">
        <w:rPr>
          <w:w w:val="105"/>
          <w:szCs w:val="22"/>
        </w:rPr>
        <w:t>a</w:t>
      </w:r>
      <w:r w:rsidRPr="000D127B">
        <w:rPr>
          <w:spacing w:val="-2"/>
          <w:w w:val="105"/>
          <w:szCs w:val="22"/>
        </w:rPr>
        <w:t xml:space="preserve"> </w:t>
      </w:r>
      <w:r w:rsidRPr="000D127B">
        <w:rPr>
          <w:w w:val="105"/>
          <w:szCs w:val="22"/>
        </w:rPr>
        <w:t>corporation</w:t>
      </w:r>
      <w:r w:rsidRPr="000D127B">
        <w:rPr>
          <w:spacing w:val="18"/>
          <w:w w:val="105"/>
          <w:szCs w:val="22"/>
        </w:rPr>
        <w:t xml:space="preserve"> </w:t>
      </w:r>
      <w:r w:rsidRPr="000D127B">
        <w:rPr>
          <w:w w:val="105"/>
          <w:szCs w:val="22"/>
        </w:rPr>
        <w:t>even</w:t>
      </w:r>
      <w:r w:rsidRPr="000D127B">
        <w:rPr>
          <w:spacing w:val="13"/>
          <w:w w:val="105"/>
          <w:szCs w:val="22"/>
        </w:rPr>
        <w:t xml:space="preserve"> </w:t>
      </w:r>
      <w:r w:rsidRPr="000D127B">
        <w:rPr>
          <w:w w:val="105"/>
          <w:szCs w:val="22"/>
        </w:rPr>
        <w:t>where</w:t>
      </w:r>
      <w:r w:rsidRPr="000D127B">
        <w:rPr>
          <w:spacing w:val="10"/>
          <w:w w:val="105"/>
          <w:szCs w:val="22"/>
        </w:rPr>
        <w:t xml:space="preserve"> </w:t>
      </w:r>
      <w:r w:rsidRPr="000D127B">
        <w:rPr>
          <w:w w:val="105"/>
          <w:szCs w:val="22"/>
        </w:rPr>
        <w:t>the period</w:t>
      </w:r>
      <w:r w:rsidRPr="000D127B">
        <w:rPr>
          <w:spacing w:val="16"/>
          <w:w w:val="105"/>
          <w:szCs w:val="22"/>
        </w:rPr>
        <w:t xml:space="preserve"> </w:t>
      </w:r>
      <w:r w:rsidRPr="000D127B">
        <w:rPr>
          <w:w w:val="105"/>
          <w:szCs w:val="22"/>
        </w:rPr>
        <w:t>expired</w:t>
      </w:r>
      <w:r w:rsidRPr="000D127B">
        <w:rPr>
          <w:spacing w:val="11"/>
          <w:w w:val="105"/>
          <w:szCs w:val="22"/>
        </w:rPr>
        <w:t xml:space="preserve"> </w:t>
      </w:r>
      <w:r w:rsidRPr="000D127B">
        <w:rPr>
          <w:w w:val="105"/>
          <w:szCs w:val="22"/>
        </w:rPr>
        <w:t>before</w:t>
      </w:r>
      <w:r w:rsidRPr="000D127B">
        <w:rPr>
          <w:spacing w:val="14"/>
          <w:w w:val="105"/>
          <w:szCs w:val="22"/>
        </w:rPr>
        <w:t xml:space="preserve"> </w:t>
      </w:r>
      <w:r w:rsidRPr="000D127B">
        <w:rPr>
          <w:w w:val="105"/>
          <w:szCs w:val="22"/>
        </w:rPr>
        <w:t>the</w:t>
      </w:r>
      <w:r w:rsidRPr="000D127B">
        <w:rPr>
          <w:spacing w:val="-1"/>
          <w:w w:val="105"/>
          <w:szCs w:val="22"/>
        </w:rPr>
        <w:t xml:space="preserve"> </w:t>
      </w:r>
      <w:r w:rsidRPr="000D127B">
        <w:rPr>
          <w:w w:val="105"/>
          <w:szCs w:val="22"/>
        </w:rPr>
        <w:t>extension</w:t>
      </w:r>
      <w:r w:rsidRPr="000D127B">
        <w:rPr>
          <w:spacing w:val="14"/>
          <w:w w:val="105"/>
          <w:szCs w:val="22"/>
        </w:rPr>
        <w:t xml:space="preserve"> </w:t>
      </w:r>
      <w:r w:rsidRPr="000D127B">
        <w:rPr>
          <w:w w:val="105"/>
          <w:szCs w:val="22"/>
        </w:rPr>
        <w:t>application</w:t>
      </w:r>
      <w:r w:rsidRPr="000D127B">
        <w:rPr>
          <w:w w:val="102"/>
          <w:szCs w:val="22"/>
        </w:rPr>
        <w:t xml:space="preserve"> </w:t>
      </w:r>
      <w:r w:rsidRPr="000D127B">
        <w:rPr>
          <w:w w:val="105"/>
          <w:szCs w:val="22"/>
        </w:rPr>
        <w:t>was</w:t>
      </w:r>
      <w:r w:rsidRPr="000D127B">
        <w:rPr>
          <w:spacing w:val="13"/>
          <w:w w:val="105"/>
          <w:szCs w:val="22"/>
        </w:rPr>
        <w:t xml:space="preserve"> </w:t>
      </w:r>
      <w:r w:rsidRPr="000D127B">
        <w:rPr>
          <w:w w:val="105"/>
          <w:szCs w:val="22"/>
        </w:rPr>
        <w:t xml:space="preserve">made.  </w:t>
      </w:r>
      <w:proofErr w:type="spellStart"/>
      <w:r w:rsidRPr="000D127B">
        <w:rPr>
          <w:w w:val="105"/>
          <w:szCs w:val="22"/>
        </w:rPr>
        <w:t>Gummow</w:t>
      </w:r>
      <w:proofErr w:type="spellEnd"/>
      <w:r w:rsidRPr="000D127B">
        <w:rPr>
          <w:spacing w:val="18"/>
          <w:w w:val="105"/>
          <w:szCs w:val="22"/>
        </w:rPr>
        <w:t xml:space="preserve"> </w:t>
      </w:r>
      <w:r w:rsidRPr="000D127B">
        <w:rPr>
          <w:w w:val="105"/>
          <w:szCs w:val="22"/>
        </w:rPr>
        <w:t>J,</w:t>
      </w:r>
      <w:r w:rsidRPr="000D127B">
        <w:rPr>
          <w:spacing w:val="11"/>
          <w:w w:val="105"/>
          <w:szCs w:val="22"/>
        </w:rPr>
        <w:t xml:space="preserve"> </w:t>
      </w:r>
      <w:r w:rsidRPr="000D127B">
        <w:rPr>
          <w:w w:val="105"/>
          <w:szCs w:val="22"/>
        </w:rPr>
        <w:t>with</w:t>
      </w:r>
      <w:r w:rsidRPr="000D127B">
        <w:rPr>
          <w:spacing w:val="13"/>
          <w:w w:val="105"/>
          <w:szCs w:val="22"/>
        </w:rPr>
        <w:t xml:space="preserve"> </w:t>
      </w:r>
      <w:r w:rsidRPr="000D127B">
        <w:rPr>
          <w:w w:val="105"/>
          <w:szCs w:val="22"/>
        </w:rPr>
        <w:t>whom</w:t>
      </w:r>
      <w:r w:rsidRPr="000D127B">
        <w:rPr>
          <w:spacing w:val="14"/>
          <w:w w:val="105"/>
          <w:szCs w:val="22"/>
        </w:rPr>
        <w:t xml:space="preserve"> </w:t>
      </w:r>
      <w:r w:rsidRPr="000D127B">
        <w:rPr>
          <w:w w:val="105"/>
          <w:szCs w:val="22"/>
        </w:rPr>
        <w:t>all</w:t>
      </w:r>
      <w:r w:rsidRPr="000D127B">
        <w:rPr>
          <w:spacing w:val="11"/>
          <w:w w:val="105"/>
          <w:szCs w:val="22"/>
        </w:rPr>
        <w:t xml:space="preserve"> </w:t>
      </w:r>
      <w:r w:rsidRPr="000D127B">
        <w:rPr>
          <w:w w:val="105"/>
          <w:szCs w:val="22"/>
        </w:rPr>
        <w:t>other</w:t>
      </w:r>
      <w:r w:rsidRPr="000D127B">
        <w:rPr>
          <w:spacing w:val="4"/>
          <w:w w:val="105"/>
          <w:szCs w:val="22"/>
        </w:rPr>
        <w:t xml:space="preserve"> </w:t>
      </w:r>
      <w:r w:rsidRPr="000D127B">
        <w:rPr>
          <w:w w:val="105"/>
          <w:szCs w:val="22"/>
        </w:rPr>
        <w:t>members</w:t>
      </w:r>
      <w:r w:rsidRPr="000D127B">
        <w:rPr>
          <w:spacing w:val="18"/>
          <w:w w:val="105"/>
          <w:szCs w:val="22"/>
        </w:rPr>
        <w:t xml:space="preserve"> </w:t>
      </w:r>
      <w:r w:rsidRPr="000D127B">
        <w:rPr>
          <w:w w:val="105"/>
          <w:szCs w:val="22"/>
        </w:rPr>
        <w:t>of</w:t>
      </w:r>
      <w:r w:rsidRPr="000D127B">
        <w:rPr>
          <w:spacing w:val="11"/>
          <w:w w:val="105"/>
          <w:szCs w:val="22"/>
        </w:rPr>
        <w:t xml:space="preserve"> </w:t>
      </w:r>
      <w:r w:rsidRPr="000D127B">
        <w:rPr>
          <w:w w:val="105"/>
          <w:szCs w:val="22"/>
        </w:rPr>
        <w:t>the</w:t>
      </w:r>
      <w:r w:rsidRPr="000D127B">
        <w:rPr>
          <w:spacing w:val="6"/>
          <w:w w:val="105"/>
          <w:szCs w:val="22"/>
        </w:rPr>
        <w:t xml:space="preserve"> </w:t>
      </w:r>
      <w:r w:rsidRPr="000D127B">
        <w:rPr>
          <w:w w:val="105"/>
          <w:szCs w:val="22"/>
        </w:rPr>
        <w:t>court</w:t>
      </w:r>
      <w:r w:rsidRPr="000D127B">
        <w:rPr>
          <w:spacing w:val="10"/>
          <w:w w:val="105"/>
          <w:szCs w:val="22"/>
        </w:rPr>
        <w:t xml:space="preserve"> </w:t>
      </w:r>
      <w:r w:rsidRPr="000D127B">
        <w:rPr>
          <w:w w:val="105"/>
          <w:szCs w:val="22"/>
        </w:rPr>
        <w:t>agreed,</w:t>
      </w:r>
      <w:r w:rsidRPr="000D127B">
        <w:rPr>
          <w:spacing w:val="16"/>
          <w:w w:val="105"/>
          <w:szCs w:val="22"/>
        </w:rPr>
        <w:t xml:space="preserve"> </w:t>
      </w:r>
      <w:r w:rsidRPr="000D127B">
        <w:rPr>
          <w:w w:val="105"/>
          <w:szCs w:val="22"/>
        </w:rPr>
        <w:t>said</w:t>
      </w:r>
      <w:r w:rsidRPr="000D127B">
        <w:rPr>
          <w:w w:val="101"/>
          <w:szCs w:val="22"/>
        </w:rPr>
        <w:t xml:space="preserve"> </w:t>
      </w:r>
      <w:r w:rsidRPr="000D127B">
        <w:rPr>
          <w:w w:val="105"/>
          <w:szCs w:val="22"/>
        </w:rPr>
        <w:t>(at</w:t>
      </w:r>
      <w:r w:rsidRPr="000D127B">
        <w:rPr>
          <w:spacing w:val="7"/>
          <w:w w:val="105"/>
          <w:szCs w:val="22"/>
        </w:rPr>
        <w:t xml:space="preserve"> </w:t>
      </w:r>
      <w:r w:rsidRPr="000D127B">
        <w:rPr>
          <w:w w:val="105"/>
          <w:szCs w:val="22"/>
        </w:rPr>
        <w:t>CLR</w:t>
      </w:r>
      <w:r w:rsidRPr="000D127B">
        <w:rPr>
          <w:spacing w:val="19"/>
          <w:w w:val="105"/>
          <w:szCs w:val="22"/>
        </w:rPr>
        <w:t xml:space="preserve"> </w:t>
      </w:r>
      <w:r w:rsidRPr="000D127B">
        <w:rPr>
          <w:w w:val="105"/>
          <w:szCs w:val="22"/>
        </w:rPr>
        <w:t>277;</w:t>
      </w:r>
      <w:r w:rsidRPr="000D127B">
        <w:rPr>
          <w:spacing w:val="4"/>
          <w:w w:val="105"/>
          <w:szCs w:val="22"/>
        </w:rPr>
        <w:t xml:space="preserve"> </w:t>
      </w:r>
      <w:r w:rsidRPr="000D127B">
        <w:rPr>
          <w:w w:val="105"/>
          <w:szCs w:val="22"/>
        </w:rPr>
        <w:t>ALR</w:t>
      </w:r>
      <w:r w:rsidRPr="000D127B">
        <w:rPr>
          <w:spacing w:val="24"/>
          <w:w w:val="105"/>
          <w:szCs w:val="22"/>
        </w:rPr>
        <w:t xml:space="preserve"> </w:t>
      </w:r>
      <w:r w:rsidRPr="000D127B">
        <w:rPr>
          <w:w w:val="105"/>
          <w:szCs w:val="22"/>
        </w:rPr>
        <w:t>360):</w:t>
      </w:r>
    </w:p>
    <w:p w:rsidR="007A2C51" w:rsidRPr="000D127B" w:rsidRDefault="007A2C51" w:rsidP="002575EF">
      <w:pPr>
        <w:pStyle w:val="Quote2"/>
        <w:ind w:left="1418" w:firstLine="22"/>
      </w:pPr>
      <w:r w:rsidRPr="000D127B">
        <w:t>The</w:t>
      </w:r>
      <w:r w:rsidRPr="000D127B">
        <w:rPr>
          <w:spacing w:val="10"/>
        </w:rPr>
        <w:t xml:space="preserve"> </w:t>
      </w:r>
      <w:r w:rsidRPr="000D127B">
        <w:t>force of</w:t>
      </w:r>
      <w:r w:rsidRPr="000D127B">
        <w:rPr>
          <w:spacing w:val="15"/>
        </w:rPr>
        <w:t xml:space="preserve"> </w:t>
      </w:r>
      <w:r w:rsidRPr="000D127B">
        <w:t>the</w:t>
      </w:r>
      <w:r w:rsidRPr="000D127B">
        <w:rPr>
          <w:spacing w:val="14"/>
        </w:rPr>
        <w:t xml:space="preserve"> </w:t>
      </w:r>
      <w:r w:rsidRPr="000D127B">
        <w:t>term</w:t>
      </w:r>
      <w:r w:rsidRPr="000D127B">
        <w:rPr>
          <w:spacing w:val="19"/>
        </w:rPr>
        <w:t xml:space="preserve"> “</w:t>
      </w:r>
      <w:r w:rsidRPr="000D127B">
        <w:t>may</w:t>
      </w:r>
      <w:r w:rsidRPr="000D127B">
        <w:rPr>
          <w:spacing w:val="9"/>
        </w:rPr>
        <w:t xml:space="preserve"> </w:t>
      </w:r>
      <w:r w:rsidRPr="000D127B">
        <w:t>only”</w:t>
      </w:r>
      <w:r w:rsidRPr="000D127B">
        <w:rPr>
          <w:spacing w:val="9"/>
        </w:rPr>
        <w:t xml:space="preserve"> </w:t>
      </w:r>
      <w:r w:rsidRPr="000D127B">
        <w:t>is</w:t>
      </w:r>
      <w:r w:rsidRPr="000D127B">
        <w:rPr>
          <w:spacing w:val="5"/>
        </w:rPr>
        <w:t xml:space="preserve"> </w:t>
      </w:r>
      <w:r w:rsidRPr="000D127B">
        <w:t>to</w:t>
      </w:r>
      <w:r w:rsidRPr="000D127B">
        <w:rPr>
          <w:spacing w:val="9"/>
        </w:rPr>
        <w:t xml:space="preserve"> </w:t>
      </w:r>
      <w:r w:rsidRPr="000D127B">
        <w:t>define</w:t>
      </w:r>
      <w:r w:rsidRPr="000D127B">
        <w:rPr>
          <w:spacing w:val="12"/>
        </w:rPr>
        <w:t xml:space="preserve"> </w:t>
      </w:r>
      <w:r w:rsidRPr="000D127B">
        <w:t>the</w:t>
      </w:r>
      <w:r w:rsidRPr="000D127B">
        <w:rPr>
          <w:spacing w:val="-12"/>
        </w:rPr>
        <w:t xml:space="preserve"> </w:t>
      </w:r>
      <w:r w:rsidRPr="000D127B">
        <w:t>jurisdiction of</w:t>
      </w:r>
      <w:r w:rsidRPr="000D127B">
        <w:rPr>
          <w:spacing w:val="15"/>
        </w:rPr>
        <w:t xml:space="preserve"> </w:t>
      </w:r>
      <w:r w:rsidRPr="000D127B">
        <w:t>the</w:t>
      </w:r>
      <w:r w:rsidRPr="000D127B">
        <w:rPr>
          <w:spacing w:val="12"/>
        </w:rPr>
        <w:t xml:space="preserve"> </w:t>
      </w:r>
      <w:r w:rsidRPr="000D127B">
        <w:t>court</w:t>
      </w:r>
      <w:r w:rsidRPr="000D127B">
        <w:rPr>
          <w:spacing w:val="17"/>
        </w:rPr>
        <w:t xml:space="preserve"> </w:t>
      </w:r>
      <w:r w:rsidRPr="000D127B">
        <w:t>by</w:t>
      </w:r>
      <w:r w:rsidRPr="000D127B">
        <w:rPr>
          <w:spacing w:val="26"/>
        </w:rPr>
        <w:t xml:space="preserve"> </w:t>
      </w:r>
      <w:r w:rsidRPr="000D127B">
        <w:t>imposing</w:t>
      </w:r>
      <w:r w:rsidRPr="000D127B">
        <w:rPr>
          <w:w w:val="103"/>
        </w:rPr>
        <w:t xml:space="preserve"> </w:t>
      </w:r>
      <w:r w:rsidRPr="000D127B">
        <w:t>a</w:t>
      </w:r>
      <w:r w:rsidRPr="000D127B">
        <w:rPr>
          <w:spacing w:val="8"/>
        </w:rPr>
        <w:t xml:space="preserve"> </w:t>
      </w:r>
      <w:r w:rsidRPr="000D127B">
        <w:t>requirement</w:t>
      </w:r>
      <w:r w:rsidRPr="000D127B">
        <w:rPr>
          <w:spacing w:val="41"/>
        </w:rPr>
        <w:t xml:space="preserve"> </w:t>
      </w:r>
      <w:r w:rsidRPr="000D127B">
        <w:t>as</w:t>
      </w:r>
      <w:r w:rsidRPr="000D127B">
        <w:rPr>
          <w:spacing w:val="10"/>
        </w:rPr>
        <w:t xml:space="preserve"> </w:t>
      </w:r>
      <w:r w:rsidRPr="000D127B">
        <w:t>to</w:t>
      </w:r>
      <w:r w:rsidRPr="000D127B">
        <w:rPr>
          <w:spacing w:val="15"/>
        </w:rPr>
        <w:t xml:space="preserve"> </w:t>
      </w:r>
      <w:r w:rsidRPr="000D127B">
        <w:t>time</w:t>
      </w:r>
      <w:r w:rsidRPr="000D127B">
        <w:rPr>
          <w:spacing w:val="21"/>
        </w:rPr>
        <w:t xml:space="preserve"> </w:t>
      </w:r>
      <w:r w:rsidRPr="000D127B">
        <w:t>as</w:t>
      </w:r>
      <w:r w:rsidRPr="000D127B">
        <w:rPr>
          <w:spacing w:val="9"/>
        </w:rPr>
        <w:t xml:space="preserve"> </w:t>
      </w:r>
      <w:r w:rsidRPr="000D127B">
        <w:t>an</w:t>
      </w:r>
      <w:r w:rsidRPr="000D127B">
        <w:rPr>
          <w:spacing w:val="18"/>
        </w:rPr>
        <w:t xml:space="preserve"> </w:t>
      </w:r>
      <w:r w:rsidRPr="000D127B">
        <w:t>essential</w:t>
      </w:r>
      <w:r w:rsidRPr="000D127B">
        <w:rPr>
          <w:spacing w:val="24"/>
        </w:rPr>
        <w:t xml:space="preserve"> </w:t>
      </w:r>
      <w:r w:rsidRPr="000D127B">
        <w:t>condition</w:t>
      </w:r>
      <w:r w:rsidRPr="000D127B">
        <w:rPr>
          <w:spacing w:val="31"/>
        </w:rPr>
        <w:t xml:space="preserve"> </w:t>
      </w:r>
      <w:r w:rsidRPr="000D127B">
        <w:t>of</w:t>
      </w:r>
      <w:r w:rsidRPr="000D127B">
        <w:rPr>
          <w:spacing w:val="21"/>
        </w:rPr>
        <w:t xml:space="preserve"> </w:t>
      </w:r>
      <w:r w:rsidRPr="000D127B">
        <w:t>the</w:t>
      </w:r>
      <w:r w:rsidRPr="000D127B">
        <w:rPr>
          <w:spacing w:val="18"/>
        </w:rPr>
        <w:t xml:space="preserve"> </w:t>
      </w:r>
      <w:r w:rsidRPr="000D127B">
        <w:t>new</w:t>
      </w:r>
      <w:r w:rsidRPr="000D127B">
        <w:rPr>
          <w:spacing w:val="16"/>
        </w:rPr>
        <w:t xml:space="preserve"> </w:t>
      </w:r>
      <w:r w:rsidRPr="000D127B">
        <w:t>right</w:t>
      </w:r>
      <w:r w:rsidRPr="000D127B">
        <w:rPr>
          <w:spacing w:val="29"/>
        </w:rPr>
        <w:t xml:space="preserve"> </w:t>
      </w:r>
      <w:r w:rsidRPr="000D127B">
        <w:t>conferred</w:t>
      </w:r>
      <w:r w:rsidRPr="000D127B">
        <w:rPr>
          <w:spacing w:val="29"/>
        </w:rPr>
        <w:t xml:space="preserve"> </w:t>
      </w:r>
      <w:r w:rsidRPr="000D127B">
        <w:t>by s 459G.  An</w:t>
      </w:r>
      <w:r w:rsidRPr="000D127B">
        <w:rPr>
          <w:spacing w:val="18"/>
        </w:rPr>
        <w:t xml:space="preserve"> </w:t>
      </w:r>
      <w:r w:rsidRPr="000D127B">
        <w:t>integer</w:t>
      </w:r>
      <w:r w:rsidRPr="000D127B">
        <w:rPr>
          <w:spacing w:val="13"/>
        </w:rPr>
        <w:t xml:space="preserve"> </w:t>
      </w:r>
      <w:r w:rsidRPr="000D127B">
        <w:t>or</w:t>
      </w:r>
      <w:r w:rsidRPr="000D127B">
        <w:rPr>
          <w:spacing w:val="4"/>
        </w:rPr>
        <w:t xml:space="preserve"> </w:t>
      </w:r>
      <w:r w:rsidRPr="000D127B">
        <w:t>element</w:t>
      </w:r>
      <w:r w:rsidRPr="000D127B">
        <w:rPr>
          <w:spacing w:val="23"/>
        </w:rPr>
        <w:t xml:space="preserve"> </w:t>
      </w:r>
      <w:r w:rsidRPr="000D127B">
        <w:t>of</w:t>
      </w:r>
      <w:r w:rsidRPr="000D127B">
        <w:rPr>
          <w:spacing w:val="16"/>
        </w:rPr>
        <w:t xml:space="preserve"> </w:t>
      </w:r>
      <w:r w:rsidRPr="000D127B">
        <w:t>the</w:t>
      </w:r>
      <w:r w:rsidRPr="000D127B">
        <w:rPr>
          <w:spacing w:val="15"/>
        </w:rPr>
        <w:t xml:space="preserve"> </w:t>
      </w:r>
      <w:r w:rsidRPr="000D127B">
        <w:t>right</w:t>
      </w:r>
      <w:r w:rsidRPr="000D127B">
        <w:rPr>
          <w:spacing w:val="14"/>
        </w:rPr>
        <w:t xml:space="preserve"> </w:t>
      </w:r>
      <w:r w:rsidRPr="000D127B">
        <w:t>created</w:t>
      </w:r>
      <w:r w:rsidRPr="000D127B">
        <w:rPr>
          <w:spacing w:val="21"/>
        </w:rPr>
        <w:t xml:space="preserve"> </w:t>
      </w:r>
      <w:r w:rsidRPr="000D127B">
        <w:t>by</w:t>
      </w:r>
      <w:r w:rsidRPr="000D127B">
        <w:rPr>
          <w:spacing w:val="28"/>
        </w:rPr>
        <w:t xml:space="preserve"> </w:t>
      </w:r>
      <w:r w:rsidRPr="000D127B">
        <w:t>s 459G is its</w:t>
      </w:r>
      <w:r w:rsidRPr="000D127B">
        <w:rPr>
          <w:spacing w:val="15"/>
        </w:rPr>
        <w:t xml:space="preserve"> </w:t>
      </w:r>
      <w:r w:rsidRPr="000D127B">
        <w:t>exercise</w:t>
      </w:r>
      <w:r w:rsidRPr="000D127B">
        <w:rPr>
          <w:spacing w:val="14"/>
        </w:rPr>
        <w:t xml:space="preserve"> </w:t>
      </w:r>
      <w:r w:rsidRPr="000D127B">
        <w:t>by</w:t>
      </w:r>
      <w:r w:rsidRPr="000D127B">
        <w:rPr>
          <w:spacing w:val="20"/>
        </w:rPr>
        <w:t xml:space="preserve"> </w:t>
      </w:r>
      <w:r w:rsidRPr="000D127B">
        <w:rPr>
          <w:i/>
        </w:rPr>
        <w:t>application</w:t>
      </w:r>
      <w:r w:rsidRPr="000D127B">
        <w:rPr>
          <w:i/>
          <w:spacing w:val="27"/>
        </w:rPr>
        <w:t xml:space="preserve"> </w:t>
      </w:r>
      <w:r w:rsidRPr="000D127B">
        <w:rPr>
          <w:i/>
        </w:rPr>
        <w:t>made</w:t>
      </w:r>
      <w:r w:rsidRPr="000D127B">
        <w:rPr>
          <w:i/>
          <w:w w:val="104"/>
        </w:rPr>
        <w:t xml:space="preserve"> </w:t>
      </w:r>
      <w:r w:rsidRPr="000D127B">
        <w:t>within time specified [emphasis</w:t>
      </w:r>
      <w:r w:rsidRPr="000D127B">
        <w:rPr>
          <w:spacing w:val="34"/>
        </w:rPr>
        <w:t xml:space="preserve"> </w:t>
      </w:r>
      <w:r w:rsidRPr="000D127B">
        <w:t>added].</w:t>
      </w:r>
    </w:p>
    <w:p w:rsidR="007A2C51" w:rsidRPr="000D127B" w:rsidRDefault="007A2C51" w:rsidP="002575EF">
      <w:pPr>
        <w:pStyle w:val="Quote1"/>
        <w:ind w:left="709"/>
        <w:rPr>
          <w:w w:val="105"/>
        </w:rPr>
      </w:pPr>
      <w:r w:rsidRPr="000D127B">
        <w:rPr>
          <w:w w:val="105"/>
        </w:rPr>
        <w:t xml:space="preserve">This statement establishes an </w:t>
      </w:r>
      <w:r w:rsidRPr="000D127B">
        <w:rPr>
          <w:i/>
          <w:w w:val="105"/>
        </w:rPr>
        <w:t>application</w:t>
      </w:r>
      <w:r w:rsidRPr="000D127B">
        <w:rPr>
          <w:w w:val="105"/>
        </w:rPr>
        <w:t xml:space="preserve"> first </w:t>
      </w:r>
      <w:r w:rsidRPr="000D127B">
        <w:rPr>
          <w:i/>
          <w:w w:val="105"/>
        </w:rPr>
        <w:t>made outside the prescribed time</w:t>
      </w:r>
      <w:r w:rsidRPr="000D127B">
        <w:rPr>
          <w:w w:val="105"/>
        </w:rPr>
        <w:t xml:space="preserve"> is ineffective; it says nothing about an </w:t>
      </w:r>
      <w:r w:rsidRPr="000D127B">
        <w:rPr>
          <w:i/>
          <w:w w:val="105"/>
        </w:rPr>
        <w:t>application to amend</w:t>
      </w:r>
      <w:r w:rsidRPr="000D127B">
        <w:rPr>
          <w:w w:val="105"/>
        </w:rPr>
        <w:t>.</w:t>
      </w:r>
    </w:p>
    <w:p w:rsidR="007A2C51" w:rsidRPr="000D127B" w:rsidRDefault="007A2C51" w:rsidP="002575EF">
      <w:pPr>
        <w:pStyle w:val="Quote1"/>
        <w:ind w:left="709"/>
        <w:rPr>
          <w:w w:val="105"/>
          <w:szCs w:val="22"/>
        </w:rPr>
      </w:pPr>
      <w:r w:rsidRPr="000D127B">
        <w:rPr>
          <w:w w:val="105"/>
          <w:szCs w:val="22"/>
        </w:rPr>
        <w:t xml:space="preserve">In </w:t>
      </w:r>
      <w:r w:rsidRPr="000D127B">
        <w:rPr>
          <w:i/>
          <w:w w:val="105"/>
          <w:szCs w:val="22"/>
        </w:rPr>
        <w:t>Harris v Western Australian Exim Corp</w:t>
      </w:r>
      <w:r w:rsidRPr="000D127B">
        <w:rPr>
          <w:w w:val="105"/>
          <w:szCs w:val="22"/>
        </w:rPr>
        <w:t xml:space="preserve"> (1994) 56 FCR l; 129 ALR 387, Hill J adverted to the operation of O 13, r 2 in its amended form.  He decided the court had power to permit an amendment to pleadings in order to raise, for the first time, a claim against a respondent based on a breach of the Fair Trading Act 1987 (NSW) (FTA).  The application originally alleged only a breach of s 52 of the Trade Practices Act 1974 (Cth) (</w:t>
      </w:r>
      <w:r w:rsidRPr="000D127B">
        <w:rPr>
          <w:b/>
          <w:w w:val="105"/>
          <w:szCs w:val="22"/>
        </w:rPr>
        <w:t>TPA</w:t>
      </w:r>
      <w:r w:rsidRPr="000D127B">
        <w:rPr>
          <w:w w:val="105"/>
          <w:szCs w:val="22"/>
        </w:rPr>
        <w:t>).  When the amendment application was made, a fresh proceeding seeking relief pursuant to the FTA would have been statute-barred, although it would not have been barred when the proceeding was commenced.  His Honour held the court had power to permit the amendment pursuant to O 13, r 2.  He said the limitation imposed by</w:t>
      </w:r>
      <w:r w:rsidR="00B10BFE" w:rsidRPr="000D127B">
        <w:rPr>
          <w:w w:val="105"/>
          <w:szCs w:val="22"/>
        </w:rPr>
        <w:t xml:space="preserve"> </w:t>
      </w:r>
      <w:r w:rsidRPr="000D127B">
        <w:rPr>
          <w:w w:val="105"/>
          <w:szCs w:val="22"/>
        </w:rPr>
        <w:t>s 79(2) of the FTA was procedural rather than substantive in nature, an amendment to the pleading would operate retrospectively to the date of the original pleading, thereby satisfying the limitation requirement.  Hill J said (at FCR 9; ALR 395):</w:t>
      </w:r>
    </w:p>
    <w:p w:rsidR="007A2C51" w:rsidRPr="000D127B" w:rsidRDefault="007A2C51" w:rsidP="002575EF">
      <w:pPr>
        <w:pStyle w:val="Quote2"/>
        <w:ind w:left="1418"/>
      </w:pPr>
      <w:r w:rsidRPr="000D127B">
        <w:t>Another way of looking at the matter is to say that all s 79(2) requires is that the action … be commenced within three years of the cause of action accruing.  An action has, in the present circumstances, been commenced.  True, that action was based on another cause of action but an amendment to the pleading operates, as I have said, retrospectively to the date of the original pleading …</w:t>
      </w:r>
    </w:p>
    <w:p w:rsidR="007A2C51" w:rsidRPr="000D127B" w:rsidRDefault="007A2C51" w:rsidP="007A2C51">
      <w:pPr>
        <w:pStyle w:val="Quote1"/>
      </w:pPr>
      <w:r w:rsidRPr="000D127B">
        <w:t>…</w:t>
      </w:r>
    </w:p>
    <w:p w:rsidR="007A2C51" w:rsidRPr="000D127B" w:rsidRDefault="007A2C51" w:rsidP="002575EF">
      <w:pPr>
        <w:pStyle w:val="Quote1"/>
      </w:pPr>
      <w:r w:rsidRPr="000D127B">
        <w:t xml:space="preserve">The language of O </w:t>
      </w:r>
      <w:r w:rsidRPr="000D127B">
        <w:rPr>
          <w:spacing w:val="17"/>
        </w:rPr>
        <w:t>1</w:t>
      </w:r>
      <w:r w:rsidRPr="000D127B">
        <w:t>3,</w:t>
      </w:r>
      <w:r w:rsidRPr="000D127B">
        <w:rPr>
          <w:spacing w:val="37"/>
        </w:rPr>
        <w:t xml:space="preserve"> </w:t>
      </w:r>
      <w:r w:rsidRPr="000D127B">
        <w:t>r 2</w:t>
      </w:r>
      <w:r w:rsidRPr="000D127B">
        <w:rPr>
          <w:spacing w:val="42"/>
        </w:rPr>
        <w:t xml:space="preserve"> </w:t>
      </w:r>
      <w:r w:rsidRPr="000D127B">
        <w:t>draws no</w:t>
      </w:r>
      <w:r w:rsidRPr="000D127B">
        <w:rPr>
          <w:spacing w:val="42"/>
        </w:rPr>
        <w:t xml:space="preserve"> </w:t>
      </w:r>
      <w:r w:rsidRPr="000D127B">
        <w:t xml:space="preserve">distinction between </w:t>
      </w:r>
      <w:r w:rsidRPr="000D127B">
        <w:rPr>
          <w:spacing w:val="-20"/>
        </w:rPr>
        <w:t>“</w:t>
      </w:r>
      <w:r w:rsidRPr="000D127B">
        <w:t>substantial”</w:t>
      </w:r>
      <w:r w:rsidRPr="000D127B">
        <w:rPr>
          <w:spacing w:val="46"/>
        </w:rPr>
        <w:t xml:space="preserve"> </w:t>
      </w:r>
      <w:r w:rsidRPr="000D127B">
        <w:t>and</w:t>
      </w:r>
      <w:r w:rsidRPr="000D127B">
        <w:rPr>
          <w:w w:val="101"/>
        </w:rPr>
        <w:t xml:space="preserve"> “</w:t>
      </w:r>
      <w:r w:rsidRPr="000D127B">
        <w:t>procedural”</w:t>
      </w:r>
      <w:r w:rsidRPr="000D127B">
        <w:rPr>
          <w:spacing w:val="45"/>
        </w:rPr>
        <w:t xml:space="preserve"> </w:t>
      </w:r>
      <w:r w:rsidRPr="000D127B">
        <w:t>amendments,</w:t>
      </w:r>
      <w:r w:rsidRPr="000D127B">
        <w:rPr>
          <w:spacing w:val="46"/>
        </w:rPr>
        <w:t xml:space="preserve"> </w:t>
      </w:r>
      <w:proofErr w:type="gramStart"/>
      <w:r w:rsidRPr="000D127B">
        <w:t>nor</w:t>
      </w:r>
      <w:proofErr w:type="gramEnd"/>
      <w:r w:rsidRPr="000D127B">
        <w:rPr>
          <w:spacing w:val="44"/>
        </w:rPr>
        <w:t xml:space="preserve"> </w:t>
      </w:r>
      <w:r w:rsidRPr="000D127B">
        <w:t>between elements</w:t>
      </w:r>
      <w:r w:rsidRPr="000D127B">
        <w:rPr>
          <w:spacing w:val="39"/>
        </w:rPr>
        <w:t xml:space="preserve"> </w:t>
      </w:r>
      <w:r w:rsidRPr="000D127B">
        <w:t>of</w:t>
      </w:r>
      <w:r w:rsidRPr="000D127B">
        <w:rPr>
          <w:spacing w:val="41"/>
        </w:rPr>
        <w:t xml:space="preserve"> </w:t>
      </w:r>
      <w:r w:rsidRPr="000D127B">
        <w:t>a</w:t>
      </w:r>
      <w:r w:rsidRPr="000D127B">
        <w:rPr>
          <w:spacing w:val="25"/>
        </w:rPr>
        <w:t xml:space="preserve"> </w:t>
      </w:r>
      <w:r w:rsidRPr="000D127B">
        <w:t>claim</w:t>
      </w:r>
      <w:r w:rsidRPr="000D127B">
        <w:rPr>
          <w:spacing w:val="42"/>
        </w:rPr>
        <w:t xml:space="preserve"> </w:t>
      </w:r>
      <w:r w:rsidRPr="000D127B">
        <w:t>and</w:t>
      </w:r>
      <w:r w:rsidRPr="000D127B">
        <w:rPr>
          <w:spacing w:val="38"/>
        </w:rPr>
        <w:t xml:space="preserve"> </w:t>
      </w:r>
      <w:r w:rsidRPr="000D127B">
        <w:t>elements</w:t>
      </w:r>
      <w:r w:rsidRPr="000D127B">
        <w:rPr>
          <w:spacing w:val="46"/>
        </w:rPr>
        <w:t xml:space="preserve"> </w:t>
      </w:r>
      <w:r w:rsidRPr="000D127B">
        <w:t>of</w:t>
      </w:r>
      <w:r w:rsidRPr="000D127B">
        <w:rPr>
          <w:spacing w:val="42"/>
        </w:rPr>
        <w:t xml:space="preserve"> </w:t>
      </w:r>
      <w:r w:rsidRPr="000D127B">
        <w:t>a defence</w:t>
      </w:r>
      <w:r w:rsidRPr="000D127B">
        <w:rPr>
          <w:spacing w:val="31"/>
        </w:rPr>
        <w:t xml:space="preserve"> </w:t>
      </w:r>
      <w:r w:rsidRPr="000D127B">
        <w:t>to</w:t>
      </w:r>
      <w:r w:rsidRPr="000D127B">
        <w:rPr>
          <w:spacing w:val="30"/>
        </w:rPr>
        <w:t xml:space="preserve"> </w:t>
      </w:r>
      <w:r w:rsidRPr="000D127B">
        <w:t>a</w:t>
      </w:r>
      <w:r w:rsidRPr="000D127B">
        <w:rPr>
          <w:spacing w:val="23"/>
        </w:rPr>
        <w:t xml:space="preserve"> </w:t>
      </w:r>
      <w:r w:rsidRPr="000D127B">
        <w:t>claim.  The</w:t>
      </w:r>
      <w:r w:rsidRPr="000D127B">
        <w:rPr>
          <w:spacing w:val="24"/>
        </w:rPr>
        <w:t xml:space="preserve"> </w:t>
      </w:r>
      <w:r w:rsidRPr="000D127B">
        <w:t>rule</w:t>
      </w:r>
      <w:r w:rsidRPr="000D127B">
        <w:rPr>
          <w:spacing w:val="35"/>
        </w:rPr>
        <w:t xml:space="preserve"> </w:t>
      </w:r>
      <w:r w:rsidRPr="000D127B">
        <w:t>regulates</w:t>
      </w:r>
      <w:r w:rsidRPr="000D127B">
        <w:rPr>
          <w:spacing w:val="45"/>
        </w:rPr>
        <w:t xml:space="preserve"> </w:t>
      </w:r>
      <w:r w:rsidRPr="000D127B">
        <w:t>the</w:t>
      </w:r>
      <w:r w:rsidRPr="000D127B">
        <w:rPr>
          <w:spacing w:val="34"/>
        </w:rPr>
        <w:t xml:space="preserve"> </w:t>
      </w:r>
      <w:r w:rsidRPr="000D127B">
        <w:t>position</w:t>
      </w:r>
      <w:r w:rsidRPr="000D127B">
        <w:rPr>
          <w:spacing w:val="47"/>
        </w:rPr>
        <w:t xml:space="preserve"> </w:t>
      </w:r>
      <w:r w:rsidRPr="000D127B">
        <w:rPr>
          <w:i/>
          <w:sz w:val="20"/>
        </w:rPr>
        <w:t>after</w:t>
      </w:r>
      <w:r w:rsidRPr="000D127B">
        <w:rPr>
          <w:i/>
          <w:spacing w:val="32"/>
          <w:sz w:val="20"/>
        </w:rPr>
        <w:t xml:space="preserve"> </w:t>
      </w:r>
      <w:r w:rsidRPr="000D127B">
        <w:t>a</w:t>
      </w:r>
      <w:r w:rsidRPr="000D127B">
        <w:rPr>
          <w:spacing w:val="23"/>
        </w:rPr>
        <w:t xml:space="preserve"> </w:t>
      </w:r>
      <w:r w:rsidRPr="000D127B">
        <w:t>proceeding has</w:t>
      </w:r>
      <w:r w:rsidRPr="000D127B">
        <w:rPr>
          <w:spacing w:val="33"/>
        </w:rPr>
        <w:t xml:space="preserve"> </w:t>
      </w:r>
      <w:r w:rsidRPr="000D127B">
        <w:t>been</w:t>
      </w:r>
      <w:r w:rsidRPr="000D127B">
        <w:rPr>
          <w:w w:val="99"/>
        </w:rPr>
        <w:t xml:space="preserve"> </w:t>
      </w:r>
      <w:r w:rsidRPr="000D127B">
        <w:t>commenced.  In that situation,</w:t>
      </w:r>
      <w:r w:rsidRPr="000D127B">
        <w:rPr>
          <w:spacing w:val="25"/>
        </w:rPr>
        <w:t xml:space="preserve"> O </w:t>
      </w:r>
      <w:r w:rsidRPr="000D127B">
        <w:t>13, r 2(3)</w:t>
      </w:r>
      <w:r w:rsidRPr="000D127B">
        <w:rPr>
          <w:spacing w:val="20"/>
        </w:rPr>
        <w:t xml:space="preserve"> </w:t>
      </w:r>
      <w:r w:rsidRPr="000D127B">
        <w:t>enables the court to allow an</w:t>
      </w:r>
      <w:r w:rsidRPr="000D127B">
        <w:rPr>
          <w:w w:val="97"/>
        </w:rPr>
        <w:t xml:space="preserve"> </w:t>
      </w:r>
      <w:r w:rsidRPr="000D127B">
        <w:t>amendment notwithstanding expiry of a</w:t>
      </w:r>
      <w:r w:rsidRPr="000D127B">
        <w:rPr>
          <w:spacing w:val="39"/>
        </w:rPr>
        <w:t xml:space="preserve"> </w:t>
      </w:r>
      <w:r w:rsidRPr="000D127B">
        <w:t>relevant limitation period.  The word</w:t>
      </w:r>
      <w:r w:rsidRPr="000D127B">
        <w:rPr>
          <w:w w:val="101"/>
        </w:rPr>
        <w:t xml:space="preserve"> “</w:t>
      </w:r>
      <w:r w:rsidRPr="000D127B">
        <w:t>nevertheless”,</w:t>
      </w:r>
      <w:r w:rsidRPr="000D127B">
        <w:rPr>
          <w:spacing w:val="45"/>
        </w:rPr>
        <w:t xml:space="preserve"> </w:t>
      </w:r>
      <w:r w:rsidRPr="000D127B">
        <w:t>in</w:t>
      </w:r>
      <w:r w:rsidRPr="000D127B">
        <w:rPr>
          <w:spacing w:val="32"/>
        </w:rPr>
        <w:t xml:space="preserve"> </w:t>
      </w:r>
      <w:r w:rsidRPr="000D127B">
        <w:t>para</w:t>
      </w:r>
      <w:r w:rsidRPr="000D127B">
        <w:rPr>
          <w:spacing w:val="42"/>
        </w:rPr>
        <w:t xml:space="preserve"> </w:t>
      </w:r>
      <w:r w:rsidRPr="000D127B">
        <w:t>(3),</w:t>
      </w:r>
      <w:r w:rsidRPr="000D127B">
        <w:rPr>
          <w:spacing w:val="30"/>
        </w:rPr>
        <w:t xml:space="preserve"> </w:t>
      </w:r>
      <w:r w:rsidRPr="000D127B">
        <w:t>reflects an</w:t>
      </w:r>
      <w:r w:rsidRPr="000D127B">
        <w:rPr>
          <w:spacing w:val="39"/>
        </w:rPr>
        <w:t xml:space="preserve"> </w:t>
      </w:r>
      <w:r w:rsidRPr="000D127B">
        <w:t>appreciation that</w:t>
      </w:r>
      <w:r w:rsidRPr="000D127B">
        <w:rPr>
          <w:spacing w:val="34"/>
        </w:rPr>
        <w:t xml:space="preserve"> </w:t>
      </w:r>
      <w:r w:rsidRPr="000D127B">
        <w:t>there</w:t>
      </w:r>
      <w:r w:rsidRPr="000D127B">
        <w:rPr>
          <w:spacing w:val="33"/>
        </w:rPr>
        <w:t xml:space="preserve"> </w:t>
      </w:r>
      <w:r w:rsidRPr="000D127B">
        <w:t>might</w:t>
      </w:r>
      <w:r w:rsidRPr="000D127B">
        <w:rPr>
          <w:spacing w:val="47"/>
        </w:rPr>
        <w:t xml:space="preserve"> </w:t>
      </w:r>
      <w:r w:rsidRPr="000D127B">
        <w:t>previously</w:t>
      </w:r>
      <w:r w:rsidRPr="000D127B">
        <w:rPr>
          <w:rFonts w:eastAsia="Times New Roman"/>
          <w:szCs w:val="19"/>
        </w:rPr>
        <w:t xml:space="preserve"> </w:t>
      </w:r>
      <w:r w:rsidRPr="000D127B">
        <w:t>have</w:t>
      </w:r>
      <w:r w:rsidRPr="000D127B">
        <w:rPr>
          <w:spacing w:val="17"/>
        </w:rPr>
        <w:t xml:space="preserve"> </w:t>
      </w:r>
      <w:r w:rsidRPr="000D127B">
        <w:t>been</w:t>
      </w:r>
      <w:r w:rsidRPr="000D127B">
        <w:rPr>
          <w:spacing w:val="25"/>
        </w:rPr>
        <w:t xml:space="preserve"> </w:t>
      </w:r>
      <w:r w:rsidRPr="000D127B">
        <w:t>an</w:t>
      </w:r>
      <w:r w:rsidRPr="000D127B">
        <w:rPr>
          <w:spacing w:val="14"/>
        </w:rPr>
        <w:t xml:space="preserve"> </w:t>
      </w:r>
      <w:r w:rsidRPr="000D127B">
        <w:t>obstacle</w:t>
      </w:r>
      <w:r w:rsidRPr="000D127B">
        <w:rPr>
          <w:spacing w:val="15"/>
        </w:rPr>
        <w:t xml:space="preserve"> </w:t>
      </w:r>
      <w:r w:rsidRPr="000D127B">
        <w:t>to</w:t>
      </w:r>
      <w:r w:rsidRPr="000D127B">
        <w:rPr>
          <w:spacing w:val="12"/>
        </w:rPr>
        <w:t xml:space="preserve"> </w:t>
      </w:r>
      <w:r w:rsidRPr="000D127B">
        <w:t>the</w:t>
      </w:r>
      <w:r w:rsidRPr="000D127B">
        <w:rPr>
          <w:spacing w:val="23"/>
        </w:rPr>
        <w:t xml:space="preserve"> </w:t>
      </w:r>
      <w:r w:rsidRPr="000D127B">
        <w:t>grant</w:t>
      </w:r>
      <w:r w:rsidRPr="000D127B">
        <w:rPr>
          <w:spacing w:val="22"/>
        </w:rPr>
        <w:t xml:space="preserve"> </w:t>
      </w:r>
      <w:r w:rsidRPr="000D127B">
        <w:t>of</w:t>
      </w:r>
      <w:r w:rsidRPr="000D127B">
        <w:rPr>
          <w:spacing w:val="20"/>
        </w:rPr>
        <w:t xml:space="preserve"> </w:t>
      </w:r>
      <w:r w:rsidRPr="000D127B">
        <w:t>leave</w:t>
      </w:r>
      <w:r w:rsidRPr="000D127B">
        <w:rPr>
          <w:spacing w:val="22"/>
        </w:rPr>
        <w:t xml:space="preserve"> </w:t>
      </w:r>
      <w:r w:rsidRPr="000D127B">
        <w:t>to</w:t>
      </w:r>
      <w:r w:rsidRPr="000D127B">
        <w:rPr>
          <w:spacing w:val="15"/>
        </w:rPr>
        <w:t xml:space="preserve"> </w:t>
      </w:r>
      <w:r w:rsidRPr="000D127B">
        <w:t>amend.  Leave</w:t>
      </w:r>
      <w:r w:rsidRPr="000D127B">
        <w:rPr>
          <w:spacing w:val="18"/>
        </w:rPr>
        <w:t xml:space="preserve"> </w:t>
      </w:r>
      <w:r w:rsidRPr="000D127B">
        <w:t>can</w:t>
      </w:r>
      <w:r w:rsidRPr="000D127B">
        <w:rPr>
          <w:spacing w:val="25"/>
        </w:rPr>
        <w:t xml:space="preserve"> </w:t>
      </w:r>
      <w:r w:rsidRPr="000D127B">
        <w:t>only</w:t>
      </w:r>
      <w:r w:rsidRPr="000D127B">
        <w:rPr>
          <w:spacing w:val="23"/>
        </w:rPr>
        <w:t xml:space="preserve"> </w:t>
      </w:r>
      <w:r w:rsidRPr="000D127B">
        <w:t>be</w:t>
      </w:r>
      <w:r w:rsidRPr="000D127B">
        <w:rPr>
          <w:spacing w:val="26"/>
        </w:rPr>
        <w:t xml:space="preserve"> </w:t>
      </w:r>
      <w:r w:rsidRPr="000D127B">
        <w:t>granted if</w:t>
      </w:r>
      <w:r w:rsidRPr="000D127B">
        <w:rPr>
          <w:spacing w:val="38"/>
        </w:rPr>
        <w:t xml:space="preserve"> </w:t>
      </w:r>
      <w:r w:rsidRPr="000D127B">
        <w:t>the</w:t>
      </w:r>
      <w:r w:rsidRPr="000D127B">
        <w:rPr>
          <w:spacing w:val="34"/>
        </w:rPr>
        <w:t xml:space="preserve"> </w:t>
      </w:r>
      <w:r w:rsidRPr="000D127B">
        <w:t>court</w:t>
      </w:r>
      <w:r w:rsidRPr="000D127B">
        <w:rPr>
          <w:spacing w:val="31"/>
        </w:rPr>
        <w:t xml:space="preserve"> </w:t>
      </w:r>
      <w:r w:rsidRPr="000D127B">
        <w:t>thinks</w:t>
      </w:r>
      <w:r w:rsidRPr="000D127B">
        <w:rPr>
          <w:spacing w:val="40"/>
        </w:rPr>
        <w:t xml:space="preserve"> </w:t>
      </w:r>
      <w:r w:rsidRPr="000D127B">
        <w:t>it</w:t>
      </w:r>
      <w:r w:rsidRPr="000D127B">
        <w:rPr>
          <w:spacing w:val="26"/>
        </w:rPr>
        <w:t xml:space="preserve"> </w:t>
      </w:r>
      <w:r w:rsidRPr="000D127B">
        <w:t>is</w:t>
      </w:r>
      <w:r w:rsidRPr="000D127B">
        <w:rPr>
          <w:spacing w:val="26"/>
        </w:rPr>
        <w:t xml:space="preserve"> “</w:t>
      </w:r>
      <w:r w:rsidRPr="000D127B">
        <w:t>just”</w:t>
      </w:r>
      <w:r w:rsidRPr="000D127B">
        <w:rPr>
          <w:spacing w:val="19"/>
        </w:rPr>
        <w:t xml:space="preserve"> </w:t>
      </w:r>
      <w:r w:rsidRPr="000D127B">
        <w:t>to</w:t>
      </w:r>
      <w:r w:rsidRPr="000D127B">
        <w:rPr>
          <w:spacing w:val="25"/>
        </w:rPr>
        <w:t xml:space="preserve"> </w:t>
      </w:r>
      <w:r w:rsidRPr="000D127B">
        <w:t>do</w:t>
      </w:r>
      <w:r w:rsidRPr="000D127B">
        <w:rPr>
          <w:spacing w:val="26"/>
        </w:rPr>
        <w:t xml:space="preserve"> </w:t>
      </w:r>
      <w:r w:rsidRPr="000D127B">
        <w:t>so.</w:t>
      </w:r>
    </w:p>
    <w:p w:rsidR="007A2C51" w:rsidRPr="000D127B" w:rsidRDefault="007A2C51" w:rsidP="002575EF">
      <w:pPr>
        <w:pStyle w:val="Quote1"/>
        <w:rPr>
          <w:rFonts w:eastAsia="Times New Roman"/>
          <w:szCs w:val="22"/>
        </w:rPr>
      </w:pPr>
      <w:r w:rsidRPr="000D127B">
        <w:rPr>
          <w:szCs w:val="22"/>
        </w:rPr>
        <w:t>This</w:t>
      </w:r>
      <w:r w:rsidRPr="000D127B">
        <w:rPr>
          <w:spacing w:val="8"/>
          <w:szCs w:val="22"/>
        </w:rPr>
        <w:t xml:space="preserve"> </w:t>
      </w:r>
      <w:r w:rsidRPr="000D127B">
        <w:rPr>
          <w:szCs w:val="22"/>
        </w:rPr>
        <w:t>provision</w:t>
      </w:r>
      <w:r w:rsidRPr="000D127B">
        <w:rPr>
          <w:spacing w:val="25"/>
          <w:szCs w:val="22"/>
        </w:rPr>
        <w:t xml:space="preserve"> </w:t>
      </w:r>
      <w:r w:rsidRPr="000D127B">
        <w:rPr>
          <w:szCs w:val="22"/>
        </w:rPr>
        <w:t>is</w:t>
      </w:r>
      <w:r w:rsidRPr="000D127B">
        <w:rPr>
          <w:spacing w:val="3"/>
          <w:szCs w:val="22"/>
        </w:rPr>
        <w:t xml:space="preserve"> </w:t>
      </w:r>
      <w:r w:rsidRPr="000D127B">
        <w:rPr>
          <w:szCs w:val="22"/>
        </w:rPr>
        <w:t>to</w:t>
      </w:r>
      <w:r w:rsidRPr="000D127B">
        <w:rPr>
          <w:spacing w:val="1"/>
          <w:szCs w:val="22"/>
        </w:rPr>
        <w:t xml:space="preserve"> </w:t>
      </w:r>
      <w:r w:rsidRPr="000D127B">
        <w:rPr>
          <w:szCs w:val="22"/>
        </w:rPr>
        <w:t>be</w:t>
      </w:r>
      <w:r w:rsidRPr="000D127B">
        <w:rPr>
          <w:spacing w:val="5"/>
          <w:szCs w:val="22"/>
        </w:rPr>
        <w:t xml:space="preserve"> </w:t>
      </w:r>
      <w:r w:rsidRPr="000D127B">
        <w:rPr>
          <w:szCs w:val="22"/>
        </w:rPr>
        <w:t>contrasted</w:t>
      </w:r>
      <w:r w:rsidRPr="000D127B">
        <w:rPr>
          <w:spacing w:val="27"/>
          <w:szCs w:val="22"/>
        </w:rPr>
        <w:t xml:space="preserve"> </w:t>
      </w:r>
      <w:r w:rsidRPr="000D127B">
        <w:rPr>
          <w:szCs w:val="22"/>
        </w:rPr>
        <w:t>with</w:t>
      </w:r>
      <w:r w:rsidRPr="000D127B">
        <w:rPr>
          <w:spacing w:val="19"/>
          <w:szCs w:val="22"/>
        </w:rPr>
        <w:t xml:space="preserve"> </w:t>
      </w:r>
      <w:r w:rsidRPr="000D127B">
        <w:rPr>
          <w:szCs w:val="22"/>
        </w:rPr>
        <w:t>s</w:t>
      </w:r>
      <w:r w:rsidRPr="000D127B">
        <w:rPr>
          <w:spacing w:val="-4"/>
          <w:szCs w:val="22"/>
        </w:rPr>
        <w:t xml:space="preserve"> </w:t>
      </w:r>
      <w:proofErr w:type="gramStart"/>
      <w:r w:rsidRPr="000D127B">
        <w:rPr>
          <w:szCs w:val="22"/>
        </w:rPr>
        <w:t>588FF(</w:t>
      </w:r>
      <w:proofErr w:type="gramEnd"/>
      <w:r w:rsidRPr="000D127B">
        <w:rPr>
          <w:szCs w:val="22"/>
        </w:rPr>
        <w:t>3),</w:t>
      </w:r>
      <w:r w:rsidRPr="000D127B">
        <w:rPr>
          <w:spacing w:val="11"/>
          <w:szCs w:val="22"/>
        </w:rPr>
        <w:t xml:space="preserve"> </w:t>
      </w:r>
      <w:r w:rsidRPr="000D127B">
        <w:rPr>
          <w:szCs w:val="22"/>
        </w:rPr>
        <w:t>which</w:t>
      </w:r>
      <w:r w:rsidRPr="000D127B">
        <w:rPr>
          <w:spacing w:val="19"/>
          <w:szCs w:val="22"/>
        </w:rPr>
        <w:t xml:space="preserve"> </w:t>
      </w:r>
      <w:r w:rsidRPr="000D127B">
        <w:rPr>
          <w:szCs w:val="22"/>
        </w:rPr>
        <w:t>is</w:t>
      </w:r>
      <w:r w:rsidRPr="000D127B">
        <w:rPr>
          <w:spacing w:val="3"/>
          <w:szCs w:val="22"/>
        </w:rPr>
        <w:t xml:space="preserve"> </w:t>
      </w:r>
      <w:r w:rsidRPr="000D127B">
        <w:rPr>
          <w:szCs w:val="22"/>
        </w:rPr>
        <w:t>concerned</w:t>
      </w:r>
      <w:r w:rsidRPr="000D127B">
        <w:rPr>
          <w:spacing w:val="25"/>
          <w:szCs w:val="22"/>
        </w:rPr>
        <w:t xml:space="preserve"> </w:t>
      </w:r>
      <w:r w:rsidRPr="000D127B">
        <w:rPr>
          <w:szCs w:val="22"/>
        </w:rPr>
        <w:t>with</w:t>
      </w:r>
      <w:r w:rsidRPr="000D127B">
        <w:rPr>
          <w:spacing w:val="12"/>
          <w:szCs w:val="22"/>
        </w:rPr>
        <w:t xml:space="preserve"> </w:t>
      </w:r>
      <w:r w:rsidRPr="000D127B">
        <w:rPr>
          <w:szCs w:val="22"/>
        </w:rPr>
        <w:t>the</w:t>
      </w:r>
      <w:r w:rsidRPr="000D127B">
        <w:rPr>
          <w:w w:val="102"/>
          <w:szCs w:val="22"/>
        </w:rPr>
        <w:t xml:space="preserve"> </w:t>
      </w:r>
      <w:r w:rsidRPr="000D127B">
        <w:rPr>
          <w:szCs w:val="22"/>
        </w:rPr>
        <w:t xml:space="preserve">making of </w:t>
      </w:r>
      <w:r w:rsidRPr="000D127B">
        <w:rPr>
          <w:i/>
          <w:szCs w:val="22"/>
        </w:rPr>
        <w:t xml:space="preserve">an application </w:t>
      </w:r>
      <w:r w:rsidRPr="000D127B">
        <w:rPr>
          <w:szCs w:val="22"/>
        </w:rPr>
        <w:t>to the court,</w:t>
      </w:r>
      <w:r w:rsidRPr="000D127B">
        <w:rPr>
          <w:spacing w:val="26"/>
          <w:szCs w:val="22"/>
        </w:rPr>
        <w:t xml:space="preserve"> </w:t>
      </w:r>
      <w:r w:rsidRPr="000D127B">
        <w:rPr>
          <w:szCs w:val="22"/>
        </w:rPr>
        <w:t>that is, the commencement of the</w:t>
      </w:r>
      <w:r w:rsidRPr="000D127B">
        <w:rPr>
          <w:w w:val="99"/>
          <w:szCs w:val="22"/>
        </w:rPr>
        <w:t xml:space="preserve"> </w:t>
      </w:r>
      <w:r w:rsidRPr="000D127B">
        <w:rPr>
          <w:szCs w:val="22"/>
        </w:rPr>
        <w:t xml:space="preserve">proceeding itself.  Section </w:t>
      </w:r>
      <w:proofErr w:type="gramStart"/>
      <w:r w:rsidRPr="000D127B">
        <w:rPr>
          <w:szCs w:val="22"/>
        </w:rPr>
        <w:t>588FF(</w:t>
      </w:r>
      <w:proofErr w:type="gramEnd"/>
      <w:r w:rsidRPr="000D127B">
        <w:rPr>
          <w:szCs w:val="22"/>
        </w:rPr>
        <w:t>3) is not directed to an amendment of an</w:t>
      </w:r>
      <w:r w:rsidRPr="000D127B">
        <w:rPr>
          <w:w w:val="101"/>
          <w:szCs w:val="22"/>
        </w:rPr>
        <w:t xml:space="preserve"> </w:t>
      </w:r>
      <w:r w:rsidRPr="000D127B">
        <w:rPr>
          <w:szCs w:val="22"/>
        </w:rPr>
        <w:t>existing</w:t>
      </w:r>
      <w:r w:rsidRPr="000D127B">
        <w:rPr>
          <w:spacing w:val="19"/>
          <w:szCs w:val="22"/>
        </w:rPr>
        <w:t xml:space="preserve"> </w:t>
      </w:r>
      <w:r w:rsidRPr="000D127B">
        <w:rPr>
          <w:szCs w:val="22"/>
        </w:rPr>
        <w:t>claim,</w:t>
      </w:r>
      <w:r w:rsidRPr="000D127B">
        <w:rPr>
          <w:spacing w:val="12"/>
          <w:szCs w:val="22"/>
        </w:rPr>
        <w:t xml:space="preserve"> </w:t>
      </w:r>
      <w:r w:rsidRPr="000D127B">
        <w:rPr>
          <w:szCs w:val="22"/>
        </w:rPr>
        <w:t>at</w:t>
      </w:r>
      <w:r w:rsidRPr="000D127B">
        <w:rPr>
          <w:spacing w:val="3"/>
          <w:szCs w:val="22"/>
        </w:rPr>
        <w:t xml:space="preserve"> </w:t>
      </w:r>
      <w:r w:rsidRPr="000D127B">
        <w:rPr>
          <w:szCs w:val="22"/>
        </w:rPr>
        <w:t>least</w:t>
      </w:r>
      <w:r w:rsidRPr="000D127B">
        <w:rPr>
          <w:spacing w:val="10"/>
          <w:szCs w:val="22"/>
        </w:rPr>
        <w:t xml:space="preserve"> </w:t>
      </w:r>
      <w:r w:rsidRPr="000D127B">
        <w:rPr>
          <w:szCs w:val="22"/>
        </w:rPr>
        <w:t>if</w:t>
      </w:r>
      <w:r w:rsidRPr="000D127B">
        <w:rPr>
          <w:spacing w:val="8"/>
          <w:szCs w:val="22"/>
        </w:rPr>
        <w:t xml:space="preserve"> </w:t>
      </w:r>
      <w:r w:rsidRPr="000D127B">
        <w:rPr>
          <w:szCs w:val="22"/>
        </w:rPr>
        <w:t>that</w:t>
      </w:r>
      <w:r w:rsidRPr="000D127B">
        <w:rPr>
          <w:spacing w:val="21"/>
          <w:szCs w:val="22"/>
        </w:rPr>
        <w:t xml:space="preserve"> </w:t>
      </w:r>
      <w:r w:rsidRPr="000D127B">
        <w:rPr>
          <w:szCs w:val="22"/>
        </w:rPr>
        <w:t>amendment</w:t>
      </w:r>
      <w:r w:rsidRPr="000D127B">
        <w:rPr>
          <w:spacing w:val="27"/>
          <w:szCs w:val="22"/>
        </w:rPr>
        <w:t xml:space="preserve"> </w:t>
      </w:r>
      <w:r w:rsidRPr="000D127B">
        <w:rPr>
          <w:szCs w:val="22"/>
        </w:rPr>
        <w:t>does</w:t>
      </w:r>
      <w:r w:rsidRPr="000D127B">
        <w:rPr>
          <w:spacing w:val="17"/>
          <w:szCs w:val="22"/>
        </w:rPr>
        <w:t xml:space="preserve"> </w:t>
      </w:r>
      <w:r w:rsidRPr="000D127B">
        <w:rPr>
          <w:szCs w:val="22"/>
        </w:rPr>
        <w:t>not</w:t>
      </w:r>
      <w:r w:rsidRPr="000D127B">
        <w:rPr>
          <w:spacing w:val="20"/>
          <w:szCs w:val="22"/>
        </w:rPr>
        <w:t xml:space="preserve"> </w:t>
      </w:r>
      <w:r w:rsidRPr="000D127B">
        <w:rPr>
          <w:szCs w:val="22"/>
        </w:rPr>
        <w:t>involve</w:t>
      </w:r>
      <w:r w:rsidRPr="000D127B">
        <w:rPr>
          <w:spacing w:val="14"/>
          <w:szCs w:val="22"/>
        </w:rPr>
        <w:t xml:space="preserve"> </w:t>
      </w:r>
      <w:r w:rsidRPr="000D127B">
        <w:rPr>
          <w:szCs w:val="22"/>
        </w:rPr>
        <w:t>a</w:t>
      </w:r>
      <w:r w:rsidRPr="000D127B">
        <w:rPr>
          <w:spacing w:val="1"/>
          <w:szCs w:val="22"/>
        </w:rPr>
        <w:t xml:space="preserve"> </w:t>
      </w:r>
      <w:r w:rsidRPr="000D127B">
        <w:rPr>
          <w:szCs w:val="22"/>
        </w:rPr>
        <w:t>new</w:t>
      </w:r>
      <w:r w:rsidRPr="000D127B">
        <w:rPr>
          <w:spacing w:val="20"/>
          <w:szCs w:val="22"/>
        </w:rPr>
        <w:t xml:space="preserve"> </w:t>
      </w:r>
      <w:r w:rsidRPr="000D127B">
        <w:rPr>
          <w:szCs w:val="22"/>
        </w:rPr>
        <w:t>cause</w:t>
      </w:r>
      <w:r w:rsidRPr="000D127B">
        <w:rPr>
          <w:spacing w:val="13"/>
          <w:szCs w:val="22"/>
        </w:rPr>
        <w:t xml:space="preserve"> </w:t>
      </w:r>
      <w:r w:rsidRPr="000D127B">
        <w:rPr>
          <w:szCs w:val="22"/>
        </w:rPr>
        <w:t>of</w:t>
      </w:r>
      <w:r w:rsidRPr="000D127B">
        <w:rPr>
          <w:spacing w:val="18"/>
          <w:szCs w:val="22"/>
        </w:rPr>
        <w:t xml:space="preserve"> </w:t>
      </w:r>
      <w:r w:rsidRPr="000D127B">
        <w:rPr>
          <w:szCs w:val="22"/>
        </w:rPr>
        <w:t>action: see</w:t>
      </w:r>
      <w:r w:rsidRPr="000D127B">
        <w:rPr>
          <w:spacing w:val="35"/>
          <w:szCs w:val="22"/>
        </w:rPr>
        <w:t xml:space="preserve"> </w:t>
      </w:r>
      <w:r w:rsidRPr="000D127B">
        <w:rPr>
          <w:i/>
          <w:szCs w:val="22"/>
        </w:rPr>
        <w:t>Quick</w:t>
      </w:r>
      <w:r w:rsidRPr="000D127B">
        <w:rPr>
          <w:i/>
          <w:spacing w:val="40"/>
          <w:szCs w:val="22"/>
        </w:rPr>
        <w:t xml:space="preserve"> </w:t>
      </w:r>
      <w:r w:rsidRPr="000D127B">
        <w:rPr>
          <w:i/>
          <w:szCs w:val="22"/>
        </w:rPr>
        <w:t>v</w:t>
      </w:r>
      <w:r w:rsidRPr="000D127B">
        <w:rPr>
          <w:i/>
          <w:spacing w:val="28"/>
          <w:szCs w:val="22"/>
        </w:rPr>
        <w:t xml:space="preserve"> </w:t>
      </w:r>
      <w:proofErr w:type="spellStart"/>
      <w:r w:rsidRPr="000D127B">
        <w:rPr>
          <w:i/>
          <w:szCs w:val="22"/>
        </w:rPr>
        <w:t>Stoland</w:t>
      </w:r>
      <w:proofErr w:type="spellEnd"/>
      <w:r w:rsidRPr="000D127B">
        <w:rPr>
          <w:i/>
          <w:spacing w:val="49"/>
          <w:szCs w:val="22"/>
        </w:rPr>
        <w:t xml:space="preserve"> </w:t>
      </w:r>
      <w:r w:rsidRPr="000D127B">
        <w:rPr>
          <w:i/>
          <w:szCs w:val="22"/>
        </w:rPr>
        <w:t>Pty</w:t>
      </w:r>
      <w:r w:rsidRPr="000D127B">
        <w:rPr>
          <w:i/>
          <w:spacing w:val="40"/>
          <w:szCs w:val="22"/>
        </w:rPr>
        <w:t xml:space="preserve"> </w:t>
      </w:r>
      <w:r w:rsidRPr="000D127B">
        <w:rPr>
          <w:i/>
          <w:szCs w:val="22"/>
        </w:rPr>
        <w:t xml:space="preserve">Ltd </w:t>
      </w:r>
      <w:r w:rsidRPr="000D127B">
        <w:rPr>
          <w:szCs w:val="22"/>
        </w:rPr>
        <w:t>(1998)</w:t>
      </w:r>
      <w:r w:rsidRPr="000D127B">
        <w:rPr>
          <w:spacing w:val="46"/>
          <w:szCs w:val="22"/>
        </w:rPr>
        <w:t xml:space="preserve"> </w:t>
      </w:r>
      <w:r w:rsidRPr="000D127B">
        <w:rPr>
          <w:szCs w:val="22"/>
        </w:rPr>
        <w:t>157</w:t>
      </w:r>
      <w:r w:rsidRPr="000D127B">
        <w:rPr>
          <w:spacing w:val="8"/>
          <w:szCs w:val="22"/>
        </w:rPr>
        <w:t xml:space="preserve"> </w:t>
      </w:r>
      <w:r w:rsidRPr="000D127B">
        <w:rPr>
          <w:szCs w:val="22"/>
        </w:rPr>
        <w:t>ALR 615.  There</w:t>
      </w:r>
      <w:r w:rsidRPr="000D127B">
        <w:rPr>
          <w:spacing w:val="36"/>
          <w:szCs w:val="22"/>
        </w:rPr>
        <w:t xml:space="preserve"> </w:t>
      </w:r>
      <w:r w:rsidRPr="000D127B">
        <w:rPr>
          <w:szCs w:val="22"/>
        </w:rPr>
        <w:t>is</w:t>
      </w:r>
      <w:r w:rsidRPr="000D127B">
        <w:rPr>
          <w:spacing w:val="37"/>
          <w:szCs w:val="22"/>
        </w:rPr>
        <w:t xml:space="preserve"> </w:t>
      </w:r>
      <w:r w:rsidRPr="000D127B">
        <w:rPr>
          <w:szCs w:val="22"/>
        </w:rPr>
        <w:t>no</w:t>
      </w:r>
      <w:r w:rsidRPr="000D127B">
        <w:rPr>
          <w:spacing w:val="36"/>
          <w:szCs w:val="22"/>
        </w:rPr>
        <w:t xml:space="preserve"> </w:t>
      </w:r>
      <w:r w:rsidRPr="000D127B">
        <w:rPr>
          <w:szCs w:val="22"/>
        </w:rPr>
        <w:t>inconsistency</w:t>
      </w:r>
      <w:r w:rsidRPr="000D127B">
        <w:rPr>
          <w:w w:val="101"/>
          <w:szCs w:val="22"/>
        </w:rPr>
        <w:t xml:space="preserve"> </w:t>
      </w:r>
      <w:r w:rsidRPr="000D127B">
        <w:rPr>
          <w:szCs w:val="22"/>
        </w:rPr>
        <w:t>between</w:t>
      </w:r>
      <w:r w:rsidRPr="000D127B">
        <w:rPr>
          <w:spacing w:val="33"/>
          <w:szCs w:val="22"/>
        </w:rPr>
        <w:t xml:space="preserve"> O</w:t>
      </w:r>
      <w:r w:rsidRPr="000D127B">
        <w:rPr>
          <w:spacing w:val="17"/>
          <w:szCs w:val="22"/>
        </w:rPr>
        <w:t>1</w:t>
      </w:r>
      <w:r w:rsidRPr="000D127B">
        <w:rPr>
          <w:szCs w:val="22"/>
        </w:rPr>
        <w:t>3,</w:t>
      </w:r>
      <w:r w:rsidRPr="000D127B">
        <w:rPr>
          <w:spacing w:val="5"/>
          <w:szCs w:val="22"/>
        </w:rPr>
        <w:t xml:space="preserve"> </w:t>
      </w:r>
      <w:r w:rsidRPr="000D127B">
        <w:rPr>
          <w:szCs w:val="22"/>
        </w:rPr>
        <w:t>r 2</w:t>
      </w:r>
      <w:r w:rsidRPr="000D127B">
        <w:rPr>
          <w:spacing w:val="2"/>
          <w:szCs w:val="22"/>
        </w:rPr>
        <w:t xml:space="preserve"> </w:t>
      </w:r>
      <w:r w:rsidRPr="000D127B">
        <w:rPr>
          <w:szCs w:val="22"/>
        </w:rPr>
        <w:t>and</w:t>
      </w:r>
      <w:r w:rsidRPr="000D127B">
        <w:rPr>
          <w:spacing w:val="20"/>
          <w:szCs w:val="22"/>
        </w:rPr>
        <w:t xml:space="preserve"> </w:t>
      </w:r>
      <w:r w:rsidRPr="000D127B">
        <w:rPr>
          <w:szCs w:val="22"/>
        </w:rPr>
        <w:t>s</w:t>
      </w:r>
      <w:r w:rsidRPr="000D127B">
        <w:rPr>
          <w:spacing w:val="-4"/>
          <w:szCs w:val="22"/>
        </w:rPr>
        <w:t xml:space="preserve"> </w:t>
      </w:r>
      <w:proofErr w:type="gramStart"/>
      <w:r w:rsidRPr="000D127B">
        <w:rPr>
          <w:szCs w:val="22"/>
        </w:rPr>
        <w:t>588FF(</w:t>
      </w:r>
      <w:proofErr w:type="gramEnd"/>
      <w:r w:rsidRPr="000D127B">
        <w:rPr>
          <w:szCs w:val="22"/>
        </w:rPr>
        <w:t>3).  One</w:t>
      </w:r>
      <w:r w:rsidRPr="000D127B">
        <w:rPr>
          <w:spacing w:val="16"/>
          <w:szCs w:val="22"/>
        </w:rPr>
        <w:t xml:space="preserve"> </w:t>
      </w:r>
      <w:r w:rsidRPr="000D127B">
        <w:rPr>
          <w:szCs w:val="22"/>
        </w:rPr>
        <w:t>is</w:t>
      </w:r>
      <w:r w:rsidRPr="000D127B">
        <w:rPr>
          <w:spacing w:val="3"/>
          <w:szCs w:val="22"/>
        </w:rPr>
        <w:t xml:space="preserve"> </w:t>
      </w:r>
      <w:r w:rsidRPr="000D127B">
        <w:rPr>
          <w:szCs w:val="22"/>
        </w:rPr>
        <w:t>concerned</w:t>
      </w:r>
      <w:r w:rsidRPr="000D127B">
        <w:rPr>
          <w:spacing w:val="33"/>
          <w:szCs w:val="22"/>
        </w:rPr>
        <w:t xml:space="preserve"> </w:t>
      </w:r>
      <w:r w:rsidRPr="000D127B">
        <w:rPr>
          <w:szCs w:val="22"/>
        </w:rPr>
        <w:t>with</w:t>
      </w:r>
      <w:r w:rsidRPr="000D127B">
        <w:rPr>
          <w:spacing w:val="20"/>
          <w:szCs w:val="22"/>
        </w:rPr>
        <w:t xml:space="preserve"> </w:t>
      </w:r>
      <w:r w:rsidRPr="000D127B">
        <w:rPr>
          <w:szCs w:val="22"/>
        </w:rPr>
        <w:t>making</w:t>
      </w:r>
      <w:r w:rsidRPr="000D127B">
        <w:rPr>
          <w:spacing w:val="26"/>
          <w:szCs w:val="22"/>
        </w:rPr>
        <w:t xml:space="preserve"> </w:t>
      </w:r>
      <w:r w:rsidRPr="000D127B">
        <w:rPr>
          <w:szCs w:val="22"/>
        </w:rPr>
        <w:t>an</w:t>
      </w:r>
      <w:r w:rsidRPr="000D127B">
        <w:rPr>
          <w:spacing w:val="17"/>
          <w:szCs w:val="22"/>
        </w:rPr>
        <w:t xml:space="preserve"> </w:t>
      </w:r>
      <w:r w:rsidRPr="000D127B">
        <w:rPr>
          <w:szCs w:val="22"/>
        </w:rPr>
        <w:t>amendment to a pleading in an existing proceeding; the other is concerned with the</w:t>
      </w:r>
      <w:r w:rsidRPr="000D127B">
        <w:rPr>
          <w:w w:val="102"/>
          <w:szCs w:val="22"/>
        </w:rPr>
        <w:t xml:space="preserve"> </w:t>
      </w:r>
      <w:r w:rsidRPr="000D127B">
        <w:rPr>
          <w:szCs w:val="22"/>
        </w:rPr>
        <w:t>commencement of</w:t>
      </w:r>
      <w:r w:rsidRPr="000D127B">
        <w:rPr>
          <w:spacing w:val="35"/>
          <w:szCs w:val="22"/>
        </w:rPr>
        <w:t xml:space="preserve"> </w:t>
      </w:r>
      <w:r w:rsidRPr="000D127B">
        <w:rPr>
          <w:szCs w:val="22"/>
        </w:rPr>
        <w:t>a</w:t>
      </w:r>
      <w:r w:rsidRPr="000D127B">
        <w:rPr>
          <w:spacing w:val="25"/>
          <w:szCs w:val="22"/>
        </w:rPr>
        <w:t xml:space="preserve"> </w:t>
      </w:r>
      <w:r w:rsidRPr="000D127B">
        <w:rPr>
          <w:szCs w:val="22"/>
        </w:rPr>
        <w:t>proceeding.</w:t>
      </w:r>
    </w:p>
    <w:p w:rsidR="007A2C51" w:rsidRPr="000D127B" w:rsidRDefault="007A2C51" w:rsidP="00017B82">
      <w:pPr>
        <w:pStyle w:val="ParaNumbering"/>
        <w:numPr>
          <w:ilvl w:val="0"/>
          <w:numId w:val="30"/>
        </w:numPr>
        <w:rPr>
          <w:lang w:eastAsia="en-AU"/>
        </w:rPr>
      </w:pPr>
      <w:r w:rsidRPr="000D127B">
        <w:rPr>
          <w:i/>
          <w:lang w:eastAsia="en-AU"/>
        </w:rPr>
        <w:lastRenderedPageBreak/>
        <w:t>Rodgers</w:t>
      </w:r>
      <w:r w:rsidRPr="000D127B">
        <w:rPr>
          <w:lang w:eastAsia="en-AU"/>
        </w:rPr>
        <w:t xml:space="preserve"> was not referred to in any of the three </w:t>
      </w:r>
      <w:r w:rsidR="001E6B3B">
        <w:rPr>
          <w:lang w:eastAsia="en-AU"/>
        </w:rPr>
        <w:t xml:space="preserve">subsequent </w:t>
      </w:r>
      <w:r w:rsidRPr="000D127B">
        <w:rPr>
          <w:lang w:eastAsia="en-AU"/>
        </w:rPr>
        <w:t xml:space="preserve">High Court </w:t>
      </w:r>
      <w:r w:rsidR="00854C61">
        <w:rPr>
          <w:lang w:eastAsia="en-AU"/>
        </w:rPr>
        <w:t xml:space="preserve">cases </w:t>
      </w:r>
      <w:r w:rsidR="001E6B3B">
        <w:rPr>
          <w:lang w:eastAsia="en-AU"/>
        </w:rPr>
        <w:t xml:space="preserve">on which the SA defendant has relied to submit that </w:t>
      </w:r>
      <w:r w:rsidR="001E6B3B" w:rsidRPr="001E6B3B">
        <w:rPr>
          <w:i/>
          <w:lang w:eastAsia="en-AU"/>
        </w:rPr>
        <w:t>Rodgers</w:t>
      </w:r>
      <w:r w:rsidR="001E6B3B">
        <w:rPr>
          <w:lang w:eastAsia="en-AU"/>
        </w:rPr>
        <w:t xml:space="preserve"> is no longer good law.</w:t>
      </w:r>
      <w:r w:rsidRPr="000D127B">
        <w:rPr>
          <w:lang w:eastAsia="en-AU"/>
        </w:rPr>
        <w:t xml:space="preserve">  </w:t>
      </w:r>
    </w:p>
    <w:p w:rsidR="007A2C51" w:rsidRPr="00A04E62" w:rsidRDefault="007A2C51" w:rsidP="00A04E62">
      <w:pPr>
        <w:pStyle w:val="Heading3"/>
        <w:rPr>
          <w:lang w:eastAsia="en-AU"/>
        </w:rPr>
      </w:pPr>
      <w:proofErr w:type="spellStart"/>
      <w:r w:rsidRPr="00A04E62">
        <w:rPr>
          <w:lang w:eastAsia="en-AU"/>
        </w:rPr>
        <w:t>Tolcher</w:t>
      </w:r>
      <w:proofErr w:type="spellEnd"/>
    </w:p>
    <w:p w:rsidR="007A2C51" w:rsidRPr="000D127B" w:rsidRDefault="007A2C51" w:rsidP="00017B82">
      <w:pPr>
        <w:pStyle w:val="ParaNumbering"/>
        <w:numPr>
          <w:ilvl w:val="0"/>
          <w:numId w:val="30"/>
        </w:numPr>
        <w:rPr>
          <w:lang w:eastAsia="en-AU"/>
        </w:rPr>
      </w:pPr>
      <w:proofErr w:type="spellStart"/>
      <w:r w:rsidRPr="000D127B">
        <w:rPr>
          <w:i/>
          <w:lang w:eastAsia="en-AU"/>
        </w:rPr>
        <w:t>Tolcher</w:t>
      </w:r>
      <w:proofErr w:type="spellEnd"/>
      <w:r w:rsidRPr="000D127B">
        <w:rPr>
          <w:lang w:eastAsia="en-AU"/>
        </w:rPr>
        <w:t xml:space="preserve"> concerned the interaction between s 79 of the </w:t>
      </w:r>
      <w:r w:rsidRPr="000D127B">
        <w:rPr>
          <w:i/>
          <w:lang w:eastAsia="en-AU"/>
        </w:rPr>
        <w:t xml:space="preserve">Judiciary Act 1903 </w:t>
      </w:r>
      <w:r w:rsidRPr="000D127B">
        <w:rPr>
          <w:lang w:eastAsia="en-AU"/>
        </w:rPr>
        <w:t>(Cth) (“</w:t>
      </w:r>
      <w:r w:rsidRPr="000D127B">
        <w:rPr>
          <w:b/>
          <w:lang w:eastAsia="en-AU"/>
        </w:rPr>
        <w:t>the Judiciary Act</w:t>
      </w:r>
      <w:r w:rsidRPr="000D127B">
        <w:rPr>
          <w:lang w:eastAsia="en-AU"/>
        </w:rPr>
        <w:t xml:space="preserve">”) and s 588FF.  Section 79 of the </w:t>
      </w:r>
      <w:r w:rsidRPr="000D127B">
        <w:rPr>
          <w:i/>
          <w:lang w:eastAsia="en-AU"/>
        </w:rPr>
        <w:t>Judiciary Act</w:t>
      </w:r>
      <w:r w:rsidRPr="000D127B">
        <w:rPr>
          <w:lang w:eastAsia="en-AU"/>
        </w:rPr>
        <w:t xml:space="preserve"> provides:</w:t>
      </w:r>
    </w:p>
    <w:p w:rsidR="007A2C51" w:rsidRPr="000D127B" w:rsidRDefault="007A2C51" w:rsidP="007A2C51">
      <w:pPr>
        <w:pStyle w:val="Quote1"/>
      </w:pPr>
      <w:r w:rsidRPr="000D127B">
        <w:t xml:space="preserve">The laws of each State or Territory, including the laws relating to procedure, evidence, and the competency of witnesses, shall, except as otherwise provided by the Constitution or the laws of the Commonwealth, be binding on all Courts exercising federal jurisdiction in that State or Territory in all cases to which they are applicable.  </w:t>
      </w:r>
    </w:p>
    <w:p w:rsidR="007A2C51" w:rsidRPr="000D127B" w:rsidRDefault="007A2C51" w:rsidP="00017B82">
      <w:pPr>
        <w:pStyle w:val="ParaNumbering"/>
        <w:numPr>
          <w:ilvl w:val="0"/>
          <w:numId w:val="30"/>
        </w:numPr>
        <w:rPr>
          <w:lang w:eastAsia="en-AU"/>
        </w:rPr>
      </w:pPr>
      <w:r w:rsidRPr="000D127B">
        <w:rPr>
          <w:lang w:eastAsia="en-AU"/>
        </w:rPr>
        <w:t xml:space="preserve">In that case, a liquidator had commenced a preference claim in the District Court of </w:t>
      </w:r>
      <w:r w:rsidR="007B669B" w:rsidRPr="000D127B">
        <w:rPr>
          <w:lang w:eastAsia="en-AU"/>
        </w:rPr>
        <w:t>New South Wales within the time-</w:t>
      </w:r>
      <w:r w:rsidRPr="000D127B">
        <w:rPr>
          <w:lang w:eastAsia="en-AU"/>
        </w:rPr>
        <w:t>frame prescribed by s 588FF(3)(a)</w:t>
      </w:r>
      <w:r w:rsidR="007B669B" w:rsidRPr="000D127B">
        <w:rPr>
          <w:lang w:eastAsia="en-AU"/>
        </w:rPr>
        <w:t>,</w:t>
      </w:r>
      <w:r w:rsidRPr="000D127B">
        <w:rPr>
          <w:lang w:eastAsia="en-AU"/>
        </w:rPr>
        <w:t xml:space="preserve"> but the proceeding had been taken to have been dismissed under the </w:t>
      </w:r>
      <w:r w:rsidRPr="000D127B">
        <w:rPr>
          <w:i/>
          <w:lang w:eastAsia="en-AU"/>
        </w:rPr>
        <w:t>District Court Rules 1973</w:t>
      </w:r>
      <w:r w:rsidRPr="000D127B">
        <w:rPr>
          <w:lang w:eastAsia="en-AU"/>
        </w:rPr>
        <w:t xml:space="preserve"> </w:t>
      </w:r>
      <w:r w:rsidR="007B669B" w:rsidRPr="000D127B">
        <w:rPr>
          <w:lang w:eastAsia="en-AU"/>
        </w:rPr>
        <w:t xml:space="preserve">(NSW) </w:t>
      </w:r>
      <w:r w:rsidRPr="000D127B">
        <w:rPr>
          <w:lang w:eastAsia="en-AU"/>
        </w:rPr>
        <w:t xml:space="preserve">because certain steps </w:t>
      </w:r>
      <w:r w:rsidR="00A1344D">
        <w:rPr>
          <w:lang w:eastAsia="en-AU"/>
        </w:rPr>
        <w:t>were not</w:t>
      </w:r>
      <w:r w:rsidRPr="000D127B">
        <w:rPr>
          <w:lang w:eastAsia="en-AU"/>
        </w:rPr>
        <w:t xml:space="preserve"> taken in the prosecution of the proceeding.  The Court of Appeal granted an extension of time </w:t>
      </w:r>
      <w:proofErr w:type="spellStart"/>
      <w:r w:rsidRPr="000D127B">
        <w:rPr>
          <w:i/>
          <w:lang w:eastAsia="en-AU"/>
        </w:rPr>
        <w:t>nunc</w:t>
      </w:r>
      <w:proofErr w:type="spellEnd"/>
      <w:r w:rsidRPr="000D127B">
        <w:rPr>
          <w:i/>
          <w:lang w:eastAsia="en-AU"/>
        </w:rPr>
        <w:t xml:space="preserve"> pro </w:t>
      </w:r>
      <w:proofErr w:type="spellStart"/>
      <w:r w:rsidRPr="000D127B">
        <w:rPr>
          <w:i/>
          <w:lang w:eastAsia="en-AU"/>
        </w:rPr>
        <w:t>tunc</w:t>
      </w:r>
      <w:proofErr w:type="spellEnd"/>
      <w:r w:rsidRPr="000D127B">
        <w:rPr>
          <w:lang w:eastAsia="en-AU"/>
        </w:rPr>
        <w:t xml:space="preserve"> for those steps to be completed</w:t>
      </w:r>
      <w:r w:rsidR="00A1344D">
        <w:rPr>
          <w:lang w:eastAsia="en-AU"/>
        </w:rPr>
        <w:t>,</w:t>
      </w:r>
      <w:r w:rsidRPr="000D127B">
        <w:rPr>
          <w:lang w:eastAsia="en-AU"/>
        </w:rPr>
        <w:t xml:space="preserve"> exercising the general power to extend time under the Rules.  The extension was granted well</w:t>
      </w:r>
      <w:r w:rsidR="007B669B" w:rsidRPr="000D127B">
        <w:rPr>
          <w:lang w:eastAsia="en-AU"/>
        </w:rPr>
        <w:t xml:space="preserve"> after the time limit under</w:t>
      </w:r>
      <w:r w:rsidR="00957666">
        <w:rPr>
          <w:lang w:eastAsia="en-AU"/>
        </w:rPr>
        <w:t xml:space="preserve"> s </w:t>
      </w:r>
      <w:proofErr w:type="gramStart"/>
      <w:r w:rsidRPr="000D127B">
        <w:rPr>
          <w:lang w:eastAsia="en-AU"/>
        </w:rPr>
        <w:t>588FF(</w:t>
      </w:r>
      <w:proofErr w:type="gramEnd"/>
      <w:r w:rsidRPr="000D127B">
        <w:rPr>
          <w:lang w:eastAsia="en-AU"/>
        </w:rPr>
        <w:t xml:space="preserve">3) had expired.  The High Court held that the time period specified </w:t>
      </w:r>
      <w:r w:rsidR="00D96B9D">
        <w:rPr>
          <w:lang w:eastAsia="en-AU"/>
        </w:rPr>
        <w:t xml:space="preserve">in </w:t>
      </w:r>
      <w:r w:rsidRPr="000D127B">
        <w:rPr>
          <w:lang w:eastAsia="en-AU"/>
        </w:rPr>
        <w:t>s </w:t>
      </w:r>
      <w:proofErr w:type="gramStart"/>
      <w:r w:rsidRPr="000D127B">
        <w:rPr>
          <w:lang w:eastAsia="en-AU"/>
        </w:rPr>
        <w:t>588FF(</w:t>
      </w:r>
      <w:proofErr w:type="gramEnd"/>
      <w:r w:rsidRPr="000D127B">
        <w:rPr>
          <w:lang w:eastAsia="en-AU"/>
        </w:rPr>
        <w:t>3) is a jurisdictional requirement for bringing a voidable preference claim and the section does not merely prescribe a time stipulation of a procedural nature for making such a cl</w:t>
      </w:r>
      <w:r w:rsidR="00B75F90" w:rsidRPr="000D127B">
        <w:rPr>
          <w:lang w:eastAsia="en-AU"/>
        </w:rPr>
        <w:t>aim</w:t>
      </w:r>
      <w:r w:rsidR="002D25B4">
        <w:rPr>
          <w:lang w:eastAsia="en-AU"/>
        </w:rPr>
        <w:t xml:space="preserve">.  </w:t>
      </w:r>
      <w:r w:rsidR="00B75F90" w:rsidRPr="000D127B">
        <w:rPr>
          <w:lang w:eastAsia="en-AU"/>
        </w:rPr>
        <w:t>The Court stated (at [37]–</w:t>
      </w:r>
      <w:r w:rsidRPr="000D127B">
        <w:rPr>
          <w:lang w:eastAsia="en-AU"/>
        </w:rPr>
        <w:t>[40]</w:t>
      </w:r>
      <w:r w:rsidR="00B75F90" w:rsidRPr="000D127B">
        <w:rPr>
          <w:lang w:eastAsia="en-AU"/>
        </w:rPr>
        <w:t>)</w:t>
      </w:r>
      <w:r w:rsidRPr="000D127B">
        <w:rPr>
          <w:lang w:eastAsia="en-AU"/>
        </w:rPr>
        <w:t xml:space="preserve"> as follows:</w:t>
      </w:r>
    </w:p>
    <w:p w:rsidR="007A2C51" w:rsidRPr="000D127B" w:rsidRDefault="007A2C51" w:rsidP="007A2C51">
      <w:pPr>
        <w:pStyle w:val="Quote1"/>
        <w:ind w:left="1440" w:hanging="703"/>
      </w:pPr>
      <w:r w:rsidRPr="000D127B">
        <w:t>37.</w:t>
      </w:r>
      <w:r w:rsidRPr="000D127B">
        <w:tab/>
        <w:t>The provision in sub</w:t>
      </w:r>
      <w:r w:rsidRPr="000D127B">
        <w:noBreakHyphen/>
        <w:t>s (3) of s 588FF as to the time of the making of the application is of the essence of the provision made by s 588FF; it is not to be characterised merely as a time stipulation of a procedural nature.  The significance of sub</w:t>
      </w:r>
      <w:r w:rsidRPr="000D127B">
        <w:noBreakHyphen/>
        <w:t xml:space="preserve">s (3) in the statutory scheme was considered by </w:t>
      </w:r>
      <w:proofErr w:type="spellStart"/>
      <w:r w:rsidRPr="000D127B">
        <w:t>Spigelman</w:t>
      </w:r>
      <w:proofErr w:type="spellEnd"/>
      <w:r w:rsidRPr="000D127B">
        <w:t xml:space="preserve"> CJ, who gave the leading judgment in </w:t>
      </w:r>
      <w:r w:rsidRPr="000D127B">
        <w:rPr>
          <w:i/>
          <w:iCs/>
        </w:rPr>
        <w:t>BP Australia Ltd v Brown</w:t>
      </w:r>
      <w:r w:rsidRPr="000D127B">
        <w:t xml:space="preserve">.  His Honour referred to the </w:t>
      </w:r>
      <w:r w:rsidRPr="000D127B">
        <w:rPr>
          <w:i/>
          <w:iCs/>
        </w:rPr>
        <w:t>General Insolvency Inquiry</w:t>
      </w:r>
      <w:r w:rsidRPr="000D127B">
        <w:t xml:space="preserve"> (</w:t>
      </w:r>
      <w:r w:rsidR="006D1AF1" w:rsidRPr="000D127B">
        <w:t>“</w:t>
      </w:r>
      <w:r w:rsidRPr="000D127B">
        <w:t>the Harmer Report</w:t>
      </w:r>
      <w:r w:rsidR="006D1AF1" w:rsidRPr="000D127B">
        <w:t>”</w:t>
      </w:r>
      <w:r w:rsidRPr="000D127B">
        <w:t>), published in 1988.</w:t>
      </w:r>
    </w:p>
    <w:p w:rsidR="007A2C51" w:rsidRPr="000D127B" w:rsidRDefault="007A2C51" w:rsidP="007A2C51">
      <w:pPr>
        <w:pStyle w:val="Quote1"/>
        <w:ind w:left="1440" w:hanging="703"/>
      </w:pPr>
      <w:r w:rsidRPr="000D127B">
        <w:t>38.</w:t>
      </w:r>
      <w:r w:rsidRPr="000D127B">
        <w:tab/>
        <w:t>Paragraph 688 of the Harmer Report had stated:</w:t>
      </w:r>
    </w:p>
    <w:p w:rsidR="007A2C51" w:rsidRPr="000D127B" w:rsidRDefault="007A2C51" w:rsidP="007A2C51">
      <w:pPr>
        <w:pStyle w:val="Quote3"/>
      </w:pPr>
      <w:r w:rsidRPr="000D127B">
        <w:t xml:space="preserve">Actions by a liquidator to recover the proceeds of a void execution, a preference, a transaction at </w:t>
      </w:r>
      <w:proofErr w:type="gramStart"/>
      <w:r w:rsidRPr="000D127B">
        <w:t>an undervalue</w:t>
      </w:r>
      <w:proofErr w:type="gramEnd"/>
      <w:r w:rsidRPr="000D127B">
        <w:t xml:space="preserve"> or a transaction with intent to defeat should be commenced within a reasonable time.  The Commission proposed in [Discussion Paper 32 (par 454)] that a liquidator should have three years to commence such an action, although the court might extend that time.  Under the existing law the time period would be six years (for example, [the </w:t>
      </w:r>
      <w:r w:rsidRPr="000D127B">
        <w:rPr>
          <w:i/>
          <w:iCs/>
        </w:rPr>
        <w:t>Bankruptcy Act</w:t>
      </w:r>
      <w:r w:rsidRPr="000D127B">
        <w:t xml:space="preserve"> 1966 (Cth), s 127)].  Many submissions to the Commission complained about the sometimes inordinate delay in commencing proceedings in respect of voidable transactions.  In addition, there have been recent judicial observations critical of the general delays associated with the winding up of insolvent companies.  It is </w:t>
      </w:r>
      <w:r w:rsidRPr="000D127B">
        <w:lastRenderedPageBreak/>
        <w:t>therefore considered desirable to place liquidators under a more rigorous but, nonetheless, reasonable time limitation for taking action under these provisions.  The Commission recommends accordingly.</w:t>
      </w:r>
    </w:p>
    <w:p w:rsidR="007A2C51" w:rsidRPr="000D127B" w:rsidRDefault="007A2C51" w:rsidP="007A2C51">
      <w:pPr>
        <w:pStyle w:val="Quote1"/>
        <w:ind w:left="1440" w:hanging="703"/>
      </w:pPr>
      <w:r w:rsidRPr="000D127B">
        <w:t>39.</w:t>
      </w:r>
      <w:r w:rsidRPr="000D127B">
        <w:tab/>
        <w:t xml:space="preserve">In </w:t>
      </w:r>
      <w:r w:rsidRPr="000D127B">
        <w:rPr>
          <w:i/>
          <w:iCs/>
        </w:rPr>
        <w:t>BP</w:t>
      </w:r>
      <w:r w:rsidRPr="000D127B">
        <w:t xml:space="preserve">, </w:t>
      </w:r>
      <w:proofErr w:type="spellStart"/>
      <w:r w:rsidRPr="000D127B">
        <w:t>Spigelman</w:t>
      </w:r>
      <w:proofErr w:type="spellEnd"/>
      <w:r w:rsidRPr="000D127B">
        <w:t> CJ said of s 588FF:</w:t>
      </w:r>
    </w:p>
    <w:p w:rsidR="007A2C51" w:rsidRPr="000D127B" w:rsidRDefault="007A2C51" w:rsidP="007A2C51">
      <w:pPr>
        <w:pStyle w:val="Quote3"/>
      </w:pPr>
      <w:r w:rsidRPr="000D127B">
        <w:t xml:space="preserve">Prior to Pt 5.7B, the practice was for the court to declare a disposition to be void with the consequences left to the general law, together with some statutory powers of limited scope such as s 567 of the </w:t>
      </w:r>
      <w:r w:rsidRPr="000D127B">
        <w:rPr>
          <w:i/>
          <w:iCs/>
        </w:rPr>
        <w:t>Corporations Law</w:t>
      </w:r>
      <w:r w:rsidRPr="000D127B">
        <w:t>.  Section 588FF(1) identifies a range of specific orders that can be made and which are more focused and more comprehensive than the orders that were hitherto available by way of relief under the general law or statute.</w:t>
      </w:r>
    </w:p>
    <w:p w:rsidR="007A2C51" w:rsidRPr="000D127B" w:rsidRDefault="007A2C51" w:rsidP="007A2C51">
      <w:pPr>
        <w:pStyle w:val="Quote1"/>
        <w:ind w:left="1440"/>
      </w:pPr>
      <w:r w:rsidRPr="000D127B">
        <w:t xml:space="preserve">His Honour further remarked that the original proposal in the Harmer Report had significantly been strengthened by the inclusion both by the introductory phrase </w:t>
      </w:r>
      <w:r w:rsidR="006D1AF1" w:rsidRPr="000D127B">
        <w:t>“</w:t>
      </w:r>
      <w:r w:rsidRPr="000D127B">
        <w:t>may only be made</w:t>
      </w:r>
      <w:r w:rsidR="006D1AF1" w:rsidRPr="000D127B">
        <w:t>”</w:t>
      </w:r>
      <w:r w:rsidRPr="000D127B">
        <w:t xml:space="preserve"> in s 588FF(3) and also by the stipulation that an application for extension beyond the three year period had to be made within the original stipulation period.  </w:t>
      </w:r>
      <w:proofErr w:type="spellStart"/>
      <w:r w:rsidRPr="000D127B">
        <w:t>Spigelman</w:t>
      </w:r>
      <w:proofErr w:type="spellEnd"/>
      <w:r w:rsidRPr="000D127B">
        <w:t> CJ added:</w:t>
      </w:r>
    </w:p>
    <w:p w:rsidR="007A2C51" w:rsidRPr="000D127B" w:rsidRDefault="007A2C51" w:rsidP="007A2C51">
      <w:pPr>
        <w:pStyle w:val="Quote3"/>
      </w:pPr>
      <w:r w:rsidRPr="000D127B">
        <w:t>The time limit in s </w:t>
      </w:r>
      <w:proofErr w:type="gramStart"/>
      <w:r w:rsidRPr="000D127B">
        <w:t>588FF(</w:t>
      </w:r>
      <w:proofErr w:type="gramEnd"/>
      <w:r w:rsidRPr="000D127B">
        <w:t xml:space="preserve">3) has the effect that at the end of the period of three years, such a person will know whether [that person] remains at risk.  In a legislative scheme which seeks to balance conflicting commercial interests of this </w:t>
      </w:r>
      <w:proofErr w:type="gramStart"/>
      <w:r w:rsidRPr="000D127B">
        <w:t>character, that</w:t>
      </w:r>
      <w:proofErr w:type="gramEnd"/>
      <w:r w:rsidRPr="000D127B">
        <w:t xml:space="preserve"> appears to me to be a perfectly reasonable requirement.  Those who have an interest, or who represent those who have an interest, to disturb transactions must indicate, within three years, whether they wish to keep open the option of doing so.  In this, as in other areas, legal policy favours certainty.</w:t>
      </w:r>
    </w:p>
    <w:p w:rsidR="007A2C51" w:rsidRPr="00FF3C5F" w:rsidRDefault="007A2C51" w:rsidP="007A2C51">
      <w:pPr>
        <w:pStyle w:val="Quote3"/>
      </w:pPr>
      <w:r w:rsidRPr="000D127B">
        <w:t>...</w:t>
      </w:r>
    </w:p>
    <w:p w:rsidR="007A2C51" w:rsidRPr="00FF3C5F" w:rsidRDefault="007A2C51" w:rsidP="007A2C51">
      <w:pPr>
        <w:pStyle w:val="Quote3"/>
      </w:pPr>
      <w:r w:rsidRPr="00FF3C5F">
        <w:t xml:space="preserve">Section </w:t>
      </w:r>
      <w:proofErr w:type="gramStart"/>
      <w:r w:rsidRPr="00FF3C5F">
        <w:t>588FF(</w:t>
      </w:r>
      <w:proofErr w:type="gramEnd"/>
      <w:r w:rsidRPr="00FF3C5F">
        <w:t xml:space="preserve">3) does not have the effect of requiring all applications to be brought within a short period of time.  It does, however, have the effect of requiring those who wish to keep open the option to do so, to determine that they do wish to do so within the three year period and to seek a determinate extension of the period.  One thing that must be decided within the three year period is how long the process of deciding whether to pursue voidable transactions will take.  Eventually, investigations to overcome deficiencies of information or the pursuit of funding must cease.  Parliament has identified a reasonable time for such matters to occur, subject to a single determinate extension </w:t>
      </w:r>
      <w:r w:rsidRPr="00813DFE">
        <w:t>of time.</w:t>
      </w:r>
      <w:r w:rsidR="00813DFE" w:rsidRPr="00813DFE">
        <w:t>”</w:t>
      </w:r>
    </w:p>
    <w:p w:rsidR="007A2C51" w:rsidRPr="00FF3C5F" w:rsidRDefault="007A2C51" w:rsidP="007A2C51">
      <w:pPr>
        <w:pStyle w:val="Quote1"/>
        <w:ind w:left="1440" w:hanging="703"/>
      </w:pPr>
      <w:r w:rsidRPr="00FF3C5F">
        <w:t>40.</w:t>
      </w:r>
      <w:r w:rsidRPr="00FF3C5F">
        <w:tab/>
        <w:t>Accordingly, s 588FF is dealing, as an essential aspect of the regime it creates, with the period within which the application must be made.  An application may be made only to a court invested with federal jurisdiction by one or other of the provisions of Pt 9.6A….</w:t>
      </w:r>
    </w:p>
    <w:p w:rsidR="007A2C51" w:rsidRPr="00FF3C5F" w:rsidRDefault="007A2C51" w:rsidP="00017B82">
      <w:pPr>
        <w:pStyle w:val="ParaNumbering"/>
        <w:numPr>
          <w:ilvl w:val="0"/>
          <w:numId w:val="30"/>
        </w:numPr>
        <w:rPr>
          <w:lang w:eastAsia="en-AU"/>
        </w:rPr>
      </w:pPr>
      <w:r w:rsidRPr="00FF3C5F">
        <w:rPr>
          <w:lang w:eastAsia="en-AU"/>
        </w:rPr>
        <w:t xml:space="preserve">However, the Court held that the time limit in s </w:t>
      </w:r>
      <w:proofErr w:type="gramStart"/>
      <w:r w:rsidRPr="00FF3C5F">
        <w:rPr>
          <w:lang w:eastAsia="en-AU"/>
        </w:rPr>
        <w:t>588FF(</w:t>
      </w:r>
      <w:proofErr w:type="gramEnd"/>
      <w:r w:rsidRPr="00FF3C5F">
        <w:rPr>
          <w:lang w:eastAsia="en-AU"/>
        </w:rPr>
        <w:t>3) did not preclude the Court of Appeal from making</w:t>
      </w:r>
      <w:r w:rsidR="007B669B" w:rsidRPr="00FF3C5F">
        <w:rPr>
          <w:lang w:eastAsia="en-AU"/>
        </w:rPr>
        <w:t xml:space="preserve"> orders under the rules of the C</w:t>
      </w:r>
      <w:r w:rsidRPr="00FF3C5F">
        <w:rPr>
          <w:lang w:eastAsia="en-AU"/>
        </w:rPr>
        <w:t xml:space="preserve">ourt extending time for the taking of certain steps in the conduct of the action which had the effect of overcoming the </w:t>
      </w:r>
      <w:r w:rsidRPr="00FF3C5F">
        <w:t>operation of the rules</w:t>
      </w:r>
      <w:r w:rsidRPr="00FF3C5F">
        <w:rPr>
          <w:lang w:eastAsia="en-AU"/>
        </w:rPr>
        <w:t xml:space="preserve"> which the </w:t>
      </w:r>
      <w:r w:rsidRPr="00FF3C5F">
        <w:t>preference action</w:t>
      </w:r>
      <w:r w:rsidRPr="00FF3C5F">
        <w:rPr>
          <w:lang w:eastAsia="en-AU"/>
        </w:rPr>
        <w:t xml:space="preserve"> was otherwise taken to be dismissed</w:t>
      </w:r>
      <w:r w:rsidRPr="00FF3C5F">
        <w:t xml:space="preserve"> as a dormant action</w:t>
      </w:r>
      <w:r w:rsidR="002D25B4">
        <w:t xml:space="preserve">.  </w:t>
      </w:r>
      <w:r w:rsidRPr="00FF3C5F">
        <w:t>The Court reasoned at [40]</w:t>
      </w:r>
      <w:r w:rsidR="00957666">
        <w:t>–</w:t>
      </w:r>
      <w:r w:rsidRPr="00FF3C5F">
        <w:t>[41]:</w:t>
      </w:r>
    </w:p>
    <w:p w:rsidR="007A2C51" w:rsidRPr="00FF3C5F" w:rsidRDefault="007A2C51" w:rsidP="007A2C51">
      <w:pPr>
        <w:pStyle w:val="Quote1"/>
        <w:ind w:left="1440" w:hanging="643"/>
      </w:pPr>
      <w:r w:rsidRPr="00FF3C5F">
        <w:lastRenderedPageBreak/>
        <w:t>40.</w:t>
      </w:r>
      <w:r w:rsidRPr="00FF3C5F">
        <w:tab/>
      </w:r>
      <w:proofErr w:type="gramStart"/>
      <w:r w:rsidRPr="00FF3C5F">
        <w:t xml:space="preserve">… </w:t>
      </w:r>
      <w:proofErr w:type="gramEnd"/>
      <w:r w:rsidRPr="00FF3C5F">
        <w:t>Thereafter, and subject to any other relevant provision of the Corporations Act, the conduct of the litigation is left for the operation of the procedures of that court.  These procedures will vary from one State or Territory to another and within the court structures of those States and Territories.  The scheme of the Corporations Act is not to impose a direct federal and universal procedural regime.  Rather, s 79 of the Judiciary Act is left to operate according to its terms in the particular State or Territory concerned.</w:t>
      </w:r>
    </w:p>
    <w:p w:rsidR="007A2C51" w:rsidRPr="00FF3C5F" w:rsidRDefault="007A2C51" w:rsidP="007A2C51">
      <w:pPr>
        <w:pStyle w:val="Quote1"/>
        <w:ind w:left="1440" w:hanging="703"/>
      </w:pPr>
      <w:r w:rsidRPr="00FF3C5F">
        <w:t>41.</w:t>
      </w:r>
      <w:r w:rsidRPr="00FF3C5F">
        <w:tab/>
        <w:t xml:space="preserve">Thus the relationship between s 588FF and s 79 (and between Pt 9.6A and s 79) is not one of which it may be said that the former provision is a law of the Commonwealth which </w:t>
      </w:r>
      <w:r w:rsidR="006D1AF1">
        <w:t>“</w:t>
      </w:r>
      <w:r w:rsidRPr="00FF3C5F">
        <w:t>otherwise provides</w:t>
      </w:r>
      <w:r w:rsidR="006D1AF1">
        <w:t>”</w:t>
      </w:r>
      <w:r w:rsidRPr="00FF3C5F">
        <w:t xml:space="preserve"> so as to deny the operation of s 79 in this case to pick up so much of the Rules as supported the orders made by the Court of Appeal.  </w:t>
      </w:r>
    </w:p>
    <w:p w:rsidR="007A2C51" w:rsidRPr="00FF3C5F" w:rsidRDefault="007A2C51" w:rsidP="00E9769D">
      <w:pPr>
        <w:pStyle w:val="Heading3"/>
        <w:rPr>
          <w:lang w:eastAsia="en-AU"/>
        </w:rPr>
      </w:pPr>
      <w:r w:rsidRPr="00FF3C5F">
        <w:rPr>
          <w:lang w:eastAsia="en-AU"/>
        </w:rPr>
        <w:t>Grant Samuel</w:t>
      </w:r>
    </w:p>
    <w:p w:rsidR="007A2C51" w:rsidRPr="00FF3C5F" w:rsidRDefault="007A2C51" w:rsidP="00017B82">
      <w:pPr>
        <w:pStyle w:val="ParaNumbering"/>
        <w:numPr>
          <w:ilvl w:val="0"/>
          <w:numId w:val="30"/>
        </w:numPr>
        <w:rPr>
          <w:lang w:eastAsia="en-AU"/>
        </w:rPr>
      </w:pPr>
      <w:r w:rsidRPr="00FF3C5F">
        <w:rPr>
          <w:lang w:eastAsia="en-AU"/>
        </w:rPr>
        <w:t xml:space="preserve">In </w:t>
      </w:r>
      <w:r w:rsidRPr="00FF3C5F">
        <w:rPr>
          <w:i/>
          <w:lang w:eastAsia="en-AU"/>
        </w:rPr>
        <w:t>Grant Samuel</w:t>
      </w:r>
      <w:r w:rsidRPr="00FF3C5F">
        <w:rPr>
          <w:lang w:eastAsia="en-AU"/>
        </w:rPr>
        <w:t xml:space="preserve"> an application for an extension of time to bring a voidable preference action was made within the time prescribed by s 588FF(3)(a) and the Court had granted an extension of time under s 588FF(3)(b)</w:t>
      </w:r>
      <w:r w:rsidR="002D25B4">
        <w:rPr>
          <w:lang w:eastAsia="en-AU"/>
        </w:rPr>
        <w:t xml:space="preserve">.  </w:t>
      </w:r>
      <w:r w:rsidRPr="00FF3C5F">
        <w:rPr>
          <w:lang w:eastAsia="en-AU"/>
        </w:rPr>
        <w:t xml:space="preserve">The liquidators subsequently applied </w:t>
      </w:r>
      <w:r w:rsidRPr="00FF3C5F">
        <w:t xml:space="preserve">for a further extension by which </w:t>
      </w:r>
      <w:r w:rsidRPr="00FF3C5F">
        <w:rPr>
          <w:lang w:eastAsia="en-AU"/>
        </w:rPr>
        <w:t xml:space="preserve">to </w:t>
      </w:r>
      <w:r w:rsidRPr="00FF3C5F">
        <w:t xml:space="preserve">bring a claim under s </w:t>
      </w:r>
      <w:proofErr w:type="gramStart"/>
      <w:r w:rsidRPr="00FF3C5F">
        <w:t>588FF(</w:t>
      </w:r>
      <w:proofErr w:type="gramEnd"/>
      <w:r w:rsidRPr="00FF3C5F">
        <w:t xml:space="preserve">1) on an application made </w:t>
      </w:r>
      <w:r w:rsidRPr="00FF3C5F">
        <w:rPr>
          <w:lang w:eastAsia="en-AU"/>
        </w:rPr>
        <w:t xml:space="preserve">outside the </w:t>
      </w:r>
      <w:r w:rsidRPr="00FF3C5F">
        <w:t>period prescribed in s 588FF(3)(a)</w:t>
      </w:r>
      <w:r w:rsidR="002D25B4">
        <w:t xml:space="preserve">.  </w:t>
      </w:r>
      <w:r w:rsidRPr="00FF3C5F">
        <w:rPr>
          <w:lang w:eastAsia="en-AU"/>
        </w:rPr>
        <w:t xml:space="preserve">In issue was whether the </w:t>
      </w:r>
      <w:r w:rsidR="007B669B" w:rsidRPr="00FF3C5F">
        <w:rPr>
          <w:lang w:eastAsia="en-AU"/>
        </w:rPr>
        <w:t>C</w:t>
      </w:r>
      <w:r w:rsidRPr="00FF3C5F">
        <w:rPr>
          <w:lang w:eastAsia="en-AU"/>
        </w:rPr>
        <w:t xml:space="preserve">ourt had the power to grant that further extension under the general procedural rules of the </w:t>
      </w:r>
      <w:r w:rsidR="007B669B" w:rsidRPr="00FF3C5F">
        <w:rPr>
          <w:lang w:eastAsia="en-AU"/>
        </w:rPr>
        <w:t>C</w:t>
      </w:r>
      <w:r w:rsidRPr="00FF3C5F">
        <w:rPr>
          <w:lang w:eastAsia="en-AU"/>
        </w:rPr>
        <w:t>ourt</w:t>
      </w:r>
      <w:r w:rsidR="002D25B4">
        <w:rPr>
          <w:lang w:eastAsia="en-AU"/>
        </w:rPr>
        <w:t xml:space="preserve">.  </w:t>
      </w:r>
      <w:r w:rsidRPr="00FF3C5F">
        <w:rPr>
          <w:lang w:eastAsia="en-AU"/>
        </w:rPr>
        <w:t xml:space="preserve">The majority in the NSW Court of Appeal held on the authority of </w:t>
      </w:r>
      <w:proofErr w:type="spellStart"/>
      <w:r w:rsidRPr="00FF3C5F">
        <w:rPr>
          <w:i/>
          <w:lang w:eastAsia="en-AU"/>
        </w:rPr>
        <w:t>Tolcher</w:t>
      </w:r>
      <w:proofErr w:type="spellEnd"/>
      <w:r w:rsidRPr="00FF3C5F">
        <w:rPr>
          <w:i/>
          <w:lang w:eastAsia="en-AU"/>
        </w:rPr>
        <w:t xml:space="preserve"> </w:t>
      </w:r>
      <w:r w:rsidRPr="00FF3C5F">
        <w:rPr>
          <w:lang w:eastAsia="en-AU"/>
        </w:rPr>
        <w:t xml:space="preserve">that </w:t>
      </w:r>
      <w:r w:rsidRPr="00FF3C5F">
        <w:t xml:space="preserve">once an application for extension of time was made in conformity with s </w:t>
      </w:r>
      <w:proofErr w:type="gramStart"/>
      <w:r w:rsidRPr="00FF3C5F">
        <w:t>588FF(</w:t>
      </w:r>
      <w:proofErr w:type="gramEnd"/>
      <w:r w:rsidRPr="00FF3C5F">
        <w:t xml:space="preserve">3)(b) the conduct of the litigation was left for the operation of the procedures of the </w:t>
      </w:r>
      <w:r w:rsidR="007B669B" w:rsidRPr="00FF3C5F">
        <w:rPr>
          <w:lang w:eastAsia="en-AU"/>
        </w:rPr>
        <w:t>C</w:t>
      </w:r>
      <w:r w:rsidRPr="00FF3C5F">
        <w:t xml:space="preserve">ourt in which the application was filed and the Court had </w:t>
      </w:r>
      <w:r w:rsidR="00167DA1" w:rsidRPr="00FF3C5F">
        <w:t>the</w:t>
      </w:r>
      <w:r w:rsidRPr="00FF3C5F">
        <w:t xml:space="preserve"> power to grant a further extension of time</w:t>
      </w:r>
      <w:r w:rsidR="002D25B4">
        <w:t xml:space="preserve">.  </w:t>
      </w:r>
      <w:r w:rsidRPr="00FF3C5F">
        <w:t xml:space="preserve">On appeal, the High Court distinguished </w:t>
      </w:r>
      <w:proofErr w:type="spellStart"/>
      <w:r w:rsidRPr="00FF3C5F">
        <w:rPr>
          <w:i/>
          <w:lang w:eastAsia="en-AU"/>
        </w:rPr>
        <w:t>Tolcher</w:t>
      </w:r>
      <w:proofErr w:type="spellEnd"/>
      <w:r w:rsidRPr="00FF3C5F">
        <w:rPr>
          <w:lang w:eastAsia="en-AU"/>
        </w:rPr>
        <w:t xml:space="preserve"> on the basis first that </w:t>
      </w:r>
      <w:r w:rsidRPr="00FF3C5F">
        <w:t>in</w:t>
      </w:r>
      <w:r w:rsidRPr="00FF3C5F">
        <w:rPr>
          <w:i/>
          <w:lang w:eastAsia="en-AU"/>
        </w:rPr>
        <w:t xml:space="preserve"> </w:t>
      </w:r>
      <w:proofErr w:type="spellStart"/>
      <w:r w:rsidRPr="00FF3C5F">
        <w:rPr>
          <w:i/>
          <w:lang w:eastAsia="en-AU"/>
        </w:rPr>
        <w:t>Tolcher</w:t>
      </w:r>
      <w:proofErr w:type="spellEnd"/>
      <w:r w:rsidRPr="00FF3C5F">
        <w:t xml:space="preserve"> the voidable preference claim had been instituted within the three year period fixed by s </w:t>
      </w:r>
      <w:proofErr w:type="gramStart"/>
      <w:r w:rsidRPr="00FF3C5F">
        <w:t>588FF(</w:t>
      </w:r>
      <w:proofErr w:type="gramEnd"/>
      <w:r w:rsidRPr="00FF3C5F">
        <w:t xml:space="preserve">3)(a) and secondly, the rules of the District Court were not relied on to extend the s 588FF(3) time limitation but for the different purpose of overcoming the effect of the District Court Rule deeming the action to be dismissed. </w:t>
      </w:r>
    </w:p>
    <w:p w:rsidR="007A2C51" w:rsidRPr="00FF3C5F" w:rsidRDefault="007A2C51" w:rsidP="00017B82">
      <w:pPr>
        <w:pStyle w:val="ParaNumbering"/>
        <w:numPr>
          <w:ilvl w:val="0"/>
          <w:numId w:val="30"/>
        </w:numPr>
        <w:rPr>
          <w:lang w:eastAsia="en-AU"/>
        </w:rPr>
      </w:pPr>
      <w:r w:rsidRPr="00FF3C5F">
        <w:t xml:space="preserve">The High Court held that once </w:t>
      </w:r>
      <w:r w:rsidRPr="00FF3C5F">
        <w:rPr>
          <w:lang w:eastAsia="en-AU"/>
        </w:rPr>
        <w:t xml:space="preserve">the time frame under s </w:t>
      </w:r>
      <w:proofErr w:type="gramStart"/>
      <w:r w:rsidRPr="00FF3C5F">
        <w:rPr>
          <w:lang w:eastAsia="en-AU"/>
        </w:rPr>
        <w:t>588FF(</w:t>
      </w:r>
      <w:proofErr w:type="gramEnd"/>
      <w:r w:rsidRPr="00FF3C5F">
        <w:rPr>
          <w:lang w:eastAsia="en-AU"/>
        </w:rPr>
        <w:t>3) for the bringing of a proc</w:t>
      </w:r>
      <w:r w:rsidR="00A1344D">
        <w:rPr>
          <w:lang w:eastAsia="en-AU"/>
        </w:rPr>
        <w:t>eeding had</w:t>
      </w:r>
      <w:r w:rsidRPr="00FF3C5F">
        <w:rPr>
          <w:lang w:eastAsia="en-AU"/>
        </w:rPr>
        <w:t xml:space="preserve"> expired, the rules of the Court could not be utilised to extend the time within which proceedings under s 588FF(1) can be brought</w:t>
      </w:r>
      <w:r w:rsidR="002D25B4">
        <w:rPr>
          <w:lang w:eastAsia="en-AU"/>
        </w:rPr>
        <w:t xml:space="preserve">.  </w:t>
      </w:r>
      <w:r w:rsidRPr="00FF3C5F">
        <w:rPr>
          <w:lang w:eastAsia="en-AU"/>
        </w:rPr>
        <w:t>At [22]</w:t>
      </w:r>
      <w:r w:rsidR="00957666">
        <w:t>–</w:t>
      </w:r>
      <w:r w:rsidRPr="00FF3C5F">
        <w:rPr>
          <w:lang w:eastAsia="en-AU"/>
        </w:rPr>
        <w:t xml:space="preserve">[23], the Court (French CJ, Hayne, </w:t>
      </w:r>
      <w:proofErr w:type="spellStart"/>
      <w:r w:rsidRPr="00FF3C5F">
        <w:rPr>
          <w:lang w:eastAsia="en-AU"/>
        </w:rPr>
        <w:t>Kiefel</w:t>
      </w:r>
      <w:proofErr w:type="spellEnd"/>
      <w:r w:rsidRPr="00FF3C5F">
        <w:rPr>
          <w:lang w:eastAsia="en-AU"/>
        </w:rPr>
        <w:t xml:space="preserve">, Bell, </w:t>
      </w:r>
      <w:proofErr w:type="spellStart"/>
      <w:r w:rsidRPr="00FF3C5F">
        <w:rPr>
          <w:lang w:eastAsia="en-AU"/>
        </w:rPr>
        <w:t>Gageler</w:t>
      </w:r>
      <w:proofErr w:type="spellEnd"/>
      <w:r w:rsidRPr="00FF3C5F">
        <w:rPr>
          <w:lang w:eastAsia="en-AU"/>
        </w:rPr>
        <w:t xml:space="preserve"> and Keane JJ) reasoned as follows:</w:t>
      </w:r>
    </w:p>
    <w:p w:rsidR="007A2C51" w:rsidRPr="00FF3C5F" w:rsidRDefault="007A2C51" w:rsidP="007A2C51">
      <w:pPr>
        <w:pStyle w:val="Quote1"/>
        <w:rPr>
          <w:lang w:eastAsia="en-AU"/>
        </w:rPr>
      </w:pPr>
      <w:r w:rsidRPr="00FF3C5F">
        <w:rPr>
          <w:lang w:eastAsia="en-AU"/>
        </w:rPr>
        <w:t xml:space="preserve">Section </w:t>
      </w:r>
      <w:proofErr w:type="gramStart"/>
      <w:r w:rsidRPr="00FF3C5F">
        <w:rPr>
          <w:lang w:eastAsia="en-AU"/>
        </w:rPr>
        <w:t>588FF(</w:t>
      </w:r>
      <w:proofErr w:type="gramEnd"/>
      <w:r w:rsidRPr="00FF3C5F">
        <w:rPr>
          <w:lang w:eastAsia="en-AU"/>
        </w:rPr>
        <w:t xml:space="preserve">3) provides that an application under s 588FF(1) “may only be made” within the periods set out in paras (a) and (b) of s 588FF(3).  The phrase “may only be made” should be read with both paragraphs.  So understood, the term “may only” has the effect of defining the jurisdiction of the court by imposing a requirement as to time as an essential condition of the right conferred by s </w:t>
      </w:r>
      <w:proofErr w:type="gramStart"/>
      <w:r w:rsidRPr="00FF3C5F">
        <w:rPr>
          <w:lang w:eastAsia="en-AU"/>
        </w:rPr>
        <w:t>588FF(</w:t>
      </w:r>
      <w:proofErr w:type="gramEnd"/>
      <w:r w:rsidRPr="00FF3C5F">
        <w:rPr>
          <w:lang w:eastAsia="en-AU"/>
        </w:rPr>
        <w:t>1) to bring proceedings for orders with respect to voidable transactions.  An element of that right is that it must be exercised within the time specified.  This is what is conveyed by [</w:t>
      </w:r>
      <w:proofErr w:type="spellStart"/>
      <w:r w:rsidRPr="00FF3C5F">
        <w:rPr>
          <w:i/>
          <w:lang w:eastAsia="en-AU"/>
        </w:rPr>
        <w:t>Tolcher</w:t>
      </w:r>
      <w:proofErr w:type="spellEnd"/>
      <w:r w:rsidRPr="00FF3C5F">
        <w:rPr>
          <w:lang w:eastAsia="en-AU"/>
        </w:rPr>
        <w:t>].</w:t>
      </w:r>
    </w:p>
    <w:p w:rsidR="007A2C51" w:rsidRPr="00FF3C5F" w:rsidRDefault="007A2C51" w:rsidP="007A2C51">
      <w:pPr>
        <w:pStyle w:val="Quote1"/>
        <w:rPr>
          <w:lang w:eastAsia="en-AU"/>
        </w:rPr>
      </w:pPr>
      <w:r w:rsidRPr="00FF3C5F">
        <w:rPr>
          <w:lang w:eastAsia="en-AU"/>
        </w:rPr>
        <w:lastRenderedPageBreak/>
        <w:t>The only power given to a court to vary the para (a) period is that given by s </w:t>
      </w:r>
      <w:proofErr w:type="gramStart"/>
      <w:r w:rsidRPr="00FF3C5F">
        <w:rPr>
          <w:lang w:eastAsia="en-AU"/>
        </w:rPr>
        <w:t>588FF(</w:t>
      </w:r>
      <w:proofErr w:type="gramEnd"/>
      <w:r w:rsidRPr="00FF3C5F">
        <w:rPr>
          <w:lang w:eastAsia="en-AU"/>
        </w:rPr>
        <w:t>3)(b).  That power may not be supplemented,</w:t>
      </w:r>
      <w:r w:rsidRPr="00FF3C5F">
        <w:rPr>
          <w:sz w:val="13"/>
          <w:szCs w:val="13"/>
          <w:lang w:eastAsia="en-AU"/>
        </w:rPr>
        <w:t xml:space="preserve"> </w:t>
      </w:r>
      <w:r w:rsidRPr="00FF3C5F">
        <w:rPr>
          <w:lang w:eastAsia="en-AU"/>
        </w:rPr>
        <w:t>nor varied, by rules of procedure of the court to which an application for extension of time is made.  The rules of courts of the states and territories cannot apply so as to vary the time dictated by s </w:t>
      </w:r>
      <w:proofErr w:type="gramStart"/>
      <w:r w:rsidRPr="00FF3C5F">
        <w:rPr>
          <w:lang w:eastAsia="en-AU"/>
        </w:rPr>
        <w:t>588FF(</w:t>
      </w:r>
      <w:proofErr w:type="gramEnd"/>
      <w:r w:rsidRPr="00FF3C5F">
        <w:rPr>
          <w:lang w:eastAsia="en-AU"/>
        </w:rPr>
        <w:t xml:space="preserve">3) for the bringing of a proceeding under s 588FF(1), because s 588FF(3) otherwise provides.  It provides otherwise in the sense that it is inconsistent with so much of those rules as would permit variation of the time fixed by the extension order.  </w:t>
      </w:r>
    </w:p>
    <w:p w:rsidR="007A2C51" w:rsidRPr="00A04E62" w:rsidRDefault="007A2C51" w:rsidP="00A04E62">
      <w:pPr>
        <w:pStyle w:val="Heading3"/>
        <w:rPr>
          <w:lang w:eastAsia="en-AU"/>
        </w:rPr>
      </w:pPr>
      <w:r w:rsidRPr="00A04E62">
        <w:rPr>
          <w:lang w:eastAsia="en-AU"/>
        </w:rPr>
        <w:t>Fortress Credit</w:t>
      </w:r>
    </w:p>
    <w:p w:rsidR="007A2C51" w:rsidRPr="00FF3C5F" w:rsidRDefault="007A2C51" w:rsidP="00017B82">
      <w:pPr>
        <w:pStyle w:val="ParaNumbering"/>
        <w:numPr>
          <w:ilvl w:val="0"/>
          <w:numId w:val="30"/>
        </w:numPr>
        <w:rPr>
          <w:lang w:eastAsia="en-AU"/>
        </w:rPr>
      </w:pPr>
      <w:r w:rsidRPr="00FF3C5F">
        <w:rPr>
          <w:i/>
          <w:lang w:eastAsia="en-AU"/>
        </w:rPr>
        <w:t>Fortress Credit</w:t>
      </w:r>
      <w:r w:rsidRPr="00FF3C5F">
        <w:rPr>
          <w:lang w:eastAsia="en-AU"/>
        </w:rPr>
        <w:t xml:space="preserve"> concerned the power of the Court under s </w:t>
      </w:r>
      <w:proofErr w:type="gramStart"/>
      <w:r w:rsidRPr="00FF3C5F">
        <w:rPr>
          <w:lang w:eastAsia="en-AU"/>
        </w:rPr>
        <w:t>588FF(</w:t>
      </w:r>
      <w:proofErr w:type="gramEnd"/>
      <w:r w:rsidRPr="00FF3C5F">
        <w:rPr>
          <w:lang w:eastAsia="en-AU"/>
        </w:rPr>
        <w:t xml:space="preserve">3)(b) to extend the time within which a liquidator may bring an application under s 588FF(1).  Under s 588FF(3)(b), an application under s 588FF(1) may be made during the period prescribed under s 588FF(3)(a) or, pursuant to s 588FF(3)(b), “within such longer period as the Court orders on an application under this paragraph made by the liquidator during the paragraph (a) period”.  In that case, before the time limited for the commencement of proceedings under </w:t>
      </w:r>
      <w:r w:rsidR="00EE2B43">
        <w:rPr>
          <w:lang w:eastAsia="en-AU"/>
        </w:rPr>
        <w:t>s </w:t>
      </w:r>
      <w:proofErr w:type="gramStart"/>
      <w:r w:rsidRPr="00FF3C5F">
        <w:rPr>
          <w:lang w:eastAsia="en-AU"/>
        </w:rPr>
        <w:t>588FF(</w:t>
      </w:r>
      <w:proofErr w:type="gramEnd"/>
      <w:r w:rsidRPr="00FF3C5F">
        <w:rPr>
          <w:lang w:eastAsia="en-AU"/>
        </w:rPr>
        <w:t>3)(a) expired, the liquidators applied for an order that the time for making any application be extended.  In issue was whether the Court had the power to make a general order (known as a “shelf order”) without identifying any particular transaction or transactions.  The Court held yes, reasoning as follows:</w:t>
      </w:r>
    </w:p>
    <w:p w:rsidR="007A2C51" w:rsidRPr="00FF3C5F" w:rsidRDefault="007A2C51" w:rsidP="007A2C51">
      <w:pPr>
        <w:pStyle w:val="Quote1"/>
        <w:ind w:left="1440" w:hanging="703"/>
        <w:rPr>
          <w:lang w:val="en"/>
        </w:rPr>
      </w:pPr>
      <w:r w:rsidRPr="00FF3C5F">
        <w:rPr>
          <w:lang w:val="en"/>
        </w:rPr>
        <w:t>23.</w:t>
      </w:r>
      <w:r w:rsidRPr="00FF3C5F">
        <w:rPr>
          <w:lang w:val="en"/>
        </w:rPr>
        <w:tab/>
        <w:t>The appellants relied upon the words “may only be made” in s </w:t>
      </w:r>
      <w:proofErr w:type="gramStart"/>
      <w:r w:rsidRPr="00FF3C5F">
        <w:rPr>
          <w:lang w:val="en"/>
        </w:rPr>
        <w:t>588FF(</w:t>
      </w:r>
      <w:proofErr w:type="gramEnd"/>
      <w:r w:rsidRPr="00FF3C5F">
        <w:rPr>
          <w:lang w:val="en"/>
        </w:rPr>
        <w:t>3) as indicating a limited scope for the power under para (b)</w:t>
      </w:r>
      <w:r w:rsidR="002D25B4">
        <w:rPr>
          <w:lang w:val="en"/>
        </w:rPr>
        <w:t xml:space="preserve">.  </w:t>
      </w:r>
      <w:r w:rsidRPr="00FF3C5F">
        <w:rPr>
          <w:lang w:val="en"/>
        </w:rPr>
        <w:t xml:space="preserve">As this court observed in </w:t>
      </w:r>
      <w:r w:rsidRPr="00FF3C5F">
        <w:rPr>
          <w:i/>
          <w:iCs/>
        </w:rPr>
        <w:t>Grant Samuel</w:t>
      </w:r>
      <w:r w:rsidRPr="00FF3C5F">
        <w:rPr>
          <w:lang w:val="en"/>
        </w:rPr>
        <w:t>, those words impose a requirement as to time as an essential condition of the right conferred by s </w:t>
      </w:r>
      <w:proofErr w:type="gramStart"/>
      <w:r w:rsidRPr="00FF3C5F">
        <w:rPr>
          <w:lang w:val="en"/>
        </w:rPr>
        <w:t>588FF(</w:t>
      </w:r>
      <w:proofErr w:type="gramEnd"/>
      <w:r w:rsidRPr="00FF3C5F">
        <w:rPr>
          <w:lang w:val="en"/>
        </w:rPr>
        <w:t>1) to bring proceedings for orders with respect to voidable transactions.  They do no more than that</w:t>
      </w:r>
      <w:r w:rsidR="002D25B4">
        <w:rPr>
          <w:lang w:val="en"/>
        </w:rPr>
        <w:t xml:space="preserve">.  </w:t>
      </w:r>
      <w:r w:rsidRPr="00FF3C5F">
        <w:rPr>
          <w:lang w:val="en"/>
        </w:rPr>
        <w:t>The words “may only” give no guidance about the scope of the power to extend time</w:t>
      </w:r>
      <w:r w:rsidR="002D25B4">
        <w:rPr>
          <w:lang w:val="en"/>
        </w:rPr>
        <w:t xml:space="preserve">.  </w:t>
      </w:r>
      <w:r w:rsidRPr="00FF3C5F">
        <w:rPr>
          <w:lang w:val="en"/>
        </w:rPr>
        <w:t>As the respondents pointed out, the only express essential condition upon the exercise of the power under s </w:t>
      </w:r>
      <w:proofErr w:type="gramStart"/>
      <w:r w:rsidRPr="00FF3C5F">
        <w:rPr>
          <w:lang w:val="en"/>
        </w:rPr>
        <w:t>588FF(</w:t>
      </w:r>
      <w:proofErr w:type="gramEnd"/>
      <w:r w:rsidRPr="00FF3C5F">
        <w:rPr>
          <w:lang w:val="en"/>
        </w:rPr>
        <w:t>3)(b) is that the application for an order under that paragraph be made within the para (a) period</w:t>
      </w:r>
      <w:r w:rsidR="002D25B4">
        <w:rPr>
          <w:lang w:val="en"/>
        </w:rPr>
        <w:t xml:space="preserve">.  </w:t>
      </w:r>
      <w:r w:rsidRPr="00FF3C5F">
        <w:rPr>
          <w:lang w:val="en"/>
        </w:rPr>
        <w:t>In the event, there is no textual support for preferring one construction over the other</w:t>
      </w:r>
      <w:r w:rsidR="002D25B4">
        <w:rPr>
          <w:lang w:val="en"/>
        </w:rPr>
        <w:t xml:space="preserve">.  </w:t>
      </w:r>
      <w:r w:rsidRPr="00FF3C5F">
        <w:rPr>
          <w:lang w:val="en"/>
        </w:rPr>
        <w:t>That conclusion directs attention to the purposive and consequentialist arguments which tended to dominate the debate about construction.</w:t>
      </w:r>
    </w:p>
    <w:p w:rsidR="007A2C51" w:rsidRPr="00FF3C5F" w:rsidRDefault="007A2C51" w:rsidP="007A2C51">
      <w:pPr>
        <w:pStyle w:val="Quote1"/>
        <w:ind w:left="1440" w:hanging="703"/>
        <w:rPr>
          <w:lang w:val="en"/>
        </w:rPr>
      </w:pPr>
      <w:r w:rsidRPr="00FF3C5F">
        <w:rPr>
          <w:lang w:eastAsia="en-AU"/>
        </w:rPr>
        <w:t>24.</w:t>
      </w:r>
      <w:r w:rsidRPr="00FF3C5F">
        <w:rPr>
          <w:lang w:eastAsia="en-AU"/>
        </w:rPr>
        <w:tab/>
      </w:r>
      <w:r w:rsidRPr="00FF3C5F">
        <w:rPr>
          <w:lang w:val="en"/>
        </w:rPr>
        <w:t xml:space="preserve">The function of s 588FF(3)(b), which reflects its immediate purpose, is to confer a discretion on the court to mitigate, in an appropriate case, the </w:t>
      </w:r>
      <w:proofErr w:type="spellStart"/>
      <w:r w:rsidRPr="00FF3C5F">
        <w:rPr>
          <w:lang w:val="en"/>
        </w:rPr>
        <w:t>rigours</w:t>
      </w:r>
      <w:proofErr w:type="spellEnd"/>
      <w:r w:rsidRPr="00FF3C5F">
        <w:rPr>
          <w:lang w:val="en"/>
        </w:rPr>
        <w:t xml:space="preserve"> of the time limits imposed by para (a)</w:t>
      </w:r>
      <w:r w:rsidR="002D25B4">
        <w:rPr>
          <w:lang w:val="en"/>
        </w:rPr>
        <w:t xml:space="preserve">.  </w:t>
      </w:r>
      <w:r w:rsidRPr="00FF3C5F">
        <w:rPr>
          <w:lang w:val="en"/>
        </w:rPr>
        <w:t xml:space="preserve">That is a discretion to be exercised having regard to the scope and purposes of Pt 5.7B, </w:t>
      </w:r>
      <w:proofErr w:type="spellStart"/>
      <w:r w:rsidRPr="00FF3C5F">
        <w:rPr>
          <w:lang w:val="en"/>
        </w:rPr>
        <w:t>characterised</w:t>
      </w:r>
      <w:proofErr w:type="spellEnd"/>
      <w:r w:rsidRPr="00FF3C5F">
        <w:rPr>
          <w:lang w:val="en"/>
        </w:rPr>
        <w:t xml:space="preserve"> in the Harmer report as the continuing “policy” which underpinned its recommendations</w:t>
      </w:r>
      <w:r w:rsidR="002D25B4">
        <w:rPr>
          <w:lang w:val="en"/>
        </w:rPr>
        <w:t xml:space="preserve">.  </w:t>
      </w:r>
      <w:r w:rsidRPr="00FF3C5F">
        <w:rPr>
          <w:lang w:val="en"/>
        </w:rPr>
        <w:t>That policy included the avoidance of transactions by which an insolvent company has disposed of property in circumstances that are regarded by the legislature as unfair to the general body of unsecured creditors</w:t>
      </w:r>
      <w:r w:rsidR="002D25B4">
        <w:rPr>
          <w:lang w:val="en"/>
        </w:rPr>
        <w:t xml:space="preserve">.  </w:t>
      </w:r>
      <w:r w:rsidRPr="00FF3C5F">
        <w:rPr>
          <w:lang w:val="en"/>
        </w:rPr>
        <w:t>It is, however, a policy qualified in its application by the requirement that liquidators be placed under a reasonable time limitation for taking action under the voidable transaction provisions</w:t>
      </w:r>
      <w:r w:rsidR="002D25B4">
        <w:rPr>
          <w:lang w:val="en"/>
        </w:rPr>
        <w:t xml:space="preserve">.  </w:t>
      </w:r>
      <w:r w:rsidRPr="00FF3C5F">
        <w:rPr>
          <w:lang w:val="en"/>
        </w:rPr>
        <w:t xml:space="preserve">A purpose of that qualification, expressed in “clear and emphatic” terms, is to </w:t>
      </w:r>
      <w:proofErr w:type="spellStart"/>
      <w:r w:rsidRPr="00FF3C5F">
        <w:rPr>
          <w:lang w:val="en"/>
        </w:rPr>
        <w:t>favour</w:t>
      </w:r>
      <w:proofErr w:type="spellEnd"/>
      <w:r w:rsidRPr="00FF3C5F">
        <w:rPr>
          <w:lang w:val="en"/>
        </w:rPr>
        <w:t xml:space="preserve"> certainty for those who have entered into transactions with the company during the </w:t>
      </w:r>
      <w:r w:rsidRPr="00FF3C5F">
        <w:rPr>
          <w:lang w:val="en"/>
        </w:rPr>
        <w:lastRenderedPageBreak/>
        <w:t>periods in respect of which designated transactions may be voidable</w:t>
      </w:r>
      <w:r w:rsidR="002D25B4">
        <w:rPr>
          <w:lang w:val="en"/>
        </w:rPr>
        <w:t xml:space="preserve">.  </w:t>
      </w:r>
      <w:r w:rsidRPr="00FF3C5F">
        <w:rPr>
          <w:lang w:val="en"/>
        </w:rPr>
        <w:t>There is, however, no independent basis for the assertion that any extension of time which does not identify a particular transaction or transactions must be an unreasonable prolongation of uncertainty militating against a construction which would allow such an order to be made</w:t>
      </w:r>
      <w:r w:rsidR="002D25B4">
        <w:rPr>
          <w:lang w:val="en"/>
        </w:rPr>
        <w:t xml:space="preserve">.  </w:t>
      </w:r>
      <w:r w:rsidRPr="00FF3C5F">
        <w:rPr>
          <w:lang w:val="en"/>
        </w:rPr>
        <w:t>The section provides for the exercise of discretion by the court</w:t>
      </w:r>
      <w:r w:rsidR="002D25B4">
        <w:rPr>
          <w:lang w:val="en"/>
        </w:rPr>
        <w:t xml:space="preserve">.  </w:t>
      </w:r>
      <w:r w:rsidRPr="00FF3C5F">
        <w:rPr>
          <w:lang w:val="en"/>
        </w:rPr>
        <w:t>Questions of what is a reasonable or an unreasonable prolongation of uncertainty and the scope of such uncertainty are more appropriately considered case-by-case in the exercise of judicial discretion than globally in judicial interpretation of the provision.</w:t>
      </w:r>
    </w:p>
    <w:p w:rsidR="007A2C51" w:rsidRPr="00FF3C5F" w:rsidRDefault="007A2C51" w:rsidP="007A2C51">
      <w:pPr>
        <w:pStyle w:val="Quote1"/>
        <w:ind w:left="1440" w:hanging="703"/>
        <w:rPr>
          <w:lang w:val="en"/>
        </w:rPr>
      </w:pPr>
      <w:r w:rsidRPr="00FF3C5F">
        <w:rPr>
          <w:lang w:val="en"/>
        </w:rPr>
        <w:t>25.</w:t>
      </w:r>
      <w:r w:rsidRPr="00FF3C5F">
        <w:rPr>
          <w:lang w:val="en"/>
        </w:rPr>
        <w:tab/>
        <w:t>The appellants set out a number of “policy factors” which they said militated against a broad construction</w:t>
      </w:r>
      <w:r w:rsidR="002D25B4">
        <w:rPr>
          <w:lang w:val="en"/>
        </w:rPr>
        <w:t xml:space="preserve">.  </w:t>
      </w:r>
      <w:r w:rsidRPr="00FF3C5F">
        <w:rPr>
          <w:lang w:val="en"/>
        </w:rPr>
        <w:t>In summary these were:</w:t>
      </w:r>
    </w:p>
    <w:p w:rsidR="007A2C51" w:rsidRPr="00FF3C5F" w:rsidRDefault="007A2C51" w:rsidP="007A2C51">
      <w:pPr>
        <w:pStyle w:val="Quote2"/>
        <w:ind w:left="2160" w:hanging="720"/>
        <w:rPr>
          <w:lang w:val="en" w:eastAsia="en-AU"/>
        </w:rPr>
      </w:pPr>
      <w:r w:rsidRPr="00FF3C5F">
        <w:rPr>
          <w:lang w:val="en" w:eastAsia="en-AU"/>
        </w:rPr>
        <w:t>(a) </w:t>
      </w:r>
      <w:r w:rsidRPr="00FF3C5F">
        <w:rPr>
          <w:lang w:val="en" w:eastAsia="en-AU"/>
        </w:rPr>
        <w:tab/>
      </w:r>
      <w:proofErr w:type="gramStart"/>
      <w:r w:rsidRPr="00FF3C5F">
        <w:rPr>
          <w:lang w:val="en" w:eastAsia="en-AU"/>
        </w:rPr>
        <w:t>disadvantage</w:t>
      </w:r>
      <w:proofErr w:type="gramEnd"/>
      <w:r w:rsidRPr="00FF3C5F">
        <w:rPr>
          <w:lang w:val="en" w:eastAsia="en-AU"/>
        </w:rPr>
        <w:t xml:space="preserve"> to potential defendants not identified in a shelf order; </w:t>
      </w:r>
    </w:p>
    <w:p w:rsidR="007A2C51" w:rsidRPr="00FF3C5F" w:rsidRDefault="007A2C51" w:rsidP="007A2C51">
      <w:pPr>
        <w:pStyle w:val="Quote2"/>
        <w:ind w:left="2160" w:hanging="720"/>
        <w:rPr>
          <w:lang w:val="en" w:eastAsia="en-AU"/>
        </w:rPr>
      </w:pPr>
      <w:r w:rsidRPr="00FF3C5F">
        <w:rPr>
          <w:lang w:val="en" w:eastAsia="en-AU"/>
        </w:rPr>
        <w:t>(b) </w:t>
      </w:r>
      <w:r w:rsidRPr="00FF3C5F">
        <w:rPr>
          <w:lang w:val="en" w:eastAsia="en-AU"/>
        </w:rPr>
        <w:tab/>
      </w:r>
      <w:proofErr w:type="gramStart"/>
      <w:r w:rsidRPr="00FF3C5F">
        <w:rPr>
          <w:lang w:val="en" w:eastAsia="en-AU"/>
        </w:rPr>
        <w:t>the</w:t>
      </w:r>
      <w:proofErr w:type="gramEnd"/>
      <w:r w:rsidRPr="00FF3C5F">
        <w:rPr>
          <w:lang w:val="en" w:eastAsia="en-AU"/>
        </w:rPr>
        <w:t xml:space="preserve"> encouragement to liquidators not to identify potential defendants, thereby reducing the prospect of opposition at initial application; </w:t>
      </w:r>
    </w:p>
    <w:p w:rsidR="007A2C51" w:rsidRPr="00FF3C5F" w:rsidRDefault="007A2C51" w:rsidP="007A2C51">
      <w:pPr>
        <w:pStyle w:val="Quote2"/>
        <w:ind w:left="2160" w:hanging="720"/>
        <w:rPr>
          <w:lang w:val="en" w:eastAsia="en-AU"/>
        </w:rPr>
      </w:pPr>
      <w:r w:rsidRPr="00FF3C5F">
        <w:rPr>
          <w:lang w:val="en" w:eastAsia="en-AU"/>
        </w:rPr>
        <w:t>(c) </w:t>
      </w:r>
      <w:r w:rsidRPr="00FF3C5F">
        <w:rPr>
          <w:lang w:val="en" w:eastAsia="en-AU"/>
        </w:rPr>
        <w:tab/>
      </w:r>
      <w:proofErr w:type="gramStart"/>
      <w:r w:rsidRPr="00FF3C5F">
        <w:rPr>
          <w:lang w:val="en" w:eastAsia="en-AU"/>
        </w:rPr>
        <w:t>the</w:t>
      </w:r>
      <w:proofErr w:type="gramEnd"/>
      <w:r w:rsidRPr="00FF3C5F">
        <w:rPr>
          <w:lang w:val="en" w:eastAsia="en-AU"/>
        </w:rPr>
        <w:t xml:space="preserve"> risk of a multiplicity of litigation by successive defendants applying to </w:t>
      </w:r>
      <w:proofErr w:type="spellStart"/>
      <w:r w:rsidRPr="00FF3C5F">
        <w:rPr>
          <w:lang w:val="en" w:eastAsia="en-AU"/>
        </w:rPr>
        <w:t>reagitate</w:t>
      </w:r>
      <w:proofErr w:type="spellEnd"/>
      <w:r w:rsidRPr="00FF3C5F">
        <w:rPr>
          <w:lang w:val="en" w:eastAsia="en-AU"/>
        </w:rPr>
        <w:t xml:space="preserve"> extension applications of which they had not been given initial notice; </w:t>
      </w:r>
    </w:p>
    <w:p w:rsidR="007A2C51" w:rsidRPr="00FF3C5F" w:rsidRDefault="007A2C51" w:rsidP="007A2C51">
      <w:pPr>
        <w:pStyle w:val="Quote2"/>
        <w:ind w:left="2160" w:hanging="720"/>
        <w:rPr>
          <w:lang w:val="en" w:eastAsia="en-AU"/>
        </w:rPr>
      </w:pPr>
      <w:r w:rsidRPr="00FF3C5F">
        <w:rPr>
          <w:lang w:val="en" w:eastAsia="en-AU"/>
        </w:rPr>
        <w:t>(d) </w:t>
      </w:r>
      <w:r w:rsidRPr="00FF3C5F">
        <w:rPr>
          <w:lang w:val="en" w:eastAsia="en-AU"/>
        </w:rPr>
        <w:tab/>
      </w:r>
      <w:proofErr w:type="gramStart"/>
      <w:r w:rsidRPr="00FF3C5F">
        <w:rPr>
          <w:lang w:val="en" w:eastAsia="en-AU"/>
        </w:rPr>
        <w:t>the</w:t>
      </w:r>
      <w:proofErr w:type="gramEnd"/>
      <w:r w:rsidRPr="00FF3C5F">
        <w:rPr>
          <w:lang w:val="en" w:eastAsia="en-AU"/>
        </w:rPr>
        <w:t xml:space="preserve"> risk of inconsistent outcomes on applications to set aside extension orders by respective defendants; </w:t>
      </w:r>
    </w:p>
    <w:p w:rsidR="007A2C51" w:rsidRPr="00FF3C5F" w:rsidRDefault="007A2C51" w:rsidP="007A2C51">
      <w:pPr>
        <w:pStyle w:val="Quote2"/>
        <w:ind w:left="2160" w:hanging="720"/>
        <w:rPr>
          <w:lang w:val="en" w:eastAsia="en-AU"/>
        </w:rPr>
      </w:pPr>
      <w:r w:rsidRPr="00FF3C5F">
        <w:rPr>
          <w:lang w:val="en" w:eastAsia="en-AU"/>
        </w:rPr>
        <w:t>(e) </w:t>
      </w:r>
      <w:r w:rsidRPr="00FF3C5F">
        <w:rPr>
          <w:lang w:val="en" w:eastAsia="en-AU"/>
        </w:rPr>
        <w:tab/>
        <w:t xml:space="preserve">no finality, as claims by defendants that they were identifiable, but not identified, might cause ongoing challenges to any extension granted; </w:t>
      </w:r>
    </w:p>
    <w:p w:rsidR="007A2C51" w:rsidRPr="00FF3C5F" w:rsidRDefault="007A2C51" w:rsidP="007A2C51">
      <w:pPr>
        <w:pStyle w:val="Quote2"/>
        <w:ind w:left="2160" w:hanging="720"/>
        <w:rPr>
          <w:lang w:val="en" w:eastAsia="en-AU"/>
        </w:rPr>
      </w:pPr>
      <w:r w:rsidRPr="00FF3C5F">
        <w:rPr>
          <w:lang w:val="en" w:eastAsia="en-AU"/>
        </w:rPr>
        <w:t>(f) </w:t>
      </w:r>
      <w:r w:rsidRPr="00FF3C5F">
        <w:rPr>
          <w:lang w:val="en" w:eastAsia="en-AU"/>
        </w:rPr>
        <w:tab/>
      </w:r>
      <w:proofErr w:type="gramStart"/>
      <w:r w:rsidRPr="00FF3C5F">
        <w:rPr>
          <w:lang w:val="en" w:eastAsia="en-AU"/>
        </w:rPr>
        <w:t>want</w:t>
      </w:r>
      <w:proofErr w:type="gramEnd"/>
      <w:r w:rsidRPr="00FF3C5F">
        <w:rPr>
          <w:lang w:val="en" w:eastAsia="en-AU"/>
        </w:rPr>
        <w:t xml:space="preserve"> of certainty for liquidators and prospective defendants who might seek to have leave revoked after it had been granted and after proceedings had commenced; </w:t>
      </w:r>
    </w:p>
    <w:p w:rsidR="007A2C51" w:rsidRPr="00FF3C5F" w:rsidRDefault="007A2C51" w:rsidP="007A2C51">
      <w:pPr>
        <w:pStyle w:val="Quote2"/>
        <w:ind w:left="2160" w:hanging="720"/>
        <w:rPr>
          <w:lang w:val="en" w:eastAsia="en-AU"/>
        </w:rPr>
      </w:pPr>
      <w:r w:rsidRPr="00FF3C5F">
        <w:rPr>
          <w:lang w:val="en" w:eastAsia="en-AU"/>
        </w:rPr>
        <w:t>(g) </w:t>
      </w:r>
      <w:r w:rsidRPr="00FF3C5F">
        <w:rPr>
          <w:lang w:val="en" w:eastAsia="en-AU"/>
        </w:rPr>
        <w:tab/>
      </w:r>
      <w:proofErr w:type="gramStart"/>
      <w:r w:rsidRPr="00FF3C5F">
        <w:rPr>
          <w:lang w:val="en" w:eastAsia="en-AU"/>
        </w:rPr>
        <w:t>the</w:t>
      </w:r>
      <w:proofErr w:type="gramEnd"/>
      <w:r w:rsidRPr="00FF3C5F">
        <w:rPr>
          <w:lang w:val="en" w:eastAsia="en-AU"/>
        </w:rPr>
        <w:t xml:space="preserve"> potential for wasted costs to be incurred contrary to the interests of creditors; and </w:t>
      </w:r>
      <w:r w:rsidR="004D55CA" w:rsidRPr="00FF3C5F">
        <w:rPr>
          <w:lang w:val="en" w:eastAsia="en-AU"/>
        </w:rPr>
        <w:t xml:space="preserve"> </w:t>
      </w:r>
    </w:p>
    <w:p w:rsidR="007A2C51" w:rsidRPr="00FF3C5F" w:rsidRDefault="007A2C51" w:rsidP="007A2C51">
      <w:pPr>
        <w:pStyle w:val="Quote2"/>
        <w:ind w:left="2160" w:hanging="720"/>
        <w:rPr>
          <w:lang w:val="en" w:eastAsia="en-AU"/>
        </w:rPr>
      </w:pPr>
      <w:r w:rsidRPr="00FF3C5F">
        <w:rPr>
          <w:lang w:val="en" w:eastAsia="en-AU"/>
        </w:rPr>
        <w:t>(h) </w:t>
      </w:r>
      <w:r w:rsidRPr="00FF3C5F">
        <w:rPr>
          <w:lang w:val="en" w:eastAsia="en-AU"/>
        </w:rPr>
        <w:tab/>
      </w:r>
      <w:proofErr w:type="gramStart"/>
      <w:r w:rsidRPr="00FF3C5F">
        <w:rPr>
          <w:lang w:val="en" w:eastAsia="en-AU"/>
        </w:rPr>
        <w:t>the</w:t>
      </w:r>
      <w:proofErr w:type="gramEnd"/>
      <w:r w:rsidRPr="00FF3C5F">
        <w:rPr>
          <w:lang w:val="en" w:eastAsia="en-AU"/>
        </w:rPr>
        <w:t xml:space="preserve"> determination of applications by reference only to evidence that the liquidator elected to put before the court.</w:t>
      </w:r>
    </w:p>
    <w:p w:rsidR="007A2C51" w:rsidRPr="00FF3C5F" w:rsidRDefault="007A2C51" w:rsidP="007A2C51">
      <w:pPr>
        <w:pStyle w:val="Quote1"/>
        <w:ind w:left="1440" w:hanging="703"/>
        <w:rPr>
          <w:lang w:val="en"/>
        </w:rPr>
      </w:pPr>
      <w:r w:rsidRPr="00FF3C5F">
        <w:rPr>
          <w:lang w:val="en"/>
        </w:rPr>
        <w:t>26.</w:t>
      </w:r>
      <w:r w:rsidRPr="00FF3C5F">
        <w:rPr>
          <w:lang w:val="en"/>
        </w:rPr>
        <w:tab/>
        <w:t>All of those are considerations which may inform the approach to the exercise of discretion by the court in cases in which applications are made for shelf orders under s </w:t>
      </w:r>
      <w:proofErr w:type="gramStart"/>
      <w:r w:rsidRPr="00FF3C5F">
        <w:rPr>
          <w:lang w:val="en"/>
        </w:rPr>
        <w:t>588FF(</w:t>
      </w:r>
      <w:proofErr w:type="gramEnd"/>
      <w:r w:rsidRPr="00FF3C5F">
        <w:rPr>
          <w:lang w:val="en"/>
        </w:rPr>
        <w:t>3)(b)</w:t>
      </w:r>
      <w:r w:rsidR="002D25B4">
        <w:rPr>
          <w:lang w:val="en"/>
        </w:rPr>
        <w:t xml:space="preserve">.  </w:t>
      </w:r>
      <w:r w:rsidRPr="00FF3C5F">
        <w:rPr>
          <w:lang w:val="en"/>
        </w:rPr>
        <w:t>They are considerations which could have moved but did not move the legislature, when it amended s </w:t>
      </w:r>
      <w:proofErr w:type="gramStart"/>
      <w:r w:rsidRPr="00FF3C5F">
        <w:rPr>
          <w:lang w:val="en"/>
        </w:rPr>
        <w:t>588FF(</w:t>
      </w:r>
      <w:proofErr w:type="gramEnd"/>
      <w:r w:rsidRPr="00FF3C5F">
        <w:rPr>
          <w:lang w:val="en"/>
        </w:rPr>
        <w:t>3), to exclude the application of the power conferred by para (b) to shelf orders.</w:t>
      </w:r>
    </w:p>
    <w:p w:rsidR="007A2C51" w:rsidRPr="00FF3C5F" w:rsidRDefault="007A2C51" w:rsidP="007A2C51">
      <w:pPr>
        <w:pStyle w:val="Quote1"/>
        <w:ind w:left="1440" w:hanging="703"/>
        <w:rPr>
          <w:lang w:val="en"/>
        </w:rPr>
      </w:pPr>
      <w:r w:rsidRPr="00FF3C5F">
        <w:rPr>
          <w:lang w:val="en"/>
        </w:rPr>
        <w:t>27.</w:t>
      </w:r>
      <w:r w:rsidRPr="00FF3C5F">
        <w:rPr>
          <w:lang w:val="en"/>
        </w:rPr>
        <w:tab/>
        <w:t>In the end, as the appellants accepted, the availability of shelf orders is a construction open on the text of s </w:t>
      </w:r>
      <w:proofErr w:type="gramStart"/>
      <w:r w:rsidRPr="00FF3C5F">
        <w:rPr>
          <w:lang w:val="en"/>
        </w:rPr>
        <w:t>588FF(</w:t>
      </w:r>
      <w:proofErr w:type="gramEnd"/>
      <w:r w:rsidRPr="00FF3C5F">
        <w:rPr>
          <w:lang w:val="en"/>
        </w:rPr>
        <w:t>3)(b)</w:t>
      </w:r>
      <w:r w:rsidR="002D25B4">
        <w:rPr>
          <w:lang w:val="en"/>
        </w:rPr>
        <w:t xml:space="preserve">.  </w:t>
      </w:r>
      <w:r w:rsidRPr="00FF3C5F">
        <w:rPr>
          <w:lang w:val="en"/>
        </w:rPr>
        <w:t>It is a construction which is consistent with the evident purpose of that provision, to allow the court to mitigate the strictness of the time limits imposed by para (a) in an appropriate case</w:t>
      </w:r>
      <w:r w:rsidR="002D25B4">
        <w:rPr>
          <w:lang w:val="en"/>
        </w:rPr>
        <w:t xml:space="preserve">.  </w:t>
      </w:r>
      <w:r w:rsidRPr="00FF3C5F">
        <w:rPr>
          <w:lang w:val="en"/>
        </w:rPr>
        <w:t>The effect of re-enactment of s </w:t>
      </w:r>
      <w:proofErr w:type="gramStart"/>
      <w:r w:rsidRPr="00FF3C5F">
        <w:rPr>
          <w:lang w:val="en"/>
        </w:rPr>
        <w:t>588FF(</w:t>
      </w:r>
      <w:proofErr w:type="gramEnd"/>
      <w:r w:rsidRPr="00FF3C5F">
        <w:rPr>
          <w:lang w:val="en"/>
        </w:rPr>
        <w:t>3), in light of the construction adopted by the Court of Appeal, is no barrier to that construction</w:t>
      </w:r>
      <w:r w:rsidR="002D25B4">
        <w:rPr>
          <w:lang w:val="en"/>
        </w:rPr>
        <w:t xml:space="preserve">.  </w:t>
      </w:r>
      <w:r w:rsidRPr="00FF3C5F">
        <w:rPr>
          <w:lang w:val="en"/>
        </w:rPr>
        <w:t>Indeed it may be taken to support it.</w:t>
      </w:r>
    </w:p>
    <w:p w:rsidR="007A2C51" w:rsidRPr="00FF3C5F" w:rsidRDefault="007A2C51" w:rsidP="007A2C51">
      <w:pPr>
        <w:pStyle w:val="NoNum"/>
        <w:rPr>
          <w:lang w:eastAsia="en-AU"/>
        </w:rPr>
      </w:pPr>
      <w:r w:rsidRPr="00FF3C5F">
        <w:rPr>
          <w:lang w:eastAsia="en-AU"/>
        </w:rPr>
        <w:t>Accordingly the High Court held that it was permissible to make “shelf orders” under s </w:t>
      </w:r>
      <w:proofErr w:type="gramStart"/>
      <w:r w:rsidRPr="00FF3C5F">
        <w:rPr>
          <w:lang w:eastAsia="en-AU"/>
        </w:rPr>
        <w:t>588FF(</w:t>
      </w:r>
      <w:proofErr w:type="gramEnd"/>
      <w:r w:rsidRPr="00FF3C5F">
        <w:rPr>
          <w:lang w:eastAsia="en-AU"/>
        </w:rPr>
        <w:t>3)(b) which do not identify a particular transaction or transactions at the time of making the order.</w:t>
      </w:r>
    </w:p>
    <w:p w:rsidR="007A2C51" w:rsidRPr="00FF3C5F" w:rsidRDefault="007A2C51" w:rsidP="00E9769D">
      <w:pPr>
        <w:pStyle w:val="Heading3"/>
        <w:rPr>
          <w:lang w:eastAsia="en-AU"/>
        </w:rPr>
      </w:pPr>
      <w:r w:rsidRPr="00FF3C5F">
        <w:rPr>
          <w:lang w:eastAsia="en-AU"/>
        </w:rPr>
        <w:lastRenderedPageBreak/>
        <w:t>Sydney Recycling</w:t>
      </w:r>
    </w:p>
    <w:p w:rsidR="007A2C51" w:rsidRPr="00FF3C5F" w:rsidRDefault="007A2C51" w:rsidP="00017B82">
      <w:pPr>
        <w:pStyle w:val="ParaNumbering"/>
        <w:numPr>
          <w:ilvl w:val="0"/>
          <w:numId w:val="30"/>
        </w:numPr>
        <w:rPr>
          <w:lang w:eastAsia="en-AU"/>
        </w:rPr>
      </w:pPr>
      <w:r w:rsidRPr="00FF3C5F">
        <w:rPr>
          <w:lang w:eastAsia="en-AU"/>
        </w:rPr>
        <w:t xml:space="preserve">In none of the three High Court cases was the Court asked to consider, nor did it consider, </w:t>
      </w:r>
      <w:r w:rsidRPr="00FF3C5F">
        <w:rPr>
          <w:i/>
          <w:lang w:eastAsia="en-AU"/>
        </w:rPr>
        <w:t>Rodgers</w:t>
      </w:r>
      <w:r w:rsidRPr="00FF3C5F">
        <w:rPr>
          <w:lang w:eastAsia="en-AU"/>
        </w:rPr>
        <w:t xml:space="preserve"> or the principles governing an application made pursuant to r 8.21 to amend an existing claim that had been made within time under s </w:t>
      </w:r>
      <w:proofErr w:type="gramStart"/>
      <w:r w:rsidRPr="00FF3C5F">
        <w:rPr>
          <w:lang w:eastAsia="en-AU"/>
        </w:rPr>
        <w:t>588FF(</w:t>
      </w:r>
      <w:proofErr w:type="gramEnd"/>
      <w:r w:rsidRPr="00FF3C5F">
        <w:rPr>
          <w:lang w:eastAsia="en-AU"/>
        </w:rPr>
        <w:t xml:space="preserve">1).  That question did fall for consideration by the New South Wales Court of Appeal in </w:t>
      </w:r>
      <w:r w:rsidRPr="00FF3C5F">
        <w:rPr>
          <w:i/>
          <w:lang w:eastAsia="en-AU"/>
        </w:rPr>
        <w:t>Sydney Recycling</w:t>
      </w:r>
      <w:r w:rsidRPr="00FF3C5F">
        <w:rPr>
          <w:lang w:eastAsia="en-AU"/>
        </w:rPr>
        <w:t xml:space="preserve">.  In </w:t>
      </w:r>
      <w:r w:rsidRPr="00FF3C5F">
        <w:rPr>
          <w:i/>
          <w:lang w:eastAsia="en-AU"/>
        </w:rPr>
        <w:t>Sydney Recycling</w:t>
      </w:r>
      <w:r w:rsidRPr="00FF3C5F">
        <w:rPr>
          <w:lang w:eastAsia="en-AU"/>
        </w:rPr>
        <w:t>, the appellant argued</w:t>
      </w:r>
      <w:r w:rsidRPr="00FF3C5F">
        <w:rPr>
          <w:b/>
          <w:lang w:eastAsia="en-AU"/>
        </w:rPr>
        <w:t xml:space="preserve"> </w:t>
      </w:r>
      <w:r w:rsidRPr="00FF3C5F">
        <w:rPr>
          <w:lang w:eastAsia="en-AU"/>
        </w:rPr>
        <w:t xml:space="preserve">that </w:t>
      </w:r>
      <w:r w:rsidRPr="00FF3C5F">
        <w:rPr>
          <w:i/>
          <w:lang w:eastAsia="en-AU"/>
        </w:rPr>
        <w:t>Rodgers</w:t>
      </w:r>
      <w:r w:rsidRPr="00FF3C5F">
        <w:rPr>
          <w:lang w:eastAsia="en-AU"/>
        </w:rPr>
        <w:t xml:space="preserve"> and other decisions of intermediate appellate courts which followed </w:t>
      </w:r>
      <w:r w:rsidRPr="00FF3C5F">
        <w:rPr>
          <w:i/>
          <w:lang w:eastAsia="en-AU"/>
        </w:rPr>
        <w:t>Rodgers</w:t>
      </w:r>
      <w:r w:rsidRPr="00FF3C5F">
        <w:rPr>
          <w:lang w:eastAsia="en-AU"/>
        </w:rPr>
        <w:t xml:space="preserve"> were “clearly wrong” and should no longer be followed in light of </w:t>
      </w:r>
      <w:r w:rsidRPr="00FF3C5F">
        <w:rPr>
          <w:i/>
          <w:lang w:eastAsia="en-AU"/>
        </w:rPr>
        <w:t xml:space="preserve">Grant Samuel </w:t>
      </w:r>
      <w:r w:rsidRPr="00FF3C5F">
        <w:rPr>
          <w:lang w:eastAsia="en-AU"/>
        </w:rPr>
        <w:t xml:space="preserve">and </w:t>
      </w:r>
      <w:r w:rsidRPr="00FF3C5F">
        <w:rPr>
          <w:i/>
          <w:lang w:eastAsia="en-AU"/>
        </w:rPr>
        <w:t>Fortress Credit</w:t>
      </w:r>
      <w:r w:rsidRPr="00FF3C5F">
        <w:rPr>
          <w:lang w:eastAsia="en-AU"/>
        </w:rPr>
        <w:t xml:space="preserve">.  </w:t>
      </w:r>
    </w:p>
    <w:p w:rsidR="007A2C51" w:rsidRPr="00FF3C5F" w:rsidRDefault="007A2C51" w:rsidP="00017B82">
      <w:pPr>
        <w:pStyle w:val="ParaNumbering"/>
        <w:numPr>
          <w:ilvl w:val="0"/>
          <w:numId w:val="30"/>
        </w:numPr>
        <w:rPr>
          <w:lang w:eastAsia="en-AU"/>
        </w:rPr>
      </w:pPr>
      <w:r w:rsidRPr="00FF3C5F">
        <w:rPr>
          <w:lang w:eastAsia="en-AU"/>
        </w:rPr>
        <w:t xml:space="preserve">In </w:t>
      </w:r>
      <w:r w:rsidR="00E60B55" w:rsidRPr="00FF3C5F">
        <w:rPr>
          <w:i/>
          <w:lang w:eastAsia="en-AU"/>
        </w:rPr>
        <w:t xml:space="preserve">Sydney </w:t>
      </w:r>
      <w:r w:rsidR="00D96B9D" w:rsidRPr="00FF3C5F">
        <w:rPr>
          <w:i/>
          <w:lang w:eastAsia="en-AU"/>
        </w:rPr>
        <w:t>Recycling</w:t>
      </w:r>
      <w:r w:rsidRPr="00FF3C5F">
        <w:rPr>
          <w:lang w:eastAsia="en-AU"/>
        </w:rPr>
        <w:t xml:space="preserve">, the liquidator had brought an application for orders under s </w:t>
      </w:r>
      <w:proofErr w:type="gramStart"/>
      <w:r w:rsidRPr="00FF3C5F">
        <w:rPr>
          <w:lang w:eastAsia="en-AU"/>
        </w:rPr>
        <w:t>588FF(</w:t>
      </w:r>
      <w:proofErr w:type="gramEnd"/>
      <w:r w:rsidRPr="00FF3C5F">
        <w:rPr>
          <w:lang w:eastAsia="en-AU"/>
        </w:rPr>
        <w:t>1) within time but after the time expired sought leave to file an amended statement of claim adding three further transactions arising from the same facts as those giving rise to the existing cause of action and claim for relief and adding a new allegation arising from the same facts in relation to alleged contra payments which the company had agreed to set off</w:t>
      </w:r>
      <w:r w:rsidR="002D25B4">
        <w:rPr>
          <w:lang w:eastAsia="en-AU"/>
        </w:rPr>
        <w:t xml:space="preserve">.  </w:t>
      </w:r>
      <w:r w:rsidRPr="00FF3C5F">
        <w:rPr>
          <w:lang w:eastAsia="en-AU"/>
        </w:rPr>
        <w:t xml:space="preserve">The New South Wales Court of Appeal held that the Court had the power under the general rules governing procedure (relevantly found in the </w:t>
      </w:r>
      <w:r w:rsidRPr="00FF3C5F">
        <w:rPr>
          <w:i/>
          <w:lang w:eastAsia="en-AU"/>
        </w:rPr>
        <w:t>Civil Procedure Act</w:t>
      </w:r>
      <w:r w:rsidR="00307C23" w:rsidRPr="00FF3C5F">
        <w:rPr>
          <w:i/>
          <w:lang w:eastAsia="en-AU"/>
        </w:rPr>
        <w:t xml:space="preserve"> 2005</w:t>
      </w:r>
      <w:r w:rsidRPr="00FF3C5F">
        <w:rPr>
          <w:i/>
          <w:lang w:eastAsia="en-AU"/>
        </w:rPr>
        <w:t xml:space="preserve"> </w:t>
      </w:r>
      <w:r w:rsidRPr="00FF3C5F">
        <w:rPr>
          <w:lang w:eastAsia="en-AU"/>
        </w:rPr>
        <w:t>(NSW)</w:t>
      </w:r>
      <w:r w:rsidR="00307C23" w:rsidRPr="00FF3C5F">
        <w:rPr>
          <w:lang w:eastAsia="en-AU"/>
        </w:rPr>
        <w:t xml:space="preserve"> (“</w:t>
      </w:r>
      <w:r w:rsidR="00307C23" w:rsidRPr="00FF3C5F">
        <w:rPr>
          <w:b/>
          <w:i/>
          <w:lang w:eastAsia="en-AU"/>
        </w:rPr>
        <w:t>the Civil Procedure Act</w:t>
      </w:r>
      <w:r w:rsidR="00307C23" w:rsidRPr="00FF3C5F">
        <w:rPr>
          <w:lang w:eastAsia="en-AU"/>
        </w:rPr>
        <w:t>”)</w:t>
      </w:r>
      <w:r w:rsidRPr="00FF3C5F">
        <w:rPr>
          <w:lang w:eastAsia="en-AU"/>
        </w:rPr>
        <w:t xml:space="preserve"> to allow amendments to pleadings to add after the expiry of the time period under s </w:t>
      </w:r>
      <w:proofErr w:type="gramStart"/>
      <w:r w:rsidRPr="00FF3C5F">
        <w:rPr>
          <w:lang w:eastAsia="en-AU"/>
        </w:rPr>
        <w:t>588FF(</w:t>
      </w:r>
      <w:proofErr w:type="gramEnd"/>
      <w:r w:rsidRPr="00FF3C5F">
        <w:rPr>
          <w:lang w:eastAsia="en-AU"/>
        </w:rPr>
        <w:t xml:space="preserve">3) additional claims for voidable transactions.  </w:t>
      </w:r>
    </w:p>
    <w:p w:rsidR="00802648" w:rsidRPr="00FF3C5F" w:rsidRDefault="007A2C51" w:rsidP="00017B82">
      <w:pPr>
        <w:pStyle w:val="ParaNumbering"/>
        <w:numPr>
          <w:ilvl w:val="0"/>
          <w:numId w:val="30"/>
        </w:numPr>
      </w:pPr>
      <w:r w:rsidRPr="00FF3C5F">
        <w:rPr>
          <w:lang w:eastAsia="en-AU"/>
        </w:rPr>
        <w:t>Bathurst CJ and Payne JA (with whom Ward JA and Bergin CJ in Eq</w:t>
      </w:r>
      <w:r w:rsidR="00307C23" w:rsidRPr="00FF3C5F">
        <w:rPr>
          <w:lang w:eastAsia="en-AU"/>
        </w:rPr>
        <w:t>.</w:t>
      </w:r>
      <w:r w:rsidRPr="00FF3C5F">
        <w:rPr>
          <w:lang w:eastAsia="en-AU"/>
        </w:rPr>
        <w:t xml:space="preserve"> agreed)</w:t>
      </w:r>
      <w:r w:rsidR="000535CE" w:rsidRPr="00FF3C5F">
        <w:rPr>
          <w:lang w:eastAsia="en-AU"/>
        </w:rPr>
        <w:t xml:space="preserve"> concluded that the construction of s 588FF adopted in </w:t>
      </w:r>
      <w:r w:rsidRPr="00FF3C5F">
        <w:rPr>
          <w:i/>
          <w:lang w:eastAsia="en-AU"/>
        </w:rPr>
        <w:t>Rodgers</w:t>
      </w:r>
      <w:r w:rsidRPr="00FF3C5F">
        <w:rPr>
          <w:lang w:eastAsia="en-AU"/>
        </w:rPr>
        <w:t xml:space="preserve"> </w:t>
      </w:r>
      <w:r w:rsidR="000535CE" w:rsidRPr="00FF3C5F">
        <w:rPr>
          <w:lang w:eastAsia="en-AU"/>
        </w:rPr>
        <w:t xml:space="preserve">was </w:t>
      </w:r>
      <w:r w:rsidR="00802648" w:rsidRPr="00FF3C5F">
        <w:rPr>
          <w:lang w:eastAsia="en-AU"/>
        </w:rPr>
        <w:t xml:space="preserve">both </w:t>
      </w:r>
      <w:r w:rsidR="000535CE" w:rsidRPr="00FF3C5F">
        <w:rPr>
          <w:lang w:eastAsia="en-AU"/>
        </w:rPr>
        <w:t xml:space="preserve">open </w:t>
      </w:r>
      <w:r w:rsidRPr="00FF3C5F">
        <w:rPr>
          <w:lang w:eastAsia="en-AU"/>
        </w:rPr>
        <w:t xml:space="preserve">and </w:t>
      </w:r>
      <w:r w:rsidR="00802648" w:rsidRPr="00FF3C5F">
        <w:rPr>
          <w:lang w:eastAsia="en-AU"/>
        </w:rPr>
        <w:t xml:space="preserve">the better construction and rejected the appellant’s submission that </w:t>
      </w:r>
      <w:r w:rsidR="00802648" w:rsidRPr="00FF3C5F">
        <w:rPr>
          <w:i/>
          <w:lang w:eastAsia="en-AU"/>
        </w:rPr>
        <w:t>Rodgers</w:t>
      </w:r>
      <w:r w:rsidR="00802648" w:rsidRPr="00FF3C5F">
        <w:rPr>
          <w:lang w:eastAsia="en-AU"/>
        </w:rPr>
        <w:t xml:space="preserve"> was plainly wrong in light </w:t>
      </w:r>
      <w:r w:rsidRPr="00FF3C5F">
        <w:rPr>
          <w:lang w:eastAsia="en-AU"/>
        </w:rPr>
        <w:t xml:space="preserve">of </w:t>
      </w:r>
      <w:r w:rsidR="00802648" w:rsidRPr="00FF3C5F">
        <w:rPr>
          <w:lang w:eastAsia="en-AU"/>
        </w:rPr>
        <w:t xml:space="preserve">the three subsequent </w:t>
      </w:r>
      <w:r w:rsidRPr="00FF3C5F">
        <w:rPr>
          <w:lang w:eastAsia="en-AU"/>
        </w:rPr>
        <w:t>High Court cases concerning s 588FF</w:t>
      </w:r>
      <w:r w:rsidR="002D25B4">
        <w:rPr>
          <w:lang w:eastAsia="en-AU"/>
        </w:rPr>
        <w:t xml:space="preserve">.  </w:t>
      </w:r>
      <w:r w:rsidR="000535CE" w:rsidRPr="00FF3C5F">
        <w:t xml:space="preserve">Their Honours </w:t>
      </w:r>
      <w:r w:rsidRPr="00FF3C5F">
        <w:rPr>
          <w:lang w:eastAsia="en-AU"/>
        </w:rPr>
        <w:t xml:space="preserve">also rejected the appellant’s submission that the relevant sources of power to amend (ss 64 and 65 of the </w:t>
      </w:r>
      <w:r w:rsidRPr="00FF3C5F">
        <w:rPr>
          <w:i/>
          <w:lang w:eastAsia="en-AU"/>
        </w:rPr>
        <w:t>Civil Procedure Act</w:t>
      </w:r>
      <w:r w:rsidRPr="00FF3C5F">
        <w:rPr>
          <w:lang w:eastAsia="en-AU"/>
        </w:rPr>
        <w:t xml:space="preserve">) were not picked up and applied by s 79 of the </w:t>
      </w:r>
      <w:r w:rsidRPr="00FF3C5F">
        <w:rPr>
          <w:i/>
          <w:lang w:eastAsia="en-AU"/>
        </w:rPr>
        <w:t xml:space="preserve">Judiciary Act </w:t>
      </w:r>
      <w:r w:rsidRPr="00FF3C5F">
        <w:rPr>
          <w:lang w:eastAsia="en-AU"/>
        </w:rPr>
        <w:t xml:space="preserve">as s 588FF(3) “otherwise provides”.  </w:t>
      </w:r>
      <w:r w:rsidR="00802648" w:rsidRPr="00FF3C5F">
        <w:rPr>
          <w:lang w:eastAsia="en-AU"/>
        </w:rPr>
        <w:t>At [121] their Honours concluded:</w:t>
      </w:r>
    </w:p>
    <w:p w:rsidR="00A7265A" w:rsidRPr="00FF3C5F" w:rsidRDefault="00802648" w:rsidP="00802648">
      <w:pPr>
        <w:pStyle w:val="Quote1"/>
      </w:pPr>
      <w:r w:rsidRPr="00FF3C5F">
        <w:t xml:space="preserve">In our view, the conclusion in </w:t>
      </w:r>
      <w:r w:rsidRPr="00FF3C5F">
        <w:rPr>
          <w:i/>
          <w:iCs/>
        </w:rPr>
        <w:t>Rodgers</w:t>
      </w:r>
      <w:r w:rsidRPr="00FF3C5F">
        <w:t xml:space="preserve"> (at 67-68) that the amendment provision in the Federal Court Rules “[O 13 r 2] is to be contrasted with s </w:t>
      </w:r>
      <w:proofErr w:type="gramStart"/>
      <w:r w:rsidRPr="00FF3C5F">
        <w:t>588FF(</w:t>
      </w:r>
      <w:proofErr w:type="gramEnd"/>
      <w:r w:rsidRPr="00FF3C5F">
        <w:t xml:space="preserve">3), which is concerned with the making of </w:t>
      </w:r>
      <w:r w:rsidRPr="00FF3C5F">
        <w:rPr>
          <w:i/>
          <w:iCs/>
        </w:rPr>
        <w:t>an application</w:t>
      </w:r>
      <w:r w:rsidRPr="00FF3C5F">
        <w:t xml:space="preserve"> to the Court; that is, the commencement of the proceeding itself” and that s 588FF(3) “is not directed to an amendment of an existing claim”, is not plainly wrong</w:t>
      </w:r>
      <w:r w:rsidR="002D25B4">
        <w:t xml:space="preserve">.  </w:t>
      </w:r>
      <w:r w:rsidRPr="00FF3C5F">
        <w:t>Accordingly, it should be followed by this Court</w:t>
      </w:r>
      <w:r w:rsidR="002D25B4">
        <w:t xml:space="preserve">.  </w:t>
      </w:r>
      <w:r w:rsidRPr="00FF3C5F">
        <w:t xml:space="preserve">There is nothing in the trilogy of High Court cases concerning s 588FF which obliges this Court to conclude that the decision in </w:t>
      </w:r>
      <w:r w:rsidRPr="00FF3C5F">
        <w:rPr>
          <w:i/>
          <w:iCs/>
        </w:rPr>
        <w:t xml:space="preserve">Rodgers </w:t>
      </w:r>
      <w:r w:rsidRPr="00FF3C5F">
        <w:t>is plainly wrong</w:t>
      </w:r>
    </w:p>
    <w:p w:rsidR="007A2C51" w:rsidRPr="00FF3C5F" w:rsidRDefault="00A7265A" w:rsidP="00017B82">
      <w:pPr>
        <w:pStyle w:val="ParaNumbering"/>
        <w:numPr>
          <w:ilvl w:val="0"/>
          <w:numId w:val="30"/>
        </w:numPr>
        <w:rPr>
          <w:lang w:eastAsia="en-AU"/>
        </w:rPr>
      </w:pPr>
      <w:r w:rsidRPr="00FF3C5F">
        <w:rPr>
          <w:lang w:eastAsia="en-AU"/>
        </w:rPr>
        <w:t xml:space="preserve">In a separate judgment, </w:t>
      </w:r>
      <w:r w:rsidR="007A2C51" w:rsidRPr="00FF3C5F">
        <w:rPr>
          <w:lang w:eastAsia="en-AU"/>
        </w:rPr>
        <w:t xml:space="preserve">Beazley P </w:t>
      </w:r>
      <w:r w:rsidRPr="00FF3C5F">
        <w:rPr>
          <w:lang w:eastAsia="en-AU"/>
        </w:rPr>
        <w:t xml:space="preserve">agreed </w:t>
      </w:r>
      <w:r w:rsidR="00802648" w:rsidRPr="00FF3C5F">
        <w:rPr>
          <w:lang w:eastAsia="en-AU"/>
        </w:rPr>
        <w:t xml:space="preserve">with </w:t>
      </w:r>
      <w:r w:rsidRPr="00FF3C5F">
        <w:rPr>
          <w:lang w:eastAsia="en-AU"/>
        </w:rPr>
        <w:t xml:space="preserve">Bathurst CJ and Payne JA and </w:t>
      </w:r>
      <w:r w:rsidR="007A2C51" w:rsidRPr="00FF3C5F">
        <w:rPr>
          <w:lang w:eastAsia="en-AU"/>
        </w:rPr>
        <w:t xml:space="preserve">gave additional reasons.  </w:t>
      </w:r>
      <w:r w:rsidR="00802648" w:rsidRPr="00FF3C5F">
        <w:rPr>
          <w:lang w:eastAsia="en-AU"/>
        </w:rPr>
        <w:t xml:space="preserve">Her </w:t>
      </w:r>
      <w:r w:rsidR="007A2C51" w:rsidRPr="00FF3C5F">
        <w:rPr>
          <w:lang w:eastAsia="en-AU"/>
        </w:rPr>
        <w:t xml:space="preserve">Honour rejected the appellant’s submission that, on its proper construction, the time limit prescribed by s </w:t>
      </w:r>
      <w:proofErr w:type="gramStart"/>
      <w:r w:rsidR="007A2C51" w:rsidRPr="00FF3C5F">
        <w:rPr>
          <w:lang w:eastAsia="en-AU"/>
        </w:rPr>
        <w:t>588FF(</w:t>
      </w:r>
      <w:proofErr w:type="gramEnd"/>
      <w:r w:rsidR="007A2C51" w:rsidRPr="00FF3C5F">
        <w:rPr>
          <w:lang w:eastAsia="en-AU"/>
        </w:rPr>
        <w:t xml:space="preserve">3)(a) must be satisfied in respect of each “transaction”, </w:t>
      </w:r>
      <w:r w:rsidR="007A2C51" w:rsidRPr="00FF3C5F">
        <w:rPr>
          <w:lang w:eastAsia="en-AU"/>
        </w:rPr>
        <w:lastRenderedPageBreak/>
        <w:t xml:space="preserve">stating that there was nothing in the text of s 588FF, the extrinsic materials that accompany it, or the relevant High Court authorities that compelled the construction contended by the appellant that the time limit in s 588FF(3) applied in relation to each individual transaction that the liquidator sought to impugn.  Beazley P then considered whether s </w:t>
      </w:r>
      <w:proofErr w:type="gramStart"/>
      <w:r w:rsidR="007A2C51" w:rsidRPr="00FF3C5F">
        <w:rPr>
          <w:lang w:eastAsia="en-AU"/>
        </w:rPr>
        <w:t>588FF(</w:t>
      </w:r>
      <w:proofErr w:type="gramEnd"/>
      <w:r w:rsidR="007A2C51" w:rsidRPr="00FF3C5F">
        <w:rPr>
          <w:lang w:eastAsia="en-AU"/>
        </w:rPr>
        <w:t xml:space="preserve">3) “otherwise provides” such that ss 64 and 65 of the </w:t>
      </w:r>
      <w:r w:rsidR="007A2C51" w:rsidRPr="00FF3C5F">
        <w:rPr>
          <w:i/>
          <w:lang w:eastAsia="en-AU"/>
        </w:rPr>
        <w:t>Civil Procedure Act</w:t>
      </w:r>
      <w:r w:rsidR="007A2C51" w:rsidRPr="00FF3C5F">
        <w:rPr>
          <w:lang w:eastAsia="en-AU"/>
        </w:rPr>
        <w:t xml:space="preserve"> were not picked up by s 79 of the </w:t>
      </w:r>
      <w:r w:rsidR="007A2C51" w:rsidRPr="00FF3C5F">
        <w:rPr>
          <w:i/>
          <w:lang w:eastAsia="en-AU"/>
        </w:rPr>
        <w:t>Judiciary Act</w:t>
      </w:r>
      <w:r w:rsidR="007A2C51" w:rsidRPr="00FF3C5F">
        <w:rPr>
          <w:lang w:eastAsia="en-AU"/>
        </w:rPr>
        <w:t>.  Her Honour held no, reasoning as follows:</w:t>
      </w:r>
    </w:p>
    <w:p w:rsidR="007A2C51" w:rsidRPr="00FF3C5F" w:rsidRDefault="007A2C51" w:rsidP="007A2C51">
      <w:pPr>
        <w:pStyle w:val="Quote1"/>
        <w:ind w:left="1440" w:hanging="703"/>
      </w:pPr>
      <w:r w:rsidRPr="00FF3C5F">
        <w:t>153.</w:t>
      </w:r>
      <w:r w:rsidRPr="00FF3C5F">
        <w:tab/>
        <w:t>As has already been noted, s </w:t>
      </w:r>
      <w:proofErr w:type="gramStart"/>
      <w:r w:rsidRPr="00FF3C5F">
        <w:t>588FF(</w:t>
      </w:r>
      <w:proofErr w:type="gramEnd"/>
      <w:r w:rsidRPr="00FF3C5F">
        <w:t>1) is “</w:t>
      </w:r>
      <w:r w:rsidRPr="00FF3C5F">
        <w:rPr>
          <w:i/>
        </w:rPr>
        <w:t>silent respecting the procedures to be adopted by the court exercising federal jurisdiction</w:t>
      </w:r>
      <w:r w:rsidRPr="00FF3C5F">
        <w:t xml:space="preserve">”: </w:t>
      </w:r>
      <w:r w:rsidRPr="00FF3C5F">
        <w:rPr>
          <w:i/>
        </w:rPr>
        <w:t xml:space="preserve">Gordon v </w:t>
      </w:r>
      <w:proofErr w:type="spellStart"/>
      <w:r w:rsidRPr="00FF3C5F">
        <w:rPr>
          <w:i/>
        </w:rPr>
        <w:t>Tolcher</w:t>
      </w:r>
      <w:proofErr w:type="spellEnd"/>
      <w:r w:rsidRPr="00FF3C5F">
        <w:rPr>
          <w:i/>
        </w:rPr>
        <w:t xml:space="preserve"> </w:t>
      </w:r>
      <w:r w:rsidRPr="00FF3C5F">
        <w:t>at [32]</w:t>
      </w:r>
      <w:r w:rsidR="002D25B4">
        <w:t xml:space="preserve">.  </w:t>
      </w:r>
      <w:r w:rsidRPr="00FF3C5F">
        <w:t>It is also clear that s </w:t>
      </w:r>
      <w:proofErr w:type="gramStart"/>
      <w:r w:rsidRPr="00FF3C5F">
        <w:t>588FF(</w:t>
      </w:r>
      <w:proofErr w:type="gramEnd"/>
      <w:r w:rsidRPr="00FF3C5F">
        <w:t xml:space="preserve">3)(b) constitutes an exhaustive provision as to the power of the courts to extend the time in which an application for orders under s 588FF(1) may be made: see </w:t>
      </w:r>
      <w:r w:rsidRPr="00FF3C5F">
        <w:rPr>
          <w:i/>
        </w:rPr>
        <w:t xml:space="preserve">Grant Samuel </w:t>
      </w:r>
      <w:r w:rsidRPr="00FF3C5F">
        <w:t>at [23] set out above at [53].</w:t>
      </w:r>
    </w:p>
    <w:p w:rsidR="007A2C51" w:rsidRPr="00FF3C5F" w:rsidRDefault="007A2C51" w:rsidP="007A2C51">
      <w:pPr>
        <w:pStyle w:val="Quote1"/>
        <w:ind w:left="1440" w:hanging="703"/>
      </w:pPr>
      <w:r w:rsidRPr="00FF3C5F">
        <w:t>154.</w:t>
      </w:r>
      <w:r w:rsidRPr="00FF3C5F">
        <w:tab/>
        <w:t xml:space="preserve">Accordingly, ss 64 and 65 of the </w:t>
      </w:r>
      <w:r w:rsidRPr="00FF3C5F">
        <w:rPr>
          <w:i/>
        </w:rPr>
        <w:t xml:space="preserve">Civil Procedure Act </w:t>
      </w:r>
      <w:r w:rsidRPr="00FF3C5F">
        <w:t xml:space="preserve">will be picked up by s 79 of the </w:t>
      </w:r>
      <w:r w:rsidRPr="00FF3C5F">
        <w:rPr>
          <w:i/>
        </w:rPr>
        <w:t xml:space="preserve">Judiciary Act </w:t>
      </w:r>
      <w:r w:rsidRPr="00FF3C5F">
        <w:t>unless s 588FF(3)(b) “</w:t>
      </w:r>
      <w:r w:rsidRPr="00FF3C5F">
        <w:rPr>
          <w:i/>
        </w:rPr>
        <w:t>otherwise provides</w:t>
      </w:r>
      <w:r w:rsidRPr="00FF3C5F">
        <w:t>”, that is, unless those provisions would, in effect, facilitate the extension of time within which to commence an application for orders under s 588FF(1).</w:t>
      </w:r>
    </w:p>
    <w:p w:rsidR="007A2C51" w:rsidRPr="00FF3C5F" w:rsidRDefault="007A2C51" w:rsidP="007A2C51">
      <w:pPr>
        <w:pStyle w:val="Quote1"/>
        <w:ind w:left="1440" w:hanging="703"/>
      </w:pPr>
      <w:r w:rsidRPr="00FF3C5F">
        <w:t>155.</w:t>
      </w:r>
      <w:r w:rsidRPr="00FF3C5F">
        <w:tab/>
        <w:t xml:space="preserve">A central aspect of the reasoning in </w:t>
      </w:r>
      <w:r w:rsidRPr="00FF3C5F">
        <w:rPr>
          <w:i/>
        </w:rPr>
        <w:t xml:space="preserve">Rodgers v Commissioner of Taxation </w:t>
      </w:r>
      <w:r w:rsidRPr="00FF3C5F">
        <w:t>(1998) 88 FCR 61 was the distinction between the amendment of existing proceedings and the extension of time within which to commence proceedings</w:t>
      </w:r>
      <w:r w:rsidR="002D25B4">
        <w:t xml:space="preserve">.  </w:t>
      </w:r>
      <w:r w:rsidRPr="00FF3C5F">
        <w:t xml:space="preserve">As the Full Court explained in </w:t>
      </w:r>
      <w:r w:rsidRPr="00FF3C5F">
        <w:rPr>
          <w:i/>
        </w:rPr>
        <w:t>Rodgers</w:t>
      </w:r>
      <w:r w:rsidRPr="00FF3C5F">
        <w:t>, at 67-68:</w:t>
      </w:r>
    </w:p>
    <w:p w:rsidR="007A2C51" w:rsidRPr="00FF3C5F" w:rsidRDefault="007A2C51" w:rsidP="007A2C51">
      <w:pPr>
        <w:pStyle w:val="Quote2"/>
        <w:ind w:left="2160"/>
      </w:pPr>
      <w:r w:rsidRPr="00FF3C5F">
        <w:t xml:space="preserve">“This [power of amendment] is to be contrasted with s </w:t>
      </w:r>
      <w:proofErr w:type="gramStart"/>
      <w:r w:rsidRPr="00FF3C5F">
        <w:t>588FF(</w:t>
      </w:r>
      <w:proofErr w:type="gramEnd"/>
      <w:r w:rsidRPr="00FF3C5F">
        <w:t>3), which is concerned with the making of an application to the Court; that is, the commencement of the proceeding itself</w:t>
      </w:r>
      <w:r w:rsidR="002D25B4">
        <w:t xml:space="preserve">.  </w:t>
      </w:r>
      <w:r w:rsidRPr="00FF3C5F">
        <w:t xml:space="preserve">Section </w:t>
      </w:r>
      <w:proofErr w:type="gramStart"/>
      <w:r w:rsidRPr="00FF3C5F">
        <w:t>588FF(</w:t>
      </w:r>
      <w:proofErr w:type="gramEnd"/>
      <w:r w:rsidRPr="00FF3C5F">
        <w:t>3) is not directed to an amendment of an existing claim.”</w:t>
      </w:r>
    </w:p>
    <w:p w:rsidR="007A2C51" w:rsidRPr="00FF3C5F" w:rsidRDefault="007A2C51" w:rsidP="007A2C51">
      <w:pPr>
        <w:pStyle w:val="Quote1"/>
        <w:ind w:left="1440" w:hanging="703"/>
      </w:pPr>
      <w:r w:rsidRPr="00FF3C5F">
        <w:t>156.</w:t>
      </w:r>
      <w:r w:rsidRPr="00FF3C5F">
        <w:tab/>
        <w:t xml:space="preserve">The Full Court cited the following remarks of Clarke JA in </w:t>
      </w:r>
      <w:proofErr w:type="spellStart"/>
      <w:r w:rsidRPr="00FF3C5F">
        <w:rPr>
          <w:i/>
        </w:rPr>
        <w:t>Fernance</w:t>
      </w:r>
      <w:proofErr w:type="spellEnd"/>
      <w:r w:rsidRPr="00FF3C5F">
        <w:rPr>
          <w:i/>
        </w:rPr>
        <w:t xml:space="preserve"> v Nominal Defendant</w:t>
      </w:r>
      <w:r w:rsidRPr="00FF3C5F">
        <w:t xml:space="preserve"> (1989) 17 NSWLR 710 at 733 in support of that proposition:</w:t>
      </w:r>
    </w:p>
    <w:p w:rsidR="007A2C51" w:rsidRPr="00FF3C5F" w:rsidRDefault="007A2C51" w:rsidP="007A2C51">
      <w:pPr>
        <w:pStyle w:val="Quote2"/>
        <w:ind w:left="2160"/>
      </w:pPr>
      <w:r w:rsidRPr="00FF3C5F">
        <w:t>“… there is a clear distinction between a case in which a defendant is added and a case in which an additional cause of action is raised against an additional defendant</w:t>
      </w:r>
      <w:r w:rsidR="002D25B4">
        <w:t xml:space="preserve">.  </w:t>
      </w:r>
      <w:r w:rsidRPr="00FF3C5F">
        <w:t>In the latter instance a party who is put on notice of proceedings before the expiry of the limitation period is required to widen the ambit of his defence whereas in the former a person may be brought into the proceedings years after the expiry of the relevant limitation period without any prior notice.”</w:t>
      </w:r>
    </w:p>
    <w:p w:rsidR="007A2C51" w:rsidRPr="00FF3C5F" w:rsidRDefault="007A2C51" w:rsidP="007A2C51">
      <w:pPr>
        <w:pStyle w:val="Quote1"/>
        <w:ind w:left="1440" w:hanging="703"/>
      </w:pPr>
      <w:r w:rsidRPr="00FF3C5F">
        <w:t>157.</w:t>
      </w:r>
      <w:r w:rsidRPr="00FF3C5F">
        <w:tab/>
        <w:t xml:space="preserve">It was in relation to this distinction that the Full Court of the Supreme Court of South Australia in </w:t>
      </w:r>
      <w:r w:rsidRPr="00FF3C5F">
        <w:rPr>
          <w:i/>
        </w:rPr>
        <w:t xml:space="preserve">Davies v Chicago Boot Co Pty Ltd (No 2) </w:t>
      </w:r>
      <w:r w:rsidRPr="00FF3C5F">
        <w:t xml:space="preserve">(2007) 96 SASR 164; [2007] SASC 12 followed the reasoning in </w:t>
      </w:r>
      <w:r w:rsidRPr="00FF3C5F">
        <w:rPr>
          <w:i/>
        </w:rPr>
        <w:t>Rodgers</w:t>
      </w:r>
      <w:r w:rsidR="002D25B4">
        <w:t xml:space="preserve">.  </w:t>
      </w:r>
      <w:r w:rsidRPr="00FF3C5F">
        <w:t>As Gray J explained, at [45]:</w:t>
      </w:r>
    </w:p>
    <w:p w:rsidR="007A2C51" w:rsidRPr="00FF3C5F" w:rsidRDefault="007A2C51" w:rsidP="007A2C51">
      <w:pPr>
        <w:pStyle w:val="Quote2"/>
        <w:ind w:left="2160"/>
      </w:pPr>
      <w:r w:rsidRPr="00FF3C5F">
        <w:t>“The Courts have concluded that it is appropriate to utilise the applicable rules of the courts to allow amendments to add new causes of action against the same defendant outside the relevant statutory limitation period</w:t>
      </w:r>
      <w:r w:rsidR="002D25B4">
        <w:t xml:space="preserve">.  </w:t>
      </w:r>
      <w:r w:rsidRPr="00FF3C5F">
        <w:t>That is what the liquidators seek to do in this case</w:t>
      </w:r>
      <w:r w:rsidR="002D25B4">
        <w:t xml:space="preserve">.  </w:t>
      </w:r>
      <w:r w:rsidRPr="00FF3C5F">
        <w:t xml:space="preserve">These authorities should be followed and applied by this Court in accordance with the principles enunciated by the High Court in </w:t>
      </w:r>
      <w:r w:rsidRPr="00FF3C5F">
        <w:rPr>
          <w:i/>
        </w:rPr>
        <w:t>Marlborough Gold Mines Ltd</w:t>
      </w:r>
      <w:r w:rsidRPr="00FF3C5F">
        <w:t>.”</w:t>
      </w:r>
    </w:p>
    <w:p w:rsidR="007A2C51" w:rsidRPr="00FF3C5F" w:rsidRDefault="007A2C51" w:rsidP="007A2C51">
      <w:pPr>
        <w:pStyle w:val="Quote1"/>
        <w:ind w:left="1440" w:hanging="703"/>
      </w:pPr>
      <w:r w:rsidRPr="00FF3C5F">
        <w:lastRenderedPageBreak/>
        <w:t>158.</w:t>
      </w:r>
      <w:r w:rsidRPr="00FF3C5F">
        <w:tab/>
        <w:t xml:space="preserve">This distinction was also accepted by two members of the Queensland Court of Appeal in </w:t>
      </w:r>
      <w:proofErr w:type="spellStart"/>
      <w:r w:rsidRPr="00FF3C5F">
        <w:rPr>
          <w:i/>
        </w:rPr>
        <w:t>Greig</w:t>
      </w:r>
      <w:proofErr w:type="spellEnd"/>
      <w:r w:rsidRPr="00FF3C5F">
        <w:rPr>
          <w:i/>
        </w:rPr>
        <w:t xml:space="preserve"> v </w:t>
      </w:r>
      <w:proofErr w:type="spellStart"/>
      <w:r w:rsidRPr="00FF3C5F">
        <w:rPr>
          <w:i/>
        </w:rPr>
        <w:t>Stramit</w:t>
      </w:r>
      <w:proofErr w:type="spellEnd"/>
      <w:r w:rsidRPr="00FF3C5F">
        <w:rPr>
          <w:i/>
        </w:rPr>
        <w:t xml:space="preserve"> Corporation Pty Ltd </w:t>
      </w:r>
      <w:r w:rsidRPr="00FF3C5F">
        <w:t xml:space="preserve">(2004) 2 </w:t>
      </w:r>
      <w:proofErr w:type="spellStart"/>
      <w:r w:rsidRPr="00FF3C5F">
        <w:t>Qd</w:t>
      </w:r>
      <w:proofErr w:type="spellEnd"/>
      <w:r w:rsidRPr="00FF3C5F">
        <w:t xml:space="preserve"> R 17;</w:t>
      </w:r>
      <w:r w:rsidRPr="00FF3C5F">
        <w:rPr>
          <w:i/>
        </w:rPr>
        <w:t xml:space="preserve"> </w:t>
      </w:r>
      <w:r w:rsidRPr="00FF3C5F">
        <w:t>[2003] QCA 298</w:t>
      </w:r>
      <w:r w:rsidR="002D25B4">
        <w:t xml:space="preserve">.  </w:t>
      </w:r>
      <w:r w:rsidRPr="00FF3C5F">
        <w:t>As Williams JA observed, at [88]:</w:t>
      </w:r>
    </w:p>
    <w:p w:rsidR="007A2C51" w:rsidRPr="00FF3C5F" w:rsidRDefault="007A2C51" w:rsidP="007A2C51">
      <w:pPr>
        <w:pStyle w:val="Quote2"/>
        <w:ind w:left="2160"/>
      </w:pPr>
      <w:r w:rsidRPr="00FF3C5F">
        <w:t xml:space="preserve">“Counsel for </w:t>
      </w:r>
      <w:proofErr w:type="spellStart"/>
      <w:r w:rsidRPr="00FF3C5F">
        <w:t>Stramit</w:t>
      </w:r>
      <w:proofErr w:type="spellEnd"/>
      <w:r w:rsidRPr="00FF3C5F">
        <w:t xml:space="preserve"> drew a distinction between an application to amend an existing cause of action, commenced within the time limit prescribed by s. </w:t>
      </w:r>
      <w:proofErr w:type="gramStart"/>
      <w:r w:rsidRPr="00FF3C5F">
        <w:t>588FF(</w:t>
      </w:r>
      <w:proofErr w:type="gramEnd"/>
      <w:r w:rsidRPr="00FF3C5F">
        <w:t>3)(a), by adding new causes of action against an existing defendant, and an application by liquidators to amend an application for an extension of time, brought pursuant to</w:t>
      </w:r>
      <w:r w:rsidR="00EE2B43">
        <w:t xml:space="preserve"> s. </w:t>
      </w:r>
      <w:r w:rsidRPr="00FF3C5F">
        <w:t>588FF(3)(b), to add a new party outside the three year time limit prescribed in that section</w:t>
      </w:r>
      <w:r w:rsidR="002D25B4">
        <w:t xml:space="preserve">.  </w:t>
      </w:r>
      <w:r w:rsidRPr="00FF3C5F">
        <w:t xml:space="preserve">The decisions in </w:t>
      </w:r>
      <w:r w:rsidRPr="00FF3C5F">
        <w:rPr>
          <w:i/>
        </w:rPr>
        <w:t xml:space="preserve">Rodgers </w:t>
      </w:r>
      <w:r w:rsidRPr="00FF3C5F">
        <w:t xml:space="preserve">and </w:t>
      </w:r>
      <w:r w:rsidRPr="00FF3C5F">
        <w:rPr>
          <w:i/>
        </w:rPr>
        <w:t xml:space="preserve">Star </w:t>
      </w:r>
      <w:r w:rsidRPr="00FF3C5F">
        <w:t>were concerned with the first situation</w:t>
      </w:r>
      <w:r w:rsidR="002D25B4">
        <w:t xml:space="preserve">.  </w:t>
      </w:r>
      <w:r w:rsidRPr="00FF3C5F">
        <w:t>I accept that distinction.”</w:t>
      </w:r>
    </w:p>
    <w:p w:rsidR="007A2C51" w:rsidRPr="00FF3C5F" w:rsidRDefault="007A2C51" w:rsidP="007A2C51">
      <w:pPr>
        <w:pStyle w:val="Quote1"/>
      </w:pPr>
      <w:r w:rsidRPr="00FF3C5F">
        <w:t>159.</w:t>
      </w:r>
      <w:r w:rsidRPr="00FF3C5F">
        <w:tab/>
        <w:t xml:space="preserve">Likewise, </w:t>
      </w:r>
      <w:proofErr w:type="spellStart"/>
      <w:r w:rsidRPr="00FF3C5F">
        <w:t>Jerrard</w:t>
      </w:r>
      <w:proofErr w:type="spellEnd"/>
      <w:r w:rsidRPr="00FF3C5F">
        <w:t> JA commented at [126]:</w:t>
      </w:r>
    </w:p>
    <w:p w:rsidR="007A2C51" w:rsidRPr="00FF3C5F" w:rsidRDefault="007A2C51" w:rsidP="007A2C51">
      <w:pPr>
        <w:pStyle w:val="Quote2"/>
        <w:ind w:left="2160"/>
      </w:pPr>
      <w:r w:rsidRPr="00FF3C5F">
        <w:t>“As Williams J.A. notes, there is authority for the proposition that an amendment can be made to a pr</w:t>
      </w:r>
      <w:r w:rsidR="002D25B4">
        <w:t>oceeding brought pursuant to s. </w:t>
      </w:r>
      <w:r w:rsidRPr="00FF3C5F">
        <w:t>588FF(1) within time, although the amendment is made after the expiry of the time limitations provided for by s. 588FF(3)</w:t>
      </w:r>
      <w:r w:rsidR="002D25B4">
        <w:t xml:space="preserve">.  </w:t>
      </w:r>
      <w:r w:rsidRPr="00FF3C5F">
        <w:t>However, that authority distinguishes between amendment to a proceeding commenced within time, and the addition of a new defendant</w:t>
      </w:r>
      <w:r w:rsidR="002D25B4">
        <w:t xml:space="preserve">.  </w:t>
      </w:r>
      <w:r w:rsidRPr="00FF3C5F">
        <w:t xml:space="preserve">In </w:t>
      </w:r>
      <w:r w:rsidRPr="00FF3C5F">
        <w:rPr>
          <w:i/>
        </w:rPr>
        <w:t>Rodgers</w:t>
      </w:r>
      <w:r w:rsidRPr="00FF3C5F">
        <w:t xml:space="preserve"> the Full Federal Court cited with apparent approval the remarks of Clarke J.A. in </w:t>
      </w:r>
      <w:proofErr w:type="spellStart"/>
      <w:r w:rsidRPr="00FF3C5F">
        <w:rPr>
          <w:i/>
        </w:rPr>
        <w:t>Fernance</w:t>
      </w:r>
      <w:proofErr w:type="spellEnd"/>
      <w:r w:rsidRPr="00FF3C5F">
        <w:rPr>
          <w:i/>
        </w:rPr>
        <w:t xml:space="preserve"> v. Nominal Defendant</w:t>
      </w:r>
      <w:r w:rsidRPr="00FF3C5F">
        <w:t xml:space="preserve"> (1989) 17 N.S.W.L.R. 710 at 733, to the effect that there is a clear distinction between a case in which a defendant is added and a case in which an additional cause of action is raised against an existing defendant</w:t>
      </w:r>
      <w:r w:rsidR="002D25B4">
        <w:t xml:space="preserve">.  </w:t>
      </w:r>
      <w:r w:rsidRPr="00FF3C5F">
        <w:t>Clarke J.A. reminded, and in my respectful opinion forcefully, that when it is sought to add a defendant after the expiration of a time period, this may occur years after the expiration of the relevant limitation period and without any prior notice.”</w:t>
      </w:r>
    </w:p>
    <w:p w:rsidR="007A2C51" w:rsidRPr="00FF3C5F" w:rsidRDefault="007A2C51" w:rsidP="007A2C51">
      <w:pPr>
        <w:pStyle w:val="Quote1"/>
        <w:ind w:left="1440" w:hanging="703"/>
      </w:pPr>
      <w:r w:rsidRPr="00FF3C5F">
        <w:t>160.</w:t>
      </w:r>
      <w:r w:rsidRPr="00FF3C5F">
        <w:tab/>
        <w:t xml:space="preserve">I see no reason for this Court to reject this distinction, </w:t>
      </w:r>
      <w:proofErr w:type="gramStart"/>
      <w:r w:rsidRPr="00FF3C5F">
        <w:t>nor</w:t>
      </w:r>
      <w:proofErr w:type="gramEnd"/>
      <w:r w:rsidRPr="00FF3C5F">
        <w:t xml:space="preserve"> for it to reject the reasoning of the Federal Court in </w:t>
      </w:r>
      <w:r w:rsidRPr="00FF3C5F">
        <w:rPr>
          <w:i/>
        </w:rPr>
        <w:t>Rodgers</w:t>
      </w:r>
      <w:r w:rsidRPr="00FF3C5F">
        <w:t xml:space="preserve">.  </w:t>
      </w:r>
    </w:p>
    <w:p w:rsidR="00A24A89" w:rsidRPr="00FF3C5F" w:rsidRDefault="007A2C51" w:rsidP="007A2C51">
      <w:pPr>
        <w:pStyle w:val="NoNum"/>
        <w:rPr>
          <w:lang w:eastAsia="en-AU"/>
        </w:rPr>
      </w:pPr>
      <w:r w:rsidRPr="00FF3C5F">
        <w:rPr>
          <w:lang w:eastAsia="en-AU"/>
        </w:rPr>
        <w:t xml:space="preserve">The President thus concluded that s </w:t>
      </w:r>
      <w:proofErr w:type="gramStart"/>
      <w:r w:rsidRPr="00FF3C5F">
        <w:rPr>
          <w:lang w:eastAsia="en-AU"/>
        </w:rPr>
        <w:t>588FF(</w:t>
      </w:r>
      <w:proofErr w:type="gramEnd"/>
      <w:r w:rsidRPr="00FF3C5F">
        <w:rPr>
          <w:lang w:eastAsia="en-AU"/>
        </w:rPr>
        <w:t xml:space="preserve">3)(b) did not “otherwise provide” and the powers of amendment were picked up by s 79 of the </w:t>
      </w:r>
      <w:r w:rsidRPr="00FF3C5F">
        <w:rPr>
          <w:i/>
          <w:lang w:eastAsia="en-AU"/>
        </w:rPr>
        <w:t>Judiciary Act</w:t>
      </w:r>
      <w:r w:rsidRPr="00FF3C5F">
        <w:rPr>
          <w:lang w:eastAsia="en-AU"/>
        </w:rPr>
        <w:t>.</w:t>
      </w:r>
    </w:p>
    <w:p w:rsidR="007A2C51" w:rsidRPr="00FF3C5F" w:rsidRDefault="007A2C51" w:rsidP="00E9769D">
      <w:pPr>
        <w:pStyle w:val="Heading3"/>
        <w:rPr>
          <w:lang w:eastAsia="en-AU"/>
        </w:rPr>
      </w:pPr>
      <w:r w:rsidRPr="00FF3C5F">
        <w:rPr>
          <w:lang w:eastAsia="en-AU"/>
        </w:rPr>
        <w:t>Consideration</w:t>
      </w:r>
    </w:p>
    <w:p w:rsidR="00904A64" w:rsidRPr="00FF3C5F" w:rsidRDefault="00321907" w:rsidP="00017B82">
      <w:pPr>
        <w:pStyle w:val="ParaNumbering"/>
        <w:numPr>
          <w:ilvl w:val="0"/>
          <w:numId w:val="30"/>
        </w:numPr>
        <w:rPr>
          <w:lang w:eastAsia="en-AU"/>
        </w:rPr>
      </w:pPr>
      <w:proofErr w:type="spellStart"/>
      <w:r w:rsidRPr="00FF3C5F">
        <w:rPr>
          <w:i/>
          <w:lang w:eastAsia="en-AU"/>
        </w:rPr>
        <w:t>Tolcher</w:t>
      </w:r>
      <w:proofErr w:type="spellEnd"/>
      <w:r w:rsidRPr="00FF3C5F">
        <w:rPr>
          <w:i/>
          <w:lang w:eastAsia="en-AU"/>
        </w:rPr>
        <w:t xml:space="preserve">, </w:t>
      </w:r>
      <w:r w:rsidRPr="00FF3C5F">
        <w:rPr>
          <w:lang w:eastAsia="en-AU"/>
        </w:rPr>
        <w:t xml:space="preserve">affirmed in </w:t>
      </w:r>
      <w:r w:rsidRPr="00FF3C5F">
        <w:rPr>
          <w:i/>
          <w:lang w:eastAsia="en-AU"/>
        </w:rPr>
        <w:t>Grant Samuel</w:t>
      </w:r>
      <w:r w:rsidRPr="00FF3C5F">
        <w:rPr>
          <w:lang w:eastAsia="en-AU"/>
        </w:rPr>
        <w:t xml:space="preserve">, established </w:t>
      </w:r>
      <w:r w:rsidR="007A2C51" w:rsidRPr="00FF3C5F">
        <w:rPr>
          <w:lang w:eastAsia="en-AU"/>
        </w:rPr>
        <w:t xml:space="preserve">that commencement of a voidable preference action within the time stipulated in s </w:t>
      </w:r>
      <w:proofErr w:type="gramStart"/>
      <w:r w:rsidR="007A2C51" w:rsidRPr="00FF3C5F">
        <w:rPr>
          <w:lang w:eastAsia="en-AU"/>
        </w:rPr>
        <w:t>588FF(</w:t>
      </w:r>
      <w:proofErr w:type="gramEnd"/>
      <w:r w:rsidR="007A2C51" w:rsidRPr="00FF3C5F">
        <w:rPr>
          <w:lang w:eastAsia="en-AU"/>
        </w:rPr>
        <w:t>3) is an essential condition of the right conferred by</w:t>
      </w:r>
      <w:r w:rsidRPr="00FF3C5F">
        <w:rPr>
          <w:lang w:eastAsia="en-AU"/>
        </w:rPr>
        <w:t xml:space="preserve"> s 588FF(1) to bring proceedings</w:t>
      </w:r>
      <w:r w:rsidR="002D25B4">
        <w:rPr>
          <w:lang w:eastAsia="en-AU"/>
        </w:rPr>
        <w:t xml:space="preserve">.  </w:t>
      </w:r>
      <w:r w:rsidR="007A2C51" w:rsidRPr="00FF3C5F">
        <w:rPr>
          <w:lang w:eastAsia="en-AU"/>
        </w:rPr>
        <w:t xml:space="preserve">In this case, each of the actions against the defendants were commenced within the time </w:t>
      </w:r>
      <w:r w:rsidR="00B466F2" w:rsidRPr="00FF3C5F">
        <w:rPr>
          <w:lang w:eastAsia="en-AU"/>
        </w:rPr>
        <w:t xml:space="preserve">limit prescribed by </w:t>
      </w:r>
      <w:r w:rsidR="007A2C51" w:rsidRPr="00FF3C5F">
        <w:rPr>
          <w:lang w:eastAsia="en-AU"/>
        </w:rPr>
        <w:t>s 588FF(3</w:t>
      </w:r>
      <w:r w:rsidR="00B466F2" w:rsidRPr="00FF3C5F">
        <w:rPr>
          <w:lang w:eastAsia="en-AU"/>
        </w:rPr>
        <w:t xml:space="preserve">) but </w:t>
      </w:r>
      <w:r w:rsidR="00C10B0C" w:rsidRPr="00FF3C5F">
        <w:rPr>
          <w:lang w:eastAsia="en-AU"/>
        </w:rPr>
        <w:t xml:space="preserve">the amendments to the original pleadings added </w:t>
      </w:r>
      <w:r w:rsidR="00B466F2" w:rsidRPr="00FF3C5F">
        <w:rPr>
          <w:rFonts w:ascii="TimesNewRoman" w:hAnsi="TimesNewRoman" w:cs="TimesNewRoman"/>
          <w:szCs w:val="24"/>
          <w:lang w:eastAsia="en-AU"/>
        </w:rPr>
        <w:t xml:space="preserve">voidable preference claims </w:t>
      </w:r>
      <w:r w:rsidR="00400D57" w:rsidRPr="00FF3C5F">
        <w:rPr>
          <w:lang w:eastAsia="en-AU"/>
        </w:rPr>
        <w:t xml:space="preserve">after the expiry of </w:t>
      </w:r>
      <w:r w:rsidR="00B466F2" w:rsidRPr="00FF3C5F">
        <w:t xml:space="preserve">the </w:t>
      </w:r>
      <w:r w:rsidR="00400D57" w:rsidRPr="00FF3C5F">
        <w:t xml:space="preserve">limitation period </w:t>
      </w:r>
      <w:r w:rsidR="00B466F2" w:rsidRPr="00FF3C5F">
        <w:t>prescribed by s 588FF(3)</w:t>
      </w:r>
      <w:r w:rsidR="002D25B4">
        <w:t xml:space="preserve">.  </w:t>
      </w:r>
      <w:r w:rsidR="00D1674D" w:rsidRPr="00FF3C5F">
        <w:rPr>
          <w:lang w:eastAsia="en-AU"/>
        </w:rPr>
        <w:t>T</w:t>
      </w:r>
      <w:r w:rsidR="007A2C51" w:rsidRPr="00FF3C5F">
        <w:rPr>
          <w:lang w:eastAsia="en-AU"/>
        </w:rPr>
        <w:t xml:space="preserve">he </w:t>
      </w:r>
      <w:r w:rsidR="008F4EB2" w:rsidRPr="00FF3C5F">
        <w:rPr>
          <w:lang w:eastAsia="en-AU"/>
        </w:rPr>
        <w:t xml:space="preserve">question </w:t>
      </w:r>
      <w:r w:rsidR="007A2C51" w:rsidRPr="00FF3C5F">
        <w:rPr>
          <w:lang w:eastAsia="en-AU"/>
        </w:rPr>
        <w:t xml:space="preserve">for determination is whether </w:t>
      </w:r>
      <w:r w:rsidR="008F4EB2" w:rsidRPr="00FF3C5F">
        <w:rPr>
          <w:lang w:eastAsia="en-AU"/>
        </w:rPr>
        <w:t xml:space="preserve">the </w:t>
      </w:r>
      <w:r w:rsidR="00E1763E" w:rsidRPr="00FF3C5F">
        <w:rPr>
          <w:lang w:eastAsia="en-AU"/>
        </w:rPr>
        <w:t xml:space="preserve">time limits prescribed by s </w:t>
      </w:r>
      <w:proofErr w:type="gramStart"/>
      <w:r w:rsidR="00E1763E" w:rsidRPr="00FF3C5F">
        <w:rPr>
          <w:lang w:eastAsia="en-AU"/>
        </w:rPr>
        <w:t>588FF(</w:t>
      </w:r>
      <w:proofErr w:type="gramEnd"/>
      <w:r w:rsidR="00E1763E" w:rsidRPr="00FF3C5F">
        <w:rPr>
          <w:lang w:eastAsia="en-AU"/>
        </w:rPr>
        <w:t xml:space="preserve">3) applied to the additional </w:t>
      </w:r>
      <w:r w:rsidR="00C10B0C" w:rsidRPr="00FF3C5F">
        <w:rPr>
          <w:rFonts w:ascii="TimesNewRoman" w:hAnsi="TimesNewRoman" w:cs="TimesNewRoman"/>
          <w:szCs w:val="24"/>
          <w:lang w:eastAsia="en-AU"/>
        </w:rPr>
        <w:t>claims</w:t>
      </w:r>
      <w:r w:rsidR="002D25B4">
        <w:rPr>
          <w:lang w:eastAsia="en-AU"/>
        </w:rPr>
        <w:t xml:space="preserve">.  </w:t>
      </w:r>
      <w:r w:rsidR="00C10B0C" w:rsidRPr="00FF3C5F">
        <w:rPr>
          <w:lang w:eastAsia="en-AU"/>
        </w:rPr>
        <w:t xml:space="preserve">For the reasons that follow, </w:t>
      </w:r>
      <w:r w:rsidR="00132F91" w:rsidRPr="00FF3C5F">
        <w:rPr>
          <w:lang w:eastAsia="en-AU"/>
        </w:rPr>
        <w:t xml:space="preserve">I </w:t>
      </w:r>
      <w:r w:rsidR="00C7685B" w:rsidRPr="00FF3C5F">
        <w:rPr>
          <w:lang w:eastAsia="en-AU"/>
        </w:rPr>
        <w:t xml:space="preserve">do not accept the submission </w:t>
      </w:r>
      <w:r w:rsidR="004515A7" w:rsidRPr="00FF3C5F">
        <w:rPr>
          <w:lang w:eastAsia="en-AU"/>
        </w:rPr>
        <w:t xml:space="preserve">that </w:t>
      </w:r>
      <w:r w:rsidR="00612CCB" w:rsidRPr="00FF3C5F">
        <w:rPr>
          <w:i/>
          <w:lang w:eastAsia="en-AU"/>
        </w:rPr>
        <w:t xml:space="preserve">Rodgers </w:t>
      </w:r>
      <w:r w:rsidR="00612CCB" w:rsidRPr="00FF3C5F">
        <w:rPr>
          <w:lang w:eastAsia="en-AU"/>
        </w:rPr>
        <w:t xml:space="preserve">is no longer good law </w:t>
      </w:r>
      <w:r w:rsidR="00C7685B" w:rsidRPr="00FF3C5F">
        <w:rPr>
          <w:lang w:eastAsia="en-AU"/>
        </w:rPr>
        <w:t xml:space="preserve">following the High Court decisions in </w:t>
      </w:r>
      <w:proofErr w:type="spellStart"/>
      <w:r w:rsidR="00C7685B" w:rsidRPr="00FF3C5F">
        <w:rPr>
          <w:i/>
          <w:lang w:eastAsia="en-AU"/>
        </w:rPr>
        <w:t>Tolcher</w:t>
      </w:r>
      <w:proofErr w:type="spellEnd"/>
      <w:r w:rsidR="00C7685B" w:rsidRPr="00FF3C5F">
        <w:rPr>
          <w:i/>
          <w:lang w:eastAsia="en-AU"/>
        </w:rPr>
        <w:t xml:space="preserve">, Grant Samuel </w:t>
      </w:r>
      <w:r w:rsidR="00C7685B" w:rsidRPr="00E9769D">
        <w:rPr>
          <w:lang w:eastAsia="en-AU"/>
        </w:rPr>
        <w:t>and</w:t>
      </w:r>
      <w:r w:rsidR="00C7685B" w:rsidRPr="00FF3C5F">
        <w:rPr>
          <w:i/>
          <w:lang w:eastAsia="en-AU"/>
        </w:rPr>
        <w:t xml:space="preserve"> Fortress Credit</w:t>
      </w:r>
      <w:r w:rsidR="00612CCB" w:rsidRPr="00FF3C5F">
        <w:rPr>
          <w:lang w:eastAsia="en-AU"/>
        </w:rPr>
        <w:t>.</w:t>
      </w:r>
      <w:r w:rsidR="00B60609" w:rsidRPr="00FF3C5F">
        <w:rPr>
          <w:lang w:eastAsia="en-AU"/>
        </w:rPr>
        <w:t xml:space="preserve"> </w:t>
      </w:r>
    </w:p>
    <w:p w:rsidR="00904A64" w:rsidRPr="002439C8" w:rsidRDefault="00406836" w:rsidP="00017B82">
      <w:pPr>
        <w:pStyle w:val="ParaNumbering"/>
        <w:numPr>
          <w:ilvl w:val="0"/>
          <w:numId w:val="30"/>
        </w:numPr>
        <w:rPr>
          <w:lang w:eastAsia="en-AU"/>
        </w:rPr>
      </w:pPr>
      <w:r w:rsidRPr="00FF3C5F">
        <w:rPr>
          <w:lang w:eastAsia="en-AU"/>
        </w:rPr>
        <w:lastRenderedPageBreak/>
        <w:t xml:space="preserve">First, the </w:t>
      </w:r>
      <w:r w:rsidR="00904A64" w:rsidRPr="00FF3C5F">
        <w:rPr>
          <w:lang w:eastAsia="en-AU"/>
        </w:rPr>
        <w:t xml:space="preserve">question as to whether the </w:t>
      </w:r>
      <w:r w:rsidR="007B669B" w:rsidRPr="00FF3C5F">
        <w:rPr>
          <w:lang w:eastAsia="en-AU"/>
        </w:rPr>
        <w:t>C</w:t>
      </w:r>
      <w:r w:rsidR="00904A64" w:rsidRPr="00FF3C5F">
        <w:rPr>
          <w:lang w:eastAsia="en-AU"/>
        </w:rPr>
        <w:t>ourt has the power under its general rules of court to amend an existing application under s 588FF(1) after the expiry of th</w:t>
      </w:r>
      <w:r w:rsidRPr="00FF3C5F">
        <w:rPr>
          <w:lang w:eastAsia="en-AU"/>
        </w:rPr>
        <w:t>e period prescribed in</w:t>
      </w:r>
      <w:r w:rsidR="00EE2B43">
        <w:rPr>
          <w:lang w:eastAsia="en-AU"/>
        </w:rPr>
        <w:t xml:space="preserve"> s </w:t>
      </w:r>
      <w:r w:rsidR="00904A64" w:rsidRPr="00FF3C5F">
        <w:rPr>
          <w:lang w:eastAsia="en-AU"/>
        </w:rPr>
        <w:t>588FF(3) to add further “transactions</w:t>
      </w:r>
      <w:r w:rsidR="00904A64" w:rsidRPr="002439C8">
        <w:rPr>
          <w:lang w:eastAsia="en-AU"/>
        </w:rPr>
        <w:t>” in respect of which orders are sought under</w:t>
      </w:r>
      <w:r w:rsidR="00EE2B43">
        <w:rPr>
          <w:lang w:eastAsia="en-AU"/>
        </w:rPr>
        <w:t xml:space="preserve"> </w:t>
      </w:r>
      <w:r w:rsidR="00904A64" w:rsidRPr="002439C8">
        <w:rPr>
          <w:lang w:eastAsia="en-AU"/>
        </w:rPr>
        <w:t>s</w:t>
      </w:r>
      <w:r w:rsidR="00EE2B43">
        <w:rPr>
          <w:lang w:eastAsia="en-AU"/>
        </w:rPr>
        <w:t> </w:t>
      </w:r>
      <w:r w:rsidR="00904A64" w:rsidRPr="002439C8">
        <w:rPr>
          <w:lang w:eastAsia="en-AU"/>
        </w:rPr>
        <w:t xml:space="preserve">588FF(1) was not </w:t>
      </w:r>
      <w:r w:rsidR="00371ABD" w:rsidRPr="002439C8">
        <w:rPr>
          <w:lang w:eastAsia="en-AU"/>
        </w:rPr>
        <w:t xml:space="preserve">addressed </w:t>
      </w:r>
      <w:r w:rsidR="00904A64" w:rsidRPr="002439C8">
        <w:rPr>
          <w:lang w:eastAsia="en-AU"/>
        </w:rPr>
        <w:t>in any of those cases</w:t>
      </w:r>
      <w:r w:rsidR="002D25B4">
        <w:rPr>
          <w:lang w:eastAsia="en-AU"/>
        </w:rPr>
        <w:t xml:space="preserve">.  </w:t>
      </w:r>
      <w:r w:rsidR="00904A64" w:rsidRPr="002439C8">
        <w:rPr>
          <w:lang w:eastAsia="en-AU"/>
        </w:rPr>
        <w:t xml:space="preserve">Nor did any of those cases </w:t>
      </w:r>
      <w:r w:rsidR="00371ABD" w:rsidRPr="002439C8">
        <w:rPr>
          <w:lang w:eastAsia="en-AU"/>
        </w:rPr>
        <w:t xml:space="preserve">consider </w:t>
      </w:r>
      <w:r w:rsidR="00904A64" w:rsidRPr="002439C8">
        <w:rPr>
          <w:lang w:eastAsia="en-AU"/>
        </w:rPr>
        <w:t>the correctness of the</w:t>
      </w:r>
      <w:r w:rsidR="00904A64" w:rsidRPr="002439C8">
        <w:rPr>
          <w:i/>
          <w:lang w:eastAsia="en-AU"/>
        </w:rPr>
        <w:t xml:space="preserve"> </w:t>
      </w:r>
      <w:r w:rsidR="00904A64" w:rsidRPr="002439C8">
        <w:rPr>
          <w:lang w:eastAsia="en-AU"/>
        </w:rPr>
        <w:t xml:space="preserve">construction of s 588FF adopted by the Full Court in </w:t>
      </w:r>
      <w:r w:rsidR="00904A64" w:rsidRPr="002439C8">
        <w:rPr>
          <w:i/>
          <w:lang w:eastAsia="en-AU"/>
        </w:rPr>
        <w:t>Rodgers</w:t>
      </w:r>
      <w:r w:rsidR="00904A64" w:rsidRPr="002439C8">
        <w:rPr>
          <w:lang w:eastAsia="en-AU"/>
        </w:rPr>
        <w:t xml:space="preserve">. </w:t>
      </w:r>
    </w:p>
    <w:p w:rsidR="00AB4085" w:rsidRPr="000D127B" w:rsidRDefault="00904A64" w:rsidP="00017B82">
      <w:pPr>
        <w:pStyle w:val="ParaNumbering"/>
        <w:numPr>
          <w:ilvl w:val="0"/>
          <w:numId w:val="30"/>
        </w:numPr>
        <w:rPr>
          <w:lang w:eastAsia="en-AU"/>
        </w:rPr>
      </w:pPr>
      <w:r w:rsidRPr="002439C8">
        <w:rPr>
          <w:lang w:eastAsia="en-AU"/>
        </w:rPr>
        <w:t>Secondly,</w:t>
      </w:r>
      <w:r w:rsidR="00371ABD" w:rsidRPr="002439C8">
        <w:rPr>
          <w:lang w:eastAsia="en-AU"/>
        </w:rPr>
        <w:t xml:space="preserve"> I am not persuaded </w:t>
      </w:r>
      <w:r w:rsidR="003614E7" w:rsidRPr="002439C8">
        <w:rPr>
          <w:lang w:eastAsia="en-AU"/>
        </w:rPr>
        <w:t xml:space="preserve">by the submissions for the SA defendant </w:t>
      </w:r>
      <w:r w:rsidR="00555E44" w:rsidRPr="002439C8">
        <w:rPr>
          <w:lang w:eastAsia="en-AU"/>
        </w:rPr>
        <w:t xml:space="preserve">that the approach of the Full Court in </w:t>
      </w:r>
      <w:r w:rsidR="00555E44" w:rsidRPr="002439C8">
        <w:rPr>
          <w:i/>
          <w:lang w:eastAsia="en-AU"/>
        </w:rPr>
        <w:t>Rodgers</w:t>
      </w:r>
      <w:r w:rsidR="00656FC3" w:rsidRPr="002439C8">
        <w:rPr>
          <w:lang w:eastAsia="en-AU"/>
        </w:rPr>
        <w:t xml:space="preserve"> </w:t>
      </w:r>
      <w:r w:rsidR="00A83F4F" w:rsidRPr="002439C8">
        <w:rPr>
          <w:lang w:eastAsia="en-AU"/>
        </w:rPr>
        <w:t xml:space="preserve">is </w:t>
      </w:r>
      <w:r w:rsidR="00555E44" w:rsidRPr="002439C8">
        <w:rPr>
          <w:lang w:eastAsia="en-AU"/>
        </w:rPr>
        <w:t xml:space="preserve">inconsistent with </w:t>
      </w:r>
      <w:r w:rsidR="00656FC3" w:rsidRPr="002439C8">
        <w:rPr>
          <w:lang w:eastAsia="en-AU"/>
        </w:rPr>
        <w:t xml:space="preserve">the later High Court </w:t>
      </w:r>
      <w:r w:rsidR="00555E44" w:rsidRPr="002439C8">
        <w:rPr>
          <w:lang w:eastAsia="en-AU"/>
        </w:rPr>
        <w:t>cases</w:t>
      </w:r>
      <w:r w:rsidR="002D25B4">
        <w:rPr>
          <w:lang w:eastAsia="en-AU"/>
        </w:rPr>
        <w:t xml:space="preserve">.  </w:t>
      </w:r>
      <w:r w:rsidR="00B2308F" w:rsidRPr="002439C8">
        <w:rPr>
          <w:lang w:eastAsia="en-AU"/>
        </w:rPr>
        <w:t xml:space="preserve">The inconsistency was said to relate to the premise upon which the analysis of the Full Court in </w:t>
      </w:r>
      <w:r w:rsidR="00B2308F" w:rsidRPr="002439C8">
        <w:rPr>
          <w:i/>
          <w:lang w:eastAsia="en-AU"/>
        </w:rPr>
        <w:t xml:space="preserve">Rodgers </w:t>
      </w:r>
      <w:r w:rsidR="00E1763E" w:rsidRPr="002439C8">
        <w:rPr>
          <w:lang w:eastAsia="en-AU"/>
        </w:rPr>
        <w:t>proceeded</w:t>
      </w:r>
      <w:r w:rsidR="00AB4085" w:rsidRPr="002439C8">
        <w:rPr>
          <w:lang w:eastAsia="en-AU"/>
        </w:rPr>
        <w:t xml:space="preserve"> which, it was argued</w:t>
      </w:r>
      <w:r w:rsidR="00AB4085" w:rsidRPr="000D127B">
        <w:rPr>
          <w:lang w:eastAsia="en-AU"/>
        </w:rPr>
        <w:t xml:space="preserve">, is no longer good law in light of </w:t>
      </w:r>
      <w:proofErr w:type="spellStart"/>
      <w:r w:rsidR="00AB4085" w:rsidRPr="000D127B">
        <w:rPr>
          <w:i/>
          <w:lang w:eastAsia="en-AU"/>
        </w:rPr>
        <w:t>Tolcher</w:t>
      </w:r>
      <w:proofErr w:type="spellEnd"/>
      <w:r w:rsidR="00AB4085" w:rsidRPr="000D127B">
        <w:rPr>
          <w:i/>
          <w:lang w:eastAsia="en-AU"/>
        </w:rPr>
        <w:t xml:space="preserve"> </w:t>
      </w:r>
      <w:r w:rsidR="00AB4085" w:rsidRPr="000D127B">
        <w:rPr>
          <w:lang w:eastAsia="en-AU"/>
        </w:rPr>
        <w:t>and</w:t>
      </w:r>
      <w:r w:rsidR="00AB4085" w:rsidRPr="000D127B">
        <w:rPr>
          <w:i/>
          <w:lang w:eastAsia="en-AU"/>
        </w:rPr>
        <w:t xml:space="preserve"> Grant Samuel</w:t>
      </w:r>
      <w:r w:rsidR="002D25B4">
        <w:rPr>
          <w:lang w:eastAsia="en-AU"/>
        </w:rPr>
        <w:t xml:space="preserve">.  </w:t>
      </w:r>
      <w:r w:rsidR="00AB4085" w:rsidRPr="000D127B">
        <w:rPr>
          <w:lang w:eastAsia="en-AU"/>
        </w:rPr>
        <w:t xml:space="preserve">That premise was said to be that s </w:t>
      </w:r>
      <w:proofErr w:type="gramStart"/>
      <w:r w:rsidR="00AB4085" w:rsidRPr="000D127B">
        <w:rPr>
          <w:lang w:eastAsia="en-AU"/>
        </w:rPr>
        <w:t>588FF(</w:t>
      </w:r>
      <w:proofErr w:type="gramEnd"/>
      <w:r w:rsidR="00AB4085" w:rsidRPr="000D127B">
        <w:rPr>
          <w:lang w:eastAsia="en-AU"/>
        </w:rPr>
        <w:t>3) operated to preclude the commencement of an action for relief under s 588FF(1) if the action was not commenced within the time period prescribed by s 588FF(3) whereas</w:t>
      </w:r>
      <w:r w:rsidR="00E60B55" w:rsidRPr="000D127B">
        <w:rPr>
          <w:lang w:eastAsia="en-AU"/>
        </w:rPr>
        <w:t>, the argument went,</w:t>
      </w:r>
      <w:r w:rsidR="00AB4085" w:rsidRPr="000D127B">
        <w:rPr>
          <w:lang w:eastAsia="en-AU"/>
        </w:rPr>
        <w:t xml:space="preserve"> </w:t>
      </w:r>
      <w:proofErr w:type="spellStart"/>
      <w:r w:rsidR="00AB4085" w:rsidRPr="000D127B">
        <w:rPr>
          <w:i/>
          <w:lang w:eastAsia="en-AU"/>
        </w:rPr>
        <w:t>Tolcher</w:t>
      </w:r>
      <w:proofErr w:type="spellEnd"/>
      <w:r w:rsidR="00AB4085" w:rsidRPr="000D127B">
        <w:rPr>
          <w:i/>
          <w:lang w:eastAsia="en-AU"/>
        </w:rPr>
        <w:t xml:space="preserve"> </w:t>
      </w:r>
      <w:r w:rsidR="00AB4085" w:rsidRPr="000D127B">
        <w:rPr>
          <w:lang w:eastAsia="en-AU"/>
        </w:rPr>
        <w:t>and</w:t>
      </w:r>
      <w:r w:rsidR="00AB4085" w:rsidRPr="000D127B">
        <w:rPr>
          <w:i/>
          <w:lang w:eastAsia="en-AU"/>
        </w:rPr>
        <w:t xml:space="preserve"> Grant Samuel</w:t>
      </w:r>
      <w:r w:rsidR="00AB4085" w:rsidRPr="000D127B">
        <w:rPr>
          <w:lang w:eastAsia="en-AU"/>
        </w:rPr>
        <w:t xml:space="preserve"> have since established that the commencement of an action within time is an element of the right to relief under s 588FF(1)</w:t>
      </w:r>
      <w:r w:rsidR="002D25B4">
        <w:rPr>
          <w:lang w:eastAsia="en-AU"/>
        </w:rPr>
        <w:t xml:space="preserve">.  </w:t>
      </w:r>
      <w:r w:rsidR="00AB4085" w:rsidRPr="000D127B">
        <w:rPr>
          <w:lang w:eastAsia="en-AU"/>
        </w:rPr>
        <w:t xml:space="preserve">Reference was also made to </w:t>
      </w:r>
      <w:proofErr w:type="spellStart"/>
      <w:r w:rsidR="00AB4085" w:rsidRPr="000D127B">
        <w:rPr>
          <w:i/>
          <w:lang w:eastAsia="en-AU"/>
        </w:rPr>
        <w:t>A</w:t>
      </w:r>
      <w:r w:rsidR="002851B1" w:rsidRPr="000D127B">
        <w:rPr>
          <w:i/>
          <w:lang w:eastAsia="en-AU"/>
        </w:rPr>
        <w:t>g</w:t>
      </w:r>
      <w:r w:rsidR="00AB4085" w:rsidRPr="000D127B">
        <w:rPr>
          <w:i/>
          <w:lang w:eastAsia="en-AU"/>
        </w:rPr>
        <w:t>track</w:t>
      </w:r>
      <w:proofErr w:type="spellEnd"/>
      <w:r w:rsidR="00AB4085" w:rsidRPr="000D127B">
        <w:rPr>
          <w:i/>
          <w:lang w:eastAsia="en-AU"/>
        </w:rPr>
        <w:t xml:space="preserve"> (NT) Pty Ltd v Hatf</w:t>
      </w:r>
      <w:r w:rsidR="002851B1" w:rsidRPr="000D127B">
        <w:rPr>
          <w:i/>
          <w:lang w:eastAsia="en-AU"/>
        </w:rPr>
        <w:t>ield</w:t>
      </w:r>
      <w:r w:rsidR="00AB4085" w:rsidRPr="000D127B">
        <w:rPr>
          <w:i/>
          <w:lang w:eastAsia="en-AU"/>
        </w:rPr>
        <w:t xml:space="preserve"> </w:t>
      </w:r>
      <w:r w:rsidR="00AB4085" w:rsidRPr="000D127B">
        <w:rPr>
          <w:lang w:eastAsia="en-AU"/>
        </w:rPr>
        <w:t>[2005] 223 CLR 251</w:t>
      </w:r>
      <w:r w:rsidR="002851B1" w:rsidRPr="000D127B">
        <w:rPr>
          <w:lang w:eastAsia="en-AU"/>
        </w:rPr>
        <w:t xml:space="preserve"> (“</w:t>
      </w:r>
      <w:proofErr w:type="spellStart"/>
      <w:r w:rsidR="002851B1" w:rsidRPr="00E9769D">
        <w:rPr>
          <w:b/>
          <w:i/>
          <w:lang w:eastAsia="en-AU"/>
        </w:rPr>
        <w:t>Agtrack</w:t>
      </w:r>
      <w:proofErr w:type="spellEnd"/>
      <w:r w:rsidR="002851B1" w:rsidRPr="000D127B">
        <w:rPr>
          <w:lang w:eastAsia="en-AU"/>
        </w:rPr>
        <w:t>”)</w:t>
      </w:r>
      <w:r w:rsidR="002D25B4">
        <w:rPr>
          <w:lang w:eastAsia="en-AU"/>
        </w:rPr>
        <w:t xml:space="preserve">.  </w:t>
      </w:r>
      <w:r w:rsidR="00AB4085" w:rsidRPr="000D127B">
        <w:rPr>
          <w:lang w:eastAsia="en-AU"/>
        </w:rPr>
        <w:t xml:space="preserve">In that case an action had been brought within the limitation period pleading negligence and breach of contract in respect of an aircraft accident but did not plead a right to claim damages under the </w:t>
      </w:r>
      <w:r w:rsidR="00AB4085" w:rsidRPr="000D127B">
        <w:rPr>
          <w:i/>
          <w:lang w:eastAsia="en-AU"/>
        </w:rPr>
        <w:t xml:space="preserve">Civil Aviation (Carriers’ Liability) Act 1959 </w:t>
      </w:r>
      <w:r w:rsidR="00AB4085" w:rsidRPr="000D127B">
        <w:rPr>
          <w:lang w:eastAsia="en-AU"/>
        </w:rPr>
        <w:t>(Cth)</w:t>
      </w:r>
      <w:r w:rsidR="001B3070" w:rsidRPr="000D127B">
        <w:rPr>
          <w:lang w:eastAsia="en-AU"/>
        </w:rPr>
        <w:t xml:space="preserve"> (“</w:t>
      </w:r>
      <w:r w:rsidR="001B3070" w:rsidRPr="000D127B">
        <w:rPr>
          <w:b/>
          <w:lang w:eastAsia="en-AU"/>
        </w:rPr>
        <w:t>the</w:t>
      </w:r>
      <w:r w:rsidR="001B3070" w:rsidRPr="000D127B">
        <w:rPr>
          <w:lang w:eastAsia="en-AU"/>
        </w:rPr>
        <w:t xml:space="preserve"> </w:t>
      </w:r>
      <w:r w:rsidR="001B3070" w:rsidRPr="000D127B">
        <w:rPr>
          <w:b/>
          <w:i/>
          <w:lang w:eastAsia="en-AU"/>
        </w:rPr>
        <w:t>Civil Aviation Act</w:t>
      </w:r>
      <w:r w:rsidR="001B3070" w:rsidRPr="000D127B">
        <w:rPr>
          <w:i/>
          <w:lang w:eastAsia="en-AU"/>
        </w:rPr>
        <w:t>”</w:t>
      </w:r>
      <w:r w:rsidR="001B3070" w:rsidRPr="000D127B">
        <w:rPr>
          <w:lang w:eastAsia="en-AU"/>
        </w:rPr>
        <w:t>)</w:t>
      </w:r>
      <w:r w:rsidR="002D25B4">
        <w:rPr>
          <w:lang w:eastAsia="en-AU"/>
        </w:rPr>
        <w:t xml:space="preserve">.  </w:t>
      </w:r>
      <w:r w:rsidR="00AB4085" w:rsidRPr="000D127B">
        <w:rPr>
          <w:lang w:eastAsia="en-AU"/>
        </w:rPr>
        <w:t xml:space="preserve">Section 34 of the </w:t>
      </w:r>
      <w:r w:rsidR="001B3070" w:rsidRPr="000D127B">
        <w:rPr>
          <w:i/>
          <w:lang w:eastAsia="en-AU"/>
        </w:rPr>
        <w:t xml:space="preserve">Civil Aviation Act </w:t>
      </w:r>
      <w:r w:rsidR="00AB4085" w:rsidRPr="000D127B">
        <w:rPr>
          <w:lang w:eastAsia="en-AU"/>
        </w:rPr>
        <w:t xml:space="preserve">provided that the right </w:t>
      </w:r>
      <w:r w:rsidR="001B3070" w:rsidRPr="000D127B">
        <w:rPr>
          <w:lang w:eastAsia="en-AU"/>
        </w:rPr>
        <w:t>of a person to damages under that</w:t>
      </w:r>
      <w:r w:rsidR="00AB4085" w:rsidRPr="000D127B">
        <w:rPr>
          <w:lang w:eastAsia="en-AU"/>
        </w:rPr>
        <w:t xml:space="preserve"> Act was extinguished </w:t>
      </w:r>
      <w:r w:rsidR="00BB74FA" w:rsidRPr="000D127B">
        <w:rPr>
          <w:lang w:eastAsia="en-AU"/>
        </w:rPr>
        <w:t xml:space="preserve">if </w:t>
      </w:r>
      <w:r w:rsidR="00AB4085" w:rsidRPr="000D127B">
        <w:rPr>
          <w:lang w:eastAsia="en-AU"/>
        </w:rPr>
        <w:t>an action was not brought within a prescribed time</w:t>
      </w:r>
      <w:r w:rsidR="002D25B4">
        <w:rPr>
          <w:lang w:eastAsia="en-AU"/>
        </w:rPr>
        <w:t xml:space="preserve">.  </w:t>
      </w:r>
      <w:r w:rsidR="00AB4085" w:rsidRPr="000D127B">
        <w:rPr>
          <w:lang w:eastAsia="en-AU"/>
        </w:rPr>
        <w:t xml:space="preserve">After that time limit had expired, the plaintiff applied to amend the statement of claim to add a damages claim under the </w:t>
      </w:r>
      <w:r w:rsidR="001B3070" w:rsidRPr="000D127B">
        <w:rPr>
          <w:i/>
          <w:lang w:eastAsia="en-AU"/>
        </w:rPr>
        <w:t>Civil Aviation Act</w:t>
      </w:r>
      <w:r w:rsidR="002D25B4">
        <w:rPr>
          <w:lang w:eastAsia="en-AU"/>
        </w:rPr>
        <w:t xml:space="preserve">.  </w:t>
      </w:r>
      <w:r w:rsidR="00AB4085" w:rsidRPr="000D127B">
        <w:rPr>
          <w:lang w:eastAsia="en-AU"/>
        </w:rPr>
        <w:t xml:space="preserve">The High Court held that s 34 of the </w:t>
      </w:r>
      <w:r w:rsidR="001B3070" w:rsidRPr="000D127B">
        <w:rPr>
          <w:i/>
          <w:lang w:eastAsia="en-AU"/>
        </w:rPr>
        <w:t xml:space="preserve">Civil Aviation Act </w:t>
      </w:r>
      <w:r w:rsidR="00AB4085" w:rsidRPr="000D127B">
        <w:rPr>
          <w:lang w:eastAsia="en-AU"/>
        </w:rPr>
        <w:t>imposed “a condition which is the essence of the right to damages rather than providing no more than a bar to the enforcement of an existing right”</w:t>
      </w:r>
      <w:r w:rsidR="002D25B4">
        <w:rPr>
          <w:lang w:eastAsia="en-AU"/>
        </w:rPr>
        <w:t xml:space="preserve">.  </w:t>
      </w:r>
      <w:r w:rsidR="00AB4085" w:rsidRPr="000D127B">
        <w:rPr>
          <w:lang w:eastAsia="en-AU"/>
        </w:rPr>
        <w:t xml:space="preserve">Thus, it was argued, </w:t>
      </w:r>
      <w:r w:rsidR="000A4959" w:rsidRPr="000D127B">
        <w:rPr>
          <w:lang w:eastAsia="en-AU"/>
        </w:rPr>
        <w:t xml:space="preserve">unless the applications for relief in the present cases as originally instituted constituted applications for relief under s </w:t>
      </w:r>
      <w:proofErr w:type="gramStart"/>
      <w:r w:rsidR="000A4959" w:rsidRPr="000D127B">
        <w:rPr>
          <w:lang w:eastAsia="en-AU"/>
        </w:rPr>
        <w:t>588FF(</w:t>
      </w:r>
      <w:proofErr w:type="gramEnd"/>
      <w:r w:rsidR="000A4959" w:rsidRPr="000D127B">
        <w:rPr>
          <w:lang w:eastAsia="en-AU"/>
        </w:rPr>
        <w:t xml:space="preserve">1) in respect of the additional transactions sought to be impugned, the liquidators had no right of action under s 588FF(1) in respect of those additional </w:t>
      </w:r>
      <w:r w:rsidR="009E4AC4" w:rsidRPr="000D127B">
        <w:rPr>
          <w:lang w:eastAsia="en-AU"/>
        </w:rPr>
        <w:t>transactions and the Court had</w:t>
      </w:r>
      <w:r w:rsidR="000A4959" w:rsidRPr="000D127B">
        <w:rPr>
          <w:lang w:eastAsia="en-AU"/>
        </w:rPr>
        <w:t xml:space="preserve"> no power or jurisdiction to grant relief in respect of those additional transactions under s 588FF(1)</w:t>
      </w:r>
      <w:r w:rsidR="002D25B4">
        <w:rPr>
          <w:lang w:eastAsia="en-AU"/>
        </w:rPr>
        <w:t xml:space="preserve">.  </w:t>
      </w:r>
      <w:r w:rsidR="000A4959" w:rsidRPr="000D127B">
        <w:rPr>
          <w:lang w:eastAsia="en-AU"/>
        </w:rPr>
        <w:t xml:space="preserve">This argument was said not to have been addressed in </w:t>
      </w:r>
      <w:r w:rsidR="000A4959" w:rsidRPr="000D127B">
        <w:rPr>
          <w:i/>
          <w:lang w:eastAsia="en-AU"/>
        </w:rPr>
        <w:t>Sydney Recycling</w:t>
      </w:r>
      <w:r w:rsidR="002D25B4">
        <w:rPr>
          <w:i/>
          <w:lang w:eastAsia="en-AU"/>
        </w:rPr>
        <w:t xml:space="preserve">.  </w:t>
      </w:r>
      <w:r w:rsidR="00DF096B" w:rsidRPr="000D127B">
        <w:rPr>
          <w:lang w:eastAsia="en-AU"/>
        </w:rPr>
        <w:t>There are two responses</w:t>
      </w:r>
      <w:r w:rsidR="002D25B4">
        <w:rPr>
          <w:lang w:eastAsia="en-AU"/>
        </w:rPr>
        <w:t xml:space="preserve">.  </w:t>
      </w:r>
      <w:r w:rsidR="00DF096B" w:rsidRPr="000D127B">
        <w:rPr>
          <w:lang w:eastAsia="en-AU"/>
        </w:rPr>
        <w:t xml:space="preserve">First, it is clear, in my view, that the Full Court in </w:t>
      </w:r>
      <w:r w:rsidR="00DF096B" w:rsidRPr="000D127B">
        <w:rPr>
          <w:i/>
          <w:lang w:eastAsia="en-AU"/>
        </w:rPr>
        <w:t>Rodgers</w:t>
      </w:r>
      <w:r w:rsidR="00DF096B" w:rsidRPr="000D127B">
        <w:rPr>
          <w:lang w:eastAsia="en-AU"/>
        </w:rPr>
        <w:t>, by its</w:t>
      </w:r>
      <w:r w:rsidR="00DF096B" w:rsidRPr="000D127B">
        <w:rPr>
          <w:i/>
          <w:lang w:eastAsia="en-AU"/>
        </w:rPr>
        <w:t xml:space="preserve"> </w:t>
      </w:r>
      <w:r w:rsidR="00DF096B" w:rsidRPr="000D127B">
        <w:rPr>
          <w:lang w:eastAsia="en-AU"/>
        </w:rPr>
        <w:t xml:space="preserve">reference to what </w:t>
      </w:r>
      <w:proofErr w:type="spellStart"/>
      <w:r w:rsidR="00DF096B" w:rsidRPr="000D127B">
        <w:rPr>
          <w:lang w:eastAsia="en-AU"/>
        </w:rPr>
        <w:t>Gummow</w:t>
      </w:r>
      <w:proofErr w:type="spellEnd"/>
      <w:r w:rsidR="00DF096B" w:rsidRPr="000D127B">
        <w:rPr>
          <w:lang w:eastAsia="en-AU"/>
        </w:rPr>
        <w:t xml:space="preserve"> J said in </w:t>
      </w:r>
      <w:r w:rsidR="00DF096B" w:rsidRPr="000D127B">
        <w:rPr>
          <w:i/>
          <w:lang w:eastAsia="en-AU"/>
        </w:rPr>
        <w:t xml:space="preserve">David Grant &amp; Co Pty Ltd v Westpac Banking Corporation </w:t>
      </w:r>
      <w:r w:rsidR="00DF096B" w:rsidRPr="000D127B">
        <w:rPr>
          <w:lang w:eastAsia="en-AU"/>
        </w:rPr>
        <w:t>(198</w:t>
      </w:r>
      <w:r w:rsidR="00957666">
        <w:rPr>
          <w:lang w:eastAsia="en-AU"/>
        </w:rPr>
        <w:t>5) 184 CLR 265 with regard to s </w:t>
      </w:r>
      <w:proofErr w:type="gramStart"/>
      <w:r w:rsidR="00DF096B" w:rsidRPr="000D127B">
        <w:rPr>
          <w:lang w:eastAsia="en-AU"/>
        </w:rPr>
        <w:t>459G(</w:t>
      </w:r>
      <w:proofErr w:type="gramEnd"/>
      <w:r w:rsidR="00DF096B" w:rsidRPr="000D127B">
        <w:rPr>
          <w:lang w:eastAsia="en-AU"/>
        </w:rPr>
        <w:t>2) of the Act, was cognisant that s 588FF(3) imposes a jurisdictional precondition for an action for relief under s 588FF(1)</w:t>
      </w:r>
      <w:r w:rsidR="002D25B4">
        <w:rPr>
          <w:lang w:eastAsia="en-AU"/>
        </w:rPr>
        <w:t xml:space="preserve">.  </w:t>
      </w:r>
      <w:r w:rsidR="00DF096B" w:rsidRPr="000D127B">
        <w:rPr>
          <w:lang w:eastAsia="en-AU"/>
        </w:rPr>
        <w:t xml:space="preserve">Secondly, </w:t>
      </w:r>
      <w:r w:rsidR="00AB23D7" w:rsidRPr="000D127B">
        <w:rPr>
          <w:lang w:eastAsia="en-AU"/>
        </w:rPr>
        <w:t xml:space="preserve">the difficulty with </w:t>
      </w:r>
      <w:r w:rsidR="00B01773" w:rsidRPr="000D127B">
        <w:rPr>
          <w:lang w:eastAsia="en-AU"/>
        </w:rPr>
        <w:t xml:space="preserve">the </w:t>
      </w:r>
      <w:r w:rsidR="009E4AC4" w:rsidRPr="000D127B">
        <w:rPr>
          <w:lang w:eastAsia="en-AU"/>
        </w:rPr>
        <w:t xml:space="preserve">argument </w:t>
      </w:r>
      <w:r w:rsidR="00AB23D7" w:rsidRPr="000D127B">
        <w:rPr>
          <w:lang w:eastAsia="en-AU"/>
        </w:rPr>
        <w:t xml:space="preserve">is that it </w:t>
      </w:r>
      <w:r w:rsidR="00AB23D7" w:rsidRPr="000D127B">
        <w:rPr>
          <w:lang w:eastAsia="en-AU"/>
        </w:rPr>
        <w:lastRenderedPageBreak/>
        <w:t xml:space="preserve">must </w:t>
      </w:r>
      <w:r w:rsidR="00B01773" w:rsidRPr="000D127B">
        <w:rPr>
          <w:lang w:eastAsia="en-AU"/>
        </w:rPr>
        <w:t>depend</w:t>
      </w:r>
      <w:r w:rsidR="000A4959" w:rsidRPr="000D127B">
        <w:rPr>
          <w:lang w:eastAsia="en-AU"/>
        </w:rPr>
        <w:t xml:space="preserve"> on a </w:t>
      </w:r>
      <w:r w:rsidR="00DF096B" w:rsidRPr="000D127B">
        <w:rPr>
          <w:lang w:eastAsia="en-AU"/>
        </w:rPr>
        <w:t xml:space="preserve">different </w:t>
      </w:r>
      <w:r w:rsidR="000A4959" w:rsidRPr="000D127B">
        <w:rPr>
          <w:lang w:eastAsia="en-AU"/>
        </w:rPr>
        <w:t xml:space="preserve">construction of s </w:t>
      </w:r>
      <w:proofErr w:type="gramStart"/>
      <w:r w:rsidR="000A4959" w:rsidRPr="000D127B">
        <w:rPr>
          <w:lang w:eastAsia="en-AU"/>
        </w:rPr>
        <w:t>588FF(</w:t>
      </w:r>
      <w:proofErr w:type="gramEnd"/>
      <w:r w:rsidR="000A4959" w:rsidRPr="000D127B">
        <w:rPr>
          <w:lang w:eastAsia="en-AU"/>
        </w:rPr>
        <w:t>1)</w:t>
      </w:r>
      <w:r w:rsidR="00DF096B" w:rsidRPr="000D127B">
        <w:rPr>
          <w:lang w:eastAsia="en-AU"/>
        </w:rPr>
        <w:t>, namely</w:t>
      </w:r>
      <w:r w:rsidR="000A4959" w:rsidRPr="000D127B">
        <w:rPr>
          <w:lang w:eastAsia="en-AU"/>
        </w:rPr>
        <w:t xml:space="preserve"> </w:t>
      </w:r>
      <w:r w:rsidR="00DF096B" w:rsidRPr="000D127B">
        <w:rPr>
          <w:lang w:eastAsia="en-AU"/>
        </w:rPr>
        <w:t xml:space="preserve">that </w:t>
      </w:r>
      <w:r w:rsidR="00313C70" w:rsidRPr="000D127B">
        <w:rPr>
          <w:lang w:eastAsia="en-AU"/>
        </w:rPr>
        <w:t xml:space="preserve">the </w:t>
      </w:r>
      <w:r w:rsidR="00DF096B" w:rsidRPr="000D127B">
        <w:rPr>
          <w:lang w:eastAsia="en-AU"/>
        </w:rPr>
        <w:t xml:space="preserve">section </w:t>
      </w:r>
      <w:r w:rsidR="00313C70" w:rsidRPr="000D127B">
        <w:rPr>
          <w:lang w:eastAsia="en-AU"/>
        </w:rPr>
        <w:t>requires</w:t>
      </w:r>
      <w:r w:rsidR="000A4959" w:rsidRPr="000D127B">
        <w:rPr>
          <w:lang w:eastAsia="en-AU"/>
        </w:rPr>
        <w:t xml:space="preserve"> the commencement of an application for relief under s 588FF(1) within the prescribed time limitation in respect of each transaction </w:t>
      </w:r>
      <w:r w:rsidR="007E2D45" w:rsidRPr="000D127B">
        <w:rPr>
          <w:lang w:eastAsia="en-AU"/>
        </w:rPr>
        <w:t xml:space="preserve">for </w:t>
      </w:r>
      <w:r w:rsidR="000A4959" w:rsidRPr="000D127B">
        <w:rPr>
          <w:lang w:eastAsia="en-AU"/>
        </w:rPr>
        <w:t>which relief is sought under s 588FF(1)</w:t>
      </w:r>
      <w:r w:rsidR="002D25B4">
        <w:rPr>
          <w:lang w:eastAsia="en-AU"/>
        </w:rPr>
        <w:t xml:space="preserve">.  </w:t>
      </w:r>
      <w:r w:rsidR="007E2D45" w:rsidRPr="000D127B">
        <w:rPr>
          <w:lang w:eastAsia="en-AU"/>
        </w:rPr>
        <w:t xml:space="preserve">In </w:t>
      </w:r>
      <w:r w:rsidR="007E2D45" w:rsidRPr="000D127B">
        <w:rPr>
          <w:i/>
          <w:lang w:eastAsia="en-AU"/>
        </w:rPr>
        <w:t xml:space="preserve">Sydney Recycling </w:t>
      </w:r>
      <w:r w:rsidR="007E2D45" w:rsidRPr="000D127B">
        <w:rPr>
          <w:lang w:eastAsia="en-AU"/>
        </w:rPr>
        <w:t xml:space="preserve">the Court of Appeal rejected </w:t>
      </w:r>
      <w:r w:rsidR="009E4AC4" w:rsidRPr="000D127B">
        <w:rPr>
          <w:lang w:eastAsia="en-AU"/>
        </w:rPr>
        <w:t xml:space="preserve">such a </w:t>
      </w:r>
      <w:r w:rsidR="007E2D45" w:rsidRPr="000D127B">
        <w:rPr>
          <w:lang w:eastAsia="en-AU"/>
        </w:rPr>
        <w:t>construction of s 588FF.</w:t>
      </w:r>
    </w:p>
    <w:p w:rsidR="007E2D45" w:rsidRPr="000D127B" w:rsidRDefault="007E2D45" w:rsidP="00017B82">
      <w:pPr>
        <w:pStyle w:val="ParaNumbering"/>
        <w:numPr>
          <w:ilvl w:val="0"/>
          <w:numId w:val="30"/>
        </w:numPr>
        <w:rPr>
          <w:lang w:eastAsia="en-AU"/>
        </w:rPr>
      </w:pPr>
      <w:r w:rsidRPr="000D127B">
        <w:rPr>
          <w:lang w:eastAsia="en-AU"/>
        </w:rPr>
        <w:t xml:space="preserve">In </w:t>
      </w:r>
      <w:r w:rsidRPr="000D127B">
        <w:rPr>
          <w:i/>
          <w:lang w:eastAsia="en-AU"/>
        </w:rPr>
        <w:t>Sydney Recycling</w:t>
      </w:r>
      <w:r w:rsidRPr="000D127B">
        <w:rPr>
          <w:lang w:eastAsia="en-AU"/>
        </w:rPr>
        <w:t xml:space="preserve">, the appellant argued on the language of s </w:t>
      </w:r>
      <w:proofErr w:type="gramStart"/>
      <w:r w:rsidRPr="000D127B">
        <w:rPr>
          <w:lang w:eastAsia="en-AU"/>
        </w:rPr>
        <w:t>588FF(</w:t>
      </w:r>
      <w:proofErr w:type="gramEnd"/>
      <w:r w:rsidRPr="000D127B">
        <w:rPr>
          <w:lang w:eastAsia="en-AU"/>
        </w:rPr>
        <w:t xml:space="preserve">1) that s 588FF(1) concerned an “application” </w:t>
      </w:r>
      <w:r w:rsidRPr="000D127B">
        <w:t>in relation to a particular “transaction” with the characteristics specified in s 588FE</w:t>
      </w:r>
      <w:r w:rsidR="002D25B4">
        <w:t xml:space="preserve">.  </w:t>
      </w:r>
      <w:r w:rsidRPr="000D127B">
        <w:rPr>
          <w:lang w:eastAsia="en-AU"/>
        </w:rPr>
        <w:t>At [72] Bathurst CJ and Payne JA accepted that t</w:t>
      </w:r>
      <w:r w:rsidRPr="000D127B">
        <w:t xml:space="preserve">he appellant’s constructional argument was open and had “real force” but their Honours considered that the text of s </w:t>
      </w:r>
      <w:proofErr w:type="gramStart"/>
      <w:r w:rsidRPr="000D127B">
        <w:t>588FF(</w:t>
      </w:r>
      <w:proofErr w:type="gramEnd"/>
      <w:r w:rsidRPr="000D127B">
        <w:t>1) was also open to the construction that the section was only concerned with the time limit within which to make an “application”, and that the “application” referred to in s 588FF(1) was to be understood as the application, including the application as subsequently amended</w:t>
      </w:r>
      <w:r w:rsidR="002D25B4">
        <w:t xml:space="preserve">.  </w:t>
      </w:r>
      <w:r w:rsidRPr="000D127B">
        <w:t>At [74]</w:t>
      </w:r>
      <w:r w:rsidR="00957666">
        <w:t>–</w:t>
      </w:r>
      <w:r w:rsidRPr="000D127B">
        <w:t>[78], their Honours reasoned as follows:</w:t>
      </w:r>
    </w:p>
    <w:p w:rsidR="007E2D45" w:rsidRPr="000D127B" w:rsidRDefault="007E2D45" w:rsidP="007E2D45">
      <w:pPr>
        <w:pStyle w:val="Quote1"/>
        <w:ind w:left="1440" w:hanging="703"/>
        <w:rPr>
          <w:lang w:eastAsia="en-AU"/>
        </w:rPr>
      </w:pPr>
      <w:r w:rsidRPr="000D127B">
        <w:rPr>
          <w:lang w:eastAsia="en-AU"/>
        </w:rPr>
        <w:t>74.</w:t>
      </w:r>
      <w:r w:rsidRPr="000D127B">
        <w:rPr>
          <w:lang w:eastAsia="en-AU"/>
        </w:rPr>
        <w:tab/>
        <w:t>The text of s 588FF(3), however, is also open to the interpretation that the section is concerned and only concerned with the time limit to make an application, the form of which application is left to the relevant law of the jurisdiction where the proceeding is commenced</w:t>
      </w:r>
      <w:r w:rsidR="002D25B4">
        <w:rPr>
          <w:lang w:eastAsia="en-AU"/>
        </w:rPr>
        <w:t xml:space="preserve">.  </w:t>
      </w:r>
      <w:r w:rsidRPr="000D127B">
        <w:rPr>
          <w:lang w:eastAsia="en-AU"/>
        </w:rPr>
        <w:t xml:space="preserve">Section </w:t>
      </w:r>
      <w:proofErr w:type="gramStart"/>
      <w:r w:rsidRPr="000D127B">
        <w:rPr>
          <w:lang w:eastAsia="en-AU"/>
        </w:rPr>
        <w:t>588FF(</w:t>
      </w:r>
      <w:proofErr w:type="gramEnd"/>
      <w:r w:rsidRPr="000D127B">
        <w:rPr>
          <w:lang w:eastAsia="en-AU"/>
        </w:rPr>
        <w:t>1) is open to the construction that the “application” referred to in sub-s (1) is to be understood as the application, including the application as subsequently amended.</w:t>
      </w:r>
    </w:p>
    <w:p w:rsidR="007E2D45" w:rsidRPr="000D127B" w:rsidRDefault="007E2D45" w:rsidP="007E2D45">
      <w:pPr>
        <w:pStyle w:val="Quote1"/>
        <w:ind w:left="1440" w:hanging="703"/>
        <w:rPr>
          <w:lang w:eastAsia="en-AU"/>
        </w:rPr>
      </w:pPr>
      <w:r w:rsidRPr="000D127B">
        <w:rPr>
          <w:lang w:eastAsia="en-AU"/>
        </w:rPr>
        <w:t>75.</w:t>
      </w:r>
      <w:r w:rsidRPr="000D127B">
        <w:rPr>
          <w:lang w:eastAsia="en-AU"/>
        </w:rPr>
        <w:tab/>
        <w:t xml:space="preserve">Support for this constructional choice is provided by the fact that the </w:t>
      </w:r>
      <w:r w:rsidRPr="000D127B">
        <w:rPr>
          <w:i/>
          <w:iCs/>
          <w:lang w:eastAsia="en-AU"/>
        </w:rPr>
        <w:t>Corporations Act</w:t>
      </w:r>
      <w:r w:rsidRPr="000D127B">
        <w:rPr>
          <w:lang w:eastAsia="en-AU"/>
        </w:rPr>
        <w:t xml:space="preserve"> leaves the form of the “application” required or permitted under that Act to the rules of the State or Territory where the proceeding is commenced.</w:t>
      </w:r>
    </w:p>
    <w:p w:rsidR="007E2D45" w:rsidRPr="000D127B" w:rsidRDefault="007E2D45" w:rsidP="007E2D45">
      <w:pPr>
        <w:pStyle w:val="Quote1"/>
        <w:ind w:left="1440" w:hanging="703"/>
        <w:rPr>
          <w:lang w:eastAsia="en-AU"/>
        </w:rPr>
      </w:pPr>
      <w:r w:rsidRPr="000D127B">
        <w:rPr>
          <w:lang w:eastAsia="en-AU"/>
        </w:rPr>
        <w:t>76.</w:t>
      </w:r>
      <w:r w:rsidRPr="000D127B">
        <w:rPr>
          <w:lang w:eastAsia="en-AU"/>
        </w:rPr>
        <w:tab/>
        <w:t xml:space="preserve">The relevant requirements for an “application” under sub-ss </w:t>
      </w:r>
      <w:proofErr w:type="gramStart"/>
      <w:r w:rsidRPr="000D127B">
        <w:rPr>
          <w:lang w:eastAsia="en-AU"/>
        </w:rPr>
        <w:t>588FF(</w:t>
      </w:r>
      <w:proofErr w:type="gramEnd"/>
      <w:r w:rsidRPr="000D127B">
        <w:rPr>
          <w:lang w:eastAsia="en-AU"/>
        </w:rPr>
        <w:t xml:space="preserve">1) and 588FF(3) of the </w:t>
      </w:r>
      <w:r w:rsidRPr="000D127B">
        <w:rPr>
          <w:i/>
          <w:iCs/>
          <w:lang w:eastAsia="en-AU"/>
        </w:rPr>
        <w:t xml:space="preserve">Corporations Act </w:t>
      </w:r>
      <w:r w:rsidRPr="000D127B">
        <w:rPr>
          <w:lang w:eastAsia="en-AU"/>
        </w:rPr>
        <w:t>in the present case</w:t>
      </w:r>
      <w:r w:rsidRPr="000D127B">
        <w:rPr>
          <w:i/>
          <w:iCs/>
          <w:lang w:eastAsia="en-AU"/>
        </w:rPr>
        <w:t xml:space="preserve"> </w:t>
      </w:r>
      <w:r w:rsidRPr="000D127B">
        <w:rPr>
          <w:lang w:eastAsia="en-AU"/>
        </w:rPr>
        <w:t>are those contained in an originating process under the Supreme Court (Corporations) Rules</w:t>
      </w:r>
      <w:r w:rsidR="002D25B4">
        <w:rPr>
          <w:i/>
          <w:iCs/>
          <w:lang w:eastAsia="en-AU"/>
        </w:rPr>
        <w:t xml:space="preserve">.  </w:t>
      </w:r>
      <w:r w:rsidRPr="000D127B">
        <w:rPr>
          <w:lang w:eastAsia="en-AU"/>
        </w:rPr>
        <w:t xml:space="preserve">The only requirements of an originating process under those Rules are the identification of the </w:t>
      </w:r>
      <w:proofErr w:type="gramStart"/>
      <w:r w:rsidRPr="000D127B">
        <w:rPr>
          <w:lang w:eastAsia="en-AU"/>
        </w:rPr>
        <w:t>parties,</w:t>
      </w:r>
      <w:proofErr w:type="gramEnd"/>
      <w:r w:rsidRPr="000D127B">
        <w:rPr>
          <w:lang w:eastAsia="en-AU"/>
        </w:rPr>
        <w:t xml:space="preserve"> the section of the </w:t>
      </w:r>
      <w:r w:rsidRPr="000D127B">
        <w:rPr>
          <w:i/>
          <w:iCs/>
          <w:lang w:eastAsia="en-AU"/>
        </w:rPr>
        <w:t>Corporations Act</w:t>
      </w:r>
      <w:r w:rsidRPr="000D127B">
        <w:rPr>
          <w:lang w:eastAsia="en-AU"/>
        </w:rPr>
        <w:t xml:space="preserve"> relied upon, the relief sought and, at least at some level of generality, identification of the claims made by the plaintiff, which are in turn based on facts stated in a supporting affidavit “if appropriate”.</w:t>
      </w:r>
    </w:p>
    <w:p w:rsidR="007E2D45" w:rsidRPr="000D127B" w:rsidRDefault="007E2D45" w:rsidP="007E2D45">
      <w:pPr>
        <w:pStyle w:val="Quote1"/>
        <w:ind w:left="1440" w:hanging="703"/>
        <w:rPr>
          <w:lang w:eastAsia="en-AU"/>
        </w:rPr>
      </w:pPr>
      <w:r w:rsidRPr="000D127B">
        <w:rPr>
          <w:lang w:eastAsia="en-AU"/>
        </w:rPr>
        <w:t>77.</w:t>
      </w:r>
      <w:r w:rsidRPr="000D127B">
        <w:rPr>
          <w:lang w:eastAsia="en-AU"/>
        </w:rPr>
        <w:tab/>
        <w:t xml:space="preserve">The appellant’s construction of s 588FF(1) requires an “application” under the section to contain particular content, in circumstances where an “application” is not otherwise defined in the </w:t>
      </w:r>
      <w:r w:rsidRPr="000D127B">
        <w:rPr>
          <w:i/>
          <w:iCs/>
          <w:lang w:eastAsia="en-AU"/>
        </w:rPr>
        <w:t>Corporations Act</w:t>
      </w:r>
      <w:r w:rsidRPr="000D127B">
        <w:rPr>
          <w:lang w:eastAsia="en-AU"/>
        </w:rPr>
        <w:t xml:space="preserve"> and the form and content of an originating process is otherwise left to rules of court and State and Territory legislation.</w:t>
      </w:r>
    </w:p>
    <w:p w:rsidR="007E2D45" w:rsidRPr="000D127B" w:rsidRDefault="007E2D45" w:rsidP="007E2D45">
      <w:pPr>
        <w:pStyle w:val="Quote1"/>
        <w:ind w:left="1440" w:hanging="703"/>
        <w:rPr>
          <w:lang w:eastAsia="en-AU"/>
        </w:rPr>
      </w:pPr>
      <w:r w:rsidRPr="000D127B">
        <w:rPr>
          <w:lang w:eastAsia="en-AU"/>
        </w:rPr>
        <w:t>78.</w:t>
      </w:r>
      <w:r w:rsidRPr="000D127B">
        <w:rPr>
          <w:lang w:eastAsia="en-AU"/>
        </w:rPr>
        <w:tab/>
        <w:t xml:space="preserve">Section </w:t>
      </w:r>
      <w:proofErr w:type="gramStart"/>
      <w:r w:rsidRPr="000D127B">
        <w:rPr>
          <w:lang w:eastAsia="en-AU"/>
        </w:rPr>
        <w:t>588FF(</w:t>
      </w:r>
      <w:proofErr w:type="gramEnd"/>
      <w:r w:rsidRPr="000D127B">
        <w:rPr>
          <w:lang w:eastAsia="en-AU"/>
        </w:rPr>
        <w:t>1) does not deal with the form of the application at all</w:t>
      </w:r>
      <w:r w:rsidR="002D25B4">
        <w:rPr>
          <w:lang w:eastAsia="en-AU"/>
        </w:rPr>
        <w:t xml:space="preserve">.  </w:t>
      </w:r>
      <w:r w:rsidRPr="000D127B">
        <w:rPr>
          <w:lang w:eastAsia="en-AU"/>
        </w:rPr>
        <w:t>This is left to the rules of court which set out the relevant requirements</w:t>
      </w:r>
      <w:r w:rsidR="002D25B4">
        <w:rPr>
          <w:lang w:eastAsia="en-AU"/>
        </w:rPr>
        <w:t xml:space="preserve">.  </w:t>
      </w:r>
      <w:r w:rsidRPr="000D127B">
        <w:rPr>
          <w:lang w:eastAsia="en-AU"/>
        </w:rPr>
        <w:t xml:space="preserve">These requirements, to which we have referred in [76] above, are sufficient to identify the fact that the application is one brought under s </w:t>
      </w:r>
      <w:proofErr w:type="gramStart"/>
      <w:r w:rsidRPr="000D127B">
        <w:rPr>
          <w:lang w:eastAsia="en-AU"/>
        </w:rPr>
        <w:t>588FF(</w:t>
      </w:r>
      <w:proofErr w:type="gramEnd"/>
      <w:r w:rsidRPr="000D127B">
        <w:rPr>
          <w:lang w:eastAsia="en-AU"/>
        </w:rPr>
        <w:t>1), the nature of the claim and the relief sought</w:t>
      </w:r>
      <w:r w:rsidR="002D25B4">
        <w:rPr>
          <w:lang w:eastAsia="en-AU"/>
        </w:rPr>
        <w:t xml:space="preserve">.  </w:t>
      </w:r>
      <w:r w:rsidRPr="000D127B">
        <w:rPr>
          <w:lang w:eastAsia="en-AU"/>
        </w:rPr>
        <w:t xml:space="preserve">There is nothing in s </w:t>
      </w:r>
      <w:proofErr w:type="gramStart"/>
      <w:r w:rsidRPr="000D127B">
        <w:rPr>
          <w:lang w:eastAsia="en-AU"/>
        </w:rPr>
        <w:t>588FF(</w:t>
      </w:r>
      <w:proofErr w:type="gramEnd"/>
      <w:r w:rsidRPr="000D127B">
        <w:rPr>
          <w:lang w:eastAsia="en-AU"/>
        </w:rPr>
        <w:t xml:space="preserve">1) or any other section of the </w:t>
      </w:r>
      <w:r w:rsidRPr="000D127B">
        <w:rPr>
          <w:i/>
          <w:iCs/>
          <w:lang w:eastAsia="en-AU"/>
        </w:rPr>
        <w:t xml:space="preserve">Corporations Act </w:t>
      </w:r>
      <w:r w:rsidRPr="000D127B">
        <w:rPr>
          <w:lang w:eastAsia="en-AU"/>
        </w:rPr>
        <w:t xml:space="preserve">which otherwise provides so as to prevent those rules being picked up by s 79 of the </w:t>
      </w:r>
      <w:r w:rsidRPr="000D127B">
        <w:rPr>
          <w:i/>
          <w:iCs/>
          <w:lang w:eastAsia="en-AU"/>
        </w:rPr>
        <w:t>Judiciary Act…</w:t>
      </w:r>
    </w:p>
    <w:p w:rsidR="007E2D45" w:rsidRPr="000D127B" w:rsidRDefault="007E2D45" w:rsidP="00017B82">
      <w:pPr>
        <w:pStyle w:val="ParaNumbering"/>
        <w:numPr>
          <w:ilvl w:val="0"/>
          <w:numId w:val="30"/>
        </w:numPr>
        <w:rPr>
          <w:lang w:eastAsia="en-AU"/>
        </w:rPr>
      </w:pPr>
      <w:r w:rsidRPr="000D127B">
        <w:rPr>
          <w:lang w:eastAsia="en-AU"/>
        </w:rPr>
        <w:lastRenderedPageBreak/>
        <w:t>Beazley P also rejected the appellant’s construction, stating that there was nothing in the text of s 588FF that required that the “</w:t>
      </w:r>
      <w:r w:rsidRPr="00E9769D">
        <w:rPr>
          <w:iCs/>
          <w:lang w:eastAsia="en-AU"/>
        </w:rPr>
        <w:t>application</w:t>
      </w:r>
      <w:r w:rsidRPr="000D127B">
        <w:rPr>
          <w:lang w:eastAsia="en-AU"/>
        </w:rPr>
        <w:t xml:space="preserve">” on which the </w:t>
      </w:r>
      <w:r w:rsidR="007B669B" w:rsidRPr="000D127B">
        <w:rPr>
          <w:lang w:eastAsia="en-AU"/>
        </w:rPr>
        <w:t>C</w:t>
      </w:r>
      <w:r w:rsidRPr="000D127B">
        <w:rPr>
          <w:lang w:eastAsia="en-AU"/>
        </w:rPr>
        <w:t>ourt’s power to make orders was conditioned to relate to an individual transaction</w:t>
      </w:r>
      <w:r w:rsidR="002D25B4">
        <w:rPr>
          <w:lang w:eastAsia="en-AU"/>
        </w:rPr>
        <w:t xml:space="preserve">.  </w:t>
      </w:r>
      <w:r w:rsidRPr="000D127B">
        <w:rPr>
          <w:lang w:eastAsia="en-AU"/>
        </w:rPr>
        <w:t>Her Honour stated that the references in  s 588FF(1)(a)</w:t>
      </w:r>
      <w:r w:rsidR="00957666">
        <w:t>–</w:t>
      </w:r>
      <w:r w:rsidRPr="000D127B">
        <w:rPr>
          <w:lang w:eastAsia="en-AU"/>
        </w:rPr>
        <w:t>(h) to “</w:t>
      </w:r>
      <w:r w:rsidRPr="00E9769D">
        <w:rPr>
          <w:iCs/>
          <w:lang w:eastAsia="en-AU"/>
        </w:rPr>
        <w:t>the transaction</w:t>
      </w:r>
      <w:r w:rsidRPr="000D127B">
        <w:rPr>
          <w:lang w:eastAsia="en-AU"/>
        </w:rPr>
        <w:t>”, and to “</w:t>
      </w:r>
      <w:r w:rsidRPr="00E9769D">
        <w:rPr>
          <w:iCs/>
          <w:lang w:eastAsia="en-AU"/>
        </w:rPr>
        <w:t>a transaction</w:t>
      </w:r>
      <w:r w:rsidRPr="000D127B">
        <w:rPr>
          <w:lang w:eastAsia="en-AU"/>
        </w:rPr>
        <w:t>” and “</w:t>
      </w:r>
      <w:r w:rsidRPr="00E9769D">
        <w:rPr>
          <w:iCs/>
          <w:lang w:eastAsia="en-AU"/>
        </w:rPr>
        <w:t>the transaction</w:t>
      </w:r>
      <w:r w:rsidRPr="000D127B">
        <w:rPr>
          <w:lang w:eastAsia="en-AU"/>
        </w:rPr>
        <w:t xml:space="preserve">” in </w:t>
      </w:r>
      <w:r w:rsidR="00A1344D">
        <w:rPr>
          <w:lang w:eastAsia="en-AU"/>
        </w:rPr>
        <w:t>ss </w:t>
      </w:r>
      <w:r w:rsidRPr="000D127B">
        <w:rPr>
          <w:lang w:eastAsia="en-AU"/>
        </w:rPr>
        <w:t>588FA</w:t>
      </w:r>
      <w:r w:rsidR="00957666">
        <w:t>–</w:t>
      </w:r>
      <w:r w:rsidRPr="000D127B">
        <w:rPr>
          <w:lang w:eastAsia="en-AU"/>
        </w:rPr>
        <w:t>588FDA</w:t>
      </w:r>
      <w:r w:rsidR="00571151" w:rsidRPr="000D127B">
        <w:rPr>
          <w:lang w:eastAsia="en-AU"/>
        </w:rPr>
        <w:t>,</w:t>
      </w:r>
      <w:r w:rsidRPr="000D127B">
        <w:rPr>
          <w:lang w:eastAsia="en-AU"/>
        </w:rPr>
        <w:t xml:space="preserve"> were directed to whether the Court is empowered to make orders in relation to that transaction, provided that all the pre-conditions to the making of an order are met</w:t>
      </w:r>
      <w:r w:rsidR="002D25B4">
        <w:rPr>
          <w:lang w:eastAsia="en-AU"/>
        </w:rPr>
        <w:t xml:space="preserve">.  </w:t>
      </w:r>
      <w:r w:rsidRPr="000D127B">
        <w:rPr>
          <w:lang w:eastAsia="en-AU"/>
        </w:rPr>
        <w:t xml:space="preserve">Her Honour also observed that both ss </w:t>
      </w:r>
      <w:proofErr w:type="gramStart"/>
      <w:r w:rsidRPr="000D127B">
        <w:rPr>
          <w:lang w:eastAsia="en-AU"/>
        </w:rPr>
        <w:t>588FH(</w:t>
      </w:r>
      <w:proofErr w:type="gramEnd"/>
      <w:r w:rsidRPr="000D127B">
        <w:rPr>
          <w:lang w:eastAsia="en-AU"/>
        </w:rPr>
        <w:t>3) and 588FI(2) employ the broader language “</w:t>
      </w:r>
      <w:r w:rsidRPr="00E9769D">
        <w:rPr>
          <w:iCs/>
          <w:lang w:eastAsia="en-AU"/>
        </w:rPr>
        <w:t>an application relating to the transaction</w:t>
      </w:r>
      <w:r w:rsidR="003925D3">
        <w:rPr>
          <w:lang w:eastAsia="en-AU"/>
        </w:rPr>
        <w:t>”</w:t>
      </w:r>
      <w:r w:rsidRPr="000D127B">
        <w:rPr>
          <w:lang w:eastAsia="en-AU"/>
        </w:rPr>
        <w:t>,</w:t>
      </w:r>
      <w:r w:rsidR="003925D3">
        <w:rPr>
          <w:lang w:eastAsia="en-AU"/>
        </w:rPr>
        <w:t xml:space="preserve"> </w:t>
      </w:r>
      <w:r w:rsidR="00F54DB1">
        <w:rPr>
          <w:lang w:eastAsia="en-AU"/>
        </w:rPr>
        <w:t xml:space="preserve">and </w:t>
      </w:r>
      <w:r w:rsidR="003925D3">
        <w:rPr>
          <w:lang w:eastAsia="en-AU"/>
        </w:rPr>
        <w:t>that</w:t>
      </w:r>
      <w:r w:rsidRPr="000D127B">
        <w:rPr>
          <w:lang w:eastAsia="en-AU"/>
        </w:rPr>
        <w:t xml:space="preserve"> the s 588E definition of the term “</w:t>
      </w:r>
      <w:r w:rsidRPr="00E9769D">
        <w:rPr>
          <w:iCs/>
          <w:lang w:eastAsia="en-AU"/>
        </w:rPr>
        <w:t>recovery proceeding</w:t>
      </w:r>
      <w:r w:rsidRPr="000D127B">
        <w:rPr>
          <w:lang w:eastAsia="en-AU"/>
        </w:rPr>
        <w:t>” includes “</w:t>
      </w:r>
      <w:r w:rsidRPr="00E9769D">
        <w:rPr>
          <w:iCs/>
          <w:lang w:eastAsia="en-AU"/>
        </w:rPr>
        <w:t>an application under section 588FF by the company’s liquidator</w:t>
      </w:r>
      <w:r w:rsidRPr="000D127B">
        <w:rPr>
          <w:lang w:eastAsia="en-AU"/>
        </w:rPr>
        <w:t>”</w:t>
      </w:r>
      <w:r w:rsidR="002D25B4">
        <w:rPr>
          <w:lang w:eastAsia="en-AU"/>
        </w:rPr>
        <w:t xml:space="preserve">.  </w:t>
      </w:r>
    </w:p>
    <w:p w:rsidR="007E2D45" w:rsidRPr="000D127B" w:rsidRDefault="007E2D45" w:rsidP="00017B82">
      <w:pPr>
        <w:pStyle w:val="ParaNumbering"/>
        <w:numPr>
          <w:ilvl w:val="0"/>
          <w:numId w:val="30"/>
        </w:numPr>
        <w:rPr>
          <w:lang w:eastAsia="en-AU"/>
        </w:rPr>
      </w:pPr>
      <w:r w:rsidRPr="000D127B">
        <w:rPr>
          <w:lang w:eastAsia="en-AU"/>
        </w:rPr>
        <w:t xml:space="preserve">Bathurst CJ and Payne JA also rejected the appellant’s argument in that case that the reasoning in </w:t>
      </w:r>
      <w:r w:rsidRPr="000D127B">
        <w:rPr>
          <w:i/>
          <w:lang w:eastAsia="en-AU"/>
        </w:rPr>
        <w:t xml:space="preserve">Fortress Credit </w:t>
      </w:r>
      <w:r w:rsidRPr="000D127B">
        <w:rPr>
          <w:lang w:eastAsia="en-AU"/>
        </w:rPr>
        <w:t xml:space="preserve">at [20] required that an “application” must particularise the “transaction” in respect of which it was made.  The High Court in </w:t>
      </w:r>
      <w:r w:rsidRPr="000D127B">
        <w:rPr>
          <w:i/>
        </w:rPr>
        <w:t xml:space="preserve">Fortress Credit </w:t>
      </w:r>
      <w:r w:rsidRPr="000D127B">
        <w:t xml:space="preserve">had </w:t>
      </w:r>
      <w:r w:rsidRPr="000D127B">
        <w:rPr>
          <w:lang w:eastAsia="en-AU"/>
        </w:rPr>
        <w:t>stated at [20]</w:t>
      </w:r>
      <w:r w:rsidR="00957666">
        <w:t>–</w:t>
      </w:r>
      <w:r w:rsidRPr="000D127B">
        <w:rPr>
          <w:lang w:eastAsia="en-AU"/>
        </w:rPr>
        <w:t>[21]</w:t>
      </w:r>
      <w:r w:rsidRPr="000D127B">
        <w:t>:</w:t>
      </w:r>
    </w:p>
    <w:p w:rsidR="007E2D45" w:rsidRPr="000D127B" w:rsidRDefault="007E2D45" w:rsidP="007E2D45">
      <w:pPr>
        <w:pStyle w:val="Quote1"/>
        <w:ind w:left="1440" w:hanging="703"/>
        <w:rPr>
          <w:lang w:eastAsia="en-AU"/>
        </w:rPr>
      </w:pPr>
      <w:r w:rsidRPr="000D127B">
        <w:rPr>
          <w:lang w:eastAsia="en-AU"/>
        </w:rPr>
        <w:t>20.</w:t>
      </w:r>
      <w:r w:rsidRPr="000D127B">
        <w:rPr>
          <w:lang w:eastAsia="en-AU"/>
        </w:rPr>
        <w:tab/>
        <w:t xml:space="preserve">Section </w:t>
      </w:r>
      <w:proofErr w:type="gramStart"/>
      <w:r w:rsidRPr="000D127B">
        <w:rPr>
          <w:lang w:eastAsia="en-AU"/>
        </w:rPr>
        <w:t>588FF(</w:t>
      </w:r>
      <w:proofErr w:type="gramEnd"/>
      <w:r w:rsidRPr="000D127B">
        <w:rPr>
          <w:lang w:eastAsia="en-AU"/>
        </w:rPr>
        <w:t>1) empowers the court to make the orders for which it provides on the condition that:</w:t>
      </w:r>
    </w:p>
    <w:p w:rsidR="007E2D45" w:rsidRPr="000D127B" w:rsidRDefault="007E2D45" w:rsidP="007E2D45">
      <w:pPr>
        <w:pStyle w:val="Quote1"/>
        <w:ind w:left="2160"/>
        <w:rPr>
          <w:lang w:eastAsia="en-AU"/>
        </w:rPr>
      </w:pPr>
      <w:r w:rsidRPr="000D127B">
        <w:rPr>
          <w:lang w:eastAsia="en-AU"/>
        </w:rPr>
        <w:t>"</w:t>
      </w:r>
      <w:proofErr w:type="gramStart"/>
      <w:r w:rsidRPr="000D127B">
        <w:rPr>
          <w:lang w:eastAsia="en-AU"/>
        </w:rPr>
        <w:t>on</w:t>
      </w:r>
      <w:proofErr w:type="gramEnd"/>
      <w:r w:rsidRPr="000D127B">
        <w:rPr>
          <w:lang w:eastAsia="en-AU"/>
        </w:rPr>
        <w:t xml:space="preserve"> the application of a company's liquidator, [the] court is satisfied that a transaction of the company is voidable because of section 588FE".</w:t>
      </w:r>
    </w:p>
    <w:p w:rsidR="007E2D45" w:rsidRPr="000D127B" w:rsidRDefault="007E2D45" w:rsidP="007E2D45">
      <w:pPr>
        <w:pStyle w:val="Quote1"/>
        <w:ind w:left="1440"/>
        <w:rPr>
          <w:lang w:eastAsia="en-AU"/>
        </w:rPr>
      </w:pPr>
      <w:r w:rsidRPr="000D127B">
        <w:rPr>
          <w:lang w:eastAsia="en-AU"/>
        </w:rPr>
        <w:t>As the appellants submitted, an application under s 588FF(1) must seek orders for which that subsection provides, which concern a transaction alleged to be voidable under s 588FE between the company and one or more other parties</w:t>
      </w:r>
      <w:r w:rsidR="002D25B4">
        <w:rPr>
          <w:lang w:eastAsia="en-AU"/>
        </w:rPr>
        <w:t xml:space="preserve">.  </w:t>
      </w:r>
      <w:r w:rsidRPr="000D127B">
        <w:rPr>
          <w:lang w:eastAsia="en-AU"/>
        </w:rPr>
        <w:t>The transaction must be identified, in terms of conduct of the company</w:t>
      </w:r>
      <w:r w:rsidR="002D25B4">
        <w:rPr>
          <w:lang w:eastAsia="en-AU"/>
        </w:rPr>
        <w:t xml:space="preserve">.  </w:t>
      </w:r>
      <w:r w:rsidRPr="000D127B">
        <w:rPr>
          <w:lang w:eastAsia="en-AU"/>
        </w:rPr>
        <w:t>It must be</w:t>
      </w:r>
      <w:r w:rsidRPr="000D127B">
        <w:rPr>
          <w:b/>
          <w:bCs/>
          <w:lang w:eastAsia="en-AU"/>
        </w:rPr>
        <w:t xml:space="preserve"> </w:t>
      </w:r>
      <w:r w:rsidRPr="000D127B">
        <w:rPr>
          <w:lang w:eastAsia="en-AU"/>
        </w:rPr>
        <w:t>arguably capable of inclusion in one of the designated classes of transaction mentioned in s 588FE</w:t>
      </w:r>
      <w:proofErr w:type="gramStart"/>
      <w:r w:rsidRPr="000D127B">
        <w:rPr>
          <w:lang w:eastAsia="en-AU"/>
        </w:rPr>
        <w:t xml:space="preserve">. </w:t>
      </w:r>
      <w:proofErr w:type="gramEnd"/>
      <w:r w:rsidRPr="000D127B">
        <w:rPr>
          <w:lang w:eastAsia="en-AU"/>
        </w:rPr>
        <w:t>The specification of the time that it was done, or of an act done to give effect to it within a relevant period, would also be necessary to the contention that it was a voidable transaction</w:t>
      </w:r>
      <w:r w:rsidR="002D25B4">
        <w:rPr>
          <w:lang w:eastAsia="en-AU"/>
        </w:rPr>
        <w:t xml:space="preserve">.  </w:t>
      </w:r>
      <w:r w:rsidRPr="000D127B">
        <w:rPr>
          <w:lang w:eastAsia="en-AU"/>
        </w:rPr>
        <w:t>Parties to the transaction who would be affected by the orders sought would have to be identified and those parties named as respondents.</w:t>
      </w:r>
    </w:p>
    <w:p w:rsidR="007E2D45" w:rsidRPr="000D127B" w:rsidRDefault="007E2D45" w:rsidP="007E2D45">
      <w:pPr>
        <w:pStyle w:val="Quote1"/>
        <w:ind w:left="1440" w:hanging="703"/>
        <w:rPr>
          <w:lang w:eastAsia="en-AU"/>
        </w:rPr>
      </w:pPr>
      <w:r w:rsidRPr="000D127B">
        <w:rPr>
          <w:lang w:eastAsia="en-AU"/>
        </w:rPr>
        <w:t>21.</w:t>
      </w:r>
      <w:r w:rsidRPr="000D127B">
        <w:rPr>
          <w:lang w:eastAsia="en-AU"/>
        </w:rPr>
        <w:tab/>
        <w:t xml:space="preserve">The time limits prescribed by s </w:t>
      </w:r>
      <w:proofErr w:type="gramStart"/>
      <w:r w:rsidRPr="000D127B">
        <w:rPr>
          <w:lang w:eastAsia="en-AU"/>
        </w:rPr>
        <w:t>588FF(</w:t>
      </w:r>
      <w:proofErr w:type="gramEnd"/>
      <w:r w:rsidRPr="000D127B">
        <w:rPr>
          <w:lang w:eastAsia="en-AU"/>
        </w:rPr>
        <w:t>3) apply to "[a]n application under subsection (1)"</w:t>
      </w:r>
      <w:r w:rsidR="002D25B4">
        <w:rPr>
          <w:lang w:eastAsia="en-AU"/>
        </w:rPr>
        <w:t xml:space="preserve">.  </w:t>
      </w:r>
      <w:r w:rsidRPr="000D127B">
        <w:rPr>
          <w:lang w:eastAsia="en-AU"/>
        </w:rPr>
        <w:t xml:space="preserve">That term refers to the class of applications which can be made by liquidators under s </w:t>
      </w:r>
      <w:proofErr w:type="gramStart"/>
      <w:r w:rsidRPr="000D127B">
        <w:rPr>
          <w:lang w:eastAsia="en-AU"/>
        </w:rPr>
        <w:t>588FF(</w:t>
      </w:r>
      <w:proofErr w:type="gramEnd"/>
      <w:r w:rsidRPr="000D127B">
        <w:rPr>
          <w:lang w:eastAsia="en-AU"/>
        </w:rPr>
        <w:t>1) in relation to a transaction alleged to be voidable</w:t>
      </w:r>
      <w:r w:rsidR="002D25B4">
        <w:rPr>
          <w:lang w:eastAsia="en-AU"/>
        </w:rPr>
        <w:t xml:space="preserve">.  </w:t>
      </w:r>
      <w:r w:rsidRPr="000D127B">
        <w:rPr>
          <w:lang w:eastAsia="en-AU"/>
        </w:rPr>
        <w:t>The time limit in par (a) applies to all such applications, save for those the subject of an order under par (b)</w:t>
      </w:r>
      <w:r w:rsidR="002D25B4">
        <w:rPr>
          <w:lang w:eastAsia="en-AU"/>
        </w:rPr>
        <w:t xml:space="preserve">.  </w:t>
      </w:r>
      <w:r w:rsidRPr="000D127B">
        <w:rPr>
          <w:lang w:eastAsia="en-AU"/>
        </w:rPr>
        <w:t xml:space="preserve">The text of par (b), read with the opening words of s </w:t>
      </w:r>
      <w:proofErr w:type="gramStart"/>
      <w:r w:rsidRPr="000D127B">
        <w:rPr>
          <w:lang w:eastAsia="en-AU"/>
        </w:rPr>
        <w:t>588FF(</w:t>
      </w:r>
      <w:proofErr w:type="gramEnd"/>
      <w:r w:rsidRPr="000D127B">
        <w:rPr>
          <w:lang w:eastAsia="en-AU"/>
        </w:rPr>
        <w:t>3), leaves open the construction that the "longer period" may be ordered only for a prospective application relating to a particular transaction or transactions</w:t>
      </w:r>
      <w:r w:rsidR="002D25B4">
        <w:rPr>
          <w:lang w:eastAsia="en-AU"/>
        </w:rPr>
        <w:t xml:space="preserve">.  </w:t>
      </w:r>
      <w:r w:rsidRPr="000D127B">
        <w:rPr>
          <w:lang w:eastAsia="en-AU"/>
        </w:rPr>
        <w:t>The text also leaves open the construction that a "longer period" may be ordered for any application under subs (1)</w:t>
      </w:r>
      <w:r w:rsidR="002D25B4">
        <w:rPr>
          <w:lang w:eastAsia="en-AU"/>
        </w:rPr>
        <w:t xml:space="preserve">.  </w:t>
      </w:r>
      <w:r w:rsidRPr="000D127B">
        <w:rPr>
          <w:lang w:eastAsia="en-AU"/>
        </w:rPr>
        <w:t>The appellants accepted that it was a possible view of the provision that an order under s 588FF(3)(b) could extend generally the period otherwise fixed under s 588FF(3)(a)</w:t>
      </w:r>
      <w:proofErr w:type="gramStart"/>
      <w:r w:rsidRPr="000D127B">
        <w:rPr>
          <w:lang w:eastAsia="en-AU"/>
        </w:rPr>
        <w:t xml:space="preserve">. </w:t>
      </w:r>
      <w:proofErr w:type="gramEnd"/>
      <w:r w:rsidRPr="000D127B">
        <w:rPr>
          <w:lang w:eastAsia="en-AU"/>
        </w:rPr>
        <w:t>That was not, they submitted, the better view</w:t>
      </w:r>
      <w:r w:rsidR="002D25B4">
        <w:rPr>
          <w:lang w:eastAsia="en-AU"/>
        </w:rPr>
        <w:t xml:space="preserve">.  </w:t>
      </w:r>
      <w:proofErr w:type="gramStart"/>
      <w:r w:rsidRPr="000D127B">
        <w:rPr>
          <w:lang w:eastAsia="en-AU"/>
        </w:rPr>
        <w:t>The parties relied upon textual and contextual</w:t>
      </w:r>
      <w:r w:rsidRPr="000D127B">
        <w:rPr>
          <w:b/>
          <w:bCs/>
          <w:lang w:eastAsia="en-AU"/>
        </w:rPr>
        <w:t xml:space="preserve"> </w:t>
      </w:r>
      <w:r w:rsidRPr="000D127B">
        <w:rPr>
          <w:lang w:eastAsia="en-AU"/>
        </w:rPr>
        <w:t xml:space="preserve">indicators and purposive </w:t>
      </w:r>
      <w:r w:rsidRPr="000D127B">
        <w:rPr>
          <w:lang w:eastAsia="en-AU"/>
        </w:rPr>
        <w:lastRenderedPageBreak/>
        <w:t>and consequentialist arguments in support of their preferred constructions.</w:t>
      </w:r>
      <w:proofErr w:type="gramEnd"/>
    </w:p>
    <w:p w:rsidR="007E2D45" w:rsidRPr="000D127B" w:rsidRDefault="007E2D45" w:rsidP="00017B82">
      <w:pPr>
        <w:pStyle w:val="ParaNumbering"/>
        <w:numPr>
          <w:ilvl w:val="0"/>
          <w:numId w:val="30"/>
        </w:numPr>
        <w:rPr>
          <w:lang w:eastAsia="en-AU"/>
        </w:rPr>
      </w:pPr>
      <w:r w:rsidRPr="000D127B">
        <w:rPr>
          <w:lang w:eastAsia="en-AU"/>
        </w:rPr>
        <w:t>In rejecting the appellant’s submission on par</w:t>
      </w:r>
      <w:r w:rsidR="00F54752">
        <w:rPr>
          <w:lang w:eastAsia="en-AU"/>
        </w:rPr>
        <w:t>agraphs</w:t>
      </w:r>
      <w:r w:rsidRPr="000D127B">
        <w:rPr>
          <w:lang w:eastAsia="en-AU"/>
        </w:rPr>
        <w:t xml:space="preserve"> 20 and 21 of </w:t>
      </w:r>
      <w:r w:rsidRPr="000D127B">
        <w:rPr>
          <w:i/>
          <w:lang w:eastAsia="en-AU"/>
        </w:rPr>
        <w:t xml:space="preserve">Fortress Credit </w:t>
      </w:r>
      <w:r w:rsidRPr="000D127B">
        <w:rPr>
          <w:lang w:eastAsia="en-AU"/>
        </w:rPr>
        <w:t xml:space="preserve">Bathurst CJ and Payne JA stated </w:t>
      </w:r>
      <w:r w:rsidRPr="000D127B">
        <w:t>at [85]</w:t>
      </w:r>
      <w:r w:rsidR="00957666">
        <w:t>–</w:t>
      </w:r>
      <w:r w:rsidRPr="000D127B">
        <w:t>[86] as follows:</w:t>
      </w:r>
    </w:p>
    <w:p w:rsidR="007E2D45" w:rsidRPr="000D127B" w:rsidRDefault="007E2D45" w:rsidP="007E2D45">
      <w:pPr>
        <w:pStyle w:val="Quote1"/>
        <w:ind w:left="1437" w:hanging="700"/>
        <w:rPr>
          <w:rFonts w:eastAsia="Times New Roman"/>
          <w:szCs w:val="24"/>
          <w:lang w:eastAsia="en-AU"/>
        </w:rPr>
      </w:pPr>
      <w:r w:rsidRPr="000D127B">
        <w:rPr>
          <w:rFonts w:eastAsia="Times New Roman"/>
          <w:iCs/>
          <w:szCs w:val="24"/>
          <w:lang w:eastAsia="en-AU"/>
        </w:rPr>
        <w:t>85.</w:t>
      </w:r>
      <w:r w:rsidRPr="000D127B">
        <w:rPr>
          <w:rFonts w:eastAsia="Times New Roman"/>
          <w:iCs/>
          <w:szCs w:val="24"/>
          <w:lang w:eastAsia="en-AU"/>
        </w:rPr>
        <w:tab/>
      </w:r>
      <w:r w:rsidRPr="000D127B">
        <w:rPr>
          <w:rFonts w:eastAsia="Times New Roman"/>
          <w:i/>
          <w:iCs/>
          <w:szCs w:val="24"/>
          <w:lang w:eastAsia="en-AU"/>
        </w:rPr>
        <w:t>Fortress Credit</w:t>
      </w:r>
      <w:r w:rsidRPr="000D127B">
        <w:rPr>
          <w:rFonts w:eastAsia="Times New Roman"/>
          <w:szCs w:val="24"/>
          <w:lang w:eastAsia="en-AU"/>
        </w:rPr>
        <w:t xml:space="preserve"> at paragraph [20] addresses the proposition that “an application under s </w:t>
      </w:r>
      <w:proofErr w:type="gramStart"/>
      <w:r w:rsidRPr="000D127B">
        <w:rPr>
          <w:rFonts w:eastAsia="Times New Roman"/>
          <w:szCs w:val="24"/>
          <w:lang w:eastAsia="en-AU"/>
        </w:rPr>
        <w:t>588FF(</w:t>
      </w:r>
      <w:proofErr w:type="gramEnd"/>
      <w:r w:rsidRPr="000D127B">
        <w:rPr>
          <w:rFonts w:eastAsia="Times New Roman"/>
          <w:szCs w:val="24"/>
          <w:lang w:eastAsia="en-AU"/>
        </w:rPr>
        <w:t>1) must seek orders for which that subsection provides”</w:t>
      </w:r>
      <w:r w:rsidR="002D25B4">
        <w:rPr>
          <w:rFonts w:eastAsia="Times New Roman"/>
          <w:szCs w:val="24"/>
          <w:lang w:eastAsia="en-AU"/>
        </w:rPr>
        <w:t xml:space="preserve">.  </w:t>
      </w:r>
      <w:r w:rsidRPr="000D127B">
        <w:rPr>
          <w:rFonts w:eastAsia="Times New Roman"/>
          <w:szCs w:val="24"/>
          <w:lang w:eastAsia="en-AU"/>
        </w:rPr>
        <w:t>The court then sets out the specific matters that must be addressed before a court could make an order under that section</w:t>
      </w:r>
      <w:r w:rsidR="002D25B4">
        <w:rPr>
          <w:rFonts w:eastAsia="Times New Roman"/>
          <w:szCs w:val="24"/>
          <w:lang w:eastAsia="en-AU"/>
        </w:rPr>
        <w:t xml:space="preserve">.  </w:t>
      </w:r>
      <w:r w:rsidRPr="000D127B">
        <w:rPr>
          <w:rFonts w:eastAsia="Times New Roman"/>
          <w:szCs w:val="24"/>
          <w:lang w:eastAsia="en-AU"/>
        </w:rPr>
        <w:t>The High Court was not addressing the point in time at which all necessary particulars needed to be provided to enliven the court’s jurisdiction to make “orders for which that subsection provides”, much less was it addressing whether once commenced an “application” could be amended.</w:t>
      </w:r>
    </w:p>
    <w:p w:rsidR="007E2D45" w:rsidRPr="000D127B" w:rsidRDefault="007E2D45" w:rsidP="007E2D45">
      <w:pPr>
        <w:pStyle w:val="Quote1"/>
        <w:ind w:left="1437" w:hanging="700"/>
        <w:rPr>
          <w:rFonts w:eastAsia="Times New Roman"/>
          <w:szCs w:val="24"/>
          <w:lang w:eastAsia="en-AU"/>
        </w:rPr>
      </w:pPr>
      <w:r w:rsidRPr="000D127B">
        <w:rPr>
          <w:rFonts w:eastAsia="Times New Roman"/>
          <w:szCs w:val="24"/>
          <w:lang w:eastAsia="en-AU"/>
        </w:rPr>
        <w:t>86.</w:t>
      </w:r>
      <w:r w:rsidRPr="000D127B">
        <w:rPr>
          <w:rFonts w:eastAsia="Times New Roman"/>
          <w:szCs w:val="24"/>
          <w:lang w:eastAsia="en-AU"/>
        </w:rPr>
        <w:tab/>
        <w:t xml:space="preserve">In paragraph [21] of </w:t>
      </w:r>
      <w:r w:rsidRPr="000D127B">
        <w:rPr>
          <w:rFonts w:eastAsia="Times New Roman"/>
          <w:i/>
          <w:iCs/>
          <w:szCs w:val="24"/>
          <w:lang w:eastAsia="en-AU"/>
        </w:rPr>
        <w:t>Fortress Credit</w:t>
      </w:r>
      <w:r w:rsidRPr="000D127B">
        <w:rPr>
          <w:rFonts w:eastAsia="Times New Roman"/>
          <w:szCs w:val="24"/>
          <w:lang w:eastAsia="en-AU"/>
        </w:rPr>
        <w:t xml:space="preserve"> the High Court addressed “</w:t>
      </w:r>
      <w:r w:rsidRPr="000D127B">
        <w:rPr>
          <w:rFonts w:eastAsia="Times New Roman"/>
          <w:i/>
          <w:iCs/>
          <w:szCs w:val="24"/>
          <w:lang w:eastAsia="en-AU"/>
        </w:rPr>
        <w:t>the class of applications which can be made by liquidators</w:t>
      </w:r>
      <w:r w:rsidRPr="000D127B">
        <w:rPr>
          <w:rFonts w:eastAsia="Times New Roman"/>
          <w:szCs w:val="24"/>
          <w:lang w:eastAsia="en-AU"/>
        </w:rPr>
        <w:t xml:space="preserve"> under s </w:t>
      </w:r>
      <w:proofErr w:type="gramStart"/>
      <w:r w:rsidRPr="000D127B">
        <w:rPr>
          <w:rFonts w:eastAsia="Times New Roman"/>
          <w:szCs w:val="24"/>
          <w:lang w:eastAsia="en-AU"/>
        </w:rPr>
        <w:t>588FF(</w:t>
      </w:r>
      <w:proofErr w:type="gramEnd"/>
      <w:r w:rsidRPr="000D127B">
        <w:rPr>
          <w:rFonts w:eastAsia="Times New Roman"/>
          <w:szCs w:val="24"/>
          <w:lang w:eastAsia="en-AU"/>
        </w:rPr>
        <w:t>1) in relation to a transaction alleged to be voidable”</w:t>
      </w:r>
      <w:r w:rsidR="002D25B4">
        <w:rPr>
          <w:rFonts w:eastAsia="Times New Roman"/>
          <w:szCs w:val="24"/>
          <w:lang w:eastAsia="en-AU"/>
        </w:rPr>
        <w:t xml:space="preserve">.  </w:t>
      </w:r>
      <w:r w:rsidRPr="000D127B">
        <w:rPr>
          <w:rFonts w:eastAsia="Times New Roman"/>
          <w:szCs w:val="24"/>
          <w:lang w:eastAsia="en-AU"/>
        </w:rPr>
        <w:t>This is a reference to an application by a company’s liquidators for the kind of orders that can be made pursuant to s 588FF</w:t>
      </w:r>
      <w:proofErr w:type="gramStart"/>
      <w:r w:rsidRPr="000D127B">
        <w:rPr>
          <w:rFonts w:eastAsia="Times New Roman"/>
          <w:szCs w:val="24"/>
          <w:lang w:eastAsia="en-AU"/>
        </w:rPr>
        <w:t>. It</w:t>
      </w:r>
      <w:proofErr w:type="gramEnd"/>
      <w:r w:rsidRPr="000D127B">
        <w:rPr>
          <w:rFonts w:eastAsia="Times New Roman"/>
          <w:szCs w:val="24"/>
          <w:lang w:eastAsia="en-AU"/>
        </w:rPr>
        <w:t xml:space="preserve"> is not in our view a prescription of the matters which must be contained in an originating process.</w:t>
      </w:r>
    </w:p>
    <w:p w:rsidR="007E2D45" w:rsidRPr="000D127B" w:rsidRDefault="007E2D45" w:rsidP="00017B82">
      <w:pPr>
        <w:pStyle w:val="ParaNumbering"/>
        <w:numPr>
          <w:ilvl w:val="0"/>
          <w:numId w:val="30"/>
        </w:numPr>
        <w:rPr>
          <w:lang w:eastAsia="en-AU"/>
        </w:rPr>
      </w:pPr>
      <w:r w:rsidRPr="000D127B">
        <w:rPr>
          <w:lang w:eastAsia="en-AU"/>
        </w:rPr>
        <w:t>Beazley P likewise rejected the appellant’s submission on par</w:t>
      </w:r>
      <w:r w:rsidR="009E2B1A" w:rsidRPr="000D127B">
        <w:rPr>
          <w:lang w:eastAsia="en-AU"/>
        </w:rPr>
        <w:t>agraphs</w:t>
      </w:r>
      <w:r w:rsidRPr="000D127B">
        <w:rPr>
          <w:lang w:eastAsia="en-AU"/>
        </w:rPr>
        <w:t xml:space="preserve"> 20 and 21 of </w:t>
      </w:r>
      <w:r w:rsidRPr="000D127B">
        <w:rPr>
          <w:i/>
          <w:lang w:eastAsia="en-AU"/>
        </w:rPr>
        <w:t>Fortress Credit</w:t>
      </w:r>
      <w:r w:rsidR="002D25B4">
        <w:rPr>
          <w:i/>
          <w:lang w:eastAsia="en-AU"/>
        </w:rPr>
        <w:t xml:space="preserve">.  </w:t>
      </w:r>
      <w:r w:rsidRPr="000D127B">
        <w:rPr>
          <w:lang w:eastAsia="en-AU"/>
        </w:rPr>
        <w:t>At [139]</w:t>
      </w:r>
      <w:r w:rsidR="00957666">
        <w:t>–</w:t>
      </w:r>
      <w:r w:rsidRPr="000D127B">
        <w:rPr>
          <w:lang w:eastAsia="en-AU"/>
        </w:rPr>
        <w:t>[142] the President stated:</w:t>
      </w:r>
      <w:r w:rsidR="009E2B1A" w:rsidRPr="000D127B">
        <w:rPr>
          <w:lang w:eastAsia="en-AU"/>
        </w:rPr>
        <w:t xml:space="preserve"> </w:t>
      </w:r>
    </w:p>
    <w:p w:rsidR="007E2D45" w:rsidRPr="000D127B" w:rsidRDefault="007E2D45" w:rsidP="007E2D45">
      <w:pPr>
        <w:pStyle w:val="Quote1"/>
        <w:ind w:left="1440" w:hanging="703"/>
        <w:rPr>
          <w:lang w:eastAsia="en-AU"/>
        </w:rPr>
      </w:pPr>
      <w:r w:rsidRPr="000D127B">
        <w:rPr>
          <w:lang w:eastAsia="en-AU"/>
        </w:rPr>
        <w:t>139</w:t>
      </w:r>
      <w:r w:rsidRPr="000D127B">
        <w:rPr>
          <w:lang w:eastAsia="en-AU"/>
        </w:rPr>
        <w:tab/>
        <w:t xml:space="preserve">I also disagree with the appellant’s reading of the reasons of the High Court in </w:t>
      </w:r>
      <w:r w:rsidRPr="000D127B">
        <w:rPr>
          <w:i/>
          <w:iCs/>
          <w:lang w:eastAsia="en-AU"/>
        </w:rPr>
        <w:t xml:space="preserve">Fortress Credit </w:t>
      </w:r>
      <w:r w:rsidRPr="000D127B">
        <w:rPr>
          <w:lang w:eastAsia="en-AU"/>
        </w:rPr>
        <w:t>at [20]</w:t>
      </w:r>
      <w:r w:rsidR="002D25B4">
        <w:rPr>
          <w:lang w:eastAsia="en-AU"/>
        </w:rPr>
        <w:t xml:space="preserve">.  </w:t>
      </w:r>
      <w:proofErr w:type="gramStart"/>
      <w:r w:rsidRPr="000D127B">
        <w:rPr>
          <w:lang w:eastAsia="en-AU"/>
        </w:rPr>
        <w:t>That passage is set out above at [83] in the reasons of the Chief Justice and Payne JA</w:t>
      </w:r>
      <w:r w:rsidR="002D25B4">
        <w:rPr>
          <w:lang w:eastAsia="en-AU"/>
        </w:rPr>
        <w:t>.</w:t>
      </w:r>
      <w:proofErr w:type="gramEnd"/>
      <w:r w:rsidR="002D25B4">
        <w:rPr>
          <w:lang w:eastAsia="en-AU"/>
        </w:rPr>
        <w:t xml:space="preserve">  </w:t>
      </w:r>
      <w:r w:rsidRPr="000D127B">
        <w:rPr>
          <w:lang w:eastAsia="en-AU"/>
        </w:rPr>
        <w:t xml:space="preserve">In the first sentence, the High Court sets out the first of the two conditions </w:t>
      </w:r>
      <w:r w:rsidR="00EE2B43" w:rsidRPr="000D127B">
        <w:rPr>
          <w:lang w:eastAsia="en-AU"/>
        </w:rPr>
        <w:t>to the making of an order under s </w:t>
      </w:r>
      <w:proofErr w:type="gramStart"/>
      <w:r w:rsidRPr="000D127B">
        <w:rPr>
          <w:lang w:eastAsia="en-AU"/>
        </w:rPr>
        <w:t>588FF(</w:t>
      </w:r>
      <w:proofErr w:type="gramEnd"/>
      <w:r w:rsidRPr="000D127B">
        <w:rPr>
          <w:lang w:eastAsia="en-AU"/>
        </w:rPr>
        <w:t xml:space="preserve">1), </w:t>
      </w:r>
      <w:proofErr w:type="spellStart"/>
      <w:r w:rsidRPr="000D127B">
        <w:rPr>
          <w:i/>
          <w:iCs/>
          <w:lang w:eastAsia="en-AU"/>
        </w:rPr>
        <w:t>viz</w:t>
      </w:r>
      <w:proofErr w:type="spellEnd"/>
      <w:r w:rsidRPr="000D127B">
        <w:rPr>
          <w:lang w:eastAsia="en-AU"/>
        </w:rPr>
        <w:t>, the relevant state of satisfaction on the application of a company’s liquidator</w:t>
      </w:r>
      <w:r w:rsidR="002D25B4">
        <w:rPr>
          <w:lang w:eastAsia="en-AU"/>
        </w:rPr>
        <w:t xml:space="preserve">.  </w:t>
      </w:r>
      <w:r w:rsidRPr="000D127B">
        <w:rPr>
          <w:lang w:eastAsia="en-AU"/>
        </w:rPr>
        <w:t>The words “</w:t>
      </w:r>
      <w:r w:rsidRPr="000D127B">
        <w:rPr>
          <w:i/>
          <w:iCs/>
          <w:lang w:eastAsia="en-AU"/>
        </w:rPr>
        <w:t>which concern a transaction alleged to be voidable</w:t>
      </w:r>
      <w:r w:rsidRPr="000D127B">
        <w:rPr>
          <w:lang w:eastAsia="en-AU"/>
        </w:rPr>
        <w:t>” in the second sentence are clearly a reference to the kinds of orders the court is empowered to make</w:t>
      </w:r>
      <w:r w:rsidR="002D25B4">
        <w:rPr>
          <w:lang w:eastAsia="en-AU"/>
        </w:rPr>
        <w:t xml:space="preserve">.  </w:t>
      </w:r>
      <w:r w:rsidRPr="000D127B">
        <w:rPr>
          <w:lang w:eastAsia="en-AU"/>
        </w:rPr>
        <w:t xml:space="preserve">The remainder of the paragraph contains observations of what will generally be required in order to obtain relief under </w:t>
      </w:r>
      <w:hyperlink r:id="rId17" w:history="1">
        <w:r w:rsidRPr="000D127B">
          <w:rPr>
            <w:lang w:eastAsia="en-AU"/>
          </w:rPr>
          <w:t>s 588FF.</w:t>
        </w:r>
      </w:hyperlink>
      <w:r w:rsidRPr="000D127B">
        <w:rPr>
          <w:lang w:eastAsia="en-AU"/>
        </w:rPr>
        <w:t xml:space="preserve"> For example, in the second last </w:t>
      </w:r>
      <w:proofErr w:type="gramStart"/>
      <w:r w:rsidRPr="000D127B">
        <w:rPr>
          <w:lang w:eastAsia="en-AU"/>
        </w:rPr>
        <w:t>sentence,</w:t>
      </w:r>
      <w:proofErr w:type="gramEnd"/>
      <w:r w:rsidRPr="000D127B">
        <w:rPr>
          <w:lang w:eastAsia="en-AU"/>
        </w:rPr>
        <w:t xml:space="preserve"> the High Court refers to what will be “</w:t>
      </w:r>
      <w:r w:rsidRPr="000D127B">
        <w:rPr>
          <w:i/>
          <w:iCs/>
          <w:lang w:eastAsia="en-AU"/>
        </w:rPr>
        <w:t>necessary</w:t>
      </w:r>
      <w:r w:rsidRPr="000D127B">
        <w:rPr>
          <w:lang w:eastAsia="en-AU"/>
        </w:rPr>
        <w:t>” to a contention that a transaction constitutes a “</w:t>
      </w:r>
      <w:r w:rsidRPr="000D127B">
        <w:rPr>
          <w:i/>
          <w:iCs/>
          <w:lang w:eastAsia="en-AU"/>
        </w:rPr>
        <w:t>voidable transaction</w:t>
      </w:r>
      <w:r w:rsidRPr="000D127B">
        <w:rPr>
          <w:lang w:eastAsia="en-AU"/>
        </w:rPr>
        <w:t>”.</w:t>
      </w:r>
    </w:p>
    <w:p w:rsidR="007E2D45" w:rsidRPr="000D127B" w:rsidRDefault="007E2D45" w:rsidP="007E2D45">
      <w:pPr>
        <w:pStyle w:val="Quote1"/>
        <w:ind w:left="1440" w:hanging="703"/>
        <w:rPr>
          <w:lang w:eastAsia="en-AU"/>
        </w:rPr>
      </w:pPr>
      <w:r w:rsidRPr="000D127B">
        <w:rPr>
          <w:lang w:eastAsia="en-AU"/>
        </w:rPr>
        <w:t>140</w:t>
      </w:r>
      <w:r w:rsidRPr="000D127B">
        <w:rPr>
          <w:lang w:eastAsia="en-AU"/>
        </w:rPr>
        <w:tab/>
        <w:t xml:space="preserve">It is also telling that the High Court in </w:t>
      </w:r>
      <w:r w:rsidRPr="000D127B">
        <w:rPr>
          <w:i/>
          <w:iCs/>
          <w:lang w:eastAsia="en-AU"/>
        </w:rPr>
        <w:t>Fortress Credit</w:t>
      </w:r>
      <w:r w:rsidRPr="000D127B">
        <w:rPr>
          <w:lang w:eastAsia="en-AU"/>
        </w:rPr>
        <w:t xml:space="preserve"> at [20] referred not to an application in relation to a particular transaction, but rather to an application seeking orders for which s 588FF(1) provides</w:t>
      </w:r>
      <w:r w:rsidR="002D25B4">
        <w:rPr>
          <w:lang w:eastAsia="en-AU"/>
        </w:rPr>
        <w:t xml:space="preserve">.  </w:t>
      </w:r>
      <w:r w:rsidRPr="000D127B">
        <w:rPr>
          <w:lang w:eastAsia="en-AU"/>
        </w:rPr>
        <w:t xml:space="preserve">This is further emphasised in </w:t>
      </w:r>
      <w:r w:rsidRPr="000D127B">
        <w:rPr>
          <w:i/>
          <w:iCs/>
          <w:lang w:eastAsia="en-AU"/>
        </w:rPr>
        <w:t xml:space="preserve">Fortress Credit </w:t>
      </w:r>
      <w:r w:rsidRPr="000D127B">
        <w:rPr>
          <w:lang w:eastAsia="en-AU"/>
        </w:rPr>
        <w:t>where the Court stated, at [21]:</w:t>
      </w:r>
    </w:p>
    <w:p w:rsidR="007E2D45" w:rsidRPr="000D127B" w:rsidRDefault="007E2D45" w:rsidP="007E2D45">
      <w:pPr>
        <w:pStyle w:val="Quote1"/>
        <w:ind w:left="2160"/>
        <w:rPr>
          <w:lang w:eastAsia="en-AU"/>
        </w:rPr>
      </w:pPr>
      <w:r w:rsidRPr="000D127B">
        <w:rPr>
          <w:lang w:eastAsia="en-AU"/>
        </w:rPr>
        <w:t xml:space="preserve">“The time limits prescribed by s </w:t>
      </w:r>
      <w:proofErr w:type="gramStart"/>
      <w:r w:rsidRPr="000D127B">
        <w:rPr>
          <w:lang w:eastAsia="en-AU"/>
        </w:rPr>
        <w:t>588FF(</w:t>
      </w:r>
      <w:proofErr w:type="gramEnd"/>
      <w:r w:rsidRPr="000D127B">
        <w:rPr>
          <w:lang w:eastAsia="en-AU"/>
        </w:rPr>
        <w:t>3) apply to ‘[a]n application under subsection (1)’</w:t>
      </w:r>
      <w:r w:rsidR="002D25B4">
        <w:rPr>
          <w:lang w:eastAsia="en-AU"/>
        </w:rPr>
        <w:t xml:space="preserve">.  </w:t>
      </w:r>
      <w:r w:rsidRPr="000D127B">
        <w:rPr>
          <w:b/>
          <w:bCs/>
          <w:lang w:eastAsia="en-AU"/>
        </w:rPr>
        <w:t xml:space="preserve">That term refers to the class of applications which can be made by liquidators under s </w:t>
      </w:r>
      <w:proofErr w:type="gramStart"/>
      <w:r w:rsidRPr="000D127B">
        <w:rPr>
          <w:b/>
          <w:bCs/>
          <w:lang w:eastAsia="en-AU"/>
        </w:rPr>
        <w:t>588FF(</w:t>
      </w:r>
      <w:proofErr w:type="gramEnd"/>
      <w:r w:rsidRPr="000D127B">
        <w:rPr>
          <w:b/>
          <w:bCs/>
          <w:lang w:eastAsia="en-AU"/>
        </w:rPr>
        <w:t>1) in relation to a transaction alleged to be voidable</w:t>
      </w:r>
      <w:r w:rsidR="002D25B4">
        <w:rPr>
          <w:lang w:eastAsia="en-AU"/>
        </w:rPr>
        <w:t xml:space="preserve">.  </w:t>
      </w:r>
      <w:r w:rsidRPr="000D127B">
        <w:rPr>
          <w:lang w:eastAsia="en-AU"/>
        </w:rPr>
        <w:t>The time limit in par (a) applies to all such applications, save for those the subject of an order under par (b).</w:t>
      </w:r>
      <w:proofErr w:type="gramStart"/>
      <w:r w:rsidRPr="000D127B">
        <w:rPr>
          <w:lang w:eastAsia="en-AU"/>
        </w:rPr>
        <w:t xml:space="preserve">” </w:t>
      </w:r>
      <w:proofErr w:type="gramEnd"/>
      <w:r w:rsidRPr="000D127B">
        <w:rPr>
          <w:lang w:eastAsia="en-AU"/>
        </w:rPr>
        <w:t>(</w:t>
      </w:r>
      <w:proofErr w:type="gramStart"/>
      <w:r w:rsidRPr="000D127B">
        <w:rPr>
          <w:lang w:eastAsia="en-AU"/>
        </w:rPr>
        <w:t>emphasis</w:t>
      </w:r>
      <w:proofErr w:type="gramEnd"/>
      <w:r w:rsidRPr="000D127B">
        <w:rPr>
          <w:lang w:eastAsia="en-AU"/>
        </w:rPr>
        <w:t xml:space="preserve"> added)</w:t>
      </w:r>
    </w:p>
    <w:p w:rsidR="007E2D45" w:rsidRPr="000D127B" w:rsidRDefault="007E2D45" w:rsidP="007E2D45">
      <w:pPr>
        <w:pStyle w:val="Quote1"/>
        <w:ind w:left="1440" w:hanging="703"/>
        <w:rPr>
          <w:lang w:eastAsia="en-AU"/>
        </w:rPr>
      </w:pPr>
      <w:r w:rsidRPr="000D127B">
        <w:rPr>
          <w:lang w:eastAsia="en-AU"/>
        </w:rPr>
        <w:t>141</w:t>
      </w:r>
      <w:r w:rsidRPr="000D127B">
        <w:rPr>
          <w:lang w:eastAsia="en-AU"/>
        </w:rPr>
        <w:tab/>
        <w:t>This approach accords with the statement in the Explanatory Memorandum to the Corporate Law Reform Bill 1992, which indicates that s 588FF(3) was intended to operate to confine the time period in which a liquidator can seek relief from the courts under s 588FF(1), as opposed to operating in relation to each individual transaction:</w:t>
      </w:r>
    </w:p>
    <w:p w:rsidR="007E2D45" w:rsidRPr="000D127B" w:rsidRDefault="007E2D45" w:rsidP="007E2D45">
      <w:pPr>
        <w:pStyle w:val="Quote1"/>
        <w:ind w:left="2160"/>
        <w:rPr>
          <w:lang w:eastAsia="en-AU"/>
        </w:rPr>
      </w:pPr>
      <w:r w:rsidRPr="000D127B">
        <w:rPr>
          <w:lang w:eastAsia="en-AU"/>
        </w:rPr>
        <w:lastRenderedPageBreak/>
        <w:t>“1058</w:t>
      </w:r>
      <w:r w:rsidR="002D25B4">
        <w:rPr>
          <w:lang w:eastAsia="en-AU"/>
        </w:rPr>
        <w:t xml:space="preserve">.  </w:t>
      </w:r>
      <w:r w:rsidRPr="000D127B">
        <w:rPr>
          <w:lang w:eastAsia="en-AU"/>
        </w:rPr>
        <w:t xml:space="preserve">Proposed subsection 588FF(3) provides that </w:t>
      </w:r>
      <w:r w:rsidRPr="000D127B">
        <w:rPr>
          <w:b/>
          <w:bCs/>
          <w:lang w:eastAsia="en-AU"/>
        </w:rPr>
        <w:t>an application may only be made for an order</w:t>
      </w:r>
      <w:r w:rsidRPr="000D127B">
        <w:rPr>
          <w:lang w:eastAsia="en-AU"/>
        </w:rPr>
        <w:t xml:space="preserve"> under proposed section 588FF(1) within three years after the relation-back day or within such longer period as the Court orders providing the application for extension is made within those three years.</w:t>
      </w:r>
      <w:proofErr w:type="gramStart"/>
      <w:r w:rsidRPr="000D127B">
        <w:rPr>
          <w:lang w:eastAsia="en-AU"/>
        </w:rPr>
        <w:t xml:space="preserve">” </w:t>
      </w:r>
      <w:proofErr w:type="gramEnd"/>
      <w:r w:rsidRPr="000D127B">
        <w:rPr>
          <w:lang w:eastAsia="en-AU"/>
        </w:rPr>
        <w:t>(</w:t>
      </w:r>
      <w:proofErr w:type="gramStart"/>
      <w:r w:rsidRPr="000D127B">
        <w:rPr>
          <w:lang w:eastAsia="en-AU"/>
        </w:rPr>
        <w:t>emphasis</w:t>
      </w:r>
      <w:proofErr w:type="gramEnd"/>
      <w:r w:rsidRPr="000D127B">
        <w:rPr>
          <w:lang w:eastAsia="en-AU"/>
        </w:rPr>
        <w:t xml:space="preserve"> added)</w:t>
      </w:r>
    </w:p>
    <w:p w:rsidR="007E2D45" w:rsidRPr="000D127B" w:rsidRDefault="007E2D45" w:rsidP="007E2D45">
      <w:pPr>
        <w:pStyle w:val="Quote1"/>
        <w:ind w:left="1440" w:hanging="703"/>
        <w:rPr>
          <w:lang w:eastAsia="en-AU"/>
        </w:rPr>
      </w:pPr>
      <w:r w:rsidRPr="000D127B">
        <w:rPr>
          <w:lang w:eastAsia="en-AU"/>
        </w:rPr>
        <w:t>142</w:t>
      </w:r>
      <w:r w:rsidRPr="000D127B">
        <w:rPr>
          <w:lang w:eastAsia="en-AU"/>
        </w:rPr>
        <w:tab/>
        <w:t xml:space="preserve">Section </w:t>
      </w:r>
      <w:proofErr w:type="gramStart"/>
      <w:r w:rsidRPr="000D127B">
        <w:rPr>
          <w:lang w:eastAsia="en-AU"/>
        </w:rPr>
        <w:t>588FF(</w:t>
      </w:r>
      <w:proofErr w:type="gramEnd"/>
      <w:r w:rsidRPr="000D127B">
        <w:rPr>
          <w:lang w:eastAsia="en-AU"/>
        </w:rPr>
        <w:t xml:space="preserve">3) was amended by the </w:t>
      </w:r>
      <w:r w:rsidRPr="000D127B">
        <w:rPr>
          <w:i/>
          <w:iCs/>
          <w:lang w:eastAsia="en-AU"/>
        </w:rPr>
        <w:t>Corporations Amendment (Insolvency) Act 2007</w:t>
      </w:r>
      <w:r w:rsidRPr="000D127B">
        <w:rPr>
          <w:lang w:eastAsia="en-AU"/>
        </w:rPr>
        <w:t xml:space="preserve"> (Cth) to introduce the alternative time limit in s 588FF(3)(a)(ii), </w:t>
      </w:r>
      <w:proofErr w:type="spellStart"/>
      <w:r w:rsidRPr="000D127B">
        <w:rPr>
          <w:i/>
          <w:iCs/>
          <w:lang w:eastAsia="en-AU"/>
        </w:rPr>
        <w:t>viz</w:t>
      </w:r>
      <w:proofErr w:type="spellEnd"/>
      <w:r w:rsidRPr="000D127B">
        <w:rPr>
          <w:lang w:eastAsia="en-AU"/>
        </w:rPr>
        <w:t>, of 12 months after the first appointment of a liquidator in relation to the winding up of the company</w:t>
      </w:r>
      <w:r w:rsidR="002D25B4">
        <w:rPr>
          <w:lang w:eastAsia="en-AU"/>
        </w:rPr>
        <w:t xml:space="preserve">.  </w:t>
      </w:r>
      <w:r w:rsidRPr="000D127B">
        <w:rPr>
          <w:lang w:eastAsia="en-AU"/>
        </w:rPr>
        <w:t xml:space="preserve">The Explanatory Memorandum to that amendment also described s </w:t>
      </w:r>
      <w:proofErr w:type="gramStart"/>
      <w:r w:rsidRPr="000D127B">
        <w:rPr>
          <w:lang w:eastAsia="en-AU"/>
        </w:rPr>
        <w:t>588FF(</w:t>
      </w:r>
      <w:proofErr w:type="gramEnd"/>
      <w:r w:rsidRPr="000D127B">
        <w:rPr>
          <w:lang w:eastAsia="en-AU"/>
        </w:rPr>
        <w:t>3) as concerned with the time period in which a liquidator must exercise their powers of challenge to alleged voidable transactions:</w:t>
      </w:r>
    </w:p>
    <w:p w:rsidR="007E2D45" w:rsidRPr="000D127B" w:rsidRDefault="007E2D45" w:rsidP="007E2D45">
      <w:pPr>
        <w:pStyle w:val="Quote1"/>
        <w:ind w:left="2143"/>
        <w:rPr>
          <w:lang w:eastAsia="en-AU"/>
        </w:rPr>
      </w:pPr>
      <w:r w:rsidRPr="000D127B">
        <w:rPr>
          <w:lang w:eastAsia="en-AU"/>
        </w:rPr>
        <w:t>“[7.204] A liquidator’s power to challenge voidable transactions must be exercised within three years after the relation-back day, or such further time as the court permits (subsection 588FF(3) of the Corporations Act).”</w:t>
      </w:r>
    </w:p>
    <w:p w:rsidR="009E4AC4" w:rsidRPr="000D127B" w:rsidRDefault="009E4AC4" w:rsidP="009E4AC4">
      <w:pPr>
        <w:pStyle w:val="Quote1"/>
        <w:rPr>
          <w:lang w:eastAsia="en-AU"/>
        </w:rPr>
      </w:pPr>
      <w:r w:rsidRPr="000D127B">
        <w:rPr>
          <w:lang w:eastAsia="en-AU"/>
        </w:rPr>
        <w:t>(</w:t>
      </w:r>
      <w:proofErr w:type="gramStart"/>
      <w:r w:rsidRPr="000D127B">
        <w:rPr>
          <w:lang w:eastAsia="en-AU"/>
        </w:rPr>
        <w:t>emphasis</w:t>
      </w:r>
      <w:proofErr w:type="gramEnd"/>
      <w:r w:rsidRPr="000D127B">
        <w:rPr>
          <w:lang w:eastAsia="en-AU"/>
        </w:rPr>
        <w:t xml:space="preserve"> in original)</w:t>
      </w:r>
    </w:p>
    <w:p w:rsidR="007E2D45" w:rsidRPr="000D127B" w:rsidRDefault="007E2D45" w:rsidP="00017B82">
      <w:pPr>
        <w:pStyle w:val="ParaNumbering"/>
        <w:numPr>
          <w:ilvl w:val="0"/>
          <w:numId w:val="30"/>
        </w:numPr>
        <w:rPr>
          <w:lang w:eastAsia="en-AU"/>
        </w:rPr>
      </w:pPr>
      <w:r w:rsidRPr="000D127B">
        <w:rPr>
          <w:lang w:eastAsia="en-AU"/>
        </w:rPr>
        <w:t xml:space="preserve">I respectfully agree with their Honours’ conclusion and reasons for affirming the </w:t>
      </w:r>
      <w:r w:rsidRPr="000D127B">
        <w:rPr>
          <w:i/>
          <w:lang w:eastAsia="en-AU"/>
        </w:rPr>
        <w:t xml:space="preserve">Rodgers </w:t>
      </w:r>
      <w:r w:rsidRPr="000D127B">
        <w:rPr>
          <w:lang w:eastAsia="en-AU"/>
        </w:rPr>
        <w:t xml:space="preserve">construction of s 588FF and their rejection of the argument that </w:t>
      </w:r>
      <w:r w:rsidR="008C2D64" w:rsidRPr="000D127B">
        <w:rPr>
          <w:lang w:eastAsia="en-AU"/>
        </w:rPr>
        <w:t>t</w:t>
      </w:r>
      <w:r w:rsidR="00851435" w:rsidRPr="000D127B">
        <w:rPr>
          <w:lang w:eastAsia="en-AU"/>
        </w:rPr>
        <w:t xml:space="preserve">he </w:t>
      </w:r>
      <w:r w:rsidRPr="000D127B">
        <w:rPr>
          <w:lang w:eastAsia="en-AU"/>
        </w:rPr>
        <w:t xml:space="preserve">reasoning in </w:t>
      </w:r>
      <w:r w:rsidRPr="000D127B">
        <w:rPr>
          <w:i/>
          <w:lang w:eastAsia="en-AU"/>
        </w:rPr>
        <w:t xml:space="preserve">Fortress Credit </w:t>
      </w:r>
      <w:r w:rsidRPr="000D127B">
        <w:rPr>
          <w:lang w:eastAsia="en-AU"/>
        </w:rPr>
        <w:t>at [20] required that an “application” must particularise the “transaction” in respect of which</w:t>
      </w:r>
      <w:r w:rsidR="00851435" w:rsidRPr="000D127B">
        <w:rPr>
          <w:lang w:eastAsia="en-AU"/>
        </w:rPr>
        <w:t xml:space="preserve"> relief is sought</w:t>
      </w:r>
      <w:r w:rsidRPr="000D127B">
        <w:rPr>
          <w:lang w:eastAsia="en-AU"/>
        </w:rPr>
        <w:t xml:space="preserve">.  </w:t>
      </w:r>
      <w:r w:rsidR="00B01773" w:rsidRPr="000D127B">
        <w:rPr>
          <w:lang w:eastAsia="en-AU"/>
        </w:rPr>
        <w:t xml:space="preserve">Accordingly, I consider that there is nothing in the subsequent High Court cases that compels the conclusion that </w:t>
      </w:r>
      <w:r w:rsidR="00B01773" w:rsidRPr="000D127B">
        <w:rPr>
          <w:i/>
          <w:lang w:eastAsia="en-AU"/>
        </w:rPr>
        <w:t>Rodgers</w:t>
      </w:r>
      <w:r w:rsidR="00B01773" w:rsidRPr="000D127B">
        <w:rPr>
          <w:lang w:eastAsia="en-AU"/>
        </w:rPr>
        <w:t xml:space="preserve"> is no longer good law</w:t>
      </w:r>
      <w:r w:rsidR="002D25B4">
        <w:rPr>
          <w:lang w:eastAsia="en-AU"/>
        </w:rPr>
        <w:t xml:space="preserve">.  </w:t>
      </w:r>
      <w:r w:rsidRPr="000D127B">
        <w:rPr>
          <w:lang w:eastAsia="en-AU"/>
        </w:rPr>
        <w:t xml:space="preserve">On the </w:t>
      </w:r>
      <w:r w:rsidRPr="000D127B">
        <w:rPr>
          <w:i/>
          <w:lang w:eastAsia="en-AU"/>
        </w:rPr>
        <w:t xml:space="preserve">Rodgers </w:t>
      </w:r>
      <w:r w:rsidRPr="000D127B">
        <w:rPr>
          <w:lang w:eastAsia="en-AU"/>
        </w:rPr>
        <w:t xml:space="preserve">construction, </w:t>
      </w:r>
      <w:r w:rsidR="00B01773" w:rsidRPr="000D127B">
        <w:rPr>
          <w:lang w:eastAsia="en-AU"/>
        </w:rPr>
        <w:t xml:space="preserve">it is </w:t>
      </w:r>
      <w:r w:rsidRPr="000D127B">
        <w:rPr>
          <w:lang w:eastAsia="en-AU"/>
        </w:rPr>
        <w:t>the commencement of the action for relief under s 588FF(1)</w:t>
      </w:r>
      <w:r w:rsidR="00B01773" w:rsidRPr="000D127B">
        <w:rPr>
          <w:lang w:eastAsia="en-AU"/>
        </w:rPr>
        <w:t xml:space="preserve"> that </w:t>
      </w:r>
      <w:r w:rsidRPr="000D127B">
        <w:rPr>
          <w:lang w:eastAsia="en-AU"/>
        </w:rPr>
        <w:t xml:space="preserve">is the relevant jurisdictional precondition prescribed by s 588FF(3) and the amendment power </w:t>
      </w:r>
      <w:r w:rsidR="00B01773" w:rsidRPr="000D127B">
        <w:rPr>
          <w:lang w:eastAsia="en-AU"/>
        </w:rPr>
        <w:t xml:space="preserve"> </w:t>
      </w:r>
      <w:r w:rsidRPr="000D127B">
        <w:rPr>
          <w:lang w:eastAsia="en-AU"/>
        </w:rPr>
        <w:t xml:space="preserve">under the </w:t>
      </w:r>
      <w:r w:rsidR="007B669B" w:rsidRPr="000D127B">
        <w:rPr>
          <w:rFonts w:ascii="TimesNewRoman" w:hAnsi="TimesNewRoman" w:cs="TimesNewRoman"/>
          <w:i/>
          <w:szCs w:val="24"/>
          <w:lang w:eastAsia="en-AU"/>
        </w:rPr>
        <w:t>Federal Court Rules</w:t>
      </w:r>
      <w:r w:rsidR="007B669B" w:rsidRPr="000D127B">
        <w:rPr>
          <w:rFonts w:ascii="TimesNewRoman" w:hAnsi="TimesNewRoman" w:cs="TimesNewRoman"/>
          <w:szCs w:val="24"/>
          <w:lang w:eastAsia="en-AU"/>
        </w:rPr>
        <w:t xml:space="preserve"> </w:t>
      </w:r>
      <w:r w:rsidR="00B01773" w:rsidRPr="000D127B">
        <w:rPr>
          <w:lang w:eastAsia="en-AU"/>
        </w:rPr>
        <w:t xml:space="preserve">in that circumstance </w:t>
      </w:r>
      <w:r w:rsidRPr="000D127B">
        <w:rPr>
          <w:lang w:eastAsia="en-AU"/>
        </w:rPr>
        <w:t>would therefore not impermissibly operate to vary the time dictated by s 588FF(3)</w:t>
      </w:r>
      <w:r w:rsidR="002D25B4">
        <w:rPr>
          <w:lang w:eastAsia="en-AU"/>
        </w:rPr>
        <w:t xml:space="preserve">.  </w:t>
      </w:r>
      <w:r w:rsidR="00B01773" w:rsidRPr="000D127B">
        <w:rPr>
          <w:lang w:eastAsia="en-AU"/>
        </w:rPr>
        <w:t>As</w:t>
      </w:r>
      <w:r w:rsidR="00E60B55" w:rsidRPr="000D127B">
        <w:rPr>
          <w:lang w:eastAsia="en-AU"/>
        </w:rPr>
        <w:t xml:space="preserve"> the</w:t>
      </w:r>
      <w:r w:rsidR="00B01773" w:rsidRPr="000D127B">
        <w:rPr>
          <w:lang w:eastAsia="en-AU"/>
        </w:rPr>
        <w:t xml:space="preserve"> jurisdictional precondition is met by an action for relief under s </w:t>
      </w:r>
      <w:proofErr w:type="gramStart"/>
      <w:r w:rsidR="00B01773" w:rsidRPr="000D127B">
        <w:rPr>
          <w:lang w:eastAsia="en-AU"/>
        </w:rPr>
        <w:t>588FF(</w:t>
      </w:r>
      <w:proofErr w:type="gramEnd"/>
      <w:r w:rsidR="00B01773" w:rsidRPr="000D127B">
        <w:rPr>
          <w:lang w:eastAsia="en-AU"/>
        </w:rPr>
        <w:t xml:space="preserve">1) commenced within time,  </w:t>
      </w:r>
      <w:r w:rsidRPr="000D127B">
        <w:rPr>
          <w:lang w:eastAsia="en-AU"/>
        </w:rPr>
        <w:t xml:space="preserve">the </w:t>
      </w:r>
      <w:r w:rsidR="007B669B" w:rsidRPr="000D127B">
        <w:rPr>
          <w:rFonts w:ascii="TimesNewRoman" w:hAnsi="TimesNewRoman" w:cs="TimesNewRoman"/>
          <w:i/>
          <w:szCs w:val="24"/>
          <w:lang w:eastAsia="en-AU"/>
        </w:rPr>
        <w:t>Federal Court Rules</w:t>
      </w:r>
      <w:r w:rsidR="007B669B" w:rsidRPr="000D127B">
        <w:rPr>
          <w:rFonts w:ascii="TimesNewRoman" w:hAnsi="TimesNewRoman" w:cs="TimesNewRoman"/>
          <w:szCs w:val="24"/>
          <w:lang w:eastAsia="en-AU"/>
        </w:rPr>
        <w:t xml:space="preserve"> </w:t>
      </w:r>
      <w:r w:rsidRPr="000D127B">
        <w:rPr>
          <w:lang w:eastAsia="en-AU"/>
        </w:rPr>
        <w:t>are not being used to vary the time stipulated by s 588FF(3) within which a proceeding must be commenced</w:t>
      </w:r>
      <w:r w:rsidR="002D25B4">
        <w:rPr>
          <w:lang w:eastAsia="en-AU"/>
        </w:rPr>
        <w:t xml:space="preserve">.  </w:t>
      </w:r>
      <w:r w:rsidR="002A4E8A" w:rsidRPr="000D127B">
        <w:rPr>
          <w:lang w:eastAsia="en-AU"/>
        </w:rPr>
        <w:t xml:space="preserve">It follows that </w:t>
      </w:r>
      <w:r w:rsidR="0065532B" w:rsidRPr="000D127B">
        <w:rPr>
          <w:i/>
          <w:lang w:eastAsia="en-AU"/>
        </w:rPr>
        <w:t>Rodgers</w:t>
      </w:r>
      <w:r w:rsidR="00AB23D7" w:rsidRPr="000D127B">
        <w:rPr>
          <w:lang w:eastAsia="en-AU"/>
        </w:rPr>
        <w:t xml:space="preserve"> is not inconsistent with the principles settled by </w:t>
      </w:r>
      <w:proofErr w:type="spellStart"/>
      <w:r w:rsidR="00AB23D7" w:rsidRPr="000D127B">
        <w:rPr>
          <w:i/>
          <w:lang w:eastAsia="en-AU"/>
        </w:rPr>
        <w:t>A</w:t>
      </w:r>
      <w:r w:rsidR="002851B1" w:rsidRPr="000D127B">
        <w:rPr>
          <w:i/>
          <w:lang w:eastAsia="en-AU"/>
        </w:rPr>
        <w:t>g</w:t>
      </w:r>
      <w:r w:rsidR="00AB23D7" w:rsidRPr="000D127B">
        <w:rPr>
          <w:i/>
          <w:lang w:eastAsia="en-AU"/>
        </w:rPr>
        <w:t>track</w:t>
      </w:r>
      <w:proofErr w:type="spellEnd"/>
      <w:r w:rsidR="00AB23D7" w:rsidRPr="000D127B">
        <w:rPr>
          <w:i/>
          <w:lang w:eastAsia="en-AU"/>
        </w:rPr>
        <w:t xml:space="preserve">, </w:t>
      </w:r>
      <w:proofErr w:type="spellStart"/>
      <w:r w:rsidR="00AB23D7" w:rsidRPr="000D127B">
        <w:rPr>
          <w:i/>
          <w:lang w:eastAsia="en-AU"/>
        </w:rPr>
        <w:t>Tolcher</w:t>
      </w:r>
      <w:proofErr w:type="spellEnd"/>
      <w:r w:rsidR="00AB23D7" w:rsidRPr="000D127B">
        <w:rPr>
          <w:i/>
          <w:lang w:eastAsia="en-AU"/>
        </w:rPr>
        <w:t xml:space="preserve">, Grant Samuel </w:t>
      </w:r>
      <w:r w:rsidR="00AB23D7" w:rsidRPr="000D127B">
        <w:rPr>
          <w:lang w:eastAsia="en-AU"/>
        </w:rPr>
        <w:t xml:space="preserve">or </w:t>
      </w:r>
      <w:r w:rsidR="00AB23D7" w:rsidRPr="000D127B">
        <w:rPr>
          <w:i/>
          <w:lang w:eastAsia="en-AU"/>
        </w:rPr>
        <w:t>Fortress Credit</w:t>
      </w:r>
      <w:r w:rsidR="002D25B4">
        <w:rPr>
          <w:i/>
          <w:lang w:eastAsia="en-AU"/>
        </w:rPr>
        <w:t xml:space="preserve">.  </w:t>
      </w:r>
      <w:r w:rsidR="00903D72">
        <w:rPr>
          <w:lang w:eastAsia="en-AU"/>
        </w:rPr>
        <w:t>In view of this conclusion, the</w:t>
      </w:r>
      <w:r w:rsidR="00AB23D7" w:rsidRPr="000D127B">
        <w:rPr>
          <w:lang w:eastAsia="en-AU"/>
        </w:rPr>
        <w:t xml:space="preserve"> f</w:t>
      </w:r>
      <w:r w:rsidR="00BF5509" w:rsidRPr="000D127B">
        <w:rPr>
          <w:lang w:eastAsia="en-AU"/>
        </w:rPr>
        <w:t xml:space="preserve">urther arguments advanced for the SA defendant based </w:t>
      </w:r>
      <w:r w:rsidR="00BF5509" w:rsidRPr="000D127B">
        <w:rPr>
          <w:bCs/>
        </w:rPr>
        <w:t xml:space="preserve">the nature of the </w:t>
      </w:r>
      <w:r w:rsidR="007B669B" w:rsidRPr="000D127B">
        <w:rPr>
          <w:lang w:eastAsia="en-AU"/>
        </w:rPr>
        <w:t>C</w:t>
      </w:r>
      <w:r w:rsidR="00BF5509" w:rsidRPr="000D127B">
        <w:rPr>
          <w:bCs/>
        </w:rPr>
        <w:t>ourt’s rule making power in</w:t>
      </w:r>
      <w:r w:rsidR="00BF5509" w:rsidRPr="000D127B">
        <w:rPr>
          <w:b/>
          <w:bCs/>
        </w:rPr>
        <w:t xml:space="preserve"> </w:t>
      </w:r>
      <w:r w:rsidR="00BF5509" w:rsidRPr="000D127B">
        <w:rPr>
          <w:lang w:eastAsia="en-AU"/>
        </w:rPr>
        <w:t xml:space="preserve">s </w:t>
      </w:r>
      <w:r w:rsidR="00BF5509" w:rsidRPr="000D127B">
        <w:rPr>
          <w:bCs/>
        </w:rPr>
        <w:t xml:space="preserve">59(2B) of the </w:t>
      </w:r>
      <w:r w:rsidR="00BF5509" w:rsidRPr="000D127B">
        <w:rPr>
          <w:bCs/>
          <w:i/>
        </w:rPr>
        <w:t>Federal Court of Australia Act</w:t>
      </w:r>
      <w:r w:rsidR="00BF5509" w:rsidRPr="000D127B">
        <w:rPr>
          <w:bCs/>
        </w:rPr>
        <w:t xml:space="preserve"> </w:t>
      </w:r>
      <w:r w:rsidR="0065532B" w:rsidRPr="000D127B">
        <w:rPr>
          <w:bCs/>
        </w:rPr>
        <w:t xml:space="preserve">accordingly </w:t>
      </w:r>
      <w:r w:rsidR="00BF5509" w:rsidRPr="000D127B">
        <w:rPr>
          <w:bCs/>
        </w:rPr>
        <w:t>do not arise for consideration because</w:t>
      </w:r>
      <w:r w:rsidR="00BF5509" w:rsidRPr="000D127B">
        <w:rPr>
          <w:lang w:eastAsia="en-AU"/>
        </w:rPr>
        <w:t xml:space="preserve"> no inconsistency with s 588FF(3) arises on the </w:t>
      </w:r>
      <w:r w:rsidR="00BF5509" w:rsidRPr="000D127B">
        <w:rPr>
          <w:i/>
          <w:lang w:eastAsia="en-AU"/>
        </w:rPr>
        <w:t xml:space="preserve">Rodgers </w:t>
      </w:r>
      <w:r w:rsidR="00BF5509" w:rsidRPr="000D127B">
        <w:rPr>
          <w:lang w:eastAsia="en-AU"/>
        </w:rPr>
        <w:t xml:space="preserve">construction of s 588FF(1): </w:t>
      </w:r>
      <w:proofErr w:type="spellStart"/>
      <w:r w:rsidR="00BF5509" w:rsidRPr="000D127B">
        <w:rPr>
          <w:lang w:eastAsia="en-AU"/>
        </w:rPr>
        <w:t>cf</w:t>
      </w:r>
      <w:proofErr w:type="spellEnd"/>
      <w:r w:rsidR="00BF5509" w:rsidRPr="000D127B">
        <w:rPr>
          <w:lang w:eastAsia="en-AU"/>
        </w:rPr>
        <w:t xml:space="preserve"> </w:t>
      </w:r>
      <w:r w:rsidR="00BF5509" w:rsidRPr="000D127B">
        <w:rPr>
          <w:i/>
          <w:lang w:eastAsia="en-AU"/>
        </w:rPr>
        <w:t xml:space="preserve">Grant Samuel </w:t>
      </w:r>
      <w:r w:rsidR="00BF5509" w:rsidRPr="000D127B">
        <w:rPr>
          <w:lang w:eastAsia="en-AU"/>
        </w:rPr>
        <w:t>at [23]</w:t>
      </w:r>
      <w:r w:rsidR="002D25B4">
        <w:rPr>
          <w:lang w:eastAsia="en-AU"/>
        </w:rPr>
        <w:t xml:space="preserve">.  </w:t>
      </w:r>
    </w:p>
    <w:p w:rsidR="000023C2" w:rsidRPr="000D127B" w:rsidRDefault="00903D72" w:rsidP="00017B82">
      <w:pPr>
        <w:pStyle w:val="ParaNumbering"/>
        <w:numPr>
          <w:ilvl w:val="0"/>
          <w:numId w:val="30"/>
        </w:numPr>
        <w:rPr>
          <w:lang w:eastAsia="en-AU"/>
        </w:rPr>
      </w:pPr>
      <w:r>
        <w:rPr>
          <w:lang w:eastAsia="en-AU"/>
        </w:rPr>
        <w:t>The SA defendant put t</w:t>
      </w:r>
      <w:r w:rsidR="00BB74FA" w:rsidRPr="000D127B">
        <w:rPr>
          <w:lang w:eastAsia="en-AU"/>
        </w:rPr>
        <w:t xml:space="preserve">he additional argument that </w:t>
      </w:r>
      <w:r w:rsidR="00BB74FA" w:rsidRPr="000D127B">
        <w:rPr>
          <w:i/>
          <w:lang w:eastAsia="en-AU"/>
        </w:rPr>
        <w:t xml:space="preserve">Rodgers </w:t>
      </w:r>
      <w:r w:rsidR="00BB74FA" w:rsidRPr="000D127B">
        <w:rPr>
          <w:lang w:eastAsia="en-AU"/>
        </w:rPr>
        <w:t xml:space="preserve">was wrongly decided because the term “application” as used in s </w:t>
      </w:r>
      <w:proofErr w:type="gramStart"/>
      <w:r w:rsidR="00BB74FA" w:rsidRPr="000D127B">
        <w:rPr>
          <w:lang w:eastAsia="en-AU"/>
        </w:rPr>
        <w:t>588FF(</w:t>
      </w:r>
      <w:proofErr w:type="gramEnd"/>
      <w:r w:rsidR="00BB74FA" w:rsidRPr="000D127B">
        <w:rPr>
          <w:lang w:eastAsia="en-AU"/>
        </w:rPr>
        <w:t>1) includes an application to amend to add transactions</w:t>
      </w:r>
      <w:r w:rsidR="002D25B4">
        <w:rPr>
          <w:lang w:eastAsia="en-AU"/>
        </w:rPr>
        <w:t xml:space="preserve">.  </w:t>
      </w:r>
      <w:r w:rsidR="00B63D7C" w:rsidRPr="000D127B">
        <w:rPr>
          <w:lang w:eastAsia="en-AU"/>
        </w:rPr>
        <w:t xml:space="preserve">It was submitted that this point of law was not raised in </w:t>
      </w:r>
      <w:r w:rsidR="00B63D7C" w:rsidRPr="000D127B">
        <w:rPr>
          <w:i/>
          <w:lang w:eastAsia="en-AU"/>
        </w:rPr>
        <w:t xml:space="preserve">Rodgers </w:t>
      </w:r>
      <w:r w:rsidR="00B63D7C" w:rsidRPr="000D127B">
        <w:rPr>
          <w:lang w:eastAsia="en-AU"/>
        </w:rPr>
        <w:t xml:space="preserve">nor considered in </w:t>
      </w:r>
      <w:r w:rsidR="00B63D7C" w:rsidRPr="000D127B">
        <w:rPr>
          <w:i/>
          <w:lang w:eastAsia="en-AU"/>
        </w:rPr>
        <w:t xml:space="preserve">Sydney Recycling. </w:t>
      </w:r>
      <w:r w:rsidR="00B63D7C" w:rsidRPr="000D127B">
        <w:rPr>
          <w:lang w:eastAsia="en-AU"/>
        </w:rPr>
        <w:t xml:space="preserve"> T</w:t>
      </w:r>
      <w:r w:rsidR="005A4009" w:rsidRPr="000D127B">
        <w:rPr>
          <w:lang w:eastAsia="en-AU"/>
        </w:rPr>
        <w:t xml:space="preserve">he submission that the word “application” in s </w:t>
      </w:r>
      <w:proofErr w:type="gramStart"/>
      <w:r w:rsidR="005A4009" w:rsidRPr="000D127B">
        <w:rPr>
          <w:lang w:eastAsia="en-AU"/>
        </w:rPr>
        <w:t>588FF(</w:t>
      </w:r>
      <w:proofErr w:type="gramEnd"/>
      <w:r w:rsidR="005A4009" w:rsidRPr="000D127B">
        <w:rPr>
          <w:lang w:eastAsia="en-AU"/>
        </w:rPr>
        <w:t xml:space="preserve">1) should be </w:t>
      </w:r>
      <w:r w:rsidR="005A4009" w:rsidRPr="000D127B">
        <w:rPr>
          <w:lang w:eastAsia="en-AU"/>
        </w:rPr>
        <w:lastRenderedPageBreak/>
        <w:t>construed to include an application to amend to raise additional transactions that are sough</w:t>
      </w:r>
      <w:r w:rsidR="00B63D7C" w:rsidRPr="000D127B">
        <w:rPr>
          <w:lang w:eastAsia="en-AU"/>
        </w:rPr>
        <w:t>t to be impugned</w:t>
      </w:r>
      <w:r w:rsidR="005A4009" w:rsidRPr="000D127B">
        <w:rPr>
          <w:lang w:eastAsia="en-AU"/>
        </w:rPr>
        <w:t xml:space="preserve"> was put in two ways. </w:t>
      </w:r>
    </w:p>
    <w:p w:rsidR="000023C2" w:rsidRPr="00A04E62" w:rsidRDefault="005A4009" w:rsidP="00017B82">
      <w:pPr>
        <w:pStyle w:val="ParaNumbering"/>
        <w:numPr>
          <w:ilvl w:val="0"/>
          <w:numId w:val="30"/>
        </w:numPr>
        <w:rPr>
          <w:lang w:eastAsia="en-AU"/>
        </w:rPr>
      </w:pPr>
      <w:r w:rsidRPr="00A04E62">
        <w:rPr>
          <w:lang w:eastAsia="en-AU"/>
        </w:rPr>
        <w:t>First</w:t>
      </w:r>
      <w:r w:rsidR="009E2B1A" w:rsidRPr="00A04E62">
        <w:rPr>
          <w:lang w:eastAsia="en-AU"/>
        </w:rPr>
        <w:t>,</w:t>
      </w:r>
      <w:r w:rsidRPr="00A04E62">
        <w:rPr>
          <w:lang w:eastAsia="en-AU"/>
        </w:rPr>
        <w:t xml:space="preserve"> it was argued that the statutory policy of s </w:t>
      </w:r>
      <w:proofErr w:type="gramStart"/>
      <w:r w:rsidRPr="00A04E62">
        <w:rPr>
          <w:lang w:eastAsia="en-AU"/>
        </w:rPr>
        <w:t>588FF</w:t>
      </w:r>
      <w:r w:rsidR="000B7A39" w:rsidRPr="00A04E62">
        <w:rPr>
          <w:lang w:eastAsia="en-AU"/>
        </w:rPr>
        <w:t>(</w:t>
      </w:r>
      <w:proofErr w:type="gramEnd"/>
      <w:r w:rsidR="000B7A39" w:rsidRPr="00A04E62">
        <w:rPr>
          <w:lang w:eastAsia="en-AU"/>
        </w:rPr>
        <w:t>3)</w:t>
      </w:r>
      <w:r w:rsidRPr="00A04E62">
        <w:rPr>
          <w:lang w:eastAsia="en-AU"/>
        </w:rPr>
        <w:t xml:space="preserve"> that was recognised in </w:t>
      </w:r>
      <w:proofErr w:type="spellStart"/>
      <w:r w:rsidRPr="00A04E62">
        <w:rPr>
          <w:i/>
          <w:lang w:eastAsia="en-AU"/>
        </w:rPr>
        <w:t>Tolcher</w:t>
      </w:r>
      <w:proofErr w:type="spellEnd"/>
      <w:r w:rsidRPr="00A04E62">
        <w:rPr>
          <w:i/>
          <w:lang w:eastAsia="en-AU"/>
        </w:rPr>
        <w:t xml:space="preserve"> </w:t>
      </w:r>
      <w:r w:rsidRPr="00A04E62">
        <w:rPr>
          <w:lang w:eastAsia="en-AU"/>
        </w:rPr>
        <w:t xml:space="preserve">and </w:t>
      </w:r>
      <w:r w:rsidRPr="00A04E62">
        <w:rPr>
          <w:i/>
          <w:lang w:eastAsia="en-AU"/>
        </w:rPr>
        <w:t xml:space="preserve">Grant Samuel </w:t>
      </w:r>
      <w:r w:rsidRPr="00A04E62">
        <w:rPr>
          <w:lang w:eastAsia="en-AU"/>
        </w:rPr>
        <w:t>informs the meaning of “application”</w:t>
      </w:r>
      <w:r w:rsidR="002D25B4">
        <w:rPr>
          <w:lang w:eastAsia="en-AU"/>
        </w:rPr>
        <w:t xml:space="preserve">.  </w:t>
      </w:r>
      <w:r w:rsidR="000B7A39" w:rsidRPr="00A04E62">
        <w:rPr>
          <w:lang w:eastAsia="en-AU"/>
        </w:rPr>
        <w:t xml:space="preserve">In </w:t>
      </w:r>
      <w:r w:rsidR="000B7A39" w:rsidRPr="00A04E62">
        <w:rPr>
          <w:i/>
          <w:lang w:eastAsia="en-AU"/>
        </w:rPr>
        <w:t xml:space="preserve">Grant Samuel </w:t>
      </w:r>
      <w:r w:rsidR="000B7A39" w:rsidRPr="00A04E62">
        <w:rPr>
          <w:lang w:eastAsia="en-AU"/>
        </w:rPr>
        <w:t xml:space="preserve">at [21] the High Court explained that the statutory policy </w:t>
      </w:r>
      <w:r w:rsidR="00617086" w:rsidRPr="00A04E62">
        <w:rPr>
          <w:lang w:eastAsia="en-AU"/>
        </w:rPr>
        <w:t>favours certainty for creditors as to whether they remain at risk of voidable preference proceedings being brought against them by imposing</w:t>
      </w:r>
      <w:r w:rsidR="00617086" w:rsidRPr="00A04E62">
        <w:t xml:space="preserve"> a time limit within which such proceedings may be brought</w:t>
      </w:r>
      <w:r w:rsidR="002D25B4">
        <w:rPr>
          <w:lang w:eastAsia="en-AU"/>
        </w:rPr>
        <w:t xml:space="preserve">.  </w:t>
      </w:r>
      <w:r w:rsidR="008613B2" w:rsidRPr="00A04E62">
        <w:rPr>
          <w:lang w:eastAsia="en-AU"/>
        </w:rPr>
        <w:t xml:space="preserve">See also </w:t>
      </w:r>
      <w:proofErr w:type="spellStart"/>
      <w:r w:rsidR="000B7A39" w:rsidRPr="00A04E62">
        <w:rPr>
          <w:i/>
          <w:lang w:eastAsia="en-AU"/>
        </w:rPr>
        <w:t>Tolcher</w:t>
      </w:r>
      <w:proofErr w:type="spellEnd"/>
      <w:r w:rsidR="000B7A39" w:rsidRPr="00A04E62">
        <w:rPr>
          <w:i/>
          <w:lang w:eastAsia="en-AU"/>
        </w:rPr>
        <w:t xml:space="preserve"> </w:t>
      </w:r>
      <w:r w:rsidR="000B7A39" w:rsidRPr="00A04E62">
        <w:rPr>
          <w:lang w:eastAsia="en-AU"/>
        </w:rPr>
        <w:t>at [37]</w:t>
      </w:r>
      <w:r w:rsidR="00957666">
        <w:t>–</w:t>
      </w:r>
      <w:r w:rsidR="000B7A39" w:rsidRPr="00A04E62">
        <w:rPr>
          <w:lang w:eastAsia="en-AU"/>
        </w:rPr>
        <w:t xml:space="preserve">[39] and </w:t>
      </w:r>
      <w:r w:rsidR="008613B2" w:rsidRPr="00A04E62">
        <w:rPr>
          <w:i/>
          <w:lang w:eastAsia="en-AU"/>
        </w:rPr>
        <w:t xml:space="preserve">Fortress Credit </w:t>
      </w:r>
      <w:r w:rsidR="008613B2" w:rsidRPr="00A04E62">
        <w:rPr>
          <w:lang w:eastAsia="en-AU"/>
        </w:rPr>
        <w:t>at [24]</w:t>
      </w:r>
      <w:r w:rsidR="002D25B4">
        <w:rPr>
          <w:lang w:eastAsia="en-AU"/>
        </w:rPr>
        <w:t xml:space="preserve">.  </w:t>
      </w:r>
      <w:r w:rsidR="00E718FF" w:rsidRPr="00A04E62">
        <w:rPr>
          <w:lang w:eastAsia="en-AU"/>
        </w:rPr>
        <w:t>I am not persuaded that regard to the statutory policy does inform the meaning of “application”</w:t>
      </w:r>
      <w:r w:rsidR="002D25B4">
        <w:rPr>
          <w:lang w:eastAsia="en-AU"/>
        </w:rPr>
        <w:t xml:space="preserve">.  </w:t>
      </w:r>
      <w:r w:rsidR="000023C2" w:rsidRPr="00A04E62">
        <w:rPr>
          <w:lang w:eastAsia="en-AU"/>
        </w:rPr>
        <w:t xml:space="preserve">In </w:t>
      </w:r>
      <w:r w:rsidR="000023C2" w:rsidRPr="00A04E62">
        <w:rPr>
          <w:i/>
          <w:lang w:eastAsia="en-AU"/>
        </w:rPr>
        <w:t xml:space="preserve">Fortress Credit </w:t>
      </w:r>
      <w:r w:rsidR="000023C2" w:rsidRPr="00A04E62">
        <w:rPr>
          <w:lang w:eastAsia="en-AU"/>
        </w:rPr>
        <w:t xml:space="preserve">the High Court rejected an argument that the statutory policy militated against a construction of s </w:t>
      </w:r>
      <w:proofErr w:type="gramStart"/>
      <w:r w:rsidR="000023C2" w:rsidRPr="00A04E62">
        <w:rPr>
          <w:lang w:eastAsia="en-AU"/>
        </w:rPr>
        <w:t>588FF(</w:t>
      </w:r>
      <w:proofErr w:type="gramEnd"/>
      <w:r w:rsidR="000023C2" w:rsidRPr="00A04E62">
        <w:rPr>
          <w:lang w:eastAsia="en-AU"/>
        </w:rPr>
        <w:t>3)(b) enabling shelf orders to be made</w:t>
      </w:r>
      <w:r w:rsidR="002D25B4">
        <w:rPr>
          <w:lang w:eastAsia="en-AU"/>
        </w:rPr>
        <w:t xml:space="preserve">.  </w:t>
      </w:r>
      <w:r w:rsidR="000023C2" w:rsidRPr="00A04E62">
        <w:rPr>
          <w:lang w:eastAsia="en-AU"/>
        </w:rPr>
        <w:t>The Court reasoned at [24]:</w:t>
      </w:r>
    </w:p>
    <w:p w:rsidR="000023C2" w:rsidRPr="000D127B" w:rsidRDefault="000023C2" w:rsidP="000023C2">
      <w:pPr>
        <w:pStyle w:val="Quote1"/>
        <w:rPr>
          <w:lang w:eastAsia="en-AU"/>
        </w:rPr>
      </w:pPr>
      <w:r w:rsidRPr="000D127B">
        <w:t>There is, however, no independent basis for the assertion that any extension of time which does not identify a particular transaction or transactions must be an unreasonable prolongation of uncertainty militating against a construction which would allow such an order to be made</w:t>
      </w:r>
      <w:r w:rsidR="002D25B4">
        <w:t xml:space="preserve">.  </w:t>
      </w:r>
      <w:r w:rsidRPr="000D127B">
        <w:t>The section provides for the exercise of discretion by the court</w:t>
      </w:r>
      <w:r w:rsidR="002D25B4">
        <w:t xml:space="preserve">.  </w:t>
      </w:r>
      <w:r w:rsidRPr="000D127B">
        <w:t>Questions of what is a reasonable or an unreasonable prolongation of uncertainty and the scope of such uncertainty are more appropriately considered case-by-case</w:t>
      </w:r>
      <w:r w:rsidRPr="000D127B">
        <w:rPr>
          <w:b/>
          <w:bCs/>
        </w:rPr>
        <w:t xml:space="preserve"> </w:t>
      </w:r>
      <w:r w:rsidRPr="000D127B">
        <w:t>in the exercise of judicial discretion than globally in judicial interpretation of the provision</w:t>
      </w:r>
      <w:r w:rsidR="002D25B4">
        <w:t xml:space="preserve">.  </w:t>
      </w:r>
    </w:p>
    <w:p w:rsidR="000023C2" w:rsidRPr="00A04E62" w:rsidRDefault="004A32A4" w:rsidP="00A04E62">
      <w:pPr>
        <w:pStyle w:val="NoNum"/>
        <w:rPr>
          <w:lang w:eastAsia="en-AU"/>
        </w:rPr>
      </w:pPr>
      <w:r w:rsidRPr="00A04E62">
        <w:rPr>
          <w:lang w:eastAsia="en-AU"/>
        </w:rPr>
        <w:t xml:space="preserve">So too, </w:t>
      </w:r>
      <w:r w:rsidR="006B079D" w:rsidRPr="00A04E62">
        <w:rPr>
          <w:lang w:eastAsia="en-AU"/>
        </w:rPr>
        <w:t>the statutory policy would not dictate a construction of the term “application” to include an application to amend to raise additional transactions</w:t>
      </w:r>
      <w:r w:rsidR="002D25B4">
        <w:rPr>
          <w:lang w:eastAsia="en-AU"/>
        </w:rPr>
        <w:t xml:space="preserve">.  </w:t>
      </w:r>
      <w:r w:rsidR="006B079D" w:rsidRPr="00A04E62">
        <w:rPr>
          <w:lang w:eastAsia="en-AU"/>
        </w:rPr>
        <w:t xml:space="preserve">That does not gainsay the relevance of </w:t>
      </w:r>
      <w:r w:rsidRPr="00A04E62">
        <w:rPr>
          <w:lang w:eastAsia="en-AU"/>
        </w:rPr>
        <w:t>the statutory policy</w:t>
      </w:r>
      <w:r w:rsidR="00E718FF" w:rsidRPr="00A04E62">
        <w:rPr>
          <w:lang w:eastAsia="en-AU"/>
        </w:rPr>
        <w:t xml:space="preserve"> in the exercise of the discretion under r 8.21 as a matter bearing upon whether to allow an amendment</w:t>
      </w:r>
      <w:r w:rsidR="002D25B4">
        <w:rPr>
          <w:lang w:eastAsia="en-AU"/>
        </w:rPr>
        <w:t xml:space="preserve">. </w:t>
      </w:r>
      <w:r w:rsidRPr="00A04E62">
        <w:rPr>
          <w:lang w:eastAsia="en-AU"/>
        </w:rPr>
        <w:t xml:space="preserve"> </w:t>
      </w:r>
    </w:p>
    <w:p w:rsidR="002A3EC1" w:rsidRPr="000D127B" w:rsidRDefault="000122EB" w:rsidP="00017B82">
      <w:pPr>
        <w:pStyle w:val="ParaNumbering"/>
        <w:numPr>
          <w:ilvl w:val="0"/>
          <w:numId w:val="30"/>
        </w:numPr>
        <w:rPr>
          <w:lang w:eastAsia="en-AU"/>
        </w:rPr>
      </w:pPr>
      <w:r w:rsidRPr="000D127B">
        <w:rPr>
          <w:lang w:eastAsia="en-AU"/>
        </w:rPr>
        <w:t>Secondly, r</w:t>
      </w:r>
      <w:r w:rsidR="005A4009" w:rsidRPr="000D127B">
        <w:rPr>
          <w:lang w:eastAsia="en-AU"/>
        </w:rPr>
        <w:t xml:space="preserve">eliance was placed on Finkelstein J’s </w:t>
      </w:r>
      <w:r w:rsidRPr="000D127B">
        <w:rPr>
          <w:lang w:eastAsia="en-AU"/>
        </w:rPr>
        <w:t xml:space="preserve">comments in </w:t>
      </w:r>
      <w:r w:rsidRPr="000D127B">
        <w:rPr>
          <w:i/>
          <w:lang w:eastAsia="en-AU"/>
        </w:rPr>
        <w:t xml:space="preserve">Quick v </w:t>
      </w:r>
      <w:proofErr w:type="spellStart"/>
      <w:r w:rsidRPr="000D127B">
        <w:rPr>
          <w:i/>
          <w:lang w:eastAsia="en-AU"/>
        </w:rPr>
        <w:t>Stoland</w:t>
      </w:r>
      <w:proofErr w:type="spellEnd"/>
      <w:r w:rsidRPr="000D127B">
        <w:rPr>
          <w:i/>
          <w:lang w:eastAsia="en-AU"/>
        </w:rPr>
        <w:t xml:space="preserve"> </w:t>
      </w:r>
      <w:r w:rsidRPr="000D127B">
        <w:rPr>
          <w:lang w:eastAsia="en-AU"/>
        </w:rPr>
        <w:t xml:space="preserve">(1998) 87 FCR 371 </w:t>
      </w:r>
      <w:r w:rsidR="005A4009" w:rsidRPr="000D127B">
        <w:rPr>
          <w:lang w:eastAsia="en-AU"/>
        </w:rPr>
        <w:t>in what was said to be an analogous context</w:t>
      </w:r>
      <w:r w:rsidR="002D25B4">
        <w:rPr>
          <w:lang w:eastAsia="en-AU"/>
        </w:rPr>
        <w:t xml:space="preserve">.  </w:t>
      </w:r>
      <w:r w:rsidR="00CC76CB" w:rsidRPr="000D127B">
        <w:rPr>
          <w:lang w:eastAsia="en-AU"/>
        </w:rPr>
        <w:t xml:space="preserve">In </w:t>
      </w:r>
      <w:r w:rsidR="007C6F78" w:rsidRPr="000D127B">
        <w:rPr>
          <w:lang w:eastAsia="en-AU"/>
        </w:rPr>
        <w:t xml:space="preserve">that case, the Full Federal Court considered </w:t>
      </w:r>
      <w:r w:rsidR="00CC76CB" w:rsidRPr="000D127B">
        <w:rPr>
          <w:lang w:eastAsia="en-AU"/>
        </w:rPr>
        <w:t xml:space="preserve">whether the amendment of an existing claim to add a new cause of action </w:t>
      </w:r>
      <w:r w:rsidR="00CC259E" w:rsidRPr="000D127B">
        <w:rPr>
          <w:lang w:eastAsia="en-AU"/>
        </w:rPr>
        <w:t xml:space="preserve">supporting the claimed relief </w:t>
      </w:r>
      <w:r w:rsidR="00CC76CB" w:rsidRPr="000D127B">
        <w:rPr>
          <w:lang w:eastAsia="en-AU"/>
        </w:rPr>
        <w:t>was incompetent</w:t>
      </w:r>
      <w:r w:rsidR="002D25B4">
        <w:rPr>
          <w:lang w:eastAsia="en-AU"/>
        </w:rPr>
        <w:t xml:space="preserve">.  </w:t>
      </w:r>
      <w:r w:rsidR="007C6F78" w:rsidRPr="000D127B">
        <w:rPr>
          <w:lang w:eastAsia="en-AU"/>
        </w:rPr>
        <w:t xml:space="preserve">The appellant </w:t>
      </w:r>
      <w:r w:rsidR="002630E2" w:rsidRPr="000D127B">
        <w:rPr>
          <w:lang w:eastAsia="en-AU"/>
        </w:rPr>
        <w:t>was a director of a company that incurred debts to the respondent</w:t>
      </w:r>
      <w:r w:rsidR="00CC76CB" w:rsidRPr="000D127B">
        <w:rPr>
          <w:lang w:eastAsia="en-AU"/>
        </w:rPr>
        <w:t xml:space="preserve"> and</w:t>
      </w:r>
      <w:r w:rsidR="002630E2" w:rsidRPr="000D127B">
        <w:rPr>
          <w:lang w:eastAsia="en-AU"/>
        </w:rPr>
        <w:t xml:space="preserve"> a proceeding was issued by the respondent against the appellant under s 592 of the </w:t>
      </w:r>
      <w:r w:rsidR="002630E2" w:rsidRPr="000D127B">
        <w:rPr>
          <w:i/>
          <w:lang w:eastAsia="en-AU"/>
        </w:rPr>
        <w:t xml:space="preserve">Corporations </w:t>
      </w:r>
      <w:r w:rsidR="00EB5C9E" w:rsidRPr="000D127B">
        <w:rPr>
          <w:i/>
          <w:lang w:eastAsia="en-AU"/>
        </w:rPr>
        <w:t xml:space="preserve">Act 1989 (Cth) </w:t>
      </w:r>
      <w:r w:rsidR="00EB5C9E" w:rsidRPr="000D127B">
        <w:rPr>
          <w:lang w:eastAsia="en-AU"/>
        </w:rPr>
        <w:t>(“</w:t>
      </w:r>
      <w:r w:rsidR="00EB5C9E" w:rsidRPr="000D127B">
        <w:rPr>
          <w:b/>
          <w:lang w:eastAsia="en-AU"/>
        </w:rPr>
        <w:t>the</w:t>
      </w:r>
      <w:r w:rsidR="00EB5C9E" w:rsidRPr="000D127B">
        <w:rPr>
          <w:i/>
          <w:lang w:eastAsia="en-AU"/>
        </w:rPr>
        <w:t xml:space="preserve"> </w:t>
      </w:r>
      <w:r w:rsidR="00EB5C9E" w:rsidRPr="000D127B">
        <w:rPr>
          <w:b/>
          <w:i/>
          <w:lang w:eastAsia="en-AU"/>
        </w:rPr>
        <w:t>Corporations</w:t>
      </w:r>
      <w:r w:rsidR="00EB5C9E" w:rsidRPr="000D127B">
        <w:rPr>
          <w:i/>
          <w:lang w:eastAsia="en-AU"/>
        </w:rPr>
        <w:t xml:space="preserve"> </w:t>
      </w:r>
      <w:r w:rsidR="002630E2" w:rsidRPr="000D127B">
        <w:rPr>
          <w:b/>
          <w:i/>
          <w:lang w:eastAsia="en-AU"/>
        </w:rPr>
        <w:t>Law</w:t>
      </w:r>
      <w:r w:rsidR="00EB5C9E" w:rsidRPr="000D127B">
        <w:rPr>
          <w:i/>
          <w:lang w:eastAsia="en-AU"/>
        </w:rPr>
        <w:t>”</w:t>
      </w:r>
      <w:r w:rsidR="00EB5C9E" w:rsidRPr="000D127B">
        <w:rPr>
          <w:lang w:eastAsia="en-AU"/>
        </w:rPr>
        <w:t>)</w:t>
      </w:r>
      <w:r w:rsidR="002630E2" w:rsidRPr="000D127B">
        <w:rPr>
          <w:lang w:eastAsia="en-AU"/>
        </w:rPr>
        <w:t xml:space="preserve"> to recover the debt</w:t>
      </w:r>
      <w:r w:rsidR="002D25B4">
        <w:rPr>
          <w:lang w:eastAsia="en-AU"/>
        </w:rPr>
        <w:t xml:space="preserve">.  </w:t>
      </w:r>
      <w:r w:rsidR="00CC76CB" w:rsidRPr="000D127B">
        <w:rPr>
          <w:lang w:eastAsia="en-AU"/>
        </w:rPr>
        <w:t xml:space="preserve">The statement of claim </w:t>
      </w:r>
      <w:r w:rsidR="002630E2" w:rsidRPr="000D127B">
        <w:rPr>
          <w:lang w:eastAsia="en-AU"/>
        </w:rPr>
        <w:t xml:space="preserve">was </w:t>
      </w:r>
      <w:r w:rsidR="00CC76CB" w:rsidRPr="000D127B">
        <w:rPr>
          <w:lang w:eastAsia="en-AU"/>
        </w:rPr>
        <w:t xml:space="preserve">subsequently </w:t>
      </w:r>
      <w:r w:rsidR="002630E2" w:rsidRPr="000D127B">
        <w:rPr>
          <w:lang w:eastAsia="en-AU"/>
        </w:rPr>
        <w:t>amended to include a claim under s 558M of the</w:t>
      </w:r>
      <w:r w:rsidR="002630E2" w:rsidRPr="000D127B">
        <w:rPr>
          <w:i/>
          <w:lang w:eastAsia="en-AU"/>
        </w:rPr>
        <w:t xml:space="preserve"> Corporations Law</w:t>
      </w:r>
      <w:r w:rsidR="002D25B4">
        <w:rPr>
          <w:lang w:eastAsia="en-AU"/>
        </w:rPr>
        <w:t xml:space="preserve">.  </w:t>
      </w:r>
      <w:r w:rsidR="00C76EE5" w:rsidRPr="000D127B">
        <w:rPr>
          <w:lang w:eastAsia="en-AU"/>
        </w:rPr>
        <w:t xml:space="preserve">The appellant contended </w:t>
      </w:r>
      <w:r w:rsidR="002630E2" w:rsidRPr="000D127B">
        <w:rPr>
          <w:lang w:eastAsia="en-AU"/>
        </w:rPr>
        <w:t>that the respondent was not entitled to bring a claim against him under s 588M by reason of s 588R which provided that:</w:t>
      </w:r>
    </w:p>
    <w:p w:rsidR="002630E2" w:rsidRPr="000D127B" w:rsidRDefault="002630E2" w:rsidP="002630E2">
      <w:pPr>
        <w:pStyle w:val="Quote1"/>
        <w:rPr>
          <w:lang w:eastAsia="en-AU"/>
        </w:rPr>
      </w:pPr>
      <w:r w:rsidRPr="000D127B">
        <w:t>A creditor of a company that is being wound up may, with the written consent of the company's liquidator, begin proceedings under s 588M in relation to the incurring by the company of a debt that is owed to the creditor.</w:t>
      </w:r>
    </w:p>
    <w:p w:rsidR="00AB7A5B" w:rsidRPr="00A04E62" w:rsidRDefault="002630E2" w:rsidP="00A04E62">
      <w:pPr>
        <w:pStyle w:val="NoNum"/>
      </w:pPr>
      <w:r w:rsidRPr="00A04E62">
        <w:lastRenderedPageBreak/>
        <w:t xml:space="preserve">The appellant argued that the company's liquidator had not given his consent to the commencement of </w:t>
      </w:r>
      <w:r w:rsidR="00CC76CB" w:rsidRPr="00A04E62">
        <w:t>“</w:t>
      </w:r>
      <w:r w:rsidRPr="00A04E62">
        <w:t>proceedings</w:t>
      </w:r>
      <w:r w:rsidR="00CC76CB" w:rsidRPr="00A04E62">
        <w:t>”</w:t>
      </w:r>
      <w:r w:rsidRPr="00A04E62">
        <w:t xml:space="preserve"> against him and thus the claim was not maintainable</w:t>
      </w:r>
      <w:r w:rsidR="002D25B4">
        <w:t xml:space="preserve">.  </w:t>
      </w:r>
      <w:r w:rsidR="009B7B7A" w:rsidRPr="00A04E62">
        <w:t xml:space="preserve">In issue was whether the amendment </w:t>
      </w:r>
      <w:r w:rsidR="006C1960" w:rsidRPr="00A04E62">
        <w:t>to add</w:t>
      </w:r>
      <w:r w:rsidR="009B7B7A" w:rsidRPr="00A04E62">
        <w:t xml:space="preserve"> a claim under s 588M could be characterised as the commencement of a proceeding</w:t>
      </w:r>
      <w:r w:rsidR="002D25B4">
        <w:t xml:space="preserve">.  </w:t>
      </w:r>
      <w:r w:rsidR="009B7B7A" w:rsidRPr="00A04E62">
        <w:t>It was held that the proceeding under s 588M was incompetent because the liquidator had not given his consent</w:t>
      </w:r>
      <w:r w:rsidR="00AB7A5B" w:rsidRPr="00A04E62">
        <w:t xml:space="preserve"> to its institution</w:t>
      </w:r>
      <w:r w:rsidR="002D25B4">
        <w:t xml:space="preserve">.  </w:t>
      </w:r>
      <w:r w:rsidR="00AB7A5B" w:rsidRPr="00A04E62">
        <w:t xml:space="preserve">In a passage relied on by the SA defendant, Finkelstein J stated at </w:t>
      </w:r>
      <w:r w:rsidR="00AB7A5B" w:rsidRPr="00EC7DC5">
        <w:t>p 388:</w:t>
      </w:r>
    </w:p>
    <w:p w:rsidR="00AB7A5B" w:rsidRPr="00A04E62" w:rsidRDefault="00AB7A5B" w:rsidP="00AB7A5B">
      <w:pPr>
        <w:pStyle w:val="Quote1"/>
      </w:pPr>
      <w:r w:rsidRPr="00A04E62">
        <w:t xml:space="preserve">… </w:t>
      </w:r>
      <w:proofErr w:type="gramStart"/>
      <w:r w:rsidRPr="00A04E62">
        <w:t>it</w:t>
      </w:r>
      <w:proofErr w:type="gramEnd"/>
      <w:r w:rsidRPr="00A04E62">
        <w:t xml:space="preserve"> is not necessary to reach any concluded view on the precise meaning of "proceedings" in s 588R(1)</w:t>
      </w:r>
      <w:r w:rsidR="002D25B4">
        <w:t xml:space="preserve">.  </w:t>
      </w:r>
      <w:r w:rsidRPr="00A04E62">
        <w:t>It is sufficient to hold that the word should be taken to mean, at the very least, any process by which a claim under s 588M is made in a court of competent jurisdiction</w:t>
      </w:r>
      <w:r w:rsidR="002D25B4">
        <w:t xml:space="preserve">.  </w:t>
      </w:r>
      <w:r w:rsidRPr="00A04E62">
        <w:t>Such a claim may be made in an originating process</w:t>
      </w:r>
      <w:r w:rsidR="002D25B4">
        <w:t xml:space="preserve">.  </w:t>
      </w:r>
      <w:r w:rsidRPr="00A04E62">
        <w:t>If it is, that process could only be commenced with the consent of the liquidator</w:t>
      </w:r>
      <w:r w:rsidR="002D25B4">
        <w:t xml:space="preserve">.  </w:t>
      </w:r>
      <w:r w:rsidRPr="00A04E62">
        <w:t>It would also include a claim made by way of amendment to an existing proceeding</w:t>
      </w:r>
      <w:r w:rsidR="002D25B4">
        <w:t xml:space="preserve">.  </w:t>
      </w:r>
      <w:r w:rsidRPr="00A04E62">
        <w:t>It is the claim made by the amendment which is the means by which the creditor seeks to "recover from the director, as a debt due to the creditor, an amount equal to the amount of the loss or damage" suffered by the creditor</w:t>
      </w:r>
      <w:r w:rsidR="002D25B4">
        <w:t xml:space="preserve">.  </w:t>
      </w:r>
      <w:r w:rsidRPr="00A04E62">
        <w:t xml:space="preserve">It conforms with the object of s </w:t>
      </w:r>
      <w:proofErr w:type="gramStart"/>
      <w:r w:rsidRPr="00A04E62">
        <w:t>588R(</w:t>
      </w:r>
      <w:proofErr w:type="gramEnd"/>
      <w:r w:rsidRPr="00A04E62">
        <w:t xml:space="preserve">1) if "proceedings" are taken to include both the commencement of an action at law and any step in that action: compare </w:t>
      </w:r>
      <w:r w:rsidRPr="00A04E62">
        <w:rPr>
          <w:i/>
          <w:iCs/>
        </w:rPr>
        <w:t xml:space="preserve">Eddy v Stewart </w:t>
      </w:r>
      <w:r w:rsidRPr="00A04E62">
        <w:t xml:space="preserve">[1932] 3 WWR 71 at 74; </w:t>
      </w:r>
      <w:r w:rsidRPr="00A04E62">
        <w:rPr>
          <w:i/>
          <w:iCs/>
        </w:rPr>
        <w:t>Re Carrick Estates Ltd</w:t>
      </w:r>
      <w:r w:rsidRPr="00A04E62">
        <w:t xml:space="preserve"> (1987) 43 DLR (4</w:t>
      </w:r>
      <w:r w:rsidRPr="00A04E62">
        <w:rPr>
          <w:vertAlign w:val="superscript"/>
        </w:rPr>
        <w:t>th</w:t>
      </w:r>
      <w:r w:rsidRPr="00A04E62">
        <w:t>) 161.</w:t>
      </w:r>
    </w:p>
    <w:p w:rsidR="00EF00B0" w:rsidRPr="00A04E62" w:rsidRDefault="00AB7A5B" w:rsidP="00A04E62">
      <w:pPr>
        <w:pStyle w:val="NoNum"/>
      </w:pPr>
      <w:r w:rsidRPr="00A04E62">
        <w:t xml:space="preserve">By parity of reasoning it was argued </w:t>
      </w:r>
      <w:r w:rsidR="006C1960" w:rsidRPr="00A04E62">
        <w:t xml:space="preserve">in the present case </w:t>
      </w:r>
      <w:r w:rsidRPr="00A04E62">
        <w:t xml:space="preserve">that an “application” under s 588FF should be taken to include a claim in the proceedings </w:t>
      </w:r>
      <w:r w:rsidR="00951BCD" w:rsidRPr="00A04E62">
        <w:t xml:space="preserve">made </w:t>
      </w:r>
      <w:r w:rsidRPr="00A04E62">
        <w:t>by way of amend</w:t>
      </w:r>
      <w:r w:rsidR="006C1960" w:rsidRPr="00A04E62">
        <w:t>m</w:t>
      </w:r>
      <w:r w:rsidR="00E718FF" w:rsidRPr="00A04E62">
        <w:t>ent to an existing application</w:t>
      </w:r>
      <w:r w:rsidR="002D25B4">
        <w:t xml:space="preserve">.  </w:t>
      </w:r>
      <w:r w:rsidR="00D941D8" w:rsidRPr="00A04E62">
        <w:rPr>
          <w:lang w:eastAsia="en-AU"/>
        </w:rPr>
        <w:t xml:space="preserve">The issue in </w:t>
      </w:r>
      <w:r w:rsidR="00D941D8" w:rsidRPr="00A04E62">
        <w:rPr>
          <w:rFonts w:eastAsia="Times New Roman"/>
          <w:i/>
          <w:iCs/>
          <w:szCs w:val="24"/>
          <w:lang w:eastAsia="en-AU"/>
        </w:rPr>
        <w:t xml:space="preserve">Quick v </w:t>
      </w:r>
      <w:proofErr w:type="spellStart"/>
      <w:r w:rsidR="00D941D8" w:rsidRPr="00A04E62">
        <w:rPr>
          <w:rFonts w:eastAsia="Times New Roman"/>
          <w:i/>
          <w:iCs/>
          <w:szCs w:val="24"/>
          <w:lang w:eastAsia="en-AU"/>
        </w:rPr>
        <w:t>Stoland</w:t>
      </w:r>
      <w:proofErr w:type="spellEnd"/>
      <w:r w:rsidR="00E60B55" w:rsidRPr="00A04E62">
        <w:rPr>
          <w:rFonts w:eastAsia="Times New Roman"/>
          <w:i/>
          <w:iCs/>
          <w:szCs w:val="24"/>
          <w:lang w:eastAsia="en-AU"/>
        </w:rPr>
        <w:t>,</w:t>
      </w:r>
      <w:r w:rsidR="00D941D8" w:rsidRPr="00A04E62">
        <w:rPr>
          <w:rFonts w:eastAsia="Times New Roman"/>
          <w:szCs w:val="24"/>
          <w:lang w:eastAsia="en-AU"/>
        </w:rPr>
        <w:t xml:space="preserve"> however</w:t>
      </w:r>
      <w:r w:rsidR="00EB5C9E" w:rsidRPr="00A04E62">
        <w:rPr>
          <w:rFonts w:eastAsia="Times New Roman"/>
          <w:szCs w:val="24"/>
          <w:lang w:eastAsia="en-AU"/>
        </w:rPr>
        <w:t>,</w:t>
      </w:r>
      <w:r w:rsidR="00D941D8" w:rsidRPr="00A04E62">
        <w:rPr>
          <w:rFonts w:eastAsia="Times New Roman"/>
          <w:szCs w:val="24"/>
          <w:lang w:eastAsia="en-AU"/>
        </w:rPr>
        <w:t xml:space="preserve"> concerned the right to amend the statement of claim to add a new and different cause of action to support the claimed relief in the circumstance where the condition for relying on that new cause of action had not been met, whereas in </w:t>
      </w:r>
      <w:r w:rsidR="00D941D8" w:rsidRPr="00A04E62">
        <w:rPr>
          <w:lang w:eastAsia="en-AU"/>
        </w:rPr>
        <w:t xml:space="preserve">the present matters the amendments concern the addition of further claims under s 588FF in the circumstance of </w:t>
      </w:r>
      <w:r w:rsidR="00D941D8" w:rsidRPr="00A04E62">
        <w:rPr>
          <w:rFonts w:eastAsia="Times New Roman"/>
          <w:szCs w:val="24"/>
          <w:lang w:eastAsia="en-AU"/>
        </w:rPr>
        <w:t xml:space="preserve">the time requirement under </w:t>
      </w:r>
      <w:r w:rsidR="00D941D8" w:rsidRPr="00A04E62">
        <w:rPr>
          <w:lang w:eastAsia="en-AU"/>
        </w:rPr>
        <w:t>s 588FF having been met by the institution of the proceedings under s 588FF within time.</w:t>
      </w:r>
    </w:p>
    <w:p w:rsidR="00AF5074" w:rsidRPr="000D127B" w:rsidRDefault="006C1960" w:rsidP="00017B82">
      <w:pPr>
        <w:pStyle w:val="ParaNumbering"/>
        <w:numPr>
          <w:ilvl w:val="0"/>
          <w:numId w:val="30"/>
        </w:numPr>
      </w:pPr>
      <w:r w:rsidRPr="000D127B">
        <w:rPr>
          <w:i/>
          <w:iCs/>
        </w:rPr>
        <w:t xml:space="preserve">Quick v </w:t>
      </w:r>
      <w:proofErr w:type="spellStart"/>
      <w:r w:rsidRPr="000D127B">
        <w:rPr>
          <w:i/>
          <w:iCs/>
        </w:rPr>
        <w:t>Stoland</w:t>
      </w:r>
      <w:proofErr w:type="spellEnd"/>
      <w:r w:rsidRPr="000D127B">
        <w:t xml:space="preserve"> was referred to in </w:t>
      </w:r>
      <w:r w:rsidR="00AB7A5B" w:rsidRPr="000D127B">
        <w:rPr>
          <w:i/>
        </w:rPr>
        <w:t>Rodgers</w:t>
      </w:r>
      <w:r w:rsidR="002D25B4">
        <w:rPr>
          <w:i/>
        </w:rPr>
        <w:t xml:space="preserve">.  </w:t>
      </w:r>
      <w:r w:rsidRPr="000D127B">
        <w:t xml:space="preserve">In </w:t>
      </w:r>
      <w:r w:rsidRPr="000D127B">
        <w:rPr>
          <w:i/>
        </w:rPr>
        <w:t xml:space="preserve">Rodgers </w:t>
      </w:r>
      <w:r w:rsidRPr="000D127B">
        <w:t xml:space="preserve">the Full Court held that </w:t>
      </w:r>
      <w:r w:rsidRPr="000D127B">
        <w:rPr>
          <w:iCs/>
        </w:rPr>
        <w:t xml:space="preserve">s </w:t>
      </w:r>
      <w:proofErr w:type="gramStart"/>
      <w:r w:rsidRPr="000D127B">
        <w:t>588FF(</w:t>
      </w:r>
      <w:proofErr w:type="gramEnd"/>
      <w:r w:rsidRPr="000D127B">
        <w:t xml:space="preserve">3) </w:t>
      </w:r>
      <w:r w:rsidR="00AB7A5B" w:rsidRPr="000D127B">
        <w:t xml:space="preserve"> </w:t>
      </w:r>
      <w:r w:rsidRPr="000D127B">
        <w:t xml:space="preserve">was </w:t>
      </w:r>
      <w:r w:rsidR="00AB7A5B" w:rsidRPr="000D127B">
        <w:t xml:space="preserve">not directed to an </w:t>
      </w:r>
      <w:r w:rsidRPr="000D127B">
        <w:t>amendment of an existing claim “</w:t>
      </w:r>
      <w:r w:rsidR="00AB7A5B" w:rsidRPr="000D127B">
        <w:t>at least if that amendment does not involve a new cause of action</w:t>
      </w:r>
      <w:r w:rsidRPr="000D127B">
        <w:t xml:space="preserve">” citing </w:t>
      </w:r>
      <w:r w:rsidR="00AB7A5B" w:rsidRPr="000D127B">
        <w:t xml:space="preserve"> </w:t>
      </w:r>
      <w:r w:rsidR="00AB7A5B" w:rsidRPr="000D127B">
        <w:rPr>
          <w:i/>
          <w:iCs/>
        </w:rPr>
        <w:t xml:space="preserve">Quick v </w:t>
      </w:r>
      <w:proofErr w:type="spellStart"/>
      <w:r w:rsidR="00AB7A5B" w:rsidRPr="000D127B">
        <w:rPr>
          <w:i/>
          <w:iCs/>
        </w:rPr>
        <w:t>Stoland</w:t>
      </w:r>
      <w:proofErr w:type="spellEnd"/>
      <w:r w:rsidR="002D25B4">
        <w:t xml:space="preserve">.  </w:t>
      </w:r>
      <w:r w:rsidR="00AF5074" w:rsidRPr="000D127B">
        <w:rPr>
          <w:bCs/>
        </w:rPr>
        <w:t xml:space="preserve">In </w:t>
      </w:r>
      <w:r w:rsidR="00AF5074" w:rsidRPr="000D127B">
        <w:rPr>
          <w:bCs/>
          <w:i/>
        </w:rPr>
        <w:t xml:space="preserve">Sydney Recycling </w:t>
      </w:r>
      <w:r w:rsidR="004A32A4" w:rsidRPr="000D127B">
        <w:rPr>
          <w:bCs/>
        </w:rPr>
        <w:t>Bathurst</w:t>
      </w:r>
      <w:r w:rsidRPr="000D127B">
        <w:rPr>
          <w:bCs/>
        </w:rPr>
        <w:t xml:space="preserve"> CJ and Payne JA </w:t>
      </w:r>
      <w:r w:rsidR="00AF5074" w:rsidRPr="000D127B">
        <w:rPr>
          <w:bCs/>
        </w:rPr>
        <w:t>at [</w:t>
      </w:r>
      <w:r w:rsidR="00BE56EA" w:rsidRPr="000D127B">
        <w:rPr>
          <w:bCs/>
        </w:rPr>
        <w:t>114]</w:t>
      </w:r>
      <w:r w:rsidR="00957666">
        <w:t>–</w:t>
      </w:r>
      <w:r w:rsidR="00BE56EA" w:rsidRPr="000D127B">
        <w:rPr>
          <w:bCs/>
        </w:rPr>
        <w:t>[115</w:t>
      </w:r>
      <w:r w:rsidR="00AF5074" w:rsidRPr="000D127B">
        <w:rPr>
          <w:bCs/>
        </w:rPr>
        <w:t xml:space="preserve">] </w:t>
      </w:r>
      <w:r w:rsidRPr="000D127B">
        <w:rPr>
          <w:bCs/>
        </w:rPr>
        <w:t xml:space="preserve">affirmed this distinction in the context of s 588FF, </w:t>
      </w:r>
      <w:r w:rsidR="00AF5074" w:rsidRPr="000D127B">
        <w:rPr>
          <w:iCs/>
        </w:rPr>
        <w:t>stating</w:t>
      </w:r>
      <w:r w:rsidRPr="000D127B">
        <w:rPr>
          <w:iCs/>
        </w:rPr>
        <w:t xml:space="preserve"> at [114]</w:t>
      </w:r>
      <w:r w:rsidR="00957666">
        <w:noBreakHyphen/>
      </w:r>
      <w:r w:rsidRPr="000D127B">
        <w:rPr>
          <w:iCs/>
        </w:rPr>
        <w:t>[115]</w:t>
      </w:r>
      <w:r w:rsidR="00AF5074" w:rsidRPr="000D127B">
        <w:rPr>
          <w:iCs/>
        </w:rPr>
        <w:t xml:space="preserve">: </w:t>
      </w:r>
    </w:p>
    <w:p w:rsidR="00AF5074" w:rsidRPr="000D127B" w:rsidRDefault="00AF5074" w:rsidP="00AF5074">
      <w:pPr>
        <w:pStyle w:val="Quote1"/>
        <w:ind w:left="1440" w:hanging="703"/>
        <w:rPr>
          <w:rFonts w:eastAsia="Times New Roman"/>
          <w:szCs w:val="24"/>
          <w:lang w:eastAsia="en-AU"/>
        </w:rPr>
      </w:pPr>
      <w:r w:rsidRPr="000D127B">
        <w:rPr>
          <w:rFonts w:eastAsia="Times New Roman"/>
          <w:szCs w:val="24"/>
          <w:lang w:eastAsia="en-AU"/>
        </w:rPr>
        <w:t>114.</w:t>
      </w:r>
      <w:r w:rsidRPr="000D127B">
        <w:rPr>
          <w:rFonts w:eastAsia="Times New Roman"/>
          <w:szCs w:val="24"/>
          <w:lang w:eastAsia="en-AU"/>
        </w:rPr>
        <w:tab/>
        <w:t>The reservation by the Full Court concerning cases where “that amendment does not involve a new cause of action” can be put to one side here</w:t>
      </w:r>
      <w:r w:rsidR="002D25B4">
        <w:rPr>
          <w:rFonts w:eastAsia="Times New Roman"/>
          <w:szCs w:val="24"/>
          <w:lang w:eastAsia="en-AU"/>
        </w:rPr>
        <w:t xml:space="preserve">.  </w:t>
      </w:r>
      <w:r w:rsidRPr="000D127B">
        <w:rPr>
          <w:rFonts w:eastAsia="Times New Roman"/>
          <w:szCs w:val="24"/>
          <w:lang w:eastAsia="en-AU"/>
        </w:rPr>
        <w:t xml:space="preserve">The reference to </w:t>
      </w:r>
      <w:r w:rsidRPr="000D127B">
        <w:rPr>
          <w:rFonts w:eastAsia="Times New Roman"/>
          <w:i/>
          <w:iCs/>
          <w:szCs w:val="24"/>
          <w:lang w:eastAsia="en-AU"/>
        </w:rPr>
        <w:t xml:space="preserve">Quick v </w:t>
      </w:r>
      <w:proofErr w:type="spellStart"/>
      <w:r w:rsidRPr="000D127B">
        <w:rPr>
          <w:rFonts w:eastAsia="Times New Roman"/>
          <w:i/>
          <w:iCs/>
          <w:szCs w:val="24"/>
          <w:lang w:eastAsia="en-AU"/>
        </w:rPr>
        <w:t>Stoland</w:t>
      </w:r>
      <w:proofErr w:type="spellEnd"/>
      <w:r w:rsidRPr="000D127B">
        <w:rPr>
          <w:rFonts w:eastAsia="Times New Roman"/>
          <w:szCs w:val="24"/>
          <w:lang w:eastAsia="en-AU"/>
        </w:rPr>
        <w:t xml:space="preserve"> makes it clear that what the Full Court was concerned with was carving out cases where the then </w:t>
      </w:r>
      <w:r w:rsidRPr="000D127B">
        <w:rPr>
          <w:rFonts w:eastAsia="Times New Roman"/>
          <w:i/>
          <w:iCs/>
          <w:szCs w:val="24"/>
          <w:lang w:eastAsia="en-AU"/>
        </w:rPr>
        <w:t>Corporations Law</w:t>
      </w:r>
      <w:r w:rsidRPr="000D127B">
        <w:rPr>
          <w:rFonts w:eastAsia="Times New Roman"/>
          <w:szCs w:val="24"/>
          <w:lang w:eastAsia="en-AU"/>
        </w:rPr>
        <w:t xml:space="preserve"> provided a specific mechanism which needed to be complied with before any proceedings could be commenced</w:t>
      </w:r>
      <w:r w:rsidR="002D25B4">
        <w:rPr>
          <w:rFonts w:eastAsia="Times New Roman"/>
          <w:szCs w:val="24"/>
          <w:lang w:eastAsia="en-AU"/>
        </w:rPr>
        <w:t xml:space="preserve">.  </w:t>
      </w:r>
      <w:r w:rsidRPr="000D127B">
        <w:rPr>
          <w:rFonts w:eastAsia="Times New Roman"/>
          <w:i/>
          <w:iCs/>
          <w:szCs w:val="24"/>
          <w:lang w:eastAsia="en-AU"/>
        </w:rPr>
        <w:t xml:space="preserve">Quick v </w:t>
      </w:r>
      <w:proofErr w:type="spellStart"/>
      <w:r w:rsidRPr="000D127B">
        <w:rPr>
          <w:rFonts w:eastAsia="Times New Roman"/>
          <w:i/>
          <w:iCs/>
          <w:szCs w:val="24"/>
          <w:lang w:eastAsia="en-AU"/>
        </w:rPr>
        <w:t>Stoland</w:t>
      </w:r>
      <w:proofErr w:type="spellEnd"/>
      <w:r w:rsidRPr="000D127B">
        <w:rPr>
          <w:rFonts w:eastAsia="Times New Roman"/>
          <w:szCs w:val="24"/>
          <w:lang w:eastAsia="en-AU"/>
        </w:rPr>
        <w:t xml:space="preserve"> was a case involving the meaning of the word “proceedings” in the former s </w:t>
      </w:r>
      <w:proofErr w:type="gramStart"/>
      <w:r w:rsidRPr="000D127B">
        <w:rPr>
          <w:rFonts w:eastAsia="Times New Roman"/>
          <w:szCs w:val="24"/>
          <w:lang w:eastAsia="en-AU"/>
        </w:rPr>
        <w:t>588R(</w:t>
      </w:r>
      <w:proofErr w:type="gramEnd"/>
      <w:r w:rsidRPr="000D127B">
        <w:rPr>
          <w:rFonts w:eastAsia="Times New Roman"/>
          <w:szCs w:val="24"/>
          <w:lang w:eastAsia="en-AU"/>
        </w:rPr>
        <w:t xml:space="preserve">1) of the </w:t>
      </w:r>
      <w:r w:rsidRPr="000D127B">
        <w:rPr>
          <w:rFonts w:eastAsia="Times New Roman"/>
          <w:i/>
          <w:iCs/>
          <w:szCs w:val="24"/>
          <w:lang w:eastAsia="en-AU"/>
        </w:rPr>
        <w:t>Corporations Law</w:t>
      </w:r>
      <w:r w:rsidR="002D25B4">
        <w:rPr>
          <w:rFonts w:eastAsia="Times New Roman"/>
          <w:szCs w:val="24"/>
          <w:lang w:eastAsia="en-AU"/>
        </w:rPr>
        <w:t xml:space="preserve">.  </w:t>
      </w:r>
      <w:r w:rsidRPr="000D127B">
        <w:rPr>
          <w:rFonts w:eastAsia="Times New Roman"/>
          <w:szCs w:val="24"/>
          <w:lang w:eastAsia="en-AU"/>
        </w:rPr>
        <w:t xml:space="preserve">In that case, the Full Court of the Federal Court dealt with the question of whether an amendment of a claim to add a cause of </w:t>
      </w:r>
      <w:r w:rsidRPr="000D127B">
        <w:rPr>
          <w:rFonts w:eastAsia="Times New Roman"/>
          <w:szCs w:val="24"/>
          <w:lang w:eastAsia="en-AU"/>
        </w:rPr>
        <w:lastRenderedPageBreak/>
        <w:t xml:space="preserve">action under s 588M of the former </w:t>
      </w:r>
      <w:r w:rsidRPr="000D127B">
        <w:rPr>
          <w:rFonts w:eastAsia="Times New Roman"/>
          <w:i/>
          <w:iCs/>
          <w:szCs w:val="24"/>
          <w:lang w:eastAsia="en-AU"/>
        </w:rPr>
        <w:t>Corporations Law</w:t>
      </w:r>
      <w:r w:rsidRPr="000D127B">
        <w:rPr>
          <w:rFonts w:eastAsia="Times New Roman"/>
          <w:szCs w:val="24"/>
          <w:lang w:eastAsia="en-AU"/>
        </w:rPr>
        <w:t xml:space="preserve"> to an existing claim under</w:t>
      </w:r>
      <w:r w:rsidR="00EE2B43" w:rsidRPr="000D127B">
        <w:rPr>
          <w:rFonts w:eastAsia="Times New Roman"/>
          <w:szCs w:val="24"/>
          <w:lang w:eastAsia="en-AU"/>
        </w:rPr>
        <w:t xml:space="preserve"> </w:t>
      </w:r>
      <w:r w:rsidRPr="000D127B">
        <w:rPr>
          <w:rFonts w:eastAsia="Times New Roman"/>
          <w:szCs w:val="24"/>
          <w:lang w:eastAsia="en-AU"/>
        </w:rPr>
        <w:t>s</w:t>
      </w:r>
      <w:r w:rsidR="00EE2B43" w:rsidRPr="000D127B">
        <w:rPr>
          <w:rFonts w:eastAsia="Times New Roman"/>
          <w:szCs w:val="24"/>
          <w:lang w:eastAsia="en-AU"/>
        </w:rPr>
        <w:t> </w:t>
      </w:r>
      <w:r w:rsidRPr="000D127B">
        <w:rPr>
          <w:rFonts w:eastAsia="Times New Roman"/>
          <w:szCs w:val="24"/>
          <w:lang w:eastAsia="en-AU"/>
        </w:rPr>
        <w:t>592 of the Law constituted “proceedings” for the purposes of s 588R(1)</w:t>
      </w:r>
      <w:r w:rsidR="002D25B4">
        <w:rPr>
          <w:rFonts w:eastAsia="Times New Roman"/>
          <w:szCs w:val="24"/>
          <w:lang w:eastAsia="en-AU"/>
        </w:rPr>
        <w:t xml:space="preserve">.  </w:t>
      </w:r>
      <w:r w:rsidRPr="000D127B">
        <w:rPr>
          <w:rFonts w:eastAsia="Times New Roman"/>
          <w:szCs w:val="24"/>
          <w:lang w:eastAsia="en-AU"/>
        </w:rPr>
        <w:t xml:space="preserve">It was held that “proceedings” are taken to include both the commencement of an action at law </w:t>
      </w:r>
      <w:r w:rsidRPr="000D127B">
        <w:rPr>
          <w:rFonts w:eastAsia="Times New Roman"/>
          <w:i/>
          <w:iCs/>
          <w:szCs w:val="24"/>
          <w:lang w:eastAsia="en-AU"/>
        </w:rPr>
        <w:t>and</w:t>
      </w:r>
      <w:r w:rsidRPr="000D127B">
        <w:rPr>
          <w:rFonts w:eastAsia="Times New Roman"/>
          <w:szCs w:val="24"/>
          <w:lang w:eastAsia="en-AU"/>
        </w:rPr>
        <w:t xml:space="preserve"> any step in that action (at 388)</w:t>
      </w:r>
      <w:r w:rsidR="002D25B4">
        <w:rPr>
          <w:rFonts w:eastAsia="Times New Roman"/>
          <w:szCs w:val="24"/>
          <w:lang w:eastAsia="en-AU"/>
        </w:rPr>
        <w:t xml:space="preserve">.  </w:t>
      </w:r>
      <w:r w:rsidRPr="000D127B">
        <w:rPr>
          <w:rFonts w:eastAsia="Times New Roman"/>
          <w:szCs w:val="24"/>
          <w:lang w:eastAsia="en-AU"/>
        </w:rPr>
        <w:t xml:space="preserve">That conclusion was reached in that case, as Finkelstein J explained, on the basis that under </w:t>
      </w:r>
      <w:r w:rsidR="00EE2B43" w:rsidRPr="000D127B">
        <w:rPr>
          <w:rFonts w:eastAsia="Times New Roman"/>
          <w:szCs w:val="24"/>
          <w:lang w:eastAsia="en-AU"/>
        </w:rPr>
        <w:t>s </w:t>
      </w:r>
      <w:proofErr w:type="gramStart"/>
      <w:r w:rsidRPr="000D127B">
        <w:rPr>
          <w:rFonts w:eastAsia="Times New Roman"/>
          <w:szCs w:val="24"/>
          <w:lang w:eastAsia="en-AU"/>
        </w:rPr>
        <w:t>588R(</w:t>
      </w:r>
      <w:proofErr w:type="gramEnd"/>
      <w:r w:rsidRPr="000D127B">
        <w:rPr>
          <w:rFonts w:eastAsia="Times New Roman"/>
          <w:szCs w:val="24"/>
          <w:lang w:eastAsia="en-AU"/>
        </w:rPr>
        <w:t>1) it was a requirement that the liquidator of the company concerned consent to the commencement of proceedings</w:t>
      </w:r>
      <w:r w:rsidR="002D25B4">
        <w:rPr>
          <w:rFonts w:eastAsia="Times New Roman"/>
          <w:szCs w:val="24"/>
          <w:lang w:eastAsia="en-AU"/>
        </w:rPr>
        <w:t xml:space="preserve">.  </w:t>
      </w:r>
      <w:r w:rsidRPr="000D127B">
        <w:rPr>
          <w:rFonts w:eastAsia="Times New Roman"/>
          <w:szCs w:val="24"/>
          <w:lang w:eastAsia="en-AU"/>
        </w:rPr>
        <w:t xml:space="preserve">In </w:t>
      </w:r>
      <w:r w:rsidRPr="000D127B">
        <w:rPr>
          <w:rFonts w:eastAsia="Times New Roman"/>
          <w:i/>
          <w:iCs/>
          <w:szCs w:val="24"/>
          <w:lang w:eastAsia="en-AU"/>
        </w:rPr>
        <w:t xml:space="preserve">Quick v </w:t>
      </w:r>
      <w:proofErr w:type="spellStart"/>
      <w:r w:rsidRPr="000D127B">
        <w:rPr>
          <w:rFonts w:eastAsia="Times New Roman"/>
          <w:i/>
          <w:iCs/>
          <w:szCs w:val="24"/>
          <w:lang w:eastAsia="en-AU"/>
        </w:rPr>
        <w:t>Stoland</w:t>
      </w:r>
      <w:proofErr w:type="spellEnd"/>
      <w:r w:rsidRPr="000D127B">
        <w:rPr>
          <w:rFonts w:eastAsia="Times New Roman"/>
          <w:szCs w:val="24"/>
          <w:lang w:eastAsia="en-AU"/>
        </w:rPr>
        <w:t>, proceedings under s 592 were commenced in 1992</w:t>
      </w:r>
      <w:r w:rsidR="002D25B4">
        <w:rPr>
          <w:rFonts w:eastAsia="Times New Roman"/>
          <w:szCs w:val="24"/>
          <w:lang w:eastAsia="en-AU"/>
        </w:rPr>
        <w:t xml:space="preserve">.  </w:t>
      </w:r>
      <w:r w:rsidRPr="000D127B">
        <w:rPr>
          <w:rFonts w:eastAsia="Times New Roman"/>
          <w:szCs w:val="24"/>
          <w:lang w:eastAsia="en-AU"/>
        </w:rPr>
        <w:t xml:space="preserve">Almost five years later, in 1997, the liquidator’s consent was obtained to commence proceedings under s </w:t>
      </w:r>
      <w:proofErr w:type="gramStart"/>
      <w:r w:rsidRPr="000D127B">
        <w:rPr>
          <w:rFonts w:eastAsia="Times New Roman"/>
          <w:szCs w:val="24"/>
          <w:lang w:eastAsia="en-AU"/>
        </w:rPr>
        <w:t>588R(</w:t>
      </w:r>
      <w:proofErr w:type="gramEnd"/>
      <w:r w:rsidRPr="000D127B">
        <w:rPr>
          <w:rFonts w:eastAsia="Times New Roman"/>
          <w:szCs w:val="24"/>
          <w:lang w:eastAsia="en-AU"/>
        </w:rPr>
        <w:t>1)</w:t>
      </w:r>
      <w:r w:rsidR="002D25B4">
        <w:rPr>
          <w:rFonts w:eastAsia="Times New Roman"/>
          <w:szCs w:val="24"/>
          <w:lang w:eastAsia="en-AU"/>
        </w:rPr>
        <w:t xml:space="preserve">.  </w:t>
      </w:r>
      <w:r w:rsidRPr="000D127B">
        <w:rPr>
          <w:rFonts w:eastAsia="Times New Roman"/>
          <w:szCs w:val="24"/>
          <w:lang w:eastAsia="en-AU"/>
        </w:rPr>
        <w:t>The original (s 592) proceedings were amended to add the</w:t>
      </w:r>
      <w:r w:rsidR="00CC76CB" w:rsidRPr="000D127B">
        <w:rPr>
          <w:rFonts w:eastAsia="Times New Roman"/>
          <w:szCs w:val="24"/>
          <w:lang w:eastAsia="en-AU"/>
        </w:rPr>
        <w:t xml:space="preserve"> </w:t>
      </w:r>
      <w:r w:rsidRPr="000D127B">
        <w:rPr>
          <w:rFonts w:eastAsia="Times New Roman"/>
          <w:szCs w:val="24"/>
          <w:lang w:eastAsia="en-AU"/>
        </w:rPr>
        <w:t>s</w:t>
      </w:r>
      <w:r w:rsidR="00EE2B43" w:rsidRPr="000D127B">
        <w:rPr>
          <w:rFonts w:eastAsia="Times New Roman"/>
          <w:szCs w:val="24"/>
          <w:lang w:eastAsia="en-AU"/>
        </w:rPr>
        <w:t> </w:t>
      </w:r>
      <w:proofErr w:type="gramStart"/>
      <w:r w:rsidRPr="000D127B">
        <w:rPr>
          <w:rFonts w:eastAsia="Times New Roman"/>
          <w:szCs w:val="24"/>
          <w:lang w:eastAsia="en-AU"/>
        </w:rPr>
        <w:t>588R(</w:t>
      </w:r>
      <w:proofErr w:type="gramEnd"/>
      <w:r w:rsidRPr="000D127B">
        <w:rPr>
          <w:rFonts w:eastAsia="Times New Roman"/>
          <w:szCs w:val="24"/>
          <w:lang w:eastAsia="en-AU"/>
        </w:rPr>
        <w:t>1) claims</w:t>
      </w:r>
      <w:r w:rsidR="002D25B4">
        <w:rPr>
          <w:rFonts w:eastAsia="Times New Roman"/>
          <w:szCs w:val="24"/>
          <w:lang w:eastAsia="en-AU"/>
        </w:rPr>
        <w:t xml:space="preserve">.  </w:t>
      </w:r>
      <w:r w:rsidRPr="000D127B">
        <w:rPr>
          <w:rFonts w:eastAsia="Times New Roman"/>
          <w:szCs w:val="24"/>
          <w:lang w:eastAsia="en-AU"/>
        </w:rPr>
        <w:t>That was held to be impermissible</w:t>
      </w:r>
      <w:r w:rsidR="002D25B4">
        <w:rPr>
          <w:rFonts w:eastAsia="Times New Roman"/>
          <w:szCs w:val="24"/>
          <w:lang w:eastAsia="en-AU"/>
        </w:rPr>
        <w:t xml:space="preserve">.  </w:t>
      </w:r>
      <w:r w:rsidRPr="000D127B">
        <w:rPr>
          <w:rFonts w:eastAsia="Times New Roman"/>
          <w:szCs w:val="24"/>
          <w:lang w:eastAsia="en-AU"/>
        </w:rPr>
        <w:t>It is in that sense that the Full Court is to be understood as carving out an amendment which “does not involve a new cause of action”.</w:t>
      </w:r>
    </w:p>
    <w:p w:rsidR="00AF5074" w:rsidRPr="000D127B" w:rsidRDefault="00BE56EA" w:rsidP="00AF5074">
      <w:pPr>
        <w:pStyle w:val="Quote1"/>
        <w:ind w:left="1440" w:hanging="703"/>
        <w:rPr>
          <w:rFonts w:eastAsia="Times New Roman"/>
          <w:szCs w:val="24"/>
          <w:lang w:eastAsia="en-AU"/>
        </w:rPr>
      </w:pPr>
      <w:r w:rsidRPr="000D127B">
        <w:rPr>
          <w:rFonts w:eastAsia="Times New Roman"/>
          <w:szCs w:val="24"/>
          <w:lang w:eastAsia="en-AU"/>
        </w:rPr>
        <w:t>115</w:t>
      </w:r>
      <w:r w:rsidR="00AF5074" w:rsidRPr="000D127B">
        <w:rPr>
          <w:rFonts w:eastAsia="Times New Roman"/>
          <w:szCs w:val="24"/>
          <w:lang w:eastAsia="en-AU"/>
        </w:rPr>
        <w:t>.</w:t>
      </w:r>
      <w:r w:rsidR="00AF5074" w:rsidRPr="000D127B">
        <w:rPr>
          <w:rFonts w:eastAsia="Times New Roman"/>
          <w:szCs w:val="24"/>
          <w:lang w:eastAsia="en-AU"/>
        </w:rPr>
        <w:tab/>
        <w:t xml:space="preserve">The reservation concerning </w:t>
      </w:r>
      <w:r w:rsidR="00AF5074" w:rsidRPr="000D127B">
        <w:rPr>
          <w:rFonts w:eastAsia="Times New Roman"/>
          <w:i/>
          <w:iCs/>
          <w:szCs w:val="24"/>
          <w:lang w:eastAsia="en-AU"/>
        </w:rPr>
        <w:t xml:space="preserve">Quick v </w:t>
      </w:r>
      <w:proofErr w:type="spellStart"/>
      <w:r w:rsidR="00AF5074" w:rsidRPr="000D127B">
        <w:rPr>
          <w:rFonts w:eastAsia="Times New Roman"/>
          <w:i/>
          <w:iCs/>
          <w:szCs w:val="24"/>
          <w:lang w:eastAsia="en-AU"/>
        </w:rPr>
        <w:t>Stoland</w:t>
      </w:r>
      <w:proofErr w:type="spellEnd"/>
      <w:r w:rsidR="00AF5074" w:rsidRPr="000D127B">
        <w:rPr>
          <w:rFonts w:eastAsia="Times New Roman"/>
          <w:szCs w:val="24"/>
          <w:lang w:eastAsia="en-AU"/>
        </w:rPr>
        <w:t xml:space="preserve"> does not apply to the present case which is relevantly identical to the amendment allowed in </w:t>
      </w:r>
      <w:r w:rsidR="00AF5074" w:rsidRPr="000D127B">
        <w:rPr>
          <w:rFonts w:eastAsia="Times New Roman"/>
          <w:i/>
          <w:iCs/>
          <w:szCs w:val="24"/>
          <w:lang w:eastAsia="en-AU"/>
        </w:rPr>
        <w:t>Rodgers</w:t>
      </w:r>
      <w:r w:rsidR="00AF5074" w:rsidRPr="000D127B">
        <w:rPr>
          <w:rFonts w:eastAsia="Times New Roman"/>
          <w:szCs w:val="24"/>
          <w:lang w:eastAsia="en-AU"/>
        </w:rPr>
        <w:t xml:space="preserve">, being two further payments, one being another group tax payment and the other being a group tax penalty payment made by the company, added by amendment after the expiry of the period fixed by s </w:t>
      </w:r>
      <w:proofErr w:type="gramStart"/>
      <w:r w:rsidR="00AF5074" w:rsidRPr="000D127B">
        <w:rPr>
          <w:rFonts w:eastAsia="Times New Roman"/>
          <w:szCs w:val="24"/>
          <w:lang w:eastAsia="en-AU"/>
        </w:rPr>
        <w:t>588FF(</w:t>
      </w:r>
      <w:proofErr w:type="gramEnd"/>
      <w:r w:rsidR="00AF5074" w:rsidRPr="000D127B">
        <w:rPr>
          <w:rFonts w:eastAsia="Times New Roman"/>
          <w:szCs w:val="24"/>
          <w:lang w:eastAsia="en-AU"/>
        </w:rPr>
        <w:t>3).</w:t>
      </w:r>
    </w:p>
    <w:p w:rsidR="00D1550F" w:rsidRPr="000D127B" w:rsidRDefault="00AF5074" w:rsidP="0065532B">
      <w:pPr>
        <w:pStyle w:val="NoNum"/>
        <w:rPr>
          <w:lang w:eastAsia="en-AU"/>
        </w:rPr>
      </w:pPr>
      <w:r w:rsidRPr="000D127B">
        <w:rPr>
          <w:lang w:eastAsia="en-AU"/>
        </w:rPr>
        <w:t xml:space="preserve">I </w:t>
      </w:r>
      <w:r w:rsidR="00BE56EA" w:rsidRPr="000D127B">
        <w:rPr>
          <w:lang w:eastAsia="en-AU"/>
        </w:rPr>
        <w:t>respectfully</w:t>
      </w:r>
      <w:r w:rsidR="0066414B" w:rsidRPr="000D127B">
        <w:rPr>
          <w:lang w:eastAsia="en-AU"/>
        </w:rPr>
        <w:t xml:space="preserve"> agree. </w:t>
      </w:r>
    </w:p>
    <w:p w:rsidR="00B01773" w:rsidRPr="000D127B" w:rsidRDefault="00B01773" w:rsidP="00017B82">
      <w:pPr>
        <w:pStyle w:val="ParaNumbering"/>
        <w:numPr>
          <w:ilvl w:val="0"/>
          <w:numId w:val="30"/>
        </w:numPr>
        <w:rPr>
          <w:lang w:eastAsia="en-AU"/>
        </w:rPr>
      </w:pPr>
      <w:r w:rsidRPr="000D127B">
        <w:t xml:space="preserve">I have concluded that </w:t>
      </w:r>
      <w:r w:rsidRPr="000D127B">
        <w:rPr>
          <w:i/>
          <w:lang w:eastAsia="en-AU"/>
        </w:rPr>
        <w:t>Rodgers</w:t>
      </w:r>
      <w:r w:rsidRPr="000D127B">
        <w:t xml:space="preserve"> remains good law and</w:t>
      </w:r>
      <w:r w:rsidR="00C53CF5" w:rsidRPr="000D127B">
        <w:t xml:space="preserve"> accordingly</w:t>
      </w:r>
      <w:r w:rsidRPr="000D127B">
        <w:t xml:space="preserve"> I am bound to follow and apply that decision</w:t>
      </w:r>
      <w:r w:rsidR="002D25B4">
        <w:t xml:space="preserve">.  </w:t>
      </w:r>
      <w:r w:rsidRPr="000D127B">
        <w:t xml:space="preserve">For the sake of completeness, </w:t>
      </w:r>
      <w:r w:rsidRPr="000D127B">
        <w:rPr>
          <w:lang w:eastAsia="en-AU"/>
        </w:rPr>
        <w:t xml:space="preserve">I note and also reject the submission that the decision in </w:t>
      </w:r>
      <w:r w:rsidRPr="000D127B">
        <w:rPr>
          <w:i/>
          <w:lang w:eastAsia="en-AU"/>
        </w:rPr>
        <w:t>Rodgers</w:t>
      </w:r>
      <w:r w:rsidRPr="000D127B">
        <w:rPr>
          <w:lang w:eastAsia="en-AU"/>
        </w:rPr>
        <w:t xml:space="preserve"> rested upon two “flawed” premises, namely th</w:t>
      </w:r>
      <w:r w:rsidR="008D6656" w:rsidRPr="000D127B">
        <w:rPr>
          <w:lang w:eastAsia="en-AU"/>
        </w:rPr>
        <w:t>at: (1) the time provision in s </w:t>
      </w:r>
      <w:proofErr w:type="gramStart"/>
      <w:r w:rsidRPr="000D127B">
        <w:rPr>
          <w:lang w:eastAsia="en-AU"/>
        </w:rPr>
        <w:t>588FF(</w:t>
      </w:r>
      <w:proofErr w:type="gramEnd"/>
      <w:r w:rsidRPr="000D127B">
        <w:rPr>
          <w:lang w:eastAsia="en-AU"/>
        </w:rPr>
        <w:t xml:space="preserve">3) was procedural rather than substantive in nature; and (2) the </w:t>
      </w:r>
      <w:r w:rsidR="00C53CF5" w:rsidRPr="000D127B">
        <w:rPr>
          <w:lang w:eastAsia="en-AU"/>
        </w:rPr>
        <w:t>intention of the drafters of O 13 r 2, which, it argued, was an irrelevant inquiry and an illegitimate approach in resolving the construction question</w:t>
      </w:r>
      <w:r w:rsidR="002D25B4">
        <w:rPr>
          <w:lang w:eastAsia="en-AU"/>
        </w:rPr>
        <w:t xml:space="preserve">.  </w:t>
      </w:r>
      <w:r w:rsidRPr="000D127B">
        <w:rPr>
          <w:lang w:eastAsia="en-AU"/>
        </w:rPr>
        <w:t xml:space="preserve">To the contrary of those submissions, the reasoning in </w:t>
      </w:r>
      <w:r w:rsidRPr="000D127B">
        <w:rPr>
          <w:i/>
          <w:lang w:eastAsia="en-AU"/>
        </w:rPr>
        <w:t>Ro</w:t>
      </w:r>
      <w:r w:rsidR="00D96B9D">
        <w:rPr>
          <w:i/>
          <w:lang w:eastAsia="en-AU"/>
        </w:rPr>
        <w:t>d</w:t>
      </w:r>
      <w:r w:rsidRPr="000D127B">
        <w:rPr>
          <w:i/>
          <w:lang w:eastAsia="en-AU"/>
        </w:rPr>
        <w:t xml:space="preserve">gers </w:t>
      </w:r>
      <w:r w:rsidRPr="000D127B">
        <w:rPr>
          <w:lang w:eastAsia="en-AU"/>
        </w:rPr>
        <w:t>was not predicated on either asserted “flawed premises” bu</w:t>
      </w:r>
      <w:r w:rsidR="009E2B1A" w:rsidRPr="000D127B">
        <w:rPr>
          <w:lang w:eastAsia="en-AU"/>
        </w:rPr>
        <w:t>t</w:t>
      </w:r>
      <w:r w:rsidRPr="000D127B">
        <w:rPr>
          <w:lang w:eastAsia="en-AU"/>
        </w:rPr>
        <w:t xml:space="preserve"> rather on the basis o</w:t>
      </w:r>
      <w:r w:rsidR="009E2B1A" w:rsidRPr="000D127B">
        <w:rPr>
          <w:lang w:eastAsia="en-AU"/>
        </w:rPr>
        <w:t>f</w:t>
      </w:r>
      <w:r w:rsidRPr="000D127B">
        <w:rPr>
          <w:lang w:eastAsia="en-AU"/>
        </w:rPr>
        <w:t xml:space="preserve"> the analysis that once the jurisdictional requirements for the making of the application are met, the conduct of the litigation, including the amendment power, is regulated by the </w:t>
      </w:r>
      <w:r w:rsidR="007B669B" w:rsidRPr="000D127B">
        <w:rPr>
          <w:rFonts w:ascii="TimesNewRoman" w:hAnsi="TimesNewRoman" w:cs="TimesNewRoman"/>
          <w:i/>
          <w:szCs w:val="24"/>
          <w:lang w:eastAsia="en-AU"/>
        </w:rPr>
        <w:t>Federal Court Rules</w:t>
      </w:r>
      <w:r w:rsidR="002D25B4">
        <w:rPr>
          <w:lang w:eastAsia="en-AU"/>
        </w:rPr>
        <w:t xml:space="preserve">.  </w:t>
      </w:r>
      <w:r w:rsidRPr="000D127B">
        <w:rPr>
          <w:lang w:eastAsia="en-AU"/>
        </w:rPr>
        <w:t xml:space="preserve">In this regard, the decision is on all fours with </w:t>
      </w:r>
      <w:proofErr w:type="spellStart"/>
      <w:r w:rsidRPr="000D127B">
        <w:rPr>
          <w:i/>
          <w:lang w:eastAsia="en-AU"/>
        </w:rPr>
        <w:t>Tolcher</w:t>
      </w:r>
      <w:proofErr w:type="spellEnd"/>
      <w:r w:rsidRPr="000D127B">
        <w:rPr>
          <w:i/>
          <w:lang w:eastAsia="en-AU"/>
        </w:rPr>
        <w:t xml:space="preserve"> </w:t>
      </w:r>
      <w:r w:rsidRPr="000D127B">
        <w:rPr>
          <w:lang w:eastAsia="en-AU"/>
        </w:rPr>
        <w:t>at [40].</w:t>
      </w:r>
    </w:p>
    <w:p w:rsidR="00AF5074" w:rsidRPr="000D127B" w:rsidRDefault="00E6186D" w:rsidP="00E6186D">
      <w:pPr>
        <w:pStyle w:val="Heading2"/>
      </w:pPr>
      <w:r w:rsidRPr="000D127B">
        <w:rPr>
          <w:lang w:eastAsia="en-AU"/>
        </w:rPr>
        <w:t>Did r 8.21 authorise the amendments?</w:t>
      </w:r>
    </w:p>
    <w:p w:rsidR="00702D33" w:rsidRPr="000D127B" w:rsidRDefault="00702D33" w:rsidP="00017B82">
      <w:pPr>
        <w:pStyle w:val="ParaNumbering"/>
        <w:numPr>
          <w:ilvl w:val="0"/>
          <w:numId w:val="30"/>
        </w:numPr>
        <w:rPr>
          <w:lang w:eastAsia="en-AU"/>
        </w:rPr>
      </w:pPr>
      <w:r w:rsidRPr="000D127B">
        <w:rPr>
          <w:lang w:eastAsia="en-AU"/>
        </w:rPr>
        <w:t>Two issues arise in this context</w:t>
      </w:r>
      <w:r w:rsidR="002D25B4">
        <w:rPr>
          <w:lang w:eastAsia="en-AU"/>
        </w:rPr>
        <w:t xml:space="preserve">.  </w:t>
      </w:r>
      <w:r w:rsidRPr="000D127B">
        <w:rPr>
          <w:lang w:eastAsia="en-AU"/>
        </w:rPr>
        <w:t>The first issue</w:t>
      </w:r>
      <w:r w:rsidR="005745FB" w:rsidRPr="000D127B">
        <w:rPr>
          <w:lang w:eastAsia="en-AU"/>
        </w:rPr>
        <w:t xml:space="preserve"> raised by the SA defendant</w:t>
      </w:r>
      <w:r w:rsidR="000957C1" w:rsidRPr="000D127B">
        <w:rPr>
          <w:lang w:eastAsia="en-AU"/>
        </w:rPr>
        <w:t xml:space="preserve"> is whether</w:t>
      </w:r>
      <w:r w:rsidR="00EE2B43" w:rsidRPr="000D127B">
        <w:rPr>
          <w:lang w:eastAsia="en-AU"/>
        </w:rPr>
        <w:t xml:space="preserve"> </w:t>
      </w:r>
      <w:r w:rsidR="00414CFD" w:rsidRPr="000D127B">
        <w:rPr>
          <w:lang w:eastAsia="en-AU"/>
        </w:rPr>
        <w:t>r</w:t>
      </w:r>
      <w:r w:rsidR="00EE2B43" w:rsidRPr="000D127B">
        <w:rPr>
          <w:lang w:eastAsia="en-AU"/>
        </w:rPr>
        <w:t> </w:t>
      </w:r>
      <w:r w:rsidR="00414CFD" w:rsidRPr="000D127B">
        <w:rPr>
          <w:lang w:eastAsia="en-AU"/>
        </w:rPr>
        <w:t>8.21(g</w:t>
      </w:r>
      <w:proofErr w:type="gramStart"/>
      <w:r w:rsidR="00414CFD" w:rsidRPr="000D127B">
        <w:rPr>
          <w:lang w:eastAsia="en-AU"/>
        </w:rPr>
        <w:t>)(</w:t>
      </w:r>
      <w:proofErr w:type="spellStart"/>
      <w:proofErr w:type="gramEnd"/>
      <w:r w:rsidR="00414CFD" w:rsidRPr="000D127B">
        <w:rPr>
          <w:lang w:eastAsia="en-AU"/>
        </w:rPr>
        <w:t>i</w:t>
      </w:r>
      <w:proofErr w:type="spellEnd"/>
      <w:r w:rsidR="00414CFD" w:rsidRPr="000D127B">
        <w:rPr>
          <w:lang w:eastAsia="en-AU"/>
        </w:rPr>
        <w:t xml:space="preserve">) permits </w:t>
      </w:r>
      <w:r w:rsidR="006E1F4B" w:rsidRPr="000D127B">
        <w:t xml:space="preserve">amendments </w:t>
      </w:r>
      <w:r w:rsidR="008376BD" w:rsidRPr="000D127B">
        <w:t xml:space="preserve">adding new material facts </w:t>
      </w:r>
      <w:r w:rsidR="006E1F4B" w:rsidRPr="000D127B">
        <w:t>to</w:t>
      </w:r>
      <w:r w:rsidR="001A0E95" w:rsidRPr="000D127B">
        <w:t xml:space="preserve"> </w:t>
      </w:r>
      <w:r w:rsidR="005745FB" w:rsidRPr="000D127B">
        <w:t xml:space="preserve">support </w:t>
      </w:r>
      <w:r w:rsidR="008376BD" w:rsidRPr="000D127B">
        <w:t xml:space="preserve">a </w:t>
      </w:r>
      <w:r w:rsidR="005745FB" w:rsidRPr="000D127B">
        <w:t xml:space="preserve">new </w:t>
      </w:r>
      <w:r w:rsidR="008376BD" w:rsidRPr="000D127B">
        <w:t>cause</w:t>
      </w:r>
      <w:r w:rsidR="005745FB" w:rsidRPr="000D127B">
        <w:t xml:space="preserve"> of action </w:t>
      </w:r>
      <w:r w:rsidR="006E1F4B" w:rsidRPr="000D127B">
        <w:t xml:space="preserve">after the expiry of </w:t>
      </w:r>
      <w:r w:rsidR="008376BD" w:rsidRPr="000D127B">
        <w:t>a limitation perio</w:t>
      </w:r>
      <w:r w:rsidR="009E2B1A" w:rsidRPr="000D127B">
        <w:t xml:space="preserve">d in which the cause of action </w:t>
      </w:r>
      <w:r w:rsidR="008376BD" w:rsidRPr="000D127B">
        <w:t>may be brought</w:t>
      </w:r>
      <w:r w:rsidR="002D25B4">
        <w:t xml:space="preserve">.  </w:t>
      </w:r>
      <w:r w:rsidR="006E1F4B" w:rsidRPr="000D127B">
        <w:rPr>
          <w:lang w:eastAsia="en-AU"/>
        </w:rPr>
        <w:t xml:space="preserve">The </w:t>
      </w:r>
      <w:r w:rsidR="001428A7" w:rsidRPr="000D127B">
        <w:rPr>
          <w:lang w:eastAsia="en-AU"/>
        </w:rPr>
        <w:t xml:space="preserve">second issue is whether </w:t>
      </w:r>
      <w:r w:rsidR="00414CFD" w:rsidRPr="000D127B">
        <w:rPr>
          <w:lang w:eastAsia="en-AU"/>
        </w:rPr>
        <w:t xml:space="preserve">the amendments arose out </w:t>
      </w:r>
      <w:r w:rsidR="00D96B9D">
        <w:rPr>
          <w:lang w:eastAsia="en-AU"/>
        </w:rPr>
        <w:t xml:space="preserve">of </w:t>
      </w:r>
      <w:r w:rsidR="00414CFD" w:rsidRPr="000D127B">
        <w:rPr>
          <w:lang w:eastAsia="en-AU"/>
        </w:rPr>
        <w:t xml:space="preserve">“the same facts </w:t>
      </w:r>
      <w:r w:rsidR="00F949CF" w:rsidRPr="000D127B">
        <w:rPr>
          <w:lang w:eastAsia="en-AU"/>
        </w:rPr>
        <w:t xml:space="preserve">or substantially </w:t>
      </w:r>
      <w:r w:rsidR="00414CFD" w:rsidRPr="000D127B">
        <w:rPr>
          <w:rFonts w:ascii="TimesNewRoman" w:hAnsi="TimesNewRoman" w:cs="TimesNewRoman"/>
          <w:szCs w:val="22"/>
          <w:lang w:eastAsia="en-AU"/>
        </w:rPr>
        <w:t>the same facts as those already pleaded”.</w:t>
      </w:r>
      <w:r w:rsidR="00503F58" w:rsidRPr="000D127B">
        <w:rPr>
          <w:rFonts w:ascii="TimesNewRoman" w:hAnsi="TimesNewRoman" w:cs="TimesNewRoman"/>
          <w:szCs w:val="22"/>
          <w:lang w:eastAsia="en-AU"/>
        </w:rPr>
        <w:t xml:space="preserve"> </w:t>
      </w:r>
    </w:p>
    <w:p w:rsidR="00CA4838" w:rsidRPr="000D127B" w:rsidRDefault="00414CFD" w:rsidP="00414CFD">
      <w:pPr>
        <w:pStyle w:val="Heading3"/>
        <w:rPr>
          <w:lang w:eastAsia="en-AU"/>
        </w:rPr>
      </w:pPr>
      <w:r w:rsidRPr="000D127B">
        <w:rPr>
          <w:lang w:eastAsia="en-AU"/>
        </w:rPr>
        <w:lastRenderedPageBreak/>
        <w:t>The first issue</w:t>
      </w:r>
    </w:p>
    <w:p w:rsidR="00B10EE3" w:rsidRPr="000D127B" w:rsidRDefault="00F84B69" w:rsidP="00017B82">
      <w:pPr>
        <w:pStyle w:val="ParaNumbering"/>
        <w:numPr>
          <w:ilvl w:val="0"/>
          <w:numId w:val="30"/>
        </w:numPr>
        <w:rPr>
          <w:lang w:eastAsia="en-AU"/>
        </w:rPr>
      </w:pPr>
      <w:r w:rsidRPr="000D127B">
        <w:rPr>
          <w:lang w:eastAsia="en-AU"/>
        </w:rPr>
        <w:t xml:space="preserve">Senior counsel for the SA defendant argued on the authority of </w:t>
      </w:r>
      <w:r w:rsidRPr="000D127B">
        <w:rPr>
          <w:i/>
          <w:lang w:eastAsia="en-AU"/>
        </w:rPr>
        <w:t>Advanced Switching Services Pty Ltd v State Bank of New South Wales t/as Colonial State Bank)</w:t>
      </w:r>
      <w:r w:rsidRPr="000D127B">
        <w:rPr>
          <w:lang w:eastAsia="en-AU"/>
        </w:rPr>
        <w:t xml:space="preserve"> [2007] FCA 954 </w:t>
      </w:r>
      <w:r w:rsidR="002D1646" w:rsidRPr="000D127B">
        <w:rPr>
          <w:lang w:eastAsia="en-AU"/>
        </w:rPr>
        <w:t>(“</w:t>
      </w:r>
      <w:r w:rsidR="002D1646" w:rsidRPr="000D127B">
        <w:rPr>
          <w:b/>
          <w:i/>
          <w:lang w:eastAsia="en-AU"/>
        </w:rPr>
        <w:t>Advanced Switching Services</w:t>
      </w:r>
      <w:r w:rsidR="002D1646" w:rsidRPr="000D127B">
        <w:rPr>
          <w:lang w:eastAsia="en-AU"/>
        </w:rPr>
        <w:t xml:space="preserve">“) </w:t>
      </w:r>
      <w:r w:rsidRPr="000D127B">
        <w:rPr>
          <w:lang w:eastAsia="en-AU"/>
        </w:rPr>
        <w:t xml:space="preserve">and </w:t>
      </w:r>
      <w:proofErr w:type="spellStart"/>
      <w:r w:rsidRPr="000D127B">
        <w:rPr>
          <w:i/>
          <w:lang w:eastAsia="en-AU"/>
        </w:rPr>
        <w:t>Skiwing</w:t>
      </w:r>
      <w:proofErr w:type="spellEnd"/>
      <w:r w:rsidRPr="000D127B">
        <w:rPr>
          <w:i/>
          <w:lang w:eastAsia="en-AU"/>
        </w:rPr>
        <w:t xml:space="preserve"> Pty Ltd t/as Café Tiffany’s v Trust Company of Australia Ltd (Stockland Property Management Ltd) </w:t>
      </w:r>
      <w:r w:rsidRPr="000D127B">
        <w:rPr>
          <w:lang w:eastAsia="en-AU"/>
        </w:rPr>
        <w:t xml:space="preserve">[2009] FCA 347 </w:t>
      </w:r>
      <w:r w:rsidR="002D1646" w:rsidRPr="000D127B">
        <w:rPr>
          <w:lang w:eastAsia="en-AU"/>
        </w:rPr>
        <w:t>(“</w:t>
      </w:r>
      <w:proofErr w:type="spellStart"/>
      <w:r w:rsidR="002D1646" w:rsidRPr="000D127B">
        <w:rPr>
          <w:b/>
          <w:i/>
          <w:lang w:eastAsia="en-AU"/>
        </w:rPr>
        <w:t>Skiwing</w:t>
      </w:r>
      <w:proofErr w:type="spellEnd"/>
      <w:r w:rsidR="002D1646" w:rsidRPr="000D127B">
        <w:rPr>
          <w:i/>
          <w:lang w:eastAsia="en-AU"/>
        </w:rPr>
        <w:t>”</w:t>
      </w:r>
      <w:r w:rsidR="002D1646" w:rsidRPr="000D127B">
        <w:rPr>
          <w:lang w:eastAsia="en-AU"/>
        </w:rPr>
        <w:t xml:space="preserve">) </w:t>
      </w:r>
      <w:r w:rsidR="0065532B" w:rsidRPr="000D127B">
        <w:rPr>
          <w:lang w:eastAsia="en-AU"/>
        </w:rPr>
        <w:t>that r </w:t>
      </w:r>
      <w:r w:rsidRPr="000D127B">
        <w:rPr>
          <w:lang w:eastAsia="en-AU"/>
        </w:rPr>
        <w:t>8.21(g)(</w:t>
      </w:r>
      <w:proofErr w:type="spellStart"/>
      <w:r w:rsidRPr="000D127B">
        <w:rPr>
          <w:lang w:eastAsia="en-AU"/>
        </w:rPr>
        <w:t>i</w:t>
      </w:r>
      <w:proofErr w:type="spellEnd"/>
      <w:r w:rsidRPr="000D127B">
        <w:rPr>
          <w:lang w:eastAsia="en-AU"/>
        </w:rPr>
        <w:t xml:space="preserve">) </w:t>
      </w:r>
      <w:r w:rsidR="008376BD" w:rsidRPr="000D127B">
        <w:rPr>
          <w:lang w:eastAsia="en-AU"/>
        </w:rPr>
        <w:t>only permits the addition of “a new claim for relief” or “a new</w:t>
      </w:r>
      <w:r w:rsidR="00951BCD" w:rsidRPr="000D127B">
        <w:rPr>
          <w:rFonts w:ascii="Arial" w:hAnsi="Arial" w:cs="Arial"/>
          <w:sz w:val="19"/>
          <w:szCs w:val="19"/>
        </w:rPr>
        <w:t xml:space="preserve"> </w:t>
      </w:r>
      <w:r w:rsidR="00951BCD" w:rsidRPr="000D127B">
        <w:rPr>
          <w:szCs w:val="24"/>
        </w:rPr>
        <w:t>foundation in law for a claim for relief” but</w:t>
      </w:r>
      <w:r w:rsidR="008376BD" w:rsidRPr="000D127B">
        <w:rPr>
          <w:lang w:eastAsia="en-AU"/>
        </w:rPr>
        <w:t xml:space="preserve"> </w:t>
      </w:r>
      <w:r w:rsidRPr="000D127B">
        <w:rPr>
          <w:lang w:eastAsia="en-AU"/>
        </w:rPr>
        <w:t>does not authori</w:t>
      </w:r>
      <w:r w:rsidR="009E2B1A" w:rsidRPr="000D127B">
        <w:rPr>
          <w:lang w:eastAsia="en-AU"/>
        </w:rPr>
        <w:t>s</w:t>
      </w:r>
      <w:r w:rsidRPr="000D127B">
        <w:rPr>
          <w:lang w:eastAsia="en-AU"/>
        </w:rPr>
        <w:t xml:space="preserve">e </w:t>
      </w:r>
      <w:r w:rsidR="00951BCD" w:rsidRPr="000D127B">
        <w:rPr>
          <w:lang w:eastAsia="en-AU"/>
        </w:rPr>
        <w:t xml:space="preserve">amendments adding new material facts </w:t>
      </w:r>
      <w:r w:rsidR="00C82236" w:rsidRPr="000D127B">
        <w:rPr>
          <w:lang w:eastAsia="en-AU"/>
        </w:rPr>
        <w:t>in support of the</w:t>
      </w:r>
      <w:r w:rsidRPr="000D127B">
        <w:rPr>
          <w:lang w:eastAsia="en-AU"/>
        </w:rPr>
        <w:t xml:space="preserve"> new </w:t>
      </w:r>
      <w:r w:rsidR="00C82236" w:rsidRPr="000D127B">
        <w:rPr>
          <w:lang w:eastAsia="en-AU"/>
        </w:rPr>
        <w:t xml:space="preserve">claim if that claim is not made within </w:t>
      </w:r>
      <w:r w:rsidRPr="000D127B">
        <w:rPr>
          <w:lang w:eastAsia="en-AU"/>
        </w:rPr>
        <w:t>the limitation period</w:t>
      </w:r>
      <w:r w:rsidR="002D25B4">
        <w:rPr>
          <w:lang w:eastAsia="en-AU"/>
        </w:rPr>
        <w:t xml:space="preserve">.  </w:t>
      </w:r>
      <w:r w:rsidR="00744480" w:rsidRPr="000D127B">
        <w:rPr>
          <w:lang w:eastAsia="en-AU"/>
        </w:rPr>
        <w:t xml:space="preserve">In </w:t>
      </w:r>
      <w:r w:rsidR="00744480" w:rsidRPr="000D127B">
        <w:rPr>
          <w:i/>
          <w:lang w:eastAsia="en-AU"/>
        </w:rPr>
        <w:t>Advance</w:t>
      </w:r>
      <w:r w:rsidR="00C30B56" w:rsidRPr="000D127B">
        <w:rPr>
          <w:i/>
          <w:lang w:eastAsia="en-AU"/>
        </w:rPr>
        <w:t>d</w:t>
      </w:r>
      <w:r w:rsidR="00744480" w:rsidRPr="000D127B">
        <w:rPr>
          <w:i/>
          <w:lang w:eastAsia="en-AU"/>
        </w:rPr>
        <w:t xml:space="preserve"> Switching Services </w:t>
      </w:r>
      <w:r w:rsidR="00744480" w:rsidRPr="000D127B">
        <w:rPr>
          <w:lang w:eastAsia="en-AU"/>
        </w:rPr>
        <w:t xml:space="preserve">Rares J refused an application </w:t>
      </w:r>
      <w:r w:rsidR="004A32A4" w:rsidRPr="000D127B">
        <w:rPr>
          <w:lang w:eastAsia="en-AU"/>
        </w:rPr>
        <w:t xml:space="preserve">pursuant to O 13 r 2, the predecessor provision to r 8.21, </w:t>
      </w:r>
      <w:r w:rsidR="00744480" w:rsidRPr="000D127B">
        <w:rPr>
          <w:lang w:eastAsia="en-AU"/>
        </w:rPr>
        <w:t xml:space="preserve">to amend a statement of claim to add material facts necessary to complete a defective pleading of the cause of action, after </w:t>
      </w:r>
      <w:r w:rsidR="00C82236" w:rsidRPr="000D127B">
        <w:rPr>
          <w:lang w:eastAsia="en-AU"/>
        </w:rPr>
        <w:t xml:space="preserve">the </w:t>
      </w:r>
      <w:r w:rsidR="00744480" w:rsidRPr="000D127B">
        <w:rPr>
          <w:lang w:eastAsia="en-AU"/>
        </w:rPr>
        <w:t>cause of action</w:t>
      </w:r>
      <w:r w:rsidR="00C82236" w:rsidRPr="000D127B">
        <w:rPr>
          <w:lang w:eastAsia="en-AU"/>
        </w:rPr>
        <w:t xml:space="preserve"> had become statue barred</w:t>
      </w:r>
      <w:r w:rsidR="00744480" w:rsidRPr="000D127B">
        <w:rPr>
          <w:lang w:eastAsia="en-AU"/>
        </w:rPr>
        <w:t xml:space="preserve">.  In </w:t>
      </w:r>
      <w:proofErr w:type="spellStart"/>
      <w:r w:rsidR="00744480" w:rsidRPr="000D127B">
        <w:rPr>
          <w:i/>
          <w:lang w:eastAsia="en-AU"/>
        </w:rPr>
        <w:t>Skiwing</w:t>
      </w:r>
      <w:proofErr w:type="spellEnd"/>
      <w:r w:rsidR="00744480" w:rsidRPr="000D127B">
        <w:rPr>
          <w:i/>
          <w:lang w:eastAsia="en-AU"/>
        </w:rPr>
        <w:t xml:space="preserve"> </w:t>
      </w:r>
      <w:r w:rsidR="00744480" w:rsidRPr="000D127B">
        <w:rPr>
          <w:lang w:eastAsia="en-AU"/>
        </w:rPr>
        <w:t xml:space="preserve">Buchanan J followed </w:t>
      </w:r>
      <w:r w:rsidR="00744480" w:rsidRPr="000D127B">
        <w:rPr>
          <w:i/>
          <w:lang w:eastAsia="en-AU"/>
        </w:rPr>
        <w:t xml:space="preserve">Advanced Switching Services </w:t>
      </w:r>
      <w:r w:rsidR="00B10EE3" w:rsidRPr="000D127B">
        <w:rPr>
          <w:lang w:eastAsia="en-AU"/>
        </w:rPr>
        <w:t>“</w:t>
      </w:r>
      <w:r w:rsidR="00744480" w:rsidRPr="000D127B">
        <w:rPr>
          <w:lang w:eastAsia="en-AU"/>
        </w:rPr>
        <w:t>as a matter of comity</w:t>
      </w:r>
      <w:r w:rsidR="00B10EE3" w:rsidRPr="000D127B">
        <w:rPr>
          <w:lang w:eastAsia="en-AU"/>
        </w:rPr>
        <w:t>”</w:t>
      </w:r>
      <w:r w:rsidR="00C30B56" w:rsidRPr="000D127B">
        <w:rPr>
          <w:lang w:eastAsia="en-AU"/>
        </w:rPr>
        <w:t xml:space="preserve"> in refusing an application to join an additional party as an applicant and to amend the existing pleadings to </w:t>
      </w:r>
      <w:r w:rsidR="00A15932" w:rsidRPr="000D127B">
        <w:rPr>
          <w:lang w:eastAsia="en-AU"/>
        </w:rPr>
        <w:t xml:space="preserve">plead new material facts to support a new </w:t>
      </w:r>
      <w:r w:rsidR="00C30B56" w:rsidRPr="000D127B">
        <w:rPr>
          <w:lang w:eastAsia="en-AU"/>
        </w:rPr>
        <w:t>cause of action by the added party against the respondent in circumstances where that cause of act</w:t>
      </w:r>
      <w:r w:rsidR="005745FB" w:rsidRPr="000D127B">
        <w:rPr>
          <w:lang w:eastAsia="en-AU"/>
        </w:rPr>
        <w:t xml:space="preserve">ion was then statute barred.  </w:t>
      </w:r>
    </w:p>
    <w:p w:rsidR="00E14953" w:rsidRPr="000D127B" w:rsidRDefault="00C82236" w:rsidP="00017B82">
      <w:pPr>
        <w:pStyle w:val="ParaNumbering"/>
        <w:numPr>
          <w:ilvl w:val="0"/>
          <w:numId w:val="30"/>
        </w:numPr>
        <w:rPr>
          <w:lang w:eastAsia="en-AU"/>
        </w:rPr>
      </w:pPr>
      <w:r w:rsidRPr="000D127B">
        <w:rPr>
          <w:i/>
          <w:lang w:eastAsia="en-AU"/>
        </w:rPr>
        <w:t xml:space="preserve">Advanced Switching Services </w:t>
      </w:r>
      <w:r w:rsidRPr="000D127B">
        <w:rPr>
          <w:lang w:eastAsia="en-AU"/>
        </w:rPr>
        <w:t>does not</w:t>
      </w:r>
      <w:r w:rsidR="009E2B1A" w:rsidRPr="000D127B">
        <w:rPr>
          <w:lang w:eastAsia="en-AU"/>
        </w:rPr>
        <w:t>,</w:t>
      </w:r>
      <w:r w:rsidRPr="000D127B">
        <w:rPr>
          <w:lang w:eastAsia="en-AU"/>
        </w:rPr>
        <w:t xml:space="preserve"> in my view</w:t>
      </w:r>
      <w:r w:rsidR="009E2B1A" w:rsidRPr="000D127B">
        <w:rPr>
          <w:lang w:eastAsia="en-AU"/>
        </w:rPr>
        <w:t>,</w:t>
      </w:r>
      <w:r w:rsidRPr="000D127B">
        <w:rPr>
          <w:lang w:eastAsia="en-AU"/>
        </w:rPr>
        <w:t xml:space="preserve"> support the proposition </w:t>
      </w:r>
      <w:r w:rsidR="006E5EDD" w:rsidRPr="000D127B">
        <w:rPr>
          <w:lang w:eastAsia="en-AU"/>
        </w:rPr>
        <w:t>advanced on behalf of the SA defendant</w:t>
      </w:r>
      <w:r w:rsidR="002D25B4">
        <w:rPr>
          <w:lang w:eastAsia="en-AU"/>
        </w:rPr>
        <w:t xml:space="preserve">.  </w:t>
      </w:r>
      <w:r w:rsidR="006E5EDD" w:rsidRPr="000D127B">
        <w:rPr>
          <w:lang w:eastAsia="en-AU"/>
        </w:rPr>
        <w:t xml:space="preserve">In that case, a claim had been made under s 52 of the </w:t>
      </w:r>
      <w:r w:rsidR="006E5EDD" w:rsidRPr="000D127B">
        <w:rPr>
          <w:i/>
          <w:lang w:eastAsia="en-AU"/>
        </w:rPr>
        <w:t xml:space="preserve">Trade Practices Act </w:t>
      </w:r>
      <w:r w:rsidR="006E5EDD" w:rsidRPr="000D127B">
        <w:rPr>
          <w:lang w:eastAsia="en-AU"/>
        </w:rPr>
        <w:t xml:space="preserve">but as the statement of claim had not pleaded reliance, the cause of action was not disclosed on the pleading.  </w:t>
      </w:r>
      <w:r w:rsidR="009E2B1A" w:rsidRPr="000D127B">
        <w:rPr>
          <w:lang w:eastAsia="en-AU"/>
        </w:rPr>
        <w:t>It was in that context</w:t>
      </w:r>
      <w:r w:rsidR="004F7BA8" w:rsidRPr="000D127B">
        <w:rPr>
          <w:lang w:eastAsia="en-AU"/>
        </w:rPr>
        <w:t xml:space="preserve"> that Rares J held at [69] that “the </w:t>
      </w:r>
      <w:r w:rsidR="006E5EDD" w:rsidRPr="000D127B">
        <w:rPr>
          <w:lang w:eastAsia="en-AU"/>
        </w:rPr>
        <w:t xml:space="preserve">supplementation of an existing pleading to add a material fact necessary to constitute what </w:t>
      </w:r>
      <w:r w:rsidR="004F7BA8" w:rsidRPr="000D127B">
        <w:rPr>
          <w:lang w:eastAsia="en-AU"/>
        </w:rPr>
        <w:t xml:space="preserve">[was] </w:t>
      </w:r>
      <w:r w:rsidR="006E5EDD" w:rsidRPr="000D127B">
        <w:rPr>
          <w:lang w:eastAsia="en-AU"/>
        </w:rPr>
        <w:t>not, at that time, a cause of action, cannot be made outside a limitation period</w:t>
      </w:r>
      <w:r w:rsidR="004F7BA8" w:rsidRPr="000D127B">
        <w:rPr>
          <w:lang w:eastAsia="en-AU"/>
        </w:rPr>
        <w:t>”</w:t>
      </w:r>
      <w:r w:rsidR="002D25B4">
        <w:rPr>
          <w:lang w:eastAsia="en-AU"/>
        </w:rPr>
        <w:t xml:space="preserve">.  </w:t>
      </w:r>
      <w:r w:rsidR="004F7BA8" w:rsidRPr="000D127B">
        <w:rPr>
          <w:lang w:eastAsia="en-AU"/>
        </w:rPr>
        <w:t xml:space="preserve">Likewise in </w:t>
      </w:r>
      <w:proofErr w:type="spellStart"/>
      <w:r w:rsidR="004F7BA8" w:rsidRPr="000D127B">
        <w:rPr>
          <w:i/>
          <w:lang w:eastAsia="en-AU"/>
        </w:rPr>
        <w:t>Skiwing</w:t>
      </w:r>
      <w:proofErr w:type="spellEnd"/>
      <w:r w:rsidR="004F7BA8" w:rsidRPr="000D127B">
        <w:rPr>
          <w:i/>
          <w:lang w:eastAsia="en-AU"/>
        </w:rPr>
        <w:t xml:space="preserve">, </w:t>
      </w:r>
      <w:r w:rsidR="004F7BA8" w:rsidRPr="000D127B">
        <w:rPr>
          <w:lang w:eastAsia="en-AU"/>
        </w:rPr>
        <w:t xml:space="preserve">the </w:t>
      </w:r>
      <w:r w:rsidR="00E14953" w:rsidRPr="000D127B">
        <w:rPr>
          <w:lang w:eastAsia="en-AU"/>
        </w:rPr>
        <w:t>facts were different</w:t>
      </w:r>
      <w:r w:rsidR="002D25B4">
        <w:rPr>
          <w:lang w:eastAsia="en-AU"/>
        </w:rPr>
        <w:t xml:space="preserve">.  </w:t>
      </w:r>
      <w:r w:rsidR="009E2B1A" w:rsidRPr="000D127B">
        <w:rPr>
          <w:lang w:eastAsia="en-AU"/>
        </w:rPr>
        <w:t>It was sought that a new party be joined and a new cause of action be added outside the statute bar</w:t>
      </w:r>
      <w:r w:rsidR="002D25B4">
        <w:rPr>
          <w:lang w:eastAsia="en-AU"/>
        </w:rPr>
        <w:t xml:space="preserve">.  </w:t>
      </w:r>
      <w:r w:rsidR="004F7BA8" w:rsidRPr="000D127B">
        <w:rPr>
          <w:lang w:eastAsia="en-AU"/>
        </w:rPr>
        <w:t>This case is different</w:t>
      </w:r>
      <w:r w:rsidR="002D25B4">
        <w:rPr>
          <w:lang w:eastAsia="en-AU"/>
        </w:rPr>
        <w:t xml:space="preserve">.  </w:t>
      </w:r>
      <w:r w:rsidR="00E14953" w:rsidRPr="000D127B">
        <w:rPr>
          <w:lang w:eastAsia="en-AU"/>
        </w:rPr>
        <w:t>The s 588FF proceedings were all commenced within time and the j</w:t>
      </w:r>
      <w:r w:rsidR="00F54DB1">
        <w:rPr>
          <w:lang w:eastAsia="en-AU"/>
        </w:rPr>
        <w:t>urisdictional precondition in s </w:t>
      </w:r>
      <w:proofErr w:type="gramStart"/>
      <w:r w:rsidR="00E14953" w:rsidRPr="000D127B">
        <w:rPr>
          <w:lang w:eastAsia="en-AU"/>
        </w:rPr>
        <w:t>588FF(</w:t>
      </w:r>
      <w:proofErr w:type="gramEnd"/>
      <w:r w:rsidR="00E14953" w:rsidRPr="000D127B">
        <w:rPr>
          <w:lang w:eastAsia="en-AU"/>
        </w:rPr>
        <w:t>3) was met</w:t>
      </w:r>
      <w:r w:rsidR="002D25B4">
        <w:rPr>
          <w:lang w:eastAsia="en-AU"/>
        </w:rPr>
        <w:t xml:space="preserve">.  </w:t>
      </w:r>
      <w:r w:rsidR="00E14953" w:rsidRPr="000D127B">
        <w:rPr>
          <w:lang w:eastAsia="en-AU"/>
        </w:rPr>
        <w:t xml:space="preserve">Neither </w:t>
      </w:r>
      <w:r w:rsidR="00E14953" w:rsidRPr="000D127B">
        <w:rPr>
          <w:i/>
          <w:lang w:eastAsia="en-AU"/>
        </w:rPr>
        <w:t xml:space="preserve">Advanced Switching Services </w:t>
      </w:r>
      <w:r w:rsidR="00E14953" w:rsidRPr="000D127B">
        <w:rPr>
          <w:lang w:eastAsia="en-AU"/>
        </w:rPr>
        <w:t xml:space="preserve">nor </w:t>
      </w:r>
      <w:proofErr w:type="spellStart"/>
      <w:r w:rsidR="00E14953" w:rsidRPr="000D127B">
        <w:rPr>
          <w:i/>
          <w:lang w:eastAsia="en-AU"/>
        </w:rPr>
        <w:t>Skiwing</w:t>
      </w:r>
      <w:proofErr w:type="spellEnd"/>
      <w:r w:rsidR="00E14953" w:rsidRPr="000D127B">
        <w:rPr>
          <w:lang w:eastAsia="en-AU"/>
        </w:rPr>
        <w:t xml:space="preserve"> referred to the Full Court decision in </w:t>
      </w:r>
      <w:r w:rsidR="00E14953" w:rsidRPr="000D127B">
        <w:rPr>
          <w:i/>
          <w:lang w:eastAsia="en-AU"/>
        </w:rPr>
        <w:t>Rodgers</w:t>
      </w:r>
      <w:r w:rsidR="002D25B4">
        <w:rPr>
          <w:i/>
          <w:lang w:eastAsia="en-AU"/>
        </w:rPr>
        <w:t>.</w:t>
      </w:r>
      <w:r w:rsidR="00E14953" w:rsidRPr="000D127B">
        <w:rPr>
          <w:lang w:eastAsia="en-AU"/>
        </w:rPr>
        <w:t xml:space="preserve"> </w:t>
      </w:r>
    </w:p>
    <w:p w:rsidR="00CA4838" w:rsidRPr="000D127B" w:rsidRDefault="00C30B56" w:rsidP="00017B82">
      <w:pPr>
        <w:pStyle w:val="ParaNumbering"/>
        <w:numPr>
          <w:ilvl w:val="0"/>
          <w:numId w:val="30"/>
        </w:numPr>
        <w:rPr>
          <w:lang w:eastAsia="en-AU"/>
        </w:rPr>
      </w:pPr>
      <w:r w:rsidRPr="000D127B">
        <w:rPr>
          <w:lang w:eastAsia="en-AU"/>
        </w:rPr>
        <w:t xml:space="preserve">In </w:t>
      </w:r>
      <w:r w:rsidRPr="000D127B">
        <w:rPr>
          <w:i/>
          <w:lang w:eastAsia="en-AU"/>
        </w:rPr>
        <w:t xml:space="preserve">Re Spec FS NSW Pty Ltd (in liquidation) </w:t>
      </w:r>
      <w:r w:rsidRPr="000D127B">
        <w:rPr>
          <w:lang w:eastAsia="en-AU"/>
        </w:rPr>
        <w:t>[2013] FCA 1027, Wigney J granted leave to amend an application made under s 588FF(1) within</w:t>
      </w:r>
      <w:r w:rsidR="002B3A61" w:rsidRPr="000D127B">
        <w:rPr>
          <w:lang w:eastAsia="en-AU"/>
        </w:rPr>
        <w:t xml:space="preserve"> time to add further transactions alleged to be voidable, although the additional claims were raised after the expiry of the limitation period in s 588FF(3).  It was submitted in that case that the proposed amendments would have the effect of bypassing the statutory time limit in s 588FF(3) and that r 8.21 must be construed having regard to the authorities that establish that s 588FF(3) was intended to cover the field of extensions of time with respect to actions under s 588FF(1).  That submission was </w:t>
      </w:r>
      <w:r w:rsidR="002B3A61" w:rsidRPr="000D127B">
        <w:rPr>
          <w:lang w:eastAsia="en-AU"/>
        </w:rPr>
        <w:lastRenderedPageBreak/>
        <w:t xml:space="preserve">rejected.  His Honour reasoned on the authority of </w:t>
      </w:r>
      <w:r w:rsidR="002B3A61" w:rsidRPr="000D127B">
        <w:rPr>
          <w:i/>
          <w:lang w:eastAsia="en-AU"/>
        </w:rPr>
        <w:t>Rodgers</w:t>
      </w:r>
      <w:r w:rsidR="002B3A61" w:rsidRPr="000D127B">
        <w:rPr>
          <w:lang w:eastAsia="en-AU"/>
        </w:rPr>
        <w:t xml:space="preserve"> that unlike s </w:t>
      </w:r>
      <w:proofErr w:type="gramStart"/>
      <w:r w:rsidR="002B3A61" w:rsidRPr="000D127B">
        <w:rPr>
          <w:lang w:eastAsia="en-AU"/>
        </w:rPr>
        <w:t>588FF(</w:t>
      </w:r>
      <w:proofErr w:type="gramEnd"/>
      <w:r w:rsidR="002B3A61" w:rsidRPr="000D127B">
        <w:rPr>
          <w:lang w:eastAsia="en-AU"/>
        </w:rPr>
        <w:t xml:space="preserve">3), r 8.21(2) does not operate to extend the time for commencement of proceedings and where it applies, it permits an amendment to an application commenced within time, even though the effect of the amendment is to add a new claim for relief which, had the proceedings not already been commenced, would have been statute barred.  As I am not persuaded that the decision of the Full Court in </w:t>
      </w:r>
      <w:r w:rsidR="002B3A61" w:rsidRPr="000D127B">
        <w:rPr>
          <w:i/>
          <w:lang w:eastAsia="en-AU"/>
        </w:rPr>
        <w:t>Rodgers</w:t>
      </w:r>
      <w:r w:rsidR="002B3A61" w:rsidRPr="000D127B">
        <w:rPr>
          <w:lang w:eastAsia="en-AU"/>
        </w:rPr>
        <w:t xml:space="preserve"> was plainly wrong, in my opinion </w:t>
      </w:r>
      <w:r w:rsidR="002B3A61" w:rsidRPr="000D127B">
        <w:rPr>
          <w:i/>
          <w:lang w:eastAsia="en-AU"/>
        </w:rPr>
        <w:t xml:space="preserve">Re Spec </w:t>
      </w:r>
      <w:r w:rsidR="002B3A61" w:rsidRPr="000D127B">
        <w:rPr>
          <w:lang w:eastAsia="en-AU"/>
        </w:rPr>
        <w:t>is</w:t>
      </w:r>
      <w:r w:rsidR="009E2B1A" w:rsidRPr="000D127B">
        <w:rPr>
          <w:lang w:eastAsia="en-AU"/>
        </w:rPr>
        <w:t>,</w:t>
      </w:r>
      <w:r w:rsidR="002B3A61" w:rsidRPr="000D127B">
        <w:rPr>
          <w:lang w:eastAsia="en-AU"/>
        </w:rPr>
        <w:t xml:space="preserve"> with respect</w:t>
      </w:r>
      <w:r w:rsidR="009E2B1A" w:rsidRPr="000D127B">
        <w:rPr>
          <w:lang w:eastAsia="en-AU"/>
        </w:rPr>
        <w:t>,</w:t>
      </w:r>
      <w:r w:rsidR="002B3A61" w:rsidRPr="000D127B">
        <w:rPr>
          <w:lang w:eastAsia="en-AU"/>
        </w:rPr>
        <w:t xml:space="preserve"> correct and should be followed.</w:t>
      </w:r>
    </w:p>
    <w:p w:rsidR="007A2C51" w:rsidRPr="000D127B" w:rsidRDefault="00F949CF" w:rsidP="00F949CF">
      <w:pPr>
        <w:pStyle w:val="Heading3"/>
        <w:rPr>
          <w:lang w:eastAsia="en-AU"/>
        </w:rPr>
      </w:pPr>
      <w:r w:rsidRPr="000D127B">
        <w:rPr>
          <w:lang w:eastAsia="en-AU"/>
        </w:rPr>
        <w:t>The second issue</w:t>
      </w:r>
    </w:p>
    <w:p w:rsidR="006B2300" w:rsidRPr="000D127B" w:rsidRDefault="006B2300" w:rsidP="00017B82">
      <w:pPr>
        <w:pStyle w:val="ParaNumbering"/>
        <w:numPr>
          <w:ilvl w:val="0"/>
          <w:numId w:val="30"/>
        </w:numPr>
        <w:rPr>
          <w:lang w:eastAsia="en-AU"/>
        </w:rPr>
      </w:pPr>
      <w:r w:rsidRPr="000D127B">
        <w:rPr>
          <w:lang w:eastAsia="en-AU"/>
        </w:rPr>
        <w:t xml:space="preserve">In </w:t>
      </w:r>
      <w:r w:rsidRPr="000D127B">
        <w:rPr>
          <w:bCs/>
          <w:i/>
        </w:rPr>
        <w:t>Camilleri  v The Trust Company (Nominees) Limited</w:t>
      </w:r>
      <w:r w:rsidRPr="000D127B">
        <w:rPr>
          <w:bCs/>
        </w:rPr>
        <w:t xml:space="preserve"> [2015] FCA 1138 Middleton J helpfully summarised </w:t>
      </w:r>
      <w:r w:rsidR="009B0D95" w:rsidRPr="000D127B">
        <w:rPr>
          <w:bCs/>
        </w:rPr>
        <w:t>the</w:t>
      </w:r>
      <w:r w:rsidRPr="000D127B">
        <w:rPr>
          <w:bCs/>
        </w:rPr>
        <w:t xml:space="preserve"> legal principles </w:t>
      </w:r>
      <w:r w:rsidR="009B0D95" w:rsidRPr="000D127B">
        <w:rPr>
          <w:bCs/>
        </w:rPr>
        <w:t xml:space="preserve">governing </w:t>
      </w:r>
      <w:r w:rsidR="009B0D95" w:rsidRPr="000D127B">
        <w:t>amendments to an originating process pursuant to r 8.21 as follows:</w:t>
      </w:r>
      <w:r w:rsidR="005F6F65" w:rsidRPr="000D127B">
        <w:t xml:space="preserve">  </w:t>
      </w:r>
    </w:p>
    <w:p w:rsidR="009B0D95" w:rsidRPr="000D127B" w:rsidRDefault="0091354F" w:rsidP="0091354F">
      <w:pPr>
        <w:pStyle w:val="ListNo2"/>
        <w:numPr>
          <w:ilvl w:val="0"/>
          <w:numId w:val="0"/>
        </w:numPr>
        <w:ind w:left="1474" w:hanging="754"/>
        <w:rPr>
          <w:lang w:eastAsia="en-AU"/>
        </w:rPr>
      </w:pPr>
      <w:r>
        <w:rPr>
          <w:lang w:eastAsia="en-AU"/>
        </w:rPr>
        <w:t>(a)</w:t>
      </w:r>
      <w:r>
        <w:rPr>
          <w:lang w:eastAsia="en-AU"/>
        </w:rPr>
        <w:tab/>
      </w:r>
      <w:r w:rsidR="009B0D95" w:rsidRPr="000D127B">
        <w:rPr>
          <w:lang w:eastAsia="en-AU"/>
        </w:rPr>
        <w:t>r 8.21(1)(g)(</w:t>
      </w:r>
      <w:proofErr w:type="spellStart"/>
      <w:r w:rsidR="009B0D95" w:rsidRPr="000D127B">
        <w:rPr>
          <w:lang w:eastAsia="en-AU"/>
        </w:rPr>
        <w:t>i</w:t>
      </w:r>
      <w:proofErr w:type="spellEnd"/>
      <w:r w:rsidR="009B0D95" w:rsidRPr="000D127B">
        <w:rPr>
          <w:lang w:eastAsia="en-AU"/>
        </w:rPr>
        <w:t xml:space="preserve">) directs attention to the existing claim for relief, and the facts pleaded to support it, and then directs attention to the question of whether the proposed amendments are properly characterised as a new foundation in law for the relief, arising out of </w:t>
      </w:r>
      <w:r w:rsidR="00D96B9D">
        <w:rPr>
          <w:lang w:eastAsia="en-AU"/>
        </w:rPr>
        <w:t>“</w:t>
      </w:r>
      <w:r w:rsidR="009B0D95" w:rsidRPr="000D127B">
        <w:rPr>
          <w:lang w:eastAsia="en-AU"/>
        </w:rPr>
        <w:t>substantially</w:t>
      </w:r>
      <w:r w:rsidR="00D96B9D">
        <w:rPr>
          <w:lang w:eastAsia="en-AU"/>
        </w:rPr>
        <w:t>”</w:t>
      </w:r>
      <w:r w:rsidR="009B0D95" w:rsidRPr="000D127B">
        <w:rPr>
          <w:lang w:eastAsia="en-AU"/>
        </w:rPr>
        <w:t xml:space="preserve"> the same facts as those already pleaded: see generally </w:t>
      </w:r>
      <w:r w:rsidR="0065532B" w:rsidRPr="000D127B">
        <w:rPr>
          <w:i/>
          <w:iCs/>
          <w:lang w:eastAsia="en-AU"/>
        </w:rPr>
        <w:t>Re</w:t>
      </w:r>
      <w:r w:rsidR="009B0D95" w:rsidRPr="000D127B">
        <w:rPr>
          <w:i/>
          <w:iCs/>
          <w:lang w:eastAsia="en-AU"/>
        </w:rPr>
        <w:t xml:space="preserve"> Spec FS NSW Pty Ltd (In Liquidation)</w:t>
      </w:r>
      <w:r w:rsidR="009B0D95" w:rsidRPr="000D127B">
        <w:rPr>
          <w:lang w:eastAsia="en-AU"/>
        </w:rPr>
        <w:t xml:space="preserve"> [2013] FCA 1027; (2013) 225 FCR 79 at [38]; </w:t>
      </w:r>
      <w:r w:rsidR="009B0D95" w:rsidRPr="000D127B">
        <w:rPr>
          <w:i/>
          <w:iCs/>
          <w:lang w:eastAsia="en-AU"/>
        </w:rPr>
        <w:t xml:space="preserve">Darcy v </w:t>
      </w:r>
      <w:proofErr w:type="spellStart"/>
      <w:r w:rsidR="009B0D95" w:rsidRPr="000D127B">
        <w:rPr>
          <w:i/>
          <w:iCs/>
          <w:lang w:eastAsia="en-AU"/>
        </w:rPr>
        <w:t>Medtel</w:t>
      </w:r>
      <w:proofErr w:type="spellEnd"/>
      <w:r w:rsidR="009B0D95" w:rsidRPr="000D127B">
        <w:rPr>
          <w:i/>
          <w:iCs/>
          <w:lang w:eastAsia="en-AU"/>
        </w:rPr>
        <w:t xml:space="preserve"> Pty Limited (No 3)</w:t>
      </w:r>
      <w:r w:rsidR="009B0D95" w:rsidRPr="000D127B">
        <w:rPr>
          <w:lang w:eastAsia="en-AU"/>
        </w:rPr>
        <w:t xml:space="preserve"> [2004] FCA 807 at </w:t>
      </w:r>
      <w:hyperlink r:id="rId18" w:anchor="para30" w:history="1">
        <w:r w:rsidR="009B0D95" w:rsidRPr="000D127B">
          <w:rPr>
            <w:lang w:eastAsia="en-AU"/>
          </w:rPr>
          <w:t>[30]</w:t>
        </w:r>
      </w:hyperlink>
      <w:r w:rsidR="009B0D95" w:rsidRPr="000D127B">
        <w:rPr>
          <w:lang w:eastAsia="en-AU"/>
        </w:rPr>
        <w:t xml:space="preserve">; </w:t>
      </w:r>
      <w:proofErr w:type="spellStart"/>
      <w:r w:rsidR="009B0D95" w:rsidRPr="000D127B">
        <w:rPr>
          <w:i/>
          <w:iCs/>
          <w:lang w:eastAsia="en-AU"/>
        </w:rPr>
        <w:t>Clasul</w:t>
      </w:r>
      <w:proofErr w:type="spellEnd"/>
      <w:r w:rsidR="009B0D95" w:rsidRPr="000D127B">
        <w:rPr>
          <w:i/>
          <w:iCs/>
          <w:lang w:eastAsia="en-AU"/>
        </w:rPr>
        <w:t xml:space="preserve"> Pty Ltd v Commonwealth of Australia </w:t>
      </w:r>
      <w:r w:rsidR="009B0D95" w:rsidRPr="000D127B">
        <w:rPr>
          <w:lang w:eastAsia="en-AU"/>
        </w:rPr>
        <w:t>[2014] FCA 1133 (</w:t>
      </w:r>
      <w:r w:rsidR="00C53CF5" w:rsidRPr="000D127B">
        <w:rPr>
          <w:lang w:eastAsia="en-AU"/>
        </w:rPr>
        <w:t>“</w:t>
      </w:r>
      <w:proofErr w:type="spellStart"/>
      <w:r w:rsidR="009B0D95" w:rsidRPr="000D127B">
        <w:rPr>
          <w:b/>
          <w:bCs/>
          <w:i/>
          <w:iCs/>
          <w:lang w:eastAsia="en-AU"/>
        </w:rPr>
        <w:t>Clasul</w:t>
      </w:r>
      <w:proofErr w:type="spellEnd"/>
      <w:r w:rsidR="00C53CF5" w:rsidRPr="000D127B">
        <w:rPr>
          <w:lang w:eastAsia="en-AU"/>
        </w:rPr>
        <w:t>”</w:t>
      </w:r>
      <w:r w:rsidR="009B0D95" w:rsidRPr="000D127B">
        <w:rPr>
          <w:lang w:eastAsia="en-AU"/>
        </w:rPr>
        <w:t xml:space="preserve">) at [41]; </w:t>
      </w:r>
      <w:r w:rsidR="009B0D95" w:rsidRPr="000D127B">
        <w:rPr>
          <w:i/>
          <w:iCs/>
          <w:lang w:eastAsia="en-AU"/>
        </w:rPr>
        <w:t>New South Wales v Radford</w:t>
      </w:r>
      <w:r w:rsidR="009B0D95" w:rsidRPr="000D127B">
        <w:rPr>
          <w:lang w:eastAsia="en-AU"/>
        </w:rPr>
        <w:t xml:space="preserve"> [2010] NSWCA 276; (2010) 79 NSWLR 327 at </w:t>
      </w:r>
      <w:hyperlink r:id="rId19" w:anchor="para69" w:history="1">
        <w:r w:rsidR="009B0D95" w:rsidRPr="000D127B">
          <w:rPr>
            <w:lang w:eastAsia="en-AU"/>
          </w:rPr>
          <w:t>[69]</w:t>
        </w:r>
      </w:hyperlink>
      <w:r w:rsidR="009B0D95" w:rsidRPr="000D127B">
        <w:rPr>
          <w:lang w:eastAsia="en-AU"/>
        </w:rPr>
        <w:t xml:space="preserve">, citing </w:t>
      </w:r>
      <w:r w:rsidR="009B0D95" w:rsidRPr="000D127B">
        <w:rPr>
          <w:i/>
          <w:iCs/>
          <w:lang w:eastAsia="en-AU"/>
        </w:rPr>
        <w:t>Brickfield Properties Ltd v Newton</w:t>
      </w:r>
      <w:r w:rsidR="009B0D95" w:rsidRPr="000D127B">
        <w:rPr>
          <w:lang w:eastAsia="en-AU"/>
        </w:rPr>
        <w:t xml:space="preserve"> [1971] 1 WLR 862 at 880 (Cross LJ);</w:t>
      </w:r>
      <w:r w:rsidR="005F6F65" w:rsidRPr="000D127B">
        <w:rPr>
          <w:lang w:eastAsia="en-AU"/>
        </w:rPr>
        <w:t xml:space="preserve"> </w:t>
      </w:r>
    </w:p>
    <w:p w:rsidR="009B0D95" w:rsidRPr="000D127B" w:rsidRDefault="0091354F" w:rsidP="0091354F">
      <w:pPr>
        <w:pStyle w:val="ListNo2"/>
        <w:numPr>
          <w:ilvl w:val="0"/>
          <w:numId w:val="0"/>
        </w:numPr>
        <w:ind w:left="1474" w:hanging="754"/>
        <w:rPr>
          <w:lang w:eastAsia="en-AU"/>
        </w:rPr>
      </w:pPr>
      <w:r>
        <w:rPr>
          <w:lang w:eastAsia="en-AU"/>
        </w:rPr>
        <w:t>(b)</w:t>
      </w:r>
      <w:r>
        <w:rPr>
          <w:lang w:eastAsia="en-AU"/>
        </w:rPr>
        <w:tab/>
      </w:r>
      <w:proofErr w:type="gramStart"/>
      <w:r w:rsidR="009B0D95" w:rsidRPr="000D127B">
        <w:rPr>
          <w:lang w:eastAsia="en-AU"/>
        </w:rPr>
        <w:t>the</w:t>
      </w:r>
      <w:proofErr w:type="gramEnd"/>
      <w:r w:rsidR="009B0D95" w:rsidRPr="000D127B">
        <w:rPr>
          <w:lang w:eastAsia="en-AU"/>
        </w:rPr>
        <w:t xml:space="preserve"> Court should not be too pedantic in considering the nature of the facts added to the existing pleading</w:t>
      </w:r>
      <w:r w:rsidR="002D25B4">
        <w:rPr>
          <w:lang w:eastAsia="en-AU"/>
        </w:rPr>
        <w:t xml:space="preserve">.  </w:t>
      </w:r>
      <w:r w:rsidR="009B0D95" w:rsidRPr="000D127B">
        <w:rPr>
          <w:lang w:eastAsia="en-AU"/>
        </w:rPr>
        <w:t>Whether the added facts are substantially the same as the facts already pleaded will be a question of degree, and will depend on the nature and extent of the existing pleaded case, the facts sought to be added in and the relief already sought;</w:t>
      </w:r>
    </w:p>
    <w:p w:rsidR="009B0D95" w:rsidRPr="000D127B" w:rsidRDefault="0091354F" w:rsidP="0091354F">
      <w:pPr>
        <w:pStyle w:val="ListNo2"/>
        <w:numPr>
          <w:ilvl w:val="0"/>
          <w:numId w:val="0"/>
        </w:numPr>
        <w:ind w:left="1474" w:hanging="754"/>
        <w:rPr>
          <w:lang w:eastAsia="en-AU"/>
        </w:rPr>
      </w:pPr>
      <w:r>
        <w:rPr>
          <w:lang w:eastAsia="en-AU"/>
        </w:rPr>
        <w:t>(c)</w:t>
      </w:r>
      <w:r>
        <w:rPr>
          <w:lang w:eastAsia="en-AU"/>
        </w:rPr>
        <w:tab/>
      </w:r>
      <w:r w:rsidR="009B0D95" w:rsidRPr="000D127B">
        <w:rPr>
          <w:lang w:eastAsia="en-AU"/>
        </w:rPr>
        <w:t xml:space="preserve">the expression “substantially the same facts” does not mean “the same facts” and the need to prove additional facts to support the new cause of action would not be fatal to the favourable exercise of the Court’s discretion, otherwise the word “substantially” would have no effect: </w:t>
      </w:r>
      <w:r w:rsidR="009B0D95" w:rsidRPr="000D127B">
        <w:rPr>
          <w:i/>
          <w:iCs/>
          <w:lang w:eastAsia="en-AU"/>
        </w:rPr>
        <w:t>Draney v Barry</w:t>
      </w:r>
      <w:r w:rsidR="009B0D95" w:rsidRPr="000D127B">
        <w:rPr>
          <w:lang w:eastAsia="en-AU"/>
        </w:rPr>
        <w:t xml:space="preserve"> [2002] 1 </w:t>
      </w:r>
      <w:proofErr w:type="spellStart"/>
      <w:r w:rsidR="009B0D95" w:rsidRPr="000D127B">
        <w:rPr>
          <w:lang w:eastAsia="en-AU"/>
        </w:rPr>
        <w:t>Qd</w:t>
      </w:r>
      <w:proofErr w:type="spellEnd"/>
      <w:r w:rsidR="009B0D95" w:rsidRPr="000D127B">
        <w:rPr>
          <w:lang w:eastAsia="en-AU"/>
        </w:rPr>
        <w:t xml:space="preserve"> R 145 at [57].</w:t>
      </w:r>
    </w:p>
    <w:p w:rsidR="009B0D95" w:rsidRPr="000D127B" w:rsidRDefault="0091354F" w:rsidP="0091354F">
      <w:pPr>
        <w:pStyle w:val="ListNo2"/>
        <w:numPr>
          <w:ilvl w:val="0"/>
          <w:numId w:val="0"/>
        </w:numPr>
        <w:ind w:left="1474" w:hanging="754"/>
        <w:rPr>
          <w:lang w:eastAsia="en-AU"/>
        </w:rPr>
      </w:pPr>
      <w:r>
        <w:rPr>
          <w:iCs/>
          <w:lang w:eastAsia="en-AU"/>
        </w:rPr>
        <w:lastRenderedPageBreak/>
        <w:t>(d)</w:t>
      </w:r>
      <w:r>
        <w:rPr>
          <w:iCs/>
          <w:lang w:eastAsia="en-AU"/>
        </w:rPr>
        <w:tab/>
      </w:r>
      <w:r w:rsidR="009B0D95" w:rsidRPr="000D127B">
        <w:rPr>
          <w:iCs/>
          <w:lang w:eastAsia="en-AU"/>
        </w:rPr>
        <w:t xml:space="preserve">if the necessary additional facts to support the new cause of action arise out of substantially the same story as that which would have to be told to support the original cause of action, the fact that there is a changed focus with elicitation of additional details should not of itself prevent a finding that the new cause of action arises out of substantially the same facts: </w:t>
      </w:r>
      <w:r w:rsidR="009B0D95" w:rsidRPr="000D127B">
        <w:rPr>
          <w:i/>
          <w:iCs/>
          <w:lang w:eastAsia="en-AU"/>
        </w:rPr>
        <w:t>Draney v Barry</w:t>
      </w:r>
      <w:r w:rsidR="009B0D95" w:rsidRPr="000D127B">
        <w:rPr>
          <w:lang w:eastAsia="en-AU"/>
        </w:rPr>
        <w:t xml:space="preserve"> at [57].</w:t>
      </w:r>
    </w:p>
    <w:p w:rsidR="005C0709" w:rsidRPr="000D127B" w:rsidRDefault="005C0709" w:rsidP="00017B82">
      <w:pPr>
        <w:pStyle w:val="ParaNumbering"/>
        <w:numPr>
          <w:ilvl w:val="0"/>
          <w:numId w:val="30"/>
        </w:numPr>
        <w:rPr>
          <w:lang w:eastAsia="en-AU"/>
        </w:rPr>
      </w:pPr>
      <w:r w:rsidRPr="000D127B">
        <w:rPr>
          <w:lang w:eastAsia="en-AU"/>
        </w:rPr>
        <w:t xml:space="preserve">The SA and WA defendants </w:t>
      </w:r>
      <w:r w:rsidR="00244231" w:rsidRPr="000D127B">
        <w:rPr>
          <w:lang w:eastAsia="en-AU"/>
        </w:rPr>
        <w:t xml:space="preserve">both </w:t>
      </w:r>
      <w:r w:rsidRPr="000D127B">
        <w:rPr>
          <w:lang w:eastAsia="en-AU"/>
        </w:rPr>
        <w:t xml:space="preserve">argued that the new claims did not arise out of “the same facts or substantially </w:t>
      </w:r>
      <w:r w:rsidRPr="000D127B">
        <w:rPr>
          <w:rFonts w:ascii="TimesNewRoman" w:hAnsi="TimesNewRoman" w:cs="TimesNewRoman"/>
          <w:szCs w:val="22"/>
          <w:lang w:eastAsia="en-AU"/>
        </w:rPr>
        <w:t>the same facts as those already pleaded”</w:t>
      </w:r>
      <w:r w:rsidRPr="000D127B">
        <w:rPr>
          <w:lang w:eastAsia="en-AU"/>
        </w:rPr>
        <w:t xml:space="preserve"> but instead </w:t>
      </w:r>
      <w:r w:rsidR="004738D1" w:rsidRPr="000D127B">
        <w:rPr>
          <w:lang w:eastAsia="en-AU"/>
        </w:rPr>
        <w:t xml:space="preserve">arose </w:t>
      </w:r>
      <w:r w:rsidRPr="000D127B">
        <w:rPr>
          <w:lang w:eastAsia="en-AU"/>
        </w:rPr>
        <w:t>out of substantially different an</w:t>
      </w:r>
      <w:r w:rsidR="000C7FE3" w:rsidRPr="000D127B">
        <w:rPr>
          <w:lang w:eastAsia="en-AU"/>
        </w:rPr>
        <w:t>terior facts and circumstances</w:t>
      </w:r>
      <w:r w:rsidR="002D25B4">
        <w:rPr>
          <w:lang w:eastAsia="en-AU"/>
        </w:rPr>
        <w:t xml:space="preserve">.  </w:t>
      </w:r>
    </w:p>
    <w:p w:rsidR="00915A19" w:rsidRPr="000D127B" w:rsidRDefault="00915A19" w:rsidP="00017B82">
      <w:pPr>
        <w:pStyle w:val="ParaNumbering"/>
        <w:numPr>
          <w:ilvl w:val="0"/>
          <w:numId w:val="30"/>
        </w:numPr>
        <w:rPr>
          <w:lang w:eastAsia="en-AU"/>
        </w:rPr>
      </w:pPr>
      <w:r w:rsidRPr="000D127B">
        <w:rPr>
          <w:lang w:eastAsia="en-AU"/>
        </w:rPr>
        <w:t xml:space="preserve">The </w:t>
      </w:r>
      <w:r w:rsidR="000C7FE3" w:rsidRPr="000D127B">
        <w:rPr>
          <w:lang w:eastAsia="en-AU"/>
        </w:rPr>
        <w:t xml:space="preserve">original </w:t>
      </w:r>
      <w:r w:rsidR="002B3A61" w:rsidRPr="000D127B">
        <w:rPr>
          <w:lang w:eastAsia="en-AU"/>
        </w:rPr>
        <w:t>pleadings</w:t>
      </w:r>
      <w:r w:rsidR="000C7FE3" w:rsidRPr="000D127B">
        <w:rPr>
          <w:lang w:eastAsia="en-AU"/>
        </w:rPr>
        <w:t xml:space="preserve"> in each proceeding</w:t>
      </w:r>
      <w:r w:rsidRPr="000D127B">
        <w:rPr>
          <w:lang w:eastAsia="en-AU"/>
        </w:rPr>
        <w:t xml:space="preserve"> all followed the same format</w:t>
      </w:r>
      <w:r w:rsidR="002D25B4">
        <w:rPr>
          <w:lang w:eastAsia="en-AU"/>
        </w:rPr>
        <w:t xml:space="preserve">.  </w:t>
      </w:r>
      <w:r w:rsidRPr="000D127B">
        <w:rPr>
          <w:lang w:eastAsia="en-AU"/>
        </w:rPr>
        <w:t xml:space="preserve">In each </w:t>
      </w:r>
      <w:r w:rsidR="006234E3" w:rsidRPr="000D127B">
        <w:rPr>
          <w:lang w:eastAsia="en-AU"/>
        </w:rPr>
        <w:t>statement of claim</w:t>
      </w:r>
      <w:r w:rsidR="002B3A61" w:rsidRPr="000D127B">
        <w:rPr>
          <w:lang w:eastAsia="en-AU"/>
        </w:rPr>
        <w:t xml:space="preserve">, it </w:t>
      </w:r>
      <w:r w:rsidR="000C7FE3" w:rsidRPr="000D127B">
        <w:rPr>
          <w:lang w:eastAsia="en-AU"/>
        </w:rPr>
        <w:t xml:space="preserve">was </w:t>
      </w:r>
      <w:r w:rsidR="002B3A61" w:rsidRPr="000D127B">
        <w:rPr>
          <w:lang w:eastAsia="en-AU"/>
        </w:rPr>
        <w:t xml:space="preserve">alleged that the relevant defendant received various payments from </w:t>
      </w:r>
      <w:proofErr w:type="spellStart"/>
      <w:r w:rsidR="002B3A61" w:rsidRPr="000D127B">
        <w:rPr>
          <w:lang w:eastAsia="en-AU"/>
        </w:rPr>
        <w:t>Gunns</w:t>
      </w:r>
      <w:proofErr w:type="spellEnd"/>
      <w:r w:rsidR="002B3A61" w:rsidRPr="000D127B">
        <w:rPr>
          <w:lang w:eastAsia="en-AU"/>
        </w:rPr>
        <w:t xml:space="preserve"> (</w:t>
      </w:r>
      <w:r w:rsidRPr="000D127B">
        <w:rPr>
          <w:lang w:eastAsia="en-AU"/>
        </w:rPr>
        <w:t xml:space="preserve">and/or the relevant subsidiary but for this purpose I will only </w:t>
      </w:r>
      <w:r w:rsidR="00244231" w:rsidRPr="000D127B">
        <w:rPr>
          <w:lang w:eastAsia="en-AU"/>
        </w:rPr>
        <w:t>use “</w:t>
      </w:r>
      <w:proofErr w:type="spellStart"/>
      <w:r w:rsidRPr="000D127B">
        <w:rPr>
          <w:lang w:eastAsia="en-AU"/>
        </w:rPr>
        <w:t>Gunns</w:t>
      </w:r>
      <w:proofErr w:type="spellEnd"/>
      <w:r w:rsidR="00244231" w:rsidRPr="000D127B">
        <w:rPr>
          <w:lang w:eastAsia="en-AU"/>
        </w:rPr>
        <w:t>”</w:t>
      </w:r>
      <w:r w:rsidRPr="000D127B">
        <w:rPr>
          <w:lang w:eastAsia="en-AU"/>
        </w:rPr>
        <w:t xml:space="preserve">) </w:t>
      </w:r>
      <w:r w:rsidR="002B3A61" w:rsidRPr="000D127B">
        <w:rPr>
          <w:lang w:eastAsia="en-AU"/>
        </w:rPr>
        <w:t xml:space="preserve">in the period </w:t>
      </w:r>
      <w:r w:rsidR="009E2B1A" w:rsidRPr="000D127B">
        <w:rPr>
          <w:lang w:eastAsia="en-AU"/>
        </w:rPr>
        <w:t xml:space="preserve">from </w:t>
      </w:r>
      <w:r w:rsidR="002B3A61" w:rsidRPr="000D127B">
        <w:rPr>
          <w:lang w:eastAsia="en-AU"/>
        </w:rPr>
        <w:t>3</w:t>
      </w:r>
      <w:r w:rsidR="000C7FE3" w:rsidRPr="000D127B">
        <w:rPr>
          <w:lang w:eastAsia="en-AU"/>
        </w:rPr>
        <w:t xml:space="preserve"> July 2012 to 2</w:t>
      </w:r>
      <w:r w:rsidR="00E25D89">
        <w:rPr>
          <w:lang w:eastAsia="en-AU"/>
        </w:rPr>
        <w:t>5</w:t>
      </w:r>
      <w:r w:rsidR="000C7FE3" w:rsidRPr="000D127B">
        <w:rPr>
          <w:lang w:eastAsia="en-AU"/>
        </w:rPr>
        <w:t xml:space="preserve"> September 2012</w:t>
      </w:r>
      <w:r w:rsidR="002D25B4">
        <w:rPr>
          <w:lang w:eastAsia="en-AU"/>
        </w:rPr>
        <w:t xml:space="preserve">.  </w:t>
      </w:r>
      <w:r w:rsidR="000C7FE3" w:rsidRPr="000D127B">
        <w:rPr>
          <w:lang w:eastAsia="en-AU"/>
        </w:rPr>
        <w:t>The payments were identified and</w:t>
      </w:r>
      <w:r w:rsidRPr="000D127B">
        <w:rPr>
          <w:lang w:eastAsia="en-AU"/>
        </w:rPr>
        <w:t xml:space="preserve"> collectively defined as “the P</w:t>
      </w:r>
      <w:r w:rsidR="002B3A61" w:rsidRPr="000D127B">
        <w:rPr>
          <w:lang w:eastAsia="en-AU"/>
        </w:rPr>
        <w:t xml:space="preserve">ayments”.  The </w:t>
      </w:r>
      <w:r w:rsidR="000C7FE3" w:rsidRPr="000D127B">
        <w:rPr>
          <w:lang w:eastAsia="en-AU"/>
        </w:rPr>
        <w:t xml:space="preserve">pleadings relevantly </w:t>
      </w:r>
      <w:r w:rsidR="002B3A61" w:rsidRPr="000D127B">
        <w:rPr>
          <w:lang w:eastAsia="en-AU"/>
        </w:rPr>
        <w:t>include</w:t>
      </w:r>
      <w:r w:rsidR="000C7FE3" w:rsidRPr="000D127B">
        <w:rPr>
          <w:lang w:eastAsia="en-AU"/>
        </w:rPr>
        <w:t>d</w:t>
      </w:r>
      <w:r w:rsidR="002B3A61" w:rsidRPr="000D127B">
        <w:rPr>
          <w:lang w:eastAsia="en-AU"/>
        </w:rPr>
        <w:t xml:space="preserve"> </w:t>
      </w:r>
      <w:r w:rsidRPr="000D127B">
        <w:rPr>
          <w:lang w:eastAsia="en-AU"/>
        </w:rPr>
        <w:t>the following allegation in par</w:t>
      </w:r>
      <w:r w:rsidR="009E2B1A" w:rsidRPr="000D127B">
        <w:rPr>
          <w:lang w:eastAsia="en-AU"/>
        </w:rPr>
        <w:t>agraph</w:t>
      </w:r>
      <w:r w:rsidRPr="000D127B">
        <w:rPr>
          <w:lang w:eastAsia="en-AU"/>
        </w:rPr>
        <w:t xml:space="preserve"> </w:t>
      </w:r>
      <w:r w:rsidR="009E2B1A" w:rsidRPr="000D127B">
        <w:rPr>
          <w:lang w:eastAsia="en-AU"/>
        </w:rPr>
        <w:t>[</w:t>
      </w:r>
      <w:r w:rsidRPr="000D127B">
        <w:rPr>
          <w:lang w:eastAsia="en-AU"/>
        </w:rPr>
        <w:t>10</w:t>
      </w:r>
      <w:r w:rsidR="009E2B1A" w:rsidRPr="000D127B">
        <w:rPr>
          <w:lang w:eastAsia="en-AU"/>
        </w:rPr>
        <w:t>]</w:t>
      </w:r>
      <w:r w:rsidRPr="000D127B">
        <w:rPr>
          <w:lang w:eastAsia="en-AU"/>
        </w:rPr>
        <w:t xml:space="preserve">: </w:t>
      </w:r>
    </w:p>
    <w:p w:rsidR="00CA4063" w:rsidRPr="000D127B" w:rsidRDefault="00915A19" w:rsidP="00915A19">
      <w:pPr>
        <w:pStyle w:val="Quote1"/>
        <w:rPr>
          <w:lang w:eastAsia="en-AU"/>
        </w:rPr>
      </w:pPr>
      <w:r w:rsidRPr="000D127B">
        <w:rPr>
          <w:lang w:eastAsia="en-AU"/>
        </w:rPr>
        <w:t>Further the Payments</w:t>
      </w:r>
      <w:r w:rsidR="002B3A61" w:rsidRPr="000D127B">
        <w:rPr>
          <w:lang w:eastAsia="en-AU"/>
        </w:rPr>
        <w:t xml:space="preserve"> were insolvent transactions within the meaning of s 588FC of the Act in that:</w:t>
      </w:r>
    </w:p>
    <w:p w:rsidR="002B3A61" w:rsidRPr="000D127B" w:rsidRDefault="002B3A61" w:rsidP="00017B82">
      <w:pPr>
        <w:pStyle w:val="Quote1"/>
        <w:numPr>
          <w:ilvl w:val="0"/>
          <w:numId w:val="27"/>
        </w:numPr>
        <w:ind w:left="1276" w:hanging="539"/>
        <w:rPr>
          <w:lang w:eastAsia="en-AU"/>
        </w:rPr>
      </w:pPr>
      <w:r w:rsidRPr="000D127B">
        <w:rPr>
          <w:lang w:eastAsia="en-AU"/>
        </w:rPr>
        <w:t xml:space="preserve">the payments were unfair preferences given by </w:t>
      </w:r>
      <w:proofErr w:type="spellStart"/>
      <w:r w:rsidRPr="000D127B">
        <w:rPr>
          <w:lang w:eastAsia="en-AU"/>
        </w:rPr>
        <w:t>Gunns</w:t>
      </w:r>
      <w:proofErr w:type="spellEnd"/>
      <w:r w:rsidRPr="000D127B">
        <w:rPr>
          <w:lang w:eastAsia="en-AU"/>
        </w:rPr>
        <w:t xml:space="preserve"> to the relevant defendant within the meaning of s 588FA of the Act; and</w:t>
      </w:r>
    </w:p>
    <w:p w:rsidR="002B3A61" w:rsidRPr="000D127B" w:rsidRDefault="002B3A61" w:rsidP="00017B82">
      <w:pPr>
        <w:pStyle w:val="Quote1"/>
        <w:numPr>
          <w:ilvl w:val="0"/>
          <w:numId w:val="27"/>
        </w:numPr>
        <w:ind w:left="1276" w:hanging="539"/>
        <w:rPr>
          <w:lang w:eastAsia="en-AU"/>
        </w:rPr>
      </w:pPr>
      <w:proofErr w:type="gramStart"/>
      <w:r w:rsidRPr="000D127B">
        <w:rPr>
          <w:lang w:eastAsia="en-AU"/>
        </w:rPr>
        <w:t>the</w:t>
      </w:r>
      <w:proofErr w:type="gramEnd"/>
      <w:r w:rsidRPr="000D127B">
        <w:rPr>
          <w:lang w:eastAsia="en-AU"/>
        </w:rPr>
        <w:t xml:space="preserve"> payments were made at time when was insolvent.</w:t>
      </w:r>
    </w:p>
    <w:p w:rsidR="00915A19" w:rsidRPr="000D127B" w:rsidRDefault="002B3A61" w:rsidP="00017B82">
      <w:pPr>
        <w:pStyle w:val="ParaNumbering"/>
        <w:numPr>
          <w:ilvl w:val="0"/>
          <w:numId w:val="30"/>
        </w:numPr>
        <w:rPr>
          <w:lang w:eastAsia="en-AU"/>
        </w:rPr>
      </w:pPr>
      <w:r w:rsidRPr="000D127B">
        <w:rPr>
          <w:lang w:eastAsia="en-AU"/>
        </w:rPr>
        <w:t>In the particulars to that allegation, the plaintiffs refer</w:t>
      </w:r>
      <w:r w:rsidR="00915A19" w:rsidRPr="000D127B">
        <w:rPr>
          <w:lang w:eastAsia="en-AU"/>
        </w:rPr>
        <w:t xml:space="preserve">red to and relied upon a number of matters </w:t>
      </w:r>
      <w:r w:rsidRPr="000D127B">
        <w:rPr>
          <w:lang w:eastAsia="en-AU"/>
        </w:rPr>
        <w:t>which</w:t>
      </w:r>
      <w:r w:rsidR="00915A19" w:rsidRPr="000D127B">
        <w:rPr>
          <w:lang w:eastAsia="en-AU"/>
        </w:rPr>
        <w:t>, it was alleged, “</w:t>
      </w:r>
      <w:r w:rsidRPr="000D127B">
        <w:rPr>
          <w:lang w:eastAsia="en-AU"/>
        </w:rPr>
        <w:t xml:space="preserve">indicate that </w:t>
      </w:r>
      <w:proofErr w:type="spellStart"/>
      <w:r w:rsidRPr="000D127B">
        <w:rPr>
          <w:lang w:eastAsia="en-AU"/>
        </w:rPr>
        <w:t>Gunns</w:t>
      </w:r>
      <w:proofErr w:type="spellEnd"/>
      <w:r w:rsidRPr="000D127B">
        <w:rPr>
          <w:lang w:eastAsia="en-AU"/>
        </w:rPr>
        <w:t xml:space="preserve"> was insolvent from at least 3 July 2012 and possibly earlier”.  </w:t>
      </w:r>
    </w:p>
    <w:p w:rsidR="00915A19" w:rsidRPr="000D127B" w:rsidRDefault="00915A19" w:rsidP="00017B82">
      <w:pPr>
        <w:pStyle w:val="ParaNumbering"/>
        <w:numPr>
          <w:ilvl w:val="0"/>
          <w:numId w:val="30"/>
        </w:numPr>
        <w:rPr>
          <w:lang w:eastAsia="en-AU"/>
        </w:rPr>
      </w:pPr>
      <w:r w:rsidRPr="000D127B">
        <w:rPr>
          <w:lang w:eastAsia="en-AU"/>
        </w:rPr>
        <w:t>In each of the relevant proceedings, t</w:t>
      </w:r>
      <w:r w:rsidR="002B3A61" w:rsidRPr="000D127B">
        <w:rPr>
          <w:lang w:eastAsia="en-AU"/>
        </w:rPr>
        <w:t xml:space="preserve">he amended pleadings </w:t>
      </w:r>
      <w:r w:rsidRPr="000D127B">
        <w:rPr>
          <w:lang w:eastAsia="en-AU"/>
        </w:rPr>
        <w:t xml:space="preserve">now </w:t>
      </w:r>
      <w:r w:rsidR="002B3A61" w:rsidRPr="000D127B">
        <w:rPr>
          <w:lang w:eastAsia="en-AU"/>
        </w:rPr>
        <w:t xml:space="preserve">allege </w:t>
      </w:r>
      <w:r w:rsidRPr="000D127B">
        <w:rPr>
          <w:lang w:eastAsia="en-AU"/>
        </w:rPr>
        <w:t xml:space="preserve">that the relevant defendant received various payments from </w:t>
      </w:r>
      <w:proofErr w:type="spellStart"/>
      <w:r w:rsidRPr="000D127B">
        <w:rPr>
          <w:lang w:eastAsia="en-AU"/>
        </w:rPr>
        <w:t>Gunns</w:t>
      </w:r>
      <w:proofErr w:type="spellEnd"/>
      <w:r w:rsidRPr="000D127B">
        <w:rPr>
          <w:lang w:eastAsia="en-AU"/>
        </w:rPr>
        <w:t xml:space="preserve"> i</w:t>
      </w:r>
      <w:r w:rsidR="00255BC8">
        <w:rPr>
          <w:lang w:eastAsia="en-AU"/>
        </w:rPr>
        <w:t>n the period 3</w:t>
      </w:r>
      <w:r w:rsidR="00E25D89">
        <w:rPr>
          <w:lang w:eastAsia="en-AU"/>
        </w:rPr>
        <w:t>0</w:t>
      </w:r>
      <w:r w:rsidR="00255BC8">
        <w:rPr>
          <w:lang w:eastAsia="en-AU"/>
        </w:rPr>
        <w:t xml:space="preserve"> March 2012 to 2</w:t>
      </w:r>
      <w:r w:rsidR="00E25D89">
        <w:rPr>
          <w:lang w:eastAsia="en-AU"/>
        </w:rPr>
        <w:t>5</w:t>
      </w:r>
      <w:r w:rsidR="00255BC8">
        <w:rPr>
          <w:lang w:eastAsia="en-AU"/>
        </w:rPr>
        <w:t> </w:t>
      </w:r>
      <w:r w:rsidRPr="000D127B">
        <w:rPr>
          <w:lang w:eastAsia="en-AU"/>
        </w:rPr>
        <w:t>September 2012</w:t>
      </w:r>
      <w:r w:rsidR="002D25B4">
        <w:rPr>
          <w:lang w:eastAsia="en-AU"/>
        </w:rPr>
        <w:t xml:space="preserve">.  </w:t>
      </w:r>
      <w:r w:rsidR="00244231" w:rsidRPr="000D127B">
        <w:rPr>
          <w:lang w:eastAsia="en-AU"/>
        </w:rPr>
        <w:t>Each statement of claim has identified earlier p</w:t>
      </w:r>
      <w:r w:rsidR="00255BC8">
        <w:rPr>
          <w:lang w:eastAsia="en-AU"/>
        </w:rPr>
        <w:t>ayments in the period from 3</w:t>
      </w:r>
      <w:r w:rsidR="00E25D89">
        <w:rPr>
          <w:lang w:eastAsia="en-AU"/>
        </w:rPr>
        <w:t>0</w:t>
      </w:r>
      <w:r w:rsidR="00255BC8">
        <w:rPr>
          <w:lang w:eastAsia="en-AU"/>
        </w:rPr>
        <w:t> </w:t>
      </w:r>
      <w:r w:rsidRPr="000D127B">
        <w:rPr>
          <w:lang w:eastAsia="en-AU"/>
        </w:rPr>
        <w:t>March 2012</w:t>
      </w:r>
      <w:r w:rsidR="00244231" w:rsidRPr="000D127B">
        <w:rPr>
          <w:lang w:eastAsia="en-AU"/>
        </w:rPr>
        <w:t xml:space="preserve"> to 3 July 2012</w:t>
      </w:r>
      <w:r w:rsidR="00326A8D" w:rsidRPr="000D127B">
        <w:rPr>
          <w:lang w:eastAsia="en-AU"/>
        </w:rPr>
        <w:t xml:space="preserve"> within the term “Payments”</w:t>
      </w:r>
      <w:r w:rsidR="009E2B1A" w:rsidRPr="000D127B">
        <w:rPr>
          <w:lang w:eastAsia="en-AU"/>
        </w:rPr>
        <w:t>.</w:t>
      </w:r>
      <w:r w:rsidR="00326A8D" w:rsidRPr="000D127B">
        <w:rPr>
          <w:lang w:eastAsia="en-AU"/>
        </w:rPr>
        <w:t xml:space="preserve"> </w:t>
      </w:r>
      <w:r w:rsidR="00244231" w:rsidRPr="000D127B">
        <w:rPr>
          <w:lang w:eastAsia="en-AU"/>
        </w:rPr>
        <w:t xml:space="preserve"> </w:t>
      </w:r>
      <w:r w:rsidR="00D03360" w:rsidRPr="000D127B">
        <w:rPr>
          <w:lang w:eastAsia="en-AU"/>
        </w:rPr>
        <w:t xml:space="preserve">Paragraph 10 </w:t>
      </w:r>
      <w:r w:rsidR="006234E3" w:rsidRPr="000D127B">
        <w:rPr>
          <w:lang w:eastAsia="en-AU"/>
        </w:rPr>
        <w:t xml:space="preserve">of each statement of claim has been </w:t>
      </w:r>
      <w:r w:rsidR="00D96B9D">
        <w:rPr>
          <w:lang w:eastAsia="en-AU"/>
        </w:rPr>
        <w:t xml:space="preserve">amended </w:t>
      </w:r>
      <w:r w:rsidR="006234E3" w:rsidRPr="000D127B">
        <w:rPr>
          <w:lang w:eastAsia="en-AU"/>
        </w:rPr>
        <w:t>to include a further subparagraph in the following terms:</w:t>
      </w:r>
    </w:p>
    <w:p w:rsidR="006234E3" w:rsidRPr="00FF3C5F" w:rsidRDefault="006234E3" w:rsidP="00017B82">
      <w:pPr>
        <w:pStyle w:val="Quote1"/>
        <w:numPr>
          <w:ilvl w:val="0"/>
          <w:numId w:val="27"/>
        </w:numPr>
        <w:ind w:left="1276" w:hanging="539"/>
        <w:rPr>
          <w:lang w:eastAsia="en-AU"/>
        </w:rPr>
      </w:pPr>
      <w:r w:rsidRPr="000D127B">
        <w:rPr>
          <w:lang w:eastAsia="en-AU"/>
        </w:rPr>
        <w:t xml:space="preserve">In the alternative to paragraph 10(b), </w:t>
      </w:r>
      <w:proofErr w:type="spellStart"/>
      <w:r w:rsidRPr="000D127B">
        <w:rPr>
          <w:lang w:eastAsia="en-AU"/>
        </w:rPr>
        <w:t>Gunns</w:t>
      </w:r>
      <w:proofErr w:type="spellEnd"/>
      <w:r w:rsidRPr="000D127B">
        <w:rPr>
          <w:lang w:eastAsia="en-AU"/>
        </w:rPr>
        <w:t xml:space="preserve"> became insolvent as a</w:t>
      </w:r>
      <w:r w:rsidRPr="00FF3C5F">
        <w:rPr>
          <w:lang w:eastAsia="en-AU"/>
        </w:rPr>
        <w:t xml:space="preserve"> result of making the Payments. </w:t>
      </w:r>
    </w:p>
    <w:p w:rsidR="002B3A61" w:rsidRPr="00A04E62" w:rsidRDefault="008A29FB" w:rsidP="00017B82">
      <w:pPr>
        <w:pStyle w:val="ParaNumbering"/>
        <w:numPr>
          <w:ilvl w:val="0"/>
          <w:numId w:val="30"/>
        </w:numPr>
        <w:rPr>
          <w:lang w:eastAsia="en-AU"/>
        </w:rPr>
      </w:pPr>
      <w:r w:rsidRPr="00A04E62">
        <w:rPr>
          <w:lang w:eastAsia="en-AU"/>
        </w:rPr>
        <w:t xml:space="preserve">The particulars </w:t>
      </w:r>
      <w:r w:rsidR="00AD3A5D" w:rsidRPr="00A04E62">
        <w:rPr>
          <w:lang w:eastAsia="en-AU"/>
        </w:rPr>
        <w:t xml:space="preserve">were </w:t>
      </w:r>
      <w:r w:rsidR="006234E3" w:rsidRPr="00A04E62">
        <w:rPr>
          <w:lang w:eastAsia="en-AU"/>
        </w:rPr>
        <w:t xml:space="preserve">also </w:t>
      </w:r>
      <w:r w:rsidR="009E2B1A" w:rsidRPr="00A04E62">
        <w:rPr>
          <w:lang w:eastAsia="en-AU"/>
        </w:rPr>
        <w:t xml:space="preserve">amended as set out in </w:t>
      </w:r>
      <w:r w:rsidR="00C53CF5" w:rsidRPr="00A04E62">
        <w:rPr>
          <w:lang w:eastAsia="en-AU"/>
        </w:rPr>
        <w:t xml:space="preserve">Annexure </w:t>
      </w:r>
      <w:r w:rsidR="00AA00E4" w:rsidRPr="00A04E62">
        <w:rPr>
          <w:lang w:eastAsia="en-AU"/>
        </w:rPr>
        <w:t>3</w:t>
      </w:r>
      <w:r w:rsidRPr="00A04E62">
        <w:rPr>
          <w:lang w:eastAsia="en-AU"/>
        </w:rPr>
        <w:t xml:space="preserve"> to these reasons.</w:t>
      </w:r>
    </w:p>
    <w:p w:rsidR="001C3AEA" w:rsidRPr="002439C8" w:rsidRDefault="001C3AEA" w:rsidP="00017B82">
      <w:pPr>
        <w:pStyle w:val="ParaNumbering"/>
        <w:numPr>
          <w:ilvl w:val="0"/>
          <w:numId w:val="30"/>
        </w:numPr>
        <w:rPr>
          <w:lang w:eastAsia="en-AU"/>
        </w:rPr>
      </w:pPr>
      <w:r w:rsidRPr="002439C8">
        <w:rPr>
          <w:lang w:eastAsia="en-AU"/>
        </w:rPr>
        <w:lastRenderedPageBreak/>
        <w:t xml:space="preserve">The effect of the amendments is that in each proceeding, it is now alleged that </w:t>
      </w:r>
      <w:proofErr w:type="spellStart"/>
      <w:r w:rsidRPr="002439C8">
        <w:rPr>
          <w:lang w:eastAsia="en-AU"/>
        </w:rPr>
        <w:t>Gunns</w:t>
      </w:r>
      <w:proofErr w:type="spellEnd"/>
      <w:r w:rsidRPr="002439C8">
        <w:rPr>
          <w:lang w:eastAsia="en-AU"/>
        </w:rPr>
        <w:t xml:space="preserve"> was insolvent from at least 30 March 2012</w:t>
      </w:r>
      <w:r w:rsidR="002D25B4">
        <w:rPr>
          <w:lang w:eastAsia="en-AU"/>
        </w:rPr>
        <w:t xml:space="preserve">.  </w:t>
      </w:r>
      <w:r w:rsidRPr="002439C8">
        <w:rPr>
          <w:lang w:eastAsia="en-AU"/>
        </w:rPr>
        <w:t xml:space="preserve">It is also alleged that </w:t>
      </w:r>
      <w:proofErr w:type="spellStart"/>
      <w:r w:rsidRPr="002439C8">
        <w:rPr>
          <w:lang w:eastAsia="en-AU"/>
        </w:rPr>
        <w:t>Gunns</w:t>
      </w:r>
      <w:proofErr w:type="spellEnd"/>
      <w:r w:rsidRPr="002439C8">
        <w:rPr>
          <w:lang w:eastAsia="en-AU"/>
        </w:rPr>
        <w:t xml:space="preserve"> became insolvent as a result of making the “</w:t>
      </w:r>
      <w:r w:rsidR="00D96B9D">
        <w:rPr>
          <w:lang w:eastAsia="en-AU"/>
        </w:rPr>
        <w:t>the P</w:t>
      </w:r>
      <w:r w:rsidRPr="002439C8">
        <w:rPr>
          <w:lang w:eastAsia="en-AU"/>
        </w:rPr>
        <w:t>ayments”, where the “</w:t>
      </w:r>
      <w:r w:rsidR="00D96B9D">
        <w:rPr>
          <w:lang w:eastAsia="en-AU"/>
        </w:rPr>
        <w:t>the P</w:t>
      </w:r>
      <w:r w:rsidRPr="002439C8">
        <w:rPr>
          <w:lang w:eastAsia="en-AU"/>
        </w:rPr>
        <w:t xml:space="preserve">ayments” include payments received by the defendants back to 30 March 2012. </w:t>
      </w:r>
    </w:p>
    <w:p w:rsidR="00167DA1" w:rsidRPr="000D127B" w:rsidRDefault="00167DA1" w:rsidP="00017B82">
      <w:pPr>
        <w:pStyle w:val="ParaNumbering"/>
        <w:numPr>
          <w:ilvl w:val="0"/>
          <w:numId w:val="30"/>
        </w:numPr>
        <w:rPr>
          <w:lang w:eastAsia="en-AU"/>
        </w:rPr>
      </w:pPr>
      <w:r w:rsidRPr="00FF3C5F">
        <w:rPr>
          <w:lang w:eastAsia="en-AU"/>
        </w:rPr>
        <w:t xml:space="preserve">It was submitted for the WA defendants that </w:t>
      </w:r>
      <w:r w:rsidR="00AD3A5D" w:rsidRPr="00FF3C5F">
        <w:rPr>
          <w:lang w:eastAsia="en-AU"/>
        </w:rPr>
        <w:t xml:space="preserve">the amended applications and statements of claim now rely on two substantially different facts, namely (1) that </w:t>
      </w:r>
      <w:proofErr w:type="spellStart"/>
      <w:r w:rsidR="00AD3A5D" w:rsidRPr="00FF3C5F">
        <w:rPr>
          <w:lang w:eastAsia="en-AU"/>
        </w:rPr>
        <w:t>Gunns</w:t>
      </w:r>
      <w:proofErr w:type="spellEnd"/>
      <w:r w:rsidR="00AD3A5D" w:rsidRPr="00FF3C5F">
        <w:rPr>
          <w:lang w:eastAsia="en-AU"/>
        </w:rPr>
        <w:t xml:space="preserve"> was insolvent from at least 30 March 2012 </w:t>
      </w:r>
      <w:r w:rsidR="00784C57" w:rsidRPr="00FF3C5F">
        <w:rPr>
          <w:lang w:eastAsia="en-AU"/>
        </w:rPr>
        <w:t xml:space="preserve">– </w:t>
      </w:r>
      <w:r w:rsidR="00AD3A5D" w:rsidRPr="00FF3C5F">
        <w:rPr>
          <w:lang w:eastAsia="en-AU"/>
        </w:rPr>
        <w:t xml:space="preserve">citing at least </w:t>
      </w:r>
      <w:r w:rsidR="00D96B9D">
        <w:rPr>
          <w:lang w:eastAsia="en-AU"/>
        </w:rPr>
        <w:t>seven</w:t>
      </w:r>
      <w:r w:rsidR="00AD3A5D" w:rsidRPr="00FF3C5F">
        <w:rPr>
          <w:lang w:eastAsia="en-AU"/>
        </w:rPr>
        <w:t xml:space="preserve"> new and different particulars to support that assertion; and (2) that </w:t>
      </w:r>
      <w:proofErr w:type="spellStart"/>
      <w:r w:rsidR="00AD3A5D" w:rsidRPr="00FF3C5F">
        <w:rPr>
          <w:lang w:eastAsia="en-AU"/>
        </w:rPr>
        <w:t>Gunns</w:t>
      </w:r>
      <w:proofErr w:type="spellEnd"/>
      <w:r w:rsidR="00AD3A5D" w:rsidRPr="00FF3C5F">
        <w:rPr>
          <w:lang w:eastAsia="en-AU"/>
        </w:rPr>
        <w:t xml:space="preserve"> </w:t>
      </w:r>
      <w:r w:rsidR="00AD3A5D" w:rsidRPr="000D127B">
        <w:rPr>
          <w:lang w:eastAsia="en-AU"/>
        </w:rPr>
        <w:t xml:space="preserve">became insolvent as a result of making those payments – again citing at least </w:t>
      </w:r>
      <w:r w:rsidR="00D96B9D">
        <w:rPr>
          <w:lang w:eastAsia="en-AU"/>
        </w:rPr>
        <w:t>seven</w:t>
      </w:r>
      <w:r w:rsidR="00AD3A5D" w:rsidRPr="000D127B">
        <w:rPr>
          <w:lang w:eastAsia="en-AU"/>
        </w:rPr>
        <w:t xml:space="preserve"> new and different particulars to support that assertion</w:t>
      </w:r>
      <w:r w:rsidR="002D25B4">
        <w:rPr>
          <w:lang w:eastAsia="en-AU"/>
        </w:rPr>
        <w:t xml:space="preserve">.  </w:t>
      </w:r>
      <w:r w:rsidR="00753406" w:rsidRPr="000D127B">
        <w:rPr>
          <w:lang w:eastAsia="en-AU"/>
        </w:rPr>
        <w:t>It was submitted</w:t>
      </w:r>
      <w:r w:rsidR="00AD3A5D" w:rsidRPr="000D127B">
        <w:rPr>
          <w:lang w:eastAsia="en-AU"/>
        </w:rPr>
        <w:t xml:space="preserve"> </w:t>
      </w:r>
      <w:r w:rsidRPr="000D127B">
        <w:rPr>
          <w:lang w:eastAsia="en-AU"/>
        </w:rPr>
        <w:t xml:space="preserve">that a company cannot be insolvent on 30 March 2012 (as a fact) if it becomes insolvent on 3 July 2012 (as a fact) and nor can a company become insolvent by making payments in March, April, May and June 2012 if (as now alleged as fact) it did not become insolvent until 3 July 2012 </w:t>
      </w:r>
      <w:r w:rsidR="00753406" w:rsidRPr="000D127B">
        <w:rPr>
          <w:lang w:eastAsia="en-AU"/>
        </w:rPr>
        <w:t>(which was originally pleaded)</w:t>
      </w:r>
      <w:r w:rsidR="002D25B4">
        <w:rPr>
          <w:lang w:eastAsia="en-AU"/>
        </w:rPr>
        <w:t xml:space="preserve">.  </w:t>
      </w:r>
      <w:r w:rsidRPr="000D127B">
        <w:rPr>
          <w:lang w:eastAsia="en-AU"/>
        </w:rPr>
        <w:t>It was also submitted that the new particulars are wide</w:t>
      </w:r>
      <w:r w:rsidR="00957666">
        <w:rPr>
          <w:lang w:eastAsia="en-AU"/>
        </w:rPr>
        <w:noBreakHyphen/>
      </w:r>
      <w:r w:rsidRPr="000D127B">
        <w:rPr>
          <w:lang w:eastAsia="en-AU"/>
        </w:rPr>
        <w:t xml:space="preserve">ranging and expansive, raising complex new facts and ranging over considerably expanded time periods.  It was submitted that the consequences of the amendments </w:t>
      </w:r>
      <w:r w:rsidR="00A05D93" w:rsidRPr="000D127B">
        <w:rPr>
          <w:lang w:eastAsia="en-AU"/>
        </w:rPr>
        <w:t>have</w:t>
      </w:r>
      <w:r w:rsidRPr="000D127B">
        <w:rPr>
          <w:lang w:eastAsia="en-AU"/>
        </w:rPr>
        <w:t xml:space="preserve"> a significant impact on the number of payments that are the subject of the proceedings and their value and significantly expand on the original claim and relevant facts which are brought into issue in the proceedings.  It was also submitted that by introducing </w:t>
      </w:r>
      <w:r w:rsidR="0052671A">
        <w:rPr>
          <w:lang w:eastAsia="en-AU"/>
        </w:rPr>
        <w:t xml:space="preserve">a </w:t>
      </w:r>
      <w:r w:rsidRPr="000D127B">
        <w:rPr>
          <w:lang w:eastAsia="en-AU"/>
        </w:rPr>
        <w:t xml:space="preserve">new period of the company’s insolvency, supported by new particulars, the plaintiffs are requiring the Court to undertake a substantially expanded examination of facts and evidence in these proceedings, including and making findings with respect to: </w:t>
      </w:r>
    </w:p>
    <w:p w:rsidR="00167DA1" w:rsidRPr="000D127B" w:rsidRDefault="00167DA1" w:rsidP="00017B82">
      <w:pPr>
        <w:pStyle w:val="ListNo2"/>
        <w:numPr>
          <w:ilvl w:val="1"/>
          <w:numId w:val="26"/>
        </w:numPr>
        <w:rPr>
          <w:lang w:eastAsia="en-AU"/>
        </w:rPr>
      </w:pPr>
      <w:r w:rsidRPr="000D127B">
        <w:rPr>
          <w:lang w:eastAsia="en-AU"/>
        </w:rPr>
        <w:t xml:space="preserve">whether the </w:t>
      </w:r>
      <w:proofErr w:type="spellStart"/>
      <w:r w:rsidRPr="000D127B">
        <w:rPr>
          <w:lang w:eastAsia="en-AU"/>
        </w:rPr>
        <w:t>Gunns</w:t>
      </w:r>
      <w:proofErr w:type="spellEnd"/>
      <w:r w:rsidRPr="000D127B">
        <w:rPr>
          <w:lang w:eastAsia="en-AU"/>
        </w:rPr>
        <w:t xml:space="preserve"> Group was insolvent during the additional three month period between 30 March 2012 and 3 July 2012; </w:t>
      </w:r>
    </w:p>
    <w:p w:rsidR="00167DA1" w:rsidRPr="000D127B" w:rsidRDefault="00167DA1" w:rsidP="00017B82">
      <w:pPr>
        <w:pStyle w:val="ListNo2"/>
        <w:numPr>
          <w:ilvl w:val="1"/>
          <w:numId w:val="26"/>
        </w:numPr>
        <w:rPr>
          <w:lang w:eastAsia="en-AU"/>
        </w:rPr>
      </w:pPr>
      <w:r w:rsidRPr="000D127B">
        <w:rPr>
          <w:lang w:eastAsia="en-AU"/>
        </w:rPr>
        <w:t xml:space="preserve">what payments have been made by the </w:t>
      </w:r>
      <w:proofErr w:type="spellStart"/>
      <w:r w:rsidRPr="000D127B">
        <w:rPr>
          <w:lang w:eastAsia="en-AU"/>
        </w:rPr>
        <w:t>Gunns</w:t>
      </w:r>
      <w:proofErr w:type="spellEnd"/>
      <w:r w:rsidRPr="000D127B">
        <w:rPr>
          <w:lang w:eastAsia="en-AU"/>
        </w:rPr>
        <w:t xml:space="preserve"> Group to the defendants over that new period; </w:t>
      </w:r>
    </w:p>
    <w:p w:rsidR="00167DA1" w:rsidRPr="000D127B" w:rsidRDefault="00167DA1" w:rsidP="00017B82">
      <w:pPr>
        <w:pStyle w:val="ListNo2"/>
        <w:numPr>
          <w:ilvl w:val="1"/>
          <w:numId w:val="26"/>
        </w:numPr>
        <w:rPr>
          <w:lang w:eastAsia="en-AU"/>
        </w:rPr>
      </w:pPr>
      <w:r w:rsidRPr="000D127B">
        <w:rPr>
          <w:lang w:eastAsia="en-AU"/>
        </w:rPr>
        <w:t xml:space="preserve">what knowledge or suspicions the defendants had of the insolvency of the </w:t>
      </w:r>
      <w:proofErr w:type="spellStart"/>
      <w:r w:rsidRPr="000D127B">
        <w:rPr>
          <w:lang w:eastAsia="en-AU"/>
        </w:rPr>
        <w:t>Gunns</w:t>
      </w:r>
      <w:proofErr w:type="spellEnd"/>
      <w:r w:rsidRPr="000D127B">
        <w:rPr>
          <w:lang w:eastAsia="en-AU"/>
        </w:rPr>
        <w:t xml:space="preserve"> Group (if at all) on any given day during that new period; and</w:t>
      </w:r>
    </w:p>
    <w:p w:rsidR="00167DA1" w:rsidRPr="000D127B" w:rsidRDefault="00167DA1" w:rsidP="00017B82">
      <w:pPr>
        <w:pStyle w:val="ListNo2"/>
        <w:numPr>
          <w:ilvl w:val="1"/>
          <w:numId w:val="26"/>
        </w:numPr>
        <w:rPr>
          <w:lang w:eastAsia="en-AU"/>
        </w:rPr>
      </w:pPr>
      <w:proofErr w:type="gramStart"/>
      <w:r w:rsidRPr="000D127B">
        <w:rPr>
          <w:lang w:eastAsia="en-AU"/>
        </w:rPr>
        <w:t>the</w:t>
      </w:r>
      <w:proofErr w:type="gramEnd"/>
      <w:r w:rsidRPr="000D127B">
        <w:rPr>
          <w:lang w:eastAsia="en-AU"/>
        </w:rPr>
        <w:t xml:space="preserve"> effect that the payments had on the overall indebtedness of the </w:t>
      </w:r>
      <w:proofErr w:type="spellStart"/>
      <w:r w:rsidRPr="000D127B">
        <w:rPr>
          <w:lang w:eastAsia="en-AU"/>
        </w:rPr>
        <w:t>Gunns</w:t>
      </w:r>
      <w:proofErr w:type="spellEnd"/>
      <w:r w:rsidRPr="000D127B">
        <w:rPr>
          <w:lang w:eastAsia="en-AU"/>
        </w:rPr>
        <w:t xml:space="preserve"> Group to the defendants during the course of the period.</w:t>
      </w:r>
    </w:p>
    <w:p w:rsidR="00167DA1" w:rsidRPr="000D127B" w:rsidRDefault="00167DA1" w:rsidP="00167DA1">
      <w:pPr>
        <w:pStyle w:val="NoNum"/>
        <w:rPr>
          <w:lang w:eastAsia="en-AU"/>
        </w:rPr>
      </w:pPr>
      <w:r w:rsidRPr="000D127B">
        <w:rPr>
          <w:lang w:eastAsia="en-AU"/>
        </w:rPr>
        <w:t>It was submitted that th</w:t>
      </w:r>
      <w:r w:rsidR="00753406" w:rsidRPr="000D127B">
        <w:rPr>
          <w:lang w:eastAsia="en-AU"/>
        </w:rPr>
        <w:t>ese facts and circumstances had</w:t>
      </w:r>
      <w:r w:rsidRPr="000D127B">
        <w:rPr>
          <w:lang w:eastAsia="en-AU"/>
        </w:rPr>
        <w:t xml:space="preserve"> previously not been placed directly in issue.</w:t>
      </w:r>
    </w:p>
    <w:p w:rsidR="00167DA1" w:rsidRPr="000D127B" w:rsidRDefault="00167DA1" w:rsidP="00017B82">
      <w:pPr>
        <w:pStyle w:val="ParaNumbering"/>
        <w:numPr>
          <w:ilvl w:val="0"/>
          <w:numId w:val="30"/>
        </w:numPr>
        <w:rPr>
          <w:lang w:eastAsia="en-AU"/>
        </w:rPr>
      </w:pPr>
      <w:r w:rsidRPr="000D127B">
        <w:rPr>
          <w:lang w:eastAsia="en-AU"/>
        </w:rPr>
        <w:lastRenderedPageBreak/>
        <w:t xml:space="preserve">It was </w:t>
      </w:r>
      <w:r w:rsidR="009C2007" w:rsidRPr="000D127B">
        <w:rPr>
          <w:lang w:eastAsia="en-AU"/>
        </w:rPr>
        <w:t xml:space="preserve">similarly </w:t>
      </w:r>
      <w:r w:rsidRPr="000D127B">
        <w:rPr>
          <w:lang w:eastAsia="en-AU"/>
        </w:rPr>
        <w:t xml:space="preserve">contended for the SA defendant that whilst at a high level the added allegations are of the same character, </w:t>
      </w:r>
      <w:r w:rsidR="00753406" w:rsidRPr="000D127B">
        <w:rPr>
          <w:lang w:eastAsia="en-AU"/>
        </w:rPr>
        <w:t xml:space="preserve">that is, seeking to overturn particular transactions between the defendant and </w:t>
      </w:r>
      <w:proofErr w:type="spellStart"/>
      <w:r w:rsidR="00753406" w:rsidRPr="000D127B">
        <w:rPr>
          <w:lang w:eastAsia="en-AU"/>
        </w:rPr>
        <w:t>Gunns</w:t>
      </w:r>
      <w:proofErr w:type="spellEnd"/>
      <w:r w:rsidR="00753406" w:rsidRPr="000D127B">
        <w:rPr>
          <w:lang w:eastAsia="en-AU"/>
        </w:rPr>
        <w:t xml:space="preserve"> in the </w:t>
      </w:r>
      <w:r w:rsidR="0052671A">
        <w:rPr>
          <w:lang w:eastAsia="en-AU"/>
        </w:rPr>
        <w:t>six</w:t>
      </w:r>
      <w:r w:rsidR="00753406" w:rsidRPr="000D127B">
        <w:rPr>
          <w:lang w:eastAsia="en-AU"/>
        </w:rPr>
        <w:t xml:space="preserve"> months prior to the</w:t>
      </w:r>
      <w:r w:rsidR="00784C57" w:rsidRPr="000D127B">
        <w:rPr>
          <w:lang w:eastAsia="en-AU"/>
        </w:rPr>
        <w:t xml:space="preserve"> </w:t>
      </w:r>
      <w:proofErr w:type="spellStart"/>
      <w:r w:rsidR="00784C57" w:rsidRPr="000D127B">
        <w:rPr>
          <w:lang w:eastAsia="en-AU"/>
        </w:rPr>
        <w:t>Gunns</w:t>
      </w:r>
      <w:proofErr w:type="spellEnd"/>
      <w:r w:rsidR="00784C57" w:rsidRPr="000D127B">
        <w:rPr>
          <w:lang w:eastAsia="en-AU"/>
        </w:rPr>
        <w:t xml:space="preserve"> </w:t>
      </w:r>
      <w:r w:rsidR="00E60B55" w:rsidRPr="000D127B">
        <w:rPr>
          <w:lang w:eastAsia="en-AU"/>
        </w:rPr>
        <w:t xml:space="preserve">Group </w:t>
      </w:r>
      <w:r w:rsidR="00784C57" w:rsidRPr="000D127B">
        <w:rPr>
          <w:lang w:eastAsia="en-AU"/>
        </w:rPr>
        <w:t xml:space="preserve">entering administration, </w:t>
      </w:r>
      <w:r w:rsidRPr="000D127B">
        <w:rPr>
          <w:lang w:eastAsia="en-AU"/>
        </w:rPr>
        <w:t xml:space="preserve">the new claims relate to substantially different facts and circumstances in a different and discrete time period, in a different financial year and would involve a different factual inquiry as to each of the allegations.  </w:t>
      </w:r>
    </w:p>
    <w:p w:rsidR="007A454E" w:rsidRPr="000D127B" w:rsidRDefault="000D5AD9" w:rsidP="00017B82">
      <w:pPr>
        <w:pStyle w:val="ParaNumbering"/>
        <w:numPr>
          <w:ilvl w:val="0"/>
          <w:numId w:val="30"/>
        </w:numPr>
        <w:rPr>
          <w:lang w:eastAsia="en-AU"/>
        </w:rPr>
      </w:pPr>
      <w:r w:rsidRPr="000D127B">
        <w:rPr>
          <w:lang w:eastAsia="en-AU"/>
        </w:rPr>
        <w:t>I</w:t>
      </w:r>
      <w:r w:rsidR="009C2007" w:rsidRPr="000D127B">
        <w:rPr>
          <w:lang w:eastAsia="en-AU"/>
        </w:rPr>
        <w:t xml:space="preserve"> do not agree</w:t>
      </w:r>
      <w:r w:rsidR="002D25B4">
        <w:rPr>
          <w:lang w:eastAsia="en-AU"/>
        </w:rPr>
        <w:t xml:space="preserve">.  </w:t>
      </w:r>
      <w:r w:rsidR="009C2007" w:rsidRPr="000D127B">
        <w:rPr>
          <w:lang w:eastAsia="en-AU"/>
        </w:rPr>
        <w:t>I am satisfied that t</w:t>
      </w:r>
      <w:r w:rsidRPr="000D127B">
        <w:rPr>
          <w:lang w:eastAsia="en-AU"/>
        </w:rPr>
        <w:t xml:space="preserve">he </w:t>
      </w:r>
      <w:r w:rsidR="007A2C51" w:rsidRPr="000D127B">
        <w:rPr>
          <w:lang w:eastAsia="en-AU"/>
        </w:rPr>
        <w:t xml:space="preserve">relevant transactions </w:t>
      </w:r>
      <w:r w:rsidRPr="000D127B">
        <w:rPr>
          <w:lang w:eastAsia="en-AU"/>
        </w:rPr>
        <w:t xml:space="preserve">in the earlier period sought to be impugned </w:t>
      </w:r>
      <w:r w:rsidR="007A2C51" w:rsidRPr="000D127B">
        <w:rPr>
          <w:lang w:eastAsia="en-AU"/>
        </w:rPr>
        <w:t>arise out of substantially t</w:t>
      </w:r>
      <w:r w:rsidR="00326A8D" w:rsidRPr="000D127B">
        <w:rPr>
          <w:lang w:eastAsia="en-AU"/>
        </w:rPr>
        <w:t>he same facts</w:t>
      </w:r>
      <w:r w:rsidR="00E74017" w:rsidRPr="000D127B">
        <w:rPr>
          <w:lang w:eastAsia="en-AU"/>
        </w:rPr>
        <w:t xml:space="preserve"> as those already pleaded to support the existing claims for relief</w:t>
      </w:r>
      <w:r w:rsidR="00C523DA" w:rsidRPr="000D127B">
        <w:rPr>
          <w:lang w:eastAsia="en-AU"/>
        </w:rPr>
        <w:t xml:space="preserve">, </w:t>
      </w:r>
      <w:r w:rsidR="007A2C51" w:rsidRPr="000D127B">
        <w:rPr>
          <w:lang w:eastAsia="en-AU"/>
        </w:rPr>
        <w:t xml:space="preserve">namely </w:t>
      </w:r>
      <w:r w:rsidR="009C2007" w:rsidRPr="000D127B">
        <w:rPr>
          <w:lang w:eastAsia="en-AU"/>
        </w:rPr>
        <w:t>in each matter</w:t>
      </w:r>
      <w:r w:rsidR="007A454E" w:rsidRPr="000D127B">
        <w:rPr>
          <w:lang w:eastAsia="en-AU"/>
        </w:rPr>
        <w:t>:</w:t>
      </w:r>
      <w:r w:rsidR="009C2007" w:rsidRPr="000D127B">
        <w:rPr>
          <w:lang w:eastAsia="en-AU"/>
        </w:rPr>
        <w:t xml:space="preserve"> </w:t>
      </w:r>
      <w:r w:rsidR="007A2C51" w:rsidRPr="000D127B">
        <w:rPr>
          <w:lang w:eastAsia="en-AU"/>
        </w:rPr>
        <w:t xml:space="preserve">the payments </w:t>
      </w:r>
      <w:r w:rsidRPr="000D127B">
        <w:rPr>
          <w:lang w:eastAsia="en-AU"/>
        </w:rPr>
        <w:t xml:space="preserve">in question </w:t>
      </w:r>
      <w:r w:rsidR="007A2C51" w:rsidRPr="000D127B">
        <w:rPr>
          <w:lang w:eastAsia="en-AU"/>
        </w:rPr>
        <w:t xml:space="preserve">relate to earlier transactions </w:t>
      </w:r>
      <w:r w:rsidR="009C2007" w:rsidRPr="000D127B">
        <w:rPr>
          <w:lang w:eastAsia="en-AU"/>
        </w:rPr>
        <w:t xml:space="preserve">in the </w:t>
      </w:r>
      <w:r w:rsidR="00687208" w:rsidRPr="000D127B">
        <w:rPr>
          <w:lang w:eastAsia="en-AU"/>
        </w:rPr>
        <w:t xml:space="preserve">same </w:t>
      </w:r>
      <w:r w:rsidR="009C2007" w:rsidRPr="000D127B">
        <w:rPr>
          <w:lang w:eastAsia="en-AU"/>
        </w:rPr>
        <w:t xml:space="preserve">course of business conducted </w:t>
      </w:r>
      <w:r w:rsidR="007A454E" w:rsidRPr="000D127B">
        <w:rPr>
          <w:lang w:eastAsia="en-AU"/>
        </w:rPr>
        <w:t>between the parties;</w:t>
      </w:r>
      <w:r w:rsidR="00687208" w:rsidRPr="000D127B">
        <w:rPr>
          <w:lang w:eastAsia="en-AU"/>
        </w:rPr>
        <w:t xml:space="preserve"> </w:t>
      </w:r>
      <w:r w:rsidR="007A454E" w:rsidRPr="000D127B">
        <w:rPr>
          <w:lang w:eastAsia="en-AU"/>
        </w:rPr>
        <w:t xml:space="preserve">the new claims are of the same nature as the existing claims and there are many common facts; </w:t>
      </w:r>
      <w:r w:rsidR="00687208" w:rsidRPr="000D127B">
        <w:rPr>
          <w:lang w:eastAsia="en-AU"/>
        </w:rPr>
        <w:t>there is a substantial overlap between the facts pleaded in respect of the additional claims and the facts pleaded in</w:t>
      </w:r>
      <w:r w:rsidR="007A454E" w:rsidRPr="000D127B">
        <w:rPr>
          <w:lang w:eastAsia="en-AU"/>
        </w:rPr>
        <w:t xml:space="preserve"> respect of the existing claims; substantially the same facts as those originally pleaded will have to be considered </w:t>
      </w:r>
      <w:r w:rsidR="00E74017" w:rsidRPr="000D127B">
        <w:rPr>
          <w:lang w:eastAsia="en-AU"/>
        </w:rPr>
        <w:t>in determining  liability and the defences in respect of the additional claims;  and</w:t>
      </w:r>
      <w:r w:rsidR="00784C57" w:rsidRPr="000D127B">
        <w:rPr>
          <w:lang w:eastAsia="en-AU"/>
        </w:rPr>
        <w:t>,</w:t>
      </w:r>
      <w:r w:rsidR="00E74017" w:rsidRPr="000D127B">
        <w:rPr>
          <w:lang w:eastAsia="en-AU"/>
        </w:rPr>
        <w:t xml:space="preserve"> </w:t>
      </w:r>
      <w:r w:rsidR="0052671A">
        <w:rPr>
          <w:lang w:eastAsia="en-AU"/>
        </w:rPr>
        <w:t xml:space="preserve">which </w:t>
      </w:r>
      <w:r w:rsidR="00E74017" w:rsidRPr="000D127B">
        <w:rPr>
          <w:lang w:eastAsia="en-AU"/>
        </w:rPr>
        <w:t>period has been expanded</w:t>
      </w:r>
      <w:r w:rsidR="00784C57" w:rsidRPr="000D127B">
        <w:rPr>
          <w:lang w:eastAsia="en-AU"/>
        </w:rPr>
        <w:t>,</w:t>
      </w:r>
      <w:r w:rsidR="00E74017" w:rsidRPr="000D127B">
        <w:rPr>
          <w:lang w:eastAsia="en-AU"/>
        </w:rPr>
        <w:t xml:space="preserve"> the amended statements of claim do not introduce wide ranging new facts and enquiries or require the Court to undertake a substantially different examination of the facts and evidence in these proceedings.  </w:t>
      </w:r>
      <w:r w:rsidR="00CE32F3" w:rsidRPr="000D127B">
        <w:rPr>
          <w:lang w:eastAsia="en-AU"/>
        </w:rPr>
        <w:t xml:space="preserve">The fact that new facts have been placed in issue because of the expanded period of alleged insolvency does not mean that the amendments do not arise substantially out of the same facts as those initially pleaded. </w:t>
      </w:r>
    </w:p>
    <w:p w:rsidR="00E74017" w:rsidRPr="000D127B" w:rsidRDefault="007A2C51" w:rsidP="00017B82">
      <w:pPr>
        <w:pStyle w:val="ParaNumbering"/>
        <w:numPr>
          <w:ilvl w:val="0"/>
          <w:numId w:val="30"/>
        </w:numPr>
        <w:rPr>
          <w:lang w:eastAsia="en-AU"/>
        </w:rPr>
      </w:pPr>
      <w:r w:rsidRPr="000D127B">
        <w:rPr>
          <w:lang w:eastAsia="en-AU"/>
        </w:rPr>
        <w:t xml:space="preserve">The real issue concerns whether the earlier date of insolvency relied upon constitutes a substantially different fact.  In my opinion it does not.  It may be accepted that new and different particulars are relied upon to support the assertion that </w:t>
      </w:r>
      <w:proofErr w:type="spellStart"/>
      <w:r w:rsidRPr="000D127B">
        <w:rPr>
          <w:lang w:eastAsia="en-AU"/>
        </w:rPr>
        <w:t>Gunns</w:t>
      </w:r>
      <w:proofErr w:type="spellEnd"/>
      <w:r w:rsidRPr="000D127B">
        <w:rPr>
          <w:lang w:eastAsia="en-AU"/>
        </w:rPr>
        <w:t xml:space="preserve"> was insolvent from at least 30 March 2012 but the claim of insolvency as from the earlier period arises out of substantially the same factual subs</w:t>
      </w:r>
      <w:r w:rsidR="007A454E" w:rsidRPr="000D127B">
        <w:rPr>
          <w:lang w:eastAsia="en-AU"/>
        </w:rPr>
        <w:t>tratum as the existing claims</w:t>
      </w:r>
      <w:r w:rsidR="002D25B4">
        <w:rPr>
          <w:lang w:eastAsia="en-AU"/>
        </w:rPr>
        <w:t xml:space="preserve">.  </w:t>
      </w:r>
      <w:r w:rsidR="00E74017" w:rsidRPr="000D127B">
        <w:rPr>
          <w:lang w:eastAsia="en-AU"/>
        </w:rPr>
        <w:t xml:space="preserve">In </w:t>
      </w:r>
      <w:r w:rsidRPr="000D127B">
        <w:rPr>
          <w:lang w:eastAsia="en-AU"/>
        </w:rPr>
        <w:t>the original claim</w:t>
      </w:r>
      <w:r w:rsidR="007A454E" w:rsidRPr="000D127B">
        <w:rPr>
          <w:lang w:eastAsia="en-AU"/>
        </w:rPr>
        <w:t>s</w:t>
      </w:r>
      <w:r w:rsidRPr="000D127B">
        <w:rPr>
          <w:lang w:eastAsia="en-AU"/>
        </w:rPr>
        <w:t xml:space="preserve"> the material fact of insolvency was particularised on the basis that </w:t>
      </w:r>
      <w:proofErr w:type="spellStart"/>
      <w:r w:rsidRPr="000D127B">
        <w:rPr>
          <w:lang w:eastAsia="en-AU"/>
        </w:rPr>
        <w:t>Gunns</w:t>
      </w:r>
      <w:proofErr w:type="spellEnd"/>
      <w:r w:rsidRPr="000D127B">
        <w:rPr>
          <w:lang w:eastAsia="en-AU"/>
        </w:rPr>
        <w:t xml:space="preserve"> was insolvent from at least 3 Ju</w:t>
      </w:r>
      <w:r w:rsidR="00E74017" w:rsidRPr="000D127B">
        <w:rPr>
          <w:lang w:eastAsia="en-AU"/>
        </w:rPr>
        <w:t>ly 2012 and possibly earlier and t</w:t>
      </w:r>
      <w:r w:rsidRPr="000D127B">
        <w:rPr>
          <w:lang w:eastAsia="en-AU"/>
        </w:rPr>
        <w:t>he particulars on which the plaintiffs relied were facts and circumstances in the period from June 2010</w:t>
      </w:r>
      <w:r w:rsidR="00784C57" w:rsidRPr="000D127B">
        <w:rPr>
          <w:lang w:eastAsia="en-AU"/>
        </w:rPr>
        <w:t>,</w:t>
      </w:r>
      <w:r w:rsidRPr="000D127B">
        <w:rPr>
          <w:lang w:eastAsia="en-AU"/>
        </w:rPr>
        <w:t xml:space="preserve"> but primarily between January and September 2012.  </w:t>
      </w:r>
    </w:p>
    <w:p w:rsidR="00FC743B" w:rsidRPr="000D127B" w:rsidRDefault="00FC743B" w:rsidP="00017B82">
      <w:pPr>
        <w:pStyle w:val="ParaNumbering"/>
        <w:numPr>
          <w:ilvl w:val="0"/>
          <w:numId w:val="30"/>
        </w:numPr>
        <w:rPr>
          <w:lang w:eastAsia="en-AU"/>
        </w:rPr>
      </w:pPr>
      <w:r w:rsidRPr="000D127B">
        <w:rPr>
          <w:lang w:eastAsia="en-AU"/>
        </w:rPr>
        <w:t>The WA defendants drew heavily upon various cases which have considered the power to amend but I did not find any of those cases particularly helpful</w:t>
      </w:r>
      <w:r w:rsidR="006B2EFA">
        <w:rPr>
          <w:lang w:eastAsia="en-AU"/>
        </w:rPr>
        <w:t xml:space="preserve"> and it is unnecessary to refer to them</w:t>
      </w:r>
      <w:r w:rsidR="002D25B4">
        <w:rPr>
          <w:lang w:eastAsia="en-AU"/>
        </w:rPr>
        <w:t xml:space="preserve">.  </w:t>
      </w:r>
      <w:r w:rsidRPr="000D127B">
        <w:rPr>
          <w:lang w:eastAsia="en-AU"/>
        </w:rPr>
        <w:t xml:space="preserve">As the authorities make clear, there are no concrete rules for determining whether </w:t>
      </w:r>
      <w:r w:rsidRPr="000D127B">
        <w:rPr>
          <w:lang w:eastAsia="en-AU"/>
        </w:rPr>
        <w:lastRenderedPageBreak/>
        <w:t xml:space="preserve">amendments arise out of substantially the same facts as those already pleaded and in each case it is a matter of looking at the particular facts and circumstances of that case: </w:t>
      </w:r>
      <w:proofErr w:type="spellStart"/>
      <w:r w:rsidRPr="000D127B">
        <w:rPr>
          <w:i/>
          <w:lang w:eastAsia="en-AU"/>
        </w:rPr>
        <w:t>Clurname</w:t>
      </w:r>
      <w:proofErr w:type="spellEnd"/>
      <w:r w:rsidRPr="000D127B">
        <w:rPr>
          <w:i/>
          <w:lang w:eastAsia="en-AU"/>
        </w:rPr>
        <w:t xml:space="preserve"> Pty Ltd v McGraw-Hill Financial Inc </w:t>
      </w:r>
      <w:r w:rsidRPr="000D127B">
        <w:rPr>
          <w:lang w:eastAsia="en-AU"/>
        </w:rPr>
        <w:t>[2017] FCA 1319</w:t>
      </w:r>
      <w:r w:rsidR="00C53CF5" w:rsidRPr="000D127B">
        <w:rPr>
          <w:lang w:eastAsia="en-AU"/>
        </w:rPr>
        <w:t xml:space="preserve">. </w:t>
      </w:r>
      <w:r w:rsidRPr="000D127B">
        <w:rPr>
          <w:lang w:eastAsia="en-AU"/>
        </w:rPr>
        <w:t xml:space="preserve"> </w:t>
      </w:r>
    </w:p>
    <w:p w:rsidR="00702D33" w:rsidRPr="000D127B" w:rsidRDefault="000D5AD9" w:rsidP="000D5AD9">
      <w:pPr>
        <w:pStyle w:val="Heading2"/>
        <w:rPr>
          <w:lang w:eastAsia="en-AU"/>
        </w:rPr>
      </w:pPr>
      <w:r w:rsidRPr="000D127B">
        <w:rPr>
          <w:lang w:eastAsia="en-AU"/>
        </w:rPr>
        <w:t>Discretion</w:t>
      </w:r>
    </w:p>
    <w:p w:rsidR="007A2C51" w:rsidRPr="000D127B" w:rsidRDefault="007A2C51" w:rsidP="00017B82">
      <w:pPr>
        <w:pStyle w:val="ParaNumbering"/>
        <w:numPr>
          <w:ilvl w:val="0"/>
          <w:numId w:val="30"/>
        </w:numPr>
        <w:rPr>
          <w:lang w:eastAsia="en-AU"/>
        </w:rPr>
      </w:pPr>
      <w:r w:rsidRPr="000D127B">
        <w:rPr>
          <w:lang w:eastAsia="en-AU"/>
        </w:rPr>
        <w:t xml:space="preserve">That leaves </w:t>
      </w:r>
      <w:r w:rsidR="000D5AD9" w:rsidRPr="000D127B">
        <w:rPr>
          <w:lang w:eastAsia="en-AU"/>
        </w:rPr>
        <w:t>the question of discretion as a</w:t>
      </w:r>
      <w:r w:rsidRPr="000D127B">
        <w:rPr>
          <w:lang w:eastAsia="en-AU"/>
        </w:rPr>
        <w:t xml:space="preserve">ll amendments under r 8.21 require leave.  </w:t>
      </w:r>
    </w:p>
    <w:p w:rsidR="007A2C51" w:rsidRPr="000D127B" w:rsidRDefault="007A2C51" w:rsidP="00017B82">
      <w:pPr>
        <w:pStyle w:val="ParaNumbering"/>
        <w:numPr>
          <w:ilvl w:val="0"/>
          <w:numId w:val="30"/>
        </w:numPr>
        <w:rPr>
          <w:lang w:eastAsia="en-AU"/>
        </w:rPr>
      </w:pPr>
      <w:r w:rsidRPr="000D127B">
        <w:rPr>
          <w:lang w:eastAsia="en-AU"/>
        </w:rPr>
        <w:t xml:space="preserve">The onus is on the party seeking leave to amend to persuade the Court that leave should be given: </w:t>
      </w:r>
      <w:r w:rsidRPr="000D127B">
        <w:rPr>
          <w:i/>
          <w:lang w:eastAsia="en-AU"/>
        </w:rPr>
        <w:t>Dye v Commonwealth Security Ltd (No 2)</w:t>
      </w:r>
      <w:r w:rsidRPr="000D127B">
        <w:rPr>
          <w:lang w:eastAsia="en-AU"/>
        </w:rPr>
        <w:t xml:space="preserve"> [2010] FCAFC 118 at [17].  In </w:t>
      </w:r>
      <w:proofErr w:type="spellStart"/>
      <w:r w:rsidRPr="000D127B">
        <w:rPr>
          <w:i/>
          <w:lang w:eastAsia="en-AU"/>
        </w:rPr>
        <w:t>Tamaya</w:t>
      </w:r>
      <w:proofErr w:type="spellEnd"/>
      <w:r w:rsidRPr="000D127B">
        <w:rPr>
          <w:i/>
          <w:lang w:eastAsia="en-AU"/>
        </w:rPr>
        <w:t xml:space="preserve"> Resources Limited (in liq) v Deloitte </w:t>
      </w:r>
      <w:proofErr w:type="spellStart"/>
      <w:r w:rsidRPr="000D127B">
        <w:rPr>
          <w:i/>
          <w:lang w:eastAsia="en-AU"/>
        </w:rPr>
        <w:t>Touche</w:t>
      </w:r>
      <w:proofErr w:type="spellEnd"/>
      <w:r w:rsidRPr="000D127B">
        <w:rPr>
          <w:i/>
          <w:lang w:eastAsia="en-AU"/>
        </w:rPr>
        <w:t xml:space="preserve"> Tohmatsu (A Firm), in the matter of </w:t>
      </w:r>
      <w:proofErr w:type="spellStart"/>
      <w:r w:rsidRPr="000D127B">
        <w:rPr>
          <w:i/>
          <w:lang w:eastAsia="en-AU"/>
        </w:rPr>
        <w:t>Tamaya</w:t>
      </w:r>
      <w:proofErr w:type="spellEnd"/>
      <w:r w:rsidRPr="000D127B">
        <w:rPr>
          <w:i/>
          <w:lang w:eastAsia="en-AU"/>
        </w:rPr>
        <w:t xml:space="preserve"> Resources Limited (in liq) </w:t>
      </w:r>
      <w:r w:rsidRPr="000D127B">
        <w:rPr>
          <w:lang w:eastAsia="en-AU"/>
        </w:rPr>
        <w:t xml:space="preserve">[2015] FCA 1098 [127] Gleeson J noted </w:t>
      </w:r>
      <w:r w:rsidR="000D5AD9" w:rsidRPr="000D127B">
        <w:rPr>
          <w:lang w:eastAsia="en-AU"/>
        </w:rPr>
        <w:t xml:space="preserve">that </w:t>
      </w:r>
      <w:r w:rsidRPr="000D127B">
        <w:rPr>
          <w:lang w:eastAsia="en-AU"/>
        </w:rPr>
        <w:t>the relevant factors to be considered include:</w:t>
      </w:r>
    </w:p>
    <w:p w:rsidR="007A2C51" w:rsidRPr="000D127B" w:rsidRDefault="00A05D93" w:rsidP="00017B82">
      <w:pPr>
        <w:pStyle w:val="ListNo2"/>
        <w:numPr>
          <w:ilvl w:val="1"/>
          <w:numId w:val="25"/>
        </w:numPr>
        <w:rPr>
          <w:lang w:eastAsia="en-AU"/>
        </w:rPr>
      </w:pPr>
      <w:r w:rsidRPr="000D127B">
        <w:rPr>
          <w:lang w:eastAsia="en-AU"/>
        </w:rPr>
        <w:t xml:space="preserve">the </w:t>
      </w:r>
      <w:r w:rsidR="007A2C51" w:rsidRPr="000D127B">
        <w:rPr>
          <w:lang w:eastAsia="en-AU"/>
        </w:rPr>
        <w:t>nature and importance of the amendment to the party applying for it;</w:t>
      </w:r>
    </w:p>
    <w:p w:rsidR="007A2C51" w:rsidRPr="000D127B" w:rsidRDefault="00A05D93" w:rsidP="00017B82">
      <w:pPr>
        <w:pStyle w:val="ListNo2"/>
        <w:numPr>
          <w:ilvl w:val="1"/>
          <w:numId w:val="25"/>
        </w:numPr>
        <w:rPr>
          <w:lang w:eastAsia="en-AU"/>
        </w:rPr>
      </w:pPr>
      <w:r w:rsidRPr="000D127B">
        <w:rPr>
          <w:lang w:eastAsia="en-AU"/>
        </w:rPr>
        <w:t xml:space="preserve">the </w:t>
      </w:r>
      <w:r w:rsidR="007A2C51" w:rsidRPr="000D127B">
        <w:rPr>
          <w:lang w:eastAsia="en-AU"/>
        </w:rPr>
        <w:t>extent of the delay and the costs associated with the amendment;</w:t>
      </w:r>
    </w:p>
    <w:p w:rsidR="007A2C51" w:rsidRPr="000D127B" w:rsidRDefault="00A05D93" w:rsidP="00017B82">
      <w:pPr>
        <w:pStyle w:val="ListNo2"/>
        <w:numPr>
          <w:ilvl w:val="1"/>
          <w:numId w:val="25"/>
        </w:numPr>
        <w:rPr>
          <w:lang w:eastAsia="en-AU"/>
        </w:rPr>
      </w:pPr>
      <w:r w:rsidRPr="000D127B">
        <w:rPr>
          <w:lang w:eastAsia="en-AU"/>
        </w:rPr>
        <w:t xml:space="preserve">the </w:t>
      </w:r>
      <w:r w:rsidR="007A2C51" w:rsidRPr="000D127B">
        <w:rPr>
          <w:lang w:eastAsia="en-AU"/>
        </w:rPr>
        <w:t>prejudice that might be assumed to follow from the amendment, and that which is shown;</w:t>
      </w:r>
    </w:p>
    <w:p w:rsidR="007A2C51" w:rsidRPr="000D127B" w:rsidRDefault="00A05D93" w:rsidP="00017B82">
      <w:pPr>
        <w:pStyle w:val="ListNo2"/>
        <w:numPr>
          <w:ilvl w:val="1"/>
          <w:numId w:val="25"/>
        </w:numPr>
        <w:rPr>
          <w:lang w:eastAsia="en-AU"/>
        </w:rPr>
      </w:pPr>
      <w:r w:rsidRPr="000D127B">
        <w:rPr>
          <w:lang w:eastAsia="en-AU"/>
        </w:rPr>
        <w:t xml:space="preserve">the </w:t>
      </w:r>
      <w:r w:rsidR="007A2C51" w:rsidRPr="000D127B">
        <w:rPr>
          <w:lang w:eastAsia="en-AU"/>
        </w:rPr>
        <w:t>explanation for any delay in applying for leave;</w:t>
      </w:r>
    </w:p>
    <w:p w:rsidR="007A2C51" w:rsidRPr="000D127B" w:rsidRDefault="00A05D93" w:rsidP="00017B82">
      <w:pPr>
        <w:pStyle w:val="ListNo2"/>
        <w:numPr>
          <w:ilvl w:val="1"/>
          <w:numId w:val="25"/>
        </w:numPr>
        <w:rPr>
          <w:lang w:eastAsia="en-AU"/>
        </w:rPr>
      </w:pPr>
      <w:r w:rsidRPr="000D127B">
        <w:rPr>
          <w:lang w:eastAsia="en-AU"/>
        </w:rPr>
        <w:t xml:space="preserve">the </w:t>
      </w:r>
      <w:r w:rsidR="007A2C51" w:rsidRPr="000D127B">
        <w:rPr>
          <w:lang w:eastAsia="en-AU"/>
        </w:rPr>
        <w:t xml:space="preserve">parties’ choices to date in the litigation and the consequences of those choices (see also </w:t>
      </w:r>
      <w:r w:rsidR="007A2C51" w:rsidRPr="000D127B">
        <w:rPr>
          <w:i/>
          <w:lang w:eastAsia="en-AU"/>
        </w:rPr>
        <w:t>Luck v Chief Executive Officer of Centrelink</w:t>
      </w:r>
      <w:r w:rsidR="007A2C51" w:rsidRPr="000D127B">
        <w:rPr>
          <w:lang w:eastAsia="en-AU"/>
        </w:rPr>
        <w:t xml:space="preserve"> [2015] FCAFC 75 </w:t>
      </w:r>
      <w:r w:rsidR="003542C8" w:rsidRPr="000D127B">
        <w:rPr>
          <w:lang w:eastAsia="en-AU"/>
        </w:rPr>
        <w:t>(“</w:t>
      </w:r>
      <w:r w:rsidR="003542C8" w:rsidRPr="000D127B">
        <w:rPr>
          <w:b/>
          <w:i/>
          <w:lang w:eastAsia="en-AU"/>
        </w:rPr>
        <w:t>Luck</w:t>
      </w:r>
      <w:r w:rsidR="003542C8" w:rsidRPr="000D127B">
        <w:rPr>
          <w:lang w:eastAsia="en-AU"/>
        </w:rPr>
        <w:t xml:space="preserve">”) </w:t>
      </w:r>
      <w:r w:rsidR="007A2C51" w:rsidRPr="000D127B">
        <w:rPr>
          <w:lang w:eastAsia="en-AU"/>
        </w:rPr>
        <w:t>at [44]);</w:t>
      </w:r>
    </w:p>
    <w:p w:rsidR="007A2C51" w:rsidRPr="000D127B" w:rsidRDefault="00A05D93" w:rsidP="00017B82">
      <w:pPr>
        <w:pStyle w:val="ListNo2"/>
        <w:numPr>
          <w:ilvl w:val="1"/>
          <w:numId w:val="25"/>
        </w:numPr>
        <w:rPr>
          <w:lang w:eastAsia="en-AU"/>
        </w:rPr>
      </w:pPr>
      <w:r w:rsidRPr="000D127B">
        <w:rPr>
          <w:lang w:eastAsia="en-AU"/>
        </w:rPr>
        <w:t xml:space="preserve">the </w:t>
      </w:r>
      <w:r w:rsidR="007A2C51" w:rsidRPr="000D127B">
        <w:rPr>
          <w:lang w:eastAsia="en-AU"/>
        </w:rPr>
        <w:t>detriment to other litigants in the Court (</w:t>
      </w:r>
      <w:r w:rsidR="007A2C51" w:rsidRPr="000D127B">
        <w:rPr>
          <w:i/>
          <w:lang w:eastAsia="en-AU"/>
        </w:rPr>
        <w:t>Luck</w:t>
      </w:r>
      <w:r w:rsidR="007A2C51" w:rsidRPr="000D127B">
        <w:rPr>
          <w:lang w:eastAsia="en-AU"/>
        </w:rPr>
        <w:t xml:space="preserve"> at [44]);</w:t>
      </w:r>
    </w:p>
    <w:p w:rsidR="007A2C51" w:rsidRPr="000D127B" w:rsidRDefault="00A05D93" w:rsidP="00017B82">
      <w:pPr>
        <w:pStyle w:val="ListNo2"/>
        <w:numPr>
          <w:ilvl w:val="1"/>
          <w:numId w:val="25"/>
        </w:numPr>
        <w:rPr>
          <w:lang w:eastAsia="en-AU"/>
        </w:rPr>
      </w:pPr>
      <w:proofErr w:type="gramStart"/>
      <w:r w:rsidRPr="000D127B">
        <w:rPr>
          <w:lang w:eastAsia="en-AU"/>
        </w:rPr>
        <w:t>potential</w:t>
      </w:r>
      <w:proofErr w:type="gramEnd"/>
      <w:r w:rsidRPr="000D127B">
        <w:rPr>
          <w:lang w:eastAsia="en-AU"/>
        </w:rPr>
        <w:t xml:space="preserve"> </w:t>
      </w:r>
      <w:r w:rsidR="007A2C51" w:rsidRPr="000D127B">
        <w:rPr>
          <w:lang w:eastAsia="en-AU"/>
        </w:rPr>
        <w:t xml:space="preserve">loss of public confidence in the legal system which can arise where a court is seen to accede to applications made without adequate explanation or justification.  </w:t>
      </w:r>
    </w:p>
    <w:p w:rsidR="007A2C51" w:rsidRPr="000D127B" w:rsidRDefault="007A2C51" w:rsidP="00017B82">
      <w:pPr>
        <w:pStyle w:val="ParaNumbering"/>
        <w:numPr>
          <w:ilvl w:val="0"/>
          <w:numId w:val="30"/>
        </w:numPr>
        <w:rPr>
          <w:lang w:eastAsia="en-AU"/>
        </w:rPr>
      </w:pPr>
      <w:r w:rsidRPr="000D127B">
        <w:rPr>
          <w:lang w:eastAsia="en-AU"/>
        </w:rPr>
        <w:t xml:space="preserve">The </w:t>
      </w:r>
      <w:r w:rsidR="00C53CF5" w:rsidRPr="000D127B">
        <w:rPr>
          <w:lang w:eastAsia="en-AU"/>
        </w:rPr>
        <w:t>WA</w:t>
      </w:r>
      <w:r w:rsidRPr="000D127B">
        <w:rPr>
          <w:lang w:eastAsia="en-AU"/>
        </w:rPr>
        <w:t xml:space="preserve"> defendants argued that relevant factors against the grant of leave are:</w:t>
      </w:r>
    </w:p>
    <w:p w:rsidR="007A2C51" w:rsidRPr="000D127B" w:rsidRDefault="00634E45" w:rsidP="00634E45">
      <w:pPr>
        <w:pStyle w:val="ListNo2"/>
        <w:numPr>
          <w:ilvl w:val="0"/>
          <w:numId w:val="0"/>
        </w:numPr>
        <w:ind w:left="1474" w:hanging="754"/>
        <w:rPr>
          <w:lang w:eastAsia="en-AU"/>
        </w:rPr>
      </w:pPr>
      <w:r>
        <w:rPr>
          <w:lang w:eastAsia="en-AU"/>
        </w:rPr>
        <w:t>(a)</w:t>
      </w:r>
      <w:r>
        <w:rPr>
          <w:lang w:eastAsia="en-AU"/>
        </w:rPr>
        <w:tab/>
      </w:r>
      <w:proofErr w:type="gramStart"/>
      <w:r w:rsidR="007A2C51" w:rsidRPr="000D127B">
        <w:rPr>
          <w:lang w:eastAsia="en-AU"/>
        </w:rPr>
        <w:t>the</w:t>
      </w:r>
      <w:proofErr w:type="gramEnd"/>
      <w:r w:rsidR="007A2C51" w:rsidRPr="000D127B">
        <w:rPr>
          <w:lang w:eastAsia="en-AU"/>
        </w:rPr>
        <w:t xml:space="preserve"> defendants </w:t>
      </w:r>
      <w:r w:rsidR="000C7FE3" w:rsidRPr="000D127B">
        <w:rPr>
          <w:lang w:eastAsia="en-AU"/>
        </w:rPr>
        <w:t xml:space="preserve">were </w:t>
      </w:r>
      <w:r w:rsidR="007A2C51" w:rsidRPr="000D127B">
        <w:rPr>
          <w:lang w:eastAsia="en-AU"/>
        </w:rPr>
        <w:t>entitled to know the case against them on or before 24 September 2015 – that is the purpose of the limitation period;</w:t>
      </w:r>
    </w:p>
    <w:p w:rsidR="007A2C51" w:rsidRPr="000D127B" w:rsidRDefault="00634E45" w:rsidP="00634E45">
      <w:pPr>
        <w:pStyle w:val="ListNo2"/>
        <w:numPr>
          <w:ilvl w:val="0"/>
          <w:numId w:val="0"/>
        </w:numPr>
        <w:ind w:left="1474" w:hanging="754"/>
        <w:rPr>
          <w:lang w:eastAsia="en-AU"/>
        </w:rPr>
      </w:pPr>
      <w:r>
        <w:rPr>
          <w:lang w:eastAsia="en-AU"/>
        </w:rPr>
        <w:t>(b)</w:t>
      </w:r>
      <w:r>
        <w:rPr>
          <w:lang w:eastAsia="en-AU"/>
        </w:rPr>
        <w:tab/>
      </w:r>
      <w:proofErr w:type="gramStart"/>
      <w:r w:rsidR="007A2C51" w:rsidRPr="000D127B">
        <w:rPr>
          <w:lang w:eastAsia="en-AU"/>
        </w:rPr>
        <w:t>in</w:t>
      </w:r>
      <w:proofErr w:type="gramEnd"/>
      <w:r w:rsidR="007A2C51" w:rsidRPr="000D127B">
        <w:rPr>
          <w:lang w:eastAsia="en-AU"/>
        </w:rPr>
        <w:t xml:space="preserve"> cases involving the repayment of monies under the Act, the case (or the story put) involves a creditor in allocating resources to make specific appropriate enquiries and gather evidence to meet that case and allows the creditor to comprehend the risk it faces.  Section 588FF of the Act ensures that persons seeking to recover monies against the creditors must indicate </w:t>
      </w:r>
      <w:r w:rsidR="007A2C51" w:rsidRPr="000D127B">
        <w:rPr>
          <w:lang w:eastAsia="en-AU"/>
        </w:rPr>
        <w:lastRenderedPageBreak/>
        <w:t xml:space="preserve">their intentions within </w:t>
      </w:r>
      <w:r w:rsidR="0052671A">
        <w:rPr>
          <w:lang w:eastAsia="en-AU"/>
        </w:rPr>
        <w:t>three</w:t>
      </w:r>
      <w:r w:rsidR="007A2C51" w:rsidRPr="000D127B">
        <w:rPr>
          <w:lang w:eastAsia="en-AU"/>
        </w:rPr>
        <w:t xml:space="preserve"> years: see </w:t>
      </w:r>
      <w:r w:rsidR="007A2C51" w:rsidRPr="000D127B">
        <w:rPr>
          <w:i/>
          <w:lang w:eastAsia="en-AU"/>
        </w:rPr>
        <w:t>Davies &amp; Anor v Chicago Boot Company Pty Ltd (No 2)</w:t>
      </w:r>
      <w:r w:rsidR="005678EB" w:rsidRPr="000D127B">
        <w:rPr>
          <w:lang w:eastAsia="en-AU"/>
        </w:rPr>
        <w:t xml:space="preserve"> (2007) 96 SASR 164 at [48]; </w:t>
      </w:r>
    </w:p>
    <w:p w:rsidR="007A2C51" w:rsidRPr="000D127B" w:rsidRDefault="00634E45" w:rsidP="00634E45">
      <w:pPr>
        <w:pStyle w:val="ListNo2"/>
        <w:numPr>
          <w:ilvl w:val="0"/>
          <w:numId w:val="0"/>
        </w:numPr>
        <w:ind w:left="1474" w:hanging="754"/>
        <w:rPr>
          <w:lang w:eastAsia="en-AU"/>
        </w:rPr>
      </w:pPr>
      <w:r>
        <w:rPr>
          <w:lang w:eastAsia="en-AU"/>
        </w:rPr>
        <w:t>(c)</w:t>
      </w:r>
      <w:r>
        <w:rPr>
          <w:lang w:eastAsia="en-AU"/>
        </w:rPr>
        <w:tab/>
      </w:r>
      <w:proofErr w:type="gramStart"/>
      <w:r w:rsidR="007A2C51" w:rsidRPr="000D127B">
        <w:rPr>
          <w:lang w:eastAsia="en-AU"/>
        </w:rPr>
        <w:t>this</w:t>
      </w:r>
      <w:proofErr w:type="gramEnd"/>
      <w:r w:rsidR="007A2C51" w:rsidRPr="000D127B">
        <w:rPr>
          <w:lang w:eastAsia="en-AU"/>
        </w:rPr>
        <w:t xml:space="preserve"> is not a situation in which payments were “missed” by the liquidator prior to the expiry of the limitation period, in which case the defendants would know of the different facts on which a further claim would be based – the fact of the payments.  The date of insolvency of the company is a matter that could not have been known to the defendants and they could not have prepared th</w:t>
      </w:r>
      <w:r w:rsidR="00FC743B" w:rsidRPr="000D127B">
        <w:rPr>
          <w:lang w:eastAsia="en-AU"/>
        </w:rPr>
        <w:t>emselves for the risk that the additional p</w:t>
      </w:r>
      <w:r w:rsidR="007A2C51" w:rsidRPr="000D127B">
        <w:rPr>
          <w:lang w:eastAsia="en-AU"/>
        </w:rPr>
        <w:t>ayments would be claimed by the liquidators;</w:t>
      </w:r>
    </w:p>
    <w:p w:rsidR="007A2C51" w:rsidRPr="000D127B" w:rsidRDefault="00634E45" w:rsidP="00634E45">
      <w:pPr>
        <w:pStyle w:val="ListNo2"/>
        <w:numPr>
          <w:ilvl w:val="0"/>
          <w:numId w:val="0"/>
        </w:numPr>
        <w:ind w:left="1474" w:hanging="754"/>
        <w:rPr>
          <w:lang w:eastAsia="en-AU"/>
        </w:rPr>
      </w:pPr>
      <w:r>
        <w:rPr>
          <w:lang w:eastAsia="en-AU"/>
        </w:rPr>
        <w:t>(d)</w:t>
      </w:r>
      <w:r>
        <w:rPr>
          <w:lang w:eastAsia="en-AU"/>
        </w:rPr>
        <w:tab/>
      </w:r>
      <w:proofErr w:type="gramStart"/>
      <w:r w:rsidR="007A2C51" w:rsidRPr="000D127B">
        <w:rPr>
          <w:lang w:eastAsia="en-AU"/>
        </w:rPr>
        <w:t>there</w:t>
      </w:r>
      <w:proofErr w:type="gramEnd"/>
      <w:r w:rsidR="007A2C51" w:rsidRPr="000D127B">
        <w:rPr>
          <w:lang w:eastAsia="en-AU"/>
        </w:rPr>
        <w:t xml:space="preserve"> is no explanation from the plaintiffs as to why an expert report could not have been commissioned earlier and, in particular, before the expiry of the limitation period.  It must have been obvious to the plaintiffs that such a report was always going to be required particularly if the plaintiffs were going to base their case upon it;</w:t>
      </w:r>
    </w:p>
    <w:p w:rsidR="007A2C51" w:rsidRPr="000D127B" w:rsidRDefault="00634E45" w:rsidP="00634E45">
      <w:pPr>
        <w:pStyle w:val="ListNo2"/>
        <w:numPr>
          <w:ilvl w:val="0"/>
          <w:numId w:val="0"/>
        </w:numPr>
        <w:ind w:left="1474" w:hanging="754"/>
        <w:rPr>
          <w:lang w:eastAsia="en-AU"/>
        </w:rPr>
      </w:pPr>
      <w:r>
        <w:rPr>
          <w:lang w:eastAsia="en-AU"/>
        </w:rPr>
        <w:t>(e)</w:t>
      </w:r>
      <w:r>
        <w:rPr>
          <w:lang w:eastAsia="en-AU"/>
        </w:rPr>
        <w:tab/>
      </w:r>
      <w:proofErr w:type="gramStart"/>
      <w:r w:rsidR="007A2C51" w:rsidRPr="000D127B">
        <w:rPr>
          <w:lang w:eastAsia="en-AU"/>
        </w:rPr>
        <w:t>if</w:t>
      </w:r>
      <w:proofErr w:type="gramEnd"/>
      <w:r w:rsidR="007A2C51" w:rsidRPr="000D127B">
        <w:rPr>
          <w:lang w:eastAsia="en-AU"/>
        </w:rPr>
        <w:t xml:space="preserve"> the issue was an inability or delay in obtaining information so as to determine an insolvency date (or the facts upon which that date was based) an application for leave to extend the time period before the limitation period expired would have been appropriate: see s 588FF(3)(b) of the Act.  No such application was </w:t>
      </w:r>
      <w:proofErr w:type="gramStart"/>
      <w:r w:rsidR="007A2C51" w:rsidRPr="000D127B">
        <w:rPr>
          <w:lang w:eastAsia="en-AU"/>
        </w:rPr>
        <w:t>made</w:t>
      </w:r>
      <w:r w:rsidR="00784C57" w:rsidRPr="000D127B">
        <w:rPr>
          <w:lang w:eastAsia="en-AU"/>
        </w:rPr>
        <w:t>,</w:t>
      </w:r>
      <w:proofErr w:type="gramEnd"/>
      <w:r w:rsidR="007A2C51" w:rsidRPr="000D127B">
        <w:rPr>
          <w:lang w:eastAsia="en-AU"/>
        </w:rPr>
        <w:t xml:space="preserve"> </w:t>
      </w:r>
      <w:r w:rsidR="005678EB" w:rsidRPr="000D127B">
        <w:rPr>
          <w:lang w:eastAsia="en-AU"/>
        </w:rPr>
        <w:t>it was said</w:t>
      </w:r>
      <w:r w:rsidR="007A2C51" w:rsidRPr="000D127B">
        <w:rPr>
          <w:lang w:eastAsia="en-AU"/>
        </w:rPr>
        <w:t xml:space="preserve"> </w:t>
      </w:r>
      <w:r w:rsidR="006B2EFA" w:rsidRPr="000D127B">
        <w:rPr>
          <w:lang w:eastAsia="en-AU"/>
        </w:rPr>
        <w:t xml:space="preserve">presumably </w:t>
      </w:r>
      <w:r w:rsidR="007A2C51" w:rsidRPr="000D127B">
        <w:rPr>
          <w:lang w:eastAsia="en-AU"/>
        </w:rPr>
        <w:t xml:space="preserve">because the liquidators had all </w:t>
      </w:r>
      <w:r w:rsidR="0052671A">
        <w:rPr>
          <w:lang w:eastAsia="en-AU"/>
        </w:rPr>
        <w:t xml:space="preserve">the </w:t>
      </w:r>
      <w:r w:rsidR="007A2C51" w:rsidRPr="000D127B">
        <w:rPr>
          <w:lang w:eastAsia="en-AU"/>
        </w:rPr>
        <w:t>relevant information and had come to a considered view;</w:t>
      </w:r>
      <w:r w:rsidR="006B2EFA">
        <w:rPr>
          <w:lang w:eastAsia="en-AU"/>
        </w:rPr>
        <w:t xml:space="preserve"> </w:t>
      </w:r>
    </w:p>
    <w:p w:rsidR="007A2C51" w:rsidRPr="000D127B" w:rsidRDefault="00634E45" w:rsidP="00634E45">
      <w:pPr>
        <w:pStyle w:val="ListNo2"/>
        <w:numPr>
          <w:ilvl w:val="0"/>
          <w:numId w:val="0"/>
        </w:numPr>
        <w:ind w:left="1474" w:hanging="754"/>
        <w:rPr>
          <w:lang w:eastAsia="en-AU"/>
        </w:rPr>
      </w:pPr>
      <w:r>
        <w:rPr>
          <w:lang w:eastAsia="en-AU"/>
        </w:rPr>
        <w:t>(f)</w:t>
      </w:r>
      <w:r>
        <w:rPr>
          <w:lang w:eastAsia="en-AU"/>
        </w:rPr>
        <w:tab/>
      </w:r>
      <w:proofErr w:type="gramStart"/>
      <w:r w:rsidR="007A2C51" w:rsidRPr="000D127B">
        <w:rPr>
          <w:lang w:eastAsia="en-AU"/>
        </w:rPr>
        <w:t>what</w:t>
      </w:r>
      <w:proofErr w:type="gramEnd"/>
      <w:r w:rsidR="007A2C51" w:rsidRPr="000D127B">
        <w:rPr>
          <w:lang w:eastAsia="en-AU"/>
        </w:rPr>
        <w:t xml:space="preserve"> has happened here is that the view of the insolvency date of the </w:t>
      </w:r>
      <w:proofErr w:type="spellStart"/>
      <w:r w:rsidR="007A2C51" w:rsidRPr="000D127B">
        <w:rPr>
          <w:lang w:eastAsia="en-AU"/>
        </w:rPr>
        <w:t>Gunns</w:t>
      </w:r>
      <w:proofErr w:type="spellEnd"/>
      <w:r w:rsidR="007A2C51" w:rsidRPr="000D127B">
        <w:rPr>
          <w:lang w:eastAsia="en-AU"/>
        </w:rPr>
        <w:t xml:space="preserve"> Group formed by the plaintiffs within the limitation period differs from the view formed by its trial expert.  Because the latter view expands considerably the period between insolvency of the Group and its collapse and raises new facts, a new basis or story (if the amendment is allowed) presents itself to the plaintiffs for claiming the </w:t>
      </w:r>
      <w:r w:rsidR="005678EB" w:rsidRPr="000D127B">
        <w:rPr>
          <w:lang w:eastAsia="en-AU"/>
        </w:rPr>
        <w:t>a</w:t>
      </w:r>
      <w:r w:rsidR="007A2C51" w:rsidRPr="000D127B">
        <w:rPr>
          <w:lang w:eastAsia="en-AU"/>
        </w:rPr>
        <w:t xml:space="preserve">dditional </w:t>
      </w:r>
      <w:r w:rsidR="005678EB" w:rsidRPr="000D127B">
        <w:rPr>
          <w:lang w:eastAsia="en-AU"/>
        </w:rPr>
        <w:t>p</w:t>
      </w:r>
      <w:r w:rsidR="007A2C51" w:rsidRPr="000D127B">
        <w:rPr>
          <w:lang w:eastAsia="en-AU"/>
        </w:rPr>
        <w:t>ayments.  In addition to raising facts and matters different to the old basis and not at all the same, the new basis is prejudicial to the defendants (in terms of resource allocation and provisioning against possible loss) and sets at nought the protection provided by the limitation period.  It is relevant therefore to set the plaintiffs’ delay in getting the report (which</w:t>
      </w:r>
      <w:r w:rsidR="005678EB" w:rsidRPr="000D127B">
        <w:rPr>
          <w:lang w:eastAsia="en-AU"/>
        </w:rPr>
        <w:t>, it was said,</w:t>
      </w:r>
      <w:r w:rsidR="007A2C51" w:rsidRPr="000D127B">
        <w:rPr>
          <w:lang w:eastAsia="en-AU"/>
        </w:rPr>
        <w:t xml:space="preserve"> could readily have avoided) against that prejudice: see </w:t>
      </w:r>
      <w:r w:rsidR="007A2C51" w:rsidRPr="000D127B">
        <w:rPr>
          <w:i/>
          <w:lang w:eastAsia="en-AU"/>
        </w:rPr>
        <w:t xml:space="preserve">ASIC v </w:t>
      </w:r>
      <w:proofErr w:type="spellStart"/>
      <w:r w:rsidR="007A2C51" w:rsidRPr="000D127B">
        <w:rPr>
          <w:i/>
          <w:lang w:eastAsia="en-AU"/>
        </w:rPr>
        <w:t>Cassimatis</w:t>
      </w:r>
      <w:proofErr w:type="spellEnd"/>
      <w:r w:rsidR="007A2C51" w:rsidRPr="000D127B">
        <w:rPr>
          <w:i/>
          <w:lang w:eastAsia="en-AU"/>
        </w:rPr>
        <w:t xml:space="preserve"> (No. 6) </w:t>
      </w:r>
      <w:r w:rsidR="007A2C51" w:rsidRPr="000D127B">
        <w:rPr>
          <w:lang w:eastAsia="en-AU"/>
        </w:rPr>
        <w:t>[2016] FCA 622 [8]–[13] per Edelman J.</w:t>
      </w:r>
    </w:p>
    <w:p w:rsidR="007A2C51" w:rsidRPr="000D127B" w:rsidRDefault="007A2C51" w:rsidP="00017B82">
      <w:pPr>
        <w:pStyle w:val="ParaNumbering"/>
        <w:numPr>
          <w:ilvl w:val="0"/>
          <w:numId w:val="30"/>
        </w:numPr>
        <w:rPr>
          <w:lang w:eastAsia="en-AU"/>
        </w:rPr>
      </w:pPr>
      <w:r w:rsidRPr="000D127B">
        <w:rPr>
          <w:lang w:eastAsia="en-AU"/>
        </w:rPr>
        <w:lastRenderedPageBreak/>
        <w:t xml:space="preserve">The </w:t>
      </w:r>
      <w:r w:rsidR="00FC743B" w:rsidRPr="000D127B">
        <w:rPr>
          <w:lang w:eastAsia="en-AU"/>
        </w:rPr>
        <w:t xml:space="preserve">SA </w:t>
      </w:r>
      <w:r w:rsidRPr="000D127B">
        <w:rPr>
          <w:lang w:eastAsia="en-AU"/>
        </w:rPr>
        <w:t>defendant argued that this is not a case where the Court should be inclined to exercise the discretion in favour of the grant of leave particularly given:</w:t>
      </w:r>
    </w:p>
    <w:p w:rsidR="007A2C51" w:rsidRPr="000D127B" w:rsidRDefault="00017B82" w:rsidP="00017B82">
      <w:pPr>
        <w:pStyle w:val="ListNo2"/>
        <w:numPr>
          <w:ilvl w:val="0"/>
          <w:numId w:val="0"/>
        </w:numPr>
        <w:ind w:left="1474" w:hanging="754"/>
        <w:rPr>
          <w:w w:val="105"/>
        </w:rPr>
      </w:pPr>
      <w:r>
        <w:rPr>
          <w:w w:val="105"/>
        </w:rPr>
        <w:t>(a)</w:t>
      </w:r>
      <w:r>
        <w:rPr>
          <w:w w:val="105"/>
        </w:rPr>
        <w:tab/>
      </w:r>
      <w:r w:rsidR="007A2C51" w:rsidRPr="000D127B">
        <w:rPr>
          <w:w w:val="105"/>
        </w:rPr>
        <w:t>the</w:t>
      </w:r>
      <w:r w:rsidR="007A2C51" w:rsidRPr="000D127B">
        <w:rPr>
          <w:spacing w:val="48"/>
          <w:w w:val="105"/>
        </w:rPr>
        <w:t xml:space="preserve"> </w:t>
      </w:r>
      <w:r w:rsidR="007A2C51" w:rsidRPr="000D127B">
        <w:rPr>
          <w:w w:val="105"/>
        </w:rPr>
        <w:t>exceptional</w:t>
      </w:r>
      <w:r w:rsidR="007A2C51" w:rsidRPr="000D127B">
        <w:rPr>
          <w:spacing w:val="8"/>
          <w:w w:val="105"/>
        </w:rPr>
        <w:t xml:space="preserve"> </w:t>
      </w:r>
      <w:r w:rsidR="007A2C51" w:rsidRPr="000D127B">
        <w:rPr>
          <w:w w:val="105"/>
        </w:rPr>
        <w:t>nature</w:t>
      </w:r>
      <w:r w:rsidR="007A2C51" w:rsidRPr="000D127B">
        <w:rPr>
          <w:spacing w:val="1"/>
          <w:w w:val="105"/>
        </w:rPr>
        <w:t xml:space="preserve"> </w:t>
      </w:r>
      <w:r w:rsidR="007A2C51" w:rsidRPr="000D127B">
        <w:rPr>
          <w:w w:val="105"/>
        </w:rPr>
        <w:t>of</w:t>
      </w:r>
      <w:r w:rsidR="007A2C51" w:rsidRPr="000D127B">
        <w:rPr>
          <w:spacing w:val="30"/>
          <w:w w:val="105"/>
        </w:rPr>
        <w:t xml:space="preserve"> </w:t>
      </w:r>
      <w:r w:rsidR="007A2C51" w:rsidRPr="000D127B">
        <w:rPr>
          <w:w w:val="105"/>
        </w:rPr>
        <w:t>a</w:t>
      </w:r>
      <w:r w:rsidR="007A2C51" w:rsidRPr="000D127B">
        <w:rPr>
          <w:spacing w:val="40"/>
          <w:w w:val="105"/>
        </w:rPr>
        <w:t xml:space="preserve"> </w:t>
      </w:r>
      <w:r w:rsidR="007A2C51" w:rsidRPr="000D127B">
        <w:rPr>
          <w:w w:val="105"/>
        </w:rPr>
        <w:t>preference</w:t>
      </w:r>
      <w:r w:rsidR="007A2C51" w:rsidRPr="000D127B">
        <w:rPr>
          <w:spacing w:val="10"/>
          <w:w w:val="105"/>
        </w:rPr>
        <w:t xml:space="preserve"> </w:t>
      </w:r>
      <w:r w:rsidR="007A2C51" w:rsidRPr="000D127B">
        <w:rPr>
          <w:w w:val="105"/>
        </w:rPr>
        <w:t>claim,</w:t>
      </w:r>
      <w:r w:rsidR="007A2C51" w:rsidRPr="000D127B">
        <w:rPr>
          <w:spacing w:val="40"/>
          <w:w w:val="105"/>
        </w:rPr>
        <w:t xml:space="preserve"> </w:t>
      </w:r>
      <w:r w:rsidR="007A2C51" w:rsidRPr="000D127B">
        <w:rPr>
          <w:w w:val="105"/>
        </w:rPr>
        <w:t>which</w:t>
      </w:r>
      <w:r w:rsidR="007A2C51" w:rsidRPr="000D127B">
        <w:rPr>
          <w:spacing w:val="12"/>
          <w:w w:val="105"/>
        </w:rPr>
        <w:t xml:space="preserve"> </w:t>
      </w:r>
      <w:r w:rsidR="007A2C51" w:rsidRPr="000D127B">
        <w:rPr>
          <w:w w:val="105"/>
        </w:rPr>
        <w:t>aims</w:t>
      </w:r>
      <w:r w:rsidR="007A2C51" w:rsidRPr="000D127B">
        <w:rPr>
          <w:spacing w:val="34"/>
          <w:w w:val="105"/>
        </w:rPr>
        <w:t xml:space="preserve"> </w:t>
      </w:r>
      <w:r w:rsidR="007A2C51" w:rsidRPr="000D127B">
        <w:rPr>
          <w:w w:val="105"/>
        </w:rPr>
        <w:t>to</w:t>
      </w:r>
      <w:r w:rsidR="007A2C51" w:rsidRPr="000D127B">
        <w:rPr>
          <w:spacing w:val="44"/>
          <w:w w:val="105"/>
        </w:rPr>
        <w:t xml:space="preserve"> </w:t>
      </w:r>
      <w:r w:rsidR="007A2C51" w:rsidRPr="000D127B">
        <w:rPr>
          <w:w w:val="105"/>
        </w:rPr>
        <w:t>disturb</w:t>
      </w:r>
      <w:r w:rsidR="007A2C51" w:rsidRPr="000D127B">
        <w:rPr>
          <w:spacing w:val="43"/>
          <w:w w:val="105"/>
        </w:rPr>
        <w:t xml:space="preserve"> </w:t>
      </w:r>
      <w:r w:rsidR="007A2C51" w:rsidRPr="000D127B">
        <w:rPr>
          <w:w w:val="105"/>
        </w:rPr>
        <w:t>historical</w:t>
      </w:r>
      <w:r w:rsidR="007A2C51" w:rsidRPr="000D127B">
        <w:rPr>
          <w:spacing w:val="9"/>
          <w:w w:val="105"/>
        </w:rPr>
        <w:t xml:space="preserve"> </w:t>
      </w:r>
      <w:r w:rsidR="007A2C51" w:rsidRPr="000D127B">
        <w:rPr>
          <w:w w:val="105"/>
        </w:rPr>
        <w:t>commercial</w:t>
      </w:r>
      <w:r w:rsidR="007A2C51" w:rsidRPr="000D127B">
        <w:rPr>
          <w:w w:val="103"/>
        </w:rPr>
        <w:t xml:space="preserve"> </w:t>
      </w:r>
      <w:r w:rsidR="007A2C51" w:rsidRPr="000D127B">
        <w:rPr>
          <w:w w:val="105"/>
        </w:rPr>
        <w:t>transactions</w:t>
      </w:r>
      <w:r w:rsidR="007A2C51" w:rsidRPr="000D127B">
        <w:rPr>
          <w:spacing w:val="25"/>
          <w:w w:val="105"/>
        </w:rPr>
        <w:t xml:space="preserve"> </w:t>
      </w:r>
      <w:r w:rsidR="007A2C51" w:rsidRPr="000D127B">
        <w:rPr>
          <w:w w:val="105"/>
        </w:rPr>
        <w:t>and</w:t>
      </w:r>
      <w:r w:rsidR="007A2C51" w:rsidRPr="000D127B">
        <w:rPr>
          <w:spacing w:val="9"/>
          <w:w w:val="105"/>
        </w:rPr>
        <w:t xml:space="preserve"> </w:t>
      </w:r>
      <w:r w:rsidR="007A2C51" w:rsidRPr="000D127B">
        <w:rPr>
          <w:w w:val="105"/>
        </w:rPr>
        <w:t>which</w:t>
      </w:r>
      <w:r w:rsidR="007A2C51" w:rsidRPr="000D127B">
        <w:rPr>
          <w:spacing w:val="23"/>
          <w:w w:val="105"/>
        </w:rPr>
        <w:t xml:space="preserve"> </w:t>
      </w:r>
      <w:r w:rsidR="007A2C51" w:rsidRPr="000D127B">
        <w:rPr>
          <w:w w:val="105"/>
        </w:rPr>
        <w:t>is anomalous</w:t>
      </w:r>
      <w:r w:rsidR="007A2C51" w:rsidRPr="000D127B">
        <w:rPr>
          <w:spacing w:val="20"/>
          <w:w w:val="105"/>
        </w:rPr>
        <w:t xml:space="preserve"> </w:t>
      </w:r>
      <w:r w:rsidR="007A2C51" w:rsidRPr="000D127B">
        <w:rPr>
          <w:w w:val="105"/>
        </w:rPr>
        <w:t>in</w:t>
      </w:r>
      <w:r w:rsidR="007A2C51" w:rsidRPr="000D127B">
        <w:rPr>
          <w:spacing w:val="15"/>
          <w:w w:val="105"/>
        </w:rPr>
        <w:t xml:space="preserve"> </w:t>
      </w:r>
      <w:r w:rsidR="007A2C51" w:rsidRPr="000D127B">
        <w:rPr>
          <w:w w:val="105"/>
        </w:rPr>
        <w:t>so</w:t>
      </w:r>
      <w:r w:rsidR="007A2C51" w:rsidRPr="000D127B">
        <w:rPr>
          <w:spacing w:val="2"/>
          <w:w w:val="105"/>
        </w:rPr>
        <w:t xml:space="preserve"> </w:t>
      </w:r>
      <w:r w:rsidR="007A2C51" w:rsidRPr="000D127B">
        <w:rPr>
          <w:w w:val="105"/>
        </w:rPr>
        <w:t>far</w:t>
      </w:r>
      <w:r w:rsidR="007A2C51" w:rsidRPr="000D127B">
        <w:rPr>
          <w:spacing w:val="3"/>
          <w:w w:val="105"/>
        </w:rPr>
        <w:t xml:space="preserve"> </w:t>
      </w:r>
      <w:r w:rsidR="007A2C51" w:rsidRPr="000D127B">
        <w:rPr>
          <w:w w:val="105"/>
        </w:rPr>
        <w:t>as</w:t>
      </w:r>
      <w:r w:rsidR="007A2C51" w:rsidRPr="000D127B">
        <w:rPr>
          <w:spacing w:val="2"/>
          <w:w w:val="105"/>
        </w:rPr>
        <w:t xml:space="preserve"> </w:t>
      </w:r>
      <w:r w:rsidR="007A2C51" w:rsidRPr="000D127B">
        <w:rPr>
          <w:w w:val="105"/>
        </w:rPr>
        <w:t>it</w:t>
      </w:r>
      <w:r w:rsidR="007A2C51" w:rsidRPr="000D127B">
        <w:rPr>
          <w:spacing w:val="13"/>
          <w:w w:val="105"/>
        </w:rPr>
        <w:t xml:space="preserve"> </w:t>
      </w:r>
      <w:r w:rsidR="007A2C51" w:rsidRPr="000D127B">
        <w:rPr>
          <w:w w:val="105"/>
        </w:rPr>
        <w:t>is</w:t>
      </w:r>
      <w:r w:rsidR="007A2C51" w:rsidRPr="000D127B">
        <w:rPr>
          <w:spacing w:val="5"/>
          <w:w w:val="105"/>
        </w:rPr>
        <w:t xml:space="preserve"> </w:t>
      </w:r>
      <w:r w:rsidR="007A2C51" w:rsidRPr="000D127B">
        <w:rPr>
          <w:w w:val="105"/>
        </w:rPr>
        <w:t>not</w:t>
      </w:r>
      <w:r w:rsidR="007A2C51" w:rsidRPr="000D127B">
        <w:rPr>
          <w:spacing w:val="10"/>
          <w:w w:val="105"/>
        </w:rPr>
        <w:t xml:space="preserve"> </w:t>
      </w:r>
      <w:r w:rsidR="007A2C51" w:rsidRPr="000D127B">
        <w:rPr>
          <w:w w:val="105"/>
        </w:rPr>
        <w:t>designed</w:t>
      </w:r>
      <w:r w:rsidR="007A2C51" w:rsidRPr="000D127B">
        <w:rPr>
          <w:spacing w:val="11"/>
          <w:w w:val="105"/>
        </w:rPr>
        <w:t xml:space="preserve"> </w:t>
      </w:r>
      <w:r w:rsidR="007A2C51" w:rsidRPr="000D127B">
        <w:rPr>
          <w:w w:val="105"/>
        </w:rPr>
        <w:t>to</w:t>
      </w:r>
      <w:r w:rsidR="007A2C51" w:rsidRPr="000D127B">
        <w:rPr>
          <w:spacing w:val="8"/>
          <w:w w:val="105"/>
        </w:rPr>
        <w:t xml:space="preserve"> </w:t>
      </w:r>
      <w:r w:rsidR="007A2C51" w:rsidRPr="000D127B">
        <w:rPr>
          <w:w w:val="105"/>
        </w:rPr>
        <w:t>respond</w:t>
      </w:r>
      <w:r w:rsidR="007A2C51" w:rsidRPr="000D127B">
        <w:rPr>
          <w:spacing w:val="22"/>
          <w:w w:val="105"/>
        </w:rPr>
        <w:t xml:space="preserve"> </w:t>
      </w:r>
      <w:r w:rsidR="007A2C51" w:rsidRPr="000D127B">
        <w:rPr>
          <w:w w:val="105"/>
        </w:rPr>
        <w:t>to</w:t>
      </w:r>
      <w:r w:rsidR="007A2C51" w:rsidRPr="000D127B">
        <w:rPr>
          <w:spacing w:val="9"/>
          <w:w w:val="105"/>
        </w:rPr>
        <w:t xml:space="preserve"> </w:t>
      </w:r>
      <w:r w:rsidR="007A2C51" w:rsidRPr="000D127B">
        <w:rPr>
          <w:w w:val="105"/>
        </w:rPr>
        <w:t>any</w:t>
      </w:r>
      <w:r w:rsidR="007A2C51" w:rsidRPr="000D127B">
        <w:rPr>
          <w:spacing w:val="13"/>
          <w:w w:val="105"/>
        </w:rPr>
        <w:t xml:space="preserve"> </w:t>
      </w:r>
      <w:r w:rsidR="007A2C51" w:rsidRPr="000D127B">
        <w:rPr>
          <w:w w:val="105"/>
        </w:rPr>
        <w:t>breach</w:t>
      </w:r>
      <w:r w:rsidR="007A2C51" w:rsidRPr="000D127B">
        <w:rPr>
          <w:spacing w:val="25"/>
          <w:w w:val="105"/>
        </w:rPr>
        <w:t xml:space="preserve"> </w:t>
      </w:r>
      <w:r w:rsidR="007A2C51" w:rsidRPr="000D127B">
        <w:rPr>
          <w:w w:val="105"/>
        </w:rPr>
        <w:t>of</w:t>
      </w:r>
      <w:r w:rsidR="007A2C51" w:rsidRPr="000D127B">
        <w:rPr>
          <w:w w:val="106"/>
        </w:rPr>
        <w:t xml:space="preserve"> </w:t>
      </w:r>
      <w:r w:rsidR="007A2C51" w:rsidRPr="000D127B">
        <w:rPr>
          <w:w w:val="105"/>
        </w:rPr>
        <w:t>duty</w:t>
      </w:r>
      <w:r w:rsidR="007A2C51" w:rsidRPr="000D127B">
        <w:rPr>
          <w:spacing w:val="12"/>
          <w:w w:val="105"/>
        </w:rPr>
        <w:t xml:space="preserve"> </w:t>
      </w:r>
      <w:r w:rsidR="007A2C51" w:rsidRPr="000D127B">
        <w:rPr>
          <w:w w:val="105"/>
        </w:rPr>
        <w:t>or</w:t>
      </w:r>
      <w:r w:rsidR="007A2C51" w:rsidRPr="000D127B">
        <w:rPr>
          <w:spacing w:val="7"/>
          <w:w w:val="105"/>
        </w:rPr>
        <w:t xml:space="preserve"> </w:t>
      </w:r>
      <w:r w:rsidR="007A2C51" w:rsidRPr="000D127B">
        <w:rPr>
          <w:w w:val="105"/>
        </w:rPr>
        <w:t>commercial</w:t>
      </w:r>
      <w:r w:rsidR="007A2C51" w:rsidRPr="000D127B">
        <w:rPr>
          <w:spacing w:val="29"/>
          <w:w w:val="105"/>
        </w:rPr>
        <w:t xml:space="preserve"> </w:t>
      </w:r>
      <w:r w:rsidR="007A2C51" w:rsidRPr="000D127B">
        <w:rPr>
          <w:w w:val="105"/>
        </w:rPr>
        <w:t>morality</w:t>
      </w:r>
      <w:r w:rsidR="007A2C51" w:rsidRPr="000D127B">
        <w:rPr>
          <w:spacing w:val="28"/>
          <w:w w:val="105"/>
        </w:rPr>
        <w:t xml:space="preserve"> </w:t>
      </w:r>
      <w:r w:rsidR="007A2C51" w:rsidRPr="000D127B">
        <w:rPr>
          <w:w w:val="105"/>
        </w:rPr>
        <w:t>by</w:t>
      </w:r>
      <w:r w:rsidR="007A2C51" w:rsidRPr="000D127B">
        <w:rPr>
          <w:spacing w:val="14"/>
          <w:w w:val="105"/>
        </w:rPr>
        <w:t xml:space="preserve"> </w:t>
      </w:r>
      <w:r w:rsidR="007A2C51" w:rsidRPr="000D127B">
        <w:rPr>
          <w:w w:val="105"/>
        </w:rPr>
        <w:t>the</w:t>
      </w:r>
      <w:r w:rsidR="007A2C51" w:rsidRPr="000D127B">
        <w:rPr>
          <w:spacing w:val="13"/>
          <w:w w:val="105"/>
        </w:rPr>
        <w:t xml:space="preserve"> </w:t>
      </w:r>
      <w:r w:rsidR="007A2C51" w:rsidRPr="000D127B">
        <w:rPr>
          <w:w w:val="105"/>
        </w:rPr>
        <w:t>defendant</w:t>
      </w:r>
      <w:r w:rsidR="007A2C51" w:rsidRPr="000D127B">
        <w:rPr>
          <w:spacing w:val="26"/>
          <w:w w:val="105"/>
        </w:rPr>
        <w:t xml:space="preserve"> </w:t>
      </w:r>
      <w:r w:rsidR="007A2C51" w:rsidRPr="000D127B">
        <w:rPr>
          <w:w w:val="105"/>
        </w:rPr>
        <w:t>but</w:t>
      </w:r>
      <w:r w:rsidR="007A2C51" w:rsidRPr="000D127B">
        <w:rPr>
          <w:spacing w:val="26"/>
          <w:w w:val="105"/>
        </w:rPr>
        <w:t xml:space="preserve"> </w:t>
      </w:r>
      <w:r w:rsidR="007A2C51" w:rsidRPr="000D127B">
        <w:rPr>
          <w:w w:val="105"/>
        </w:rPr>
        <w:t>is</w:t>
      </w:r>
      <w:r w:rsidR="007A2C51" w:rsidRPr="000D127B">
        <w:rPr>
          <w:spacing w:val="-17"/>
          <w:w w:val="105"/>
        </w:rPr>
        <w:t xml:space="preserve"> </w:t>
      </w:r>
      <w:r w:rsidR="007A2C51" w:rsidRPr="000D127B">
        <w:rPr>
          <w:w w:val="105"/>
        </w:rPr>
        <w:t>justified</w:t>
      </w:r>
      <w:r w:rsidR="007A2C51" w:rsidRPr="000D127B">
        <w:rPr>
          <w:spacing w:val="50"/>
          <w:w w:val="105"/>
        </w:rPr>
        <w:t xml:space="preserve"> </w:t>
      </w:r>
      <w:r w:rsidR="007A2C51" w:rsidRPr="000D127B">
        <w:rPr>
          <w:w w:val="105"/>
        </w:rPr>
        <w:t>on</w:t>
      </w:r>
      <w:r w:rsidR="007A2C51" w:rsidRPr="000D127B">
        <w:rPr>
          <w:spacing w:val="19"/>
          <w:w w:val="105"/>
        </w:rPr>
        <w:t xml:space="preserve"> </w:t>
      </w:r>
      <w:r w:rsidR="007A2C51" w:rsidRPr="000D127B">
        <w:rPr>
          <w:w w:val="105"/>
        </w:rPr>
        <w:t>grounds</w:t>
      </w:r>
      <w:r w:rsidR="007A2C51" w:rsidRPr="000D127B">
        <w:rPr>
          <w:spacing w:val="16"/>
          <w:w w:val="105"/>
        </w:rPr>
        <w:t xml:space="preserve"> </w:t>
      </w:r>
      <w:r w:rsidR="007A2C51" w:rsidRPr="000D127B">
        <w:rPr>
          <w:w w:val="105"/>
        </w:rPr>
        <w:t>of</w:t>
      </w:r>
      <w:r w:rsidR="007A2C51" w:rsidRPr="000D127B">
        <w:rPr>
          <w:spacing w:val="6"/>
          <w:w w:val="105"/>
        </w:rPr>
        <w:t xml:space="preserve"> </w:t>
      </w:r>
      <w:r w:rsidR="007A2C51" w:rsidRPr="000D127B">
        <w:rPr>
          <w:w w:val="105"/>
        </w:rPr>
        <w:t>equality</w:t>
      </w:r>
      <w:r w:rsidR="007A2C51" w:rsidRPr="000D127B">
        <w:rPr>
          <w:spacing w:val="24"/>
          <w:w w:val="105"/>
        </w:rPr>
        <w:t xml:space="preserve"> </w:t>
      </w:r>
      <w:r w:rsidR="007A2C51" w:rsidRPr="000D127B">
        <w:rPr>
          <w:w w:val="105"/>
        </w:rPr>
        <w:t>between</w:t>
      </w:r>
      <w:r w:rsidR="007A2C51" w:rsidRPr="000D127B">
        <w:rPr>
          <w:w w:val="101"/>
        </w:rPr>
        <w:t xml:space="preserve"> </w:t>
      </w:r>
      <w:r w:rsidR="007A2C51" w:rsidRPr="000D127B">
        <w:rPr>
          <w:w w:val="105"/>
        </w:rPr>
        <w:t>unsecured</w:t>
      </w:r>
      <w:r w:rsidR="007A2C51" w:rsidRPr="000D127B">
        <w:rPr>
          <w:spacing w:val="48"/>
          <w:w w:val="105"/>
        </w:rPr>
        <w:t xml:space="preserve"> </w:t>
      </w:r>
      <w:r w:rsidR="007A2C51" w:rsidRPr="000D127B">
        <w:rPr>
          <w:w w:val="105"/>
        </w:rPr>
        <w:t>creditors;</w:t>
      </w:r>
      <w:bookmarkStart w:id="18" w:name="_GoBack"/>
      <w:bookmarkEnd w:id="18"/>
    </w:p>
    <w:p w:rsidR="007A2C51" w:rsidRPr="000D127B" w:rsidRDefault="00017B82" w:rsidP="00017B82">
      <w:pPr>
        <w:pStyle w:val="ListNo2"/>
        <w:numPr>
          <w:ilvl w:val="0"/>
          <w:numId w:val="0"/>
        </w:numPr>
        <w:ind w:left="1474" w:hanging="754"/>
      </w:pPr>
      <w:r>
        <w:rPr>
          <w:w w:val="105"/>
        </w:rPr>
        <w:t>(b)</w:t>
      </w:r>
      <w:r>
        <w:rPr>
          <w:w w:val="105"/>
        </w:rPr>
        <w:tab/>
      </w:r>
      <w:proofErr w:type="gramStart"/>
      <w:r w:rsidR="007A2C51" w:rsidRPr="000D127B">
        <w:rPr>
          <w:w w:val="105"/>
        </w:rPr>
        <w:t>the</w:t>
      </w:r>
      <w:proofErr w:type="gramEnd"/>
      <w:r w:rsidR="007A2C51" w:rsidRPr="000D127B">
        <w:rPr>
          <w:w w:val="105"/>
        </w:rPr>
        <w:t xml:space="preserve"> </w:t>
      </w:r>
      <w:r w:rsidR="00FC743B" w:rsidRPr="000D127B">
        <w:rPr>
          <w:w w:val="105"/>
        </w:rPr>
        <w:t xml:space="preserve">statutory </w:t>
      </w:r>
      <w:r w:rsidR="007A2C51" w:rsidRPr="000D127B">
        <w:rPr>
          <w:w w:val="105"/>
        </w:rPr>
        <w:t xml:space="preserve">policy considerations </w:t>
      </w:r>
      <w:r w:rsidR="00FC743B" w:rsidRPr="000D127B">
        <w:rPr>
          <w:w w:val="105"/>
        </w:rPr>
        <w:t xml:space="preserve">referred to </w:t>
      </w:r>
      <w:r w:rsidR="007A2C51" w:rsidRPr="000D127B">
        <w:rPr>
          <w:w w:val="105"/>
        </w:rPr>
        <w:t xml:space="preserve">in </w:t>
      </w:r>
      <w:r w:rsidR="007A2C51" w:rsidRPr="000D127B">
        <w:rPr>
          <w:i/>
          <w:w w:val="105"/>
        </w:rPr>
        <w:t>Grant Samuel</w:t>
      </w:r>
      <w:r w:rsidR="007A2C51" w:rsidRPr="000D127B">
        <w:rPr>
          <w:w w:val="105"/>
        </w:rPr>
        <w:t xml:space="preserve"> and </w:t>
      </w:r>
      <w:r w:rsidR="007A2C51" w:rsidRPr="000D127B">
        <w:rPr>
          <w:i/>
          <w:w w:val="105"/>
        </w:rPr>
        <w:t>Fortress Credit</w:t>
      </w:r>
      <w:r w:rsidR="00FC743B" w:rsidRPr="000D127B">
        <w:rPr>
          <w:w w:val="105"/>
        </w:rPr>
        <w:t>;</w:t>
      </w:r>
    </w:p>
    <w:p w:rsidR="007A2C51" w:rsidRPr="000D127B" w:rsidRDefault="00017B82" w:rsidP="00017B82">
      <w:pPr>
        <w:pStyle w:val="ListNo2"/>
        <w:numPr>
          <w:ilvl w:val="0"/>
          <w:numId w:val="0"/>
        </w:numPr>
        <w:ind w:left="1474" w:hanging="754"/>
      </w:pPr>
      <w:r>
        <w:t>(c)</w:t>
      </w:r>
      <w:r>
        <w:tab/>
      </w:r>
      <w:proofErr w:type="gramStart"/>
      <w:r w:rsidR="007A2C51" w:rsidRPr="000D127B">
        <w:t>the</w:t>
      </w:r>
      <w:proofErr w:type="gramEnd"/>
      <w:r w:rsidR="007A2C51" w:rsidRPr="000D127B">
        <w:t xml:space="preserve"> liquidators’ </w:t>
      </w:r>
      <w:r w:rsidR="00C0011C" w:rsidRPr="000D127B">
        <w:t>“</w:t>
      </w:r>
      <w:r w:rsidR="007A2C51" w:rsidRPr="000D127B">
        <w:t>undo</w:t>
      </w:r>
      <w:r w:rsidR="00C0011C" w:rsidRPr="000D127B">
        <w:t>ubtedly calculated”</w:t>
      </w:r>
      <w:r w:rsidR="007A2C51" w:rsidRPr="000D127B">
        <w:t xml:space="preserve"> decision to formulate their claim as one based on separate transactions rather than by reference to s 588FA(3)(c); and</w:t>
      </w:r>
    </w:p>
    <w:p w:rsidR="007A2C51" w:rsidRPr="000D127B" w:rsidRDefault="00017B82" w:rsidP="00017B82">
      <w:pPr>
        <w:pStyle w:val="ListNo2"/>
        <w:numPr>
          <w:ilvl w:val="0"/>
          <w:numId w:val="0"/>
        </w:numPr>
        <w:ind w:left="1474" w:hanging="754"/>
      </w:pPr>
      <w:r>
        <w:t>(d)</w:t>
      </w:r>
      <w:r>
        <w:tab/>
      </w:r>
      <w:proofErr w:type="gramStart"/>
      <w:r w:rsidR="00C0011C" w:rsidRPr="000D127B">
        <w:t>t</w:t>
      </w:r>
      <w:r w:rsidR="007A2C51" w:rsidRPr="000D127B">
        <w:t>he</w:t>
      </w:r>
      <w:proofErr w:type="gramEnd"/>
      <w:r w:rsidR="007A2C51" w:rsidRPr="000D127B">
        <w:t xml:space="preserve"> absence of any justification for the liquidators’ apparent change of position and actual delay.</w:t>
      </w:r>
    </w:p>
    <w:p w:rsidR="007A2C51" w:rsidRPr="000D127B" w:rsidRDefault="00C0011C" w:rsidP="00017B82">
      <w:pPr>
        <w:pStyle w:val="ParaNumbering"/>
        <w:numPr>
          <w:ilvl w:val="0"/>
          <w:numId w:val="30"/>
        </w:numPr>
      </w:pPr>
      <w:r w:rsidRPr="000D127B">
        <w:t>It was submitted that t</w:t>
      </w:r>
      <w:r w:rsidR="007A2C51" w:rsidRPr="000D127B">
        <w:t>here</w:t>
      </w:r>
      <w:r w:rsidR="007A2C51" w:rsidRPr="000D127B">
        <w:rPr>
          <w:spacing w:val="33"/>
        </w:rPr>
        <w:t xml:space="preserve"> </w:t>
      </w:r>
      <w:r w:rsidRPr="000D127B">
        <w:t xml:space="preserve">was </w:t>
      </w:r>
      <w:r w:rsidR="007A2C51" w:rsidRPr="000D127B">
        <w:t>no</w:t>
      </w:r>
      <w:r w:rsidR="007A2C51" w:rsidRPr="000D127B">
        <w:rPr>
          <w:spacing w:val="33"/>
        </w:rPr>
        <w:t xml:space="preserve"> </w:t>
      </w:r>
      <w:r w:rsidR="007A2C51" w:rsidRPr="000D127B">
        <w:t>suggestion</w:t>
      </w:r>
      <w:r w:rsidR="007A2C51" w:rsidRPr="000D127B">
        <w:rPr>
          <w:spacing w:val="37"/>
        </w:rPr>
        <w:t xml:space="preserve"> </w:t>
      </w:r>
      <w:r w:rsidR="007A2C51" w:rsidRPr="000D127B">
        <w:t>that</w:t>
      </w:r>
      <w:r w:rsidR="007A2C51" w:rsidRPr="000D127B">
        <w:rPr>
          <w:spacing w:val="22"/>
        </w:rPr>
        <w:t xml:space="preserve"> </w:t>
      </w:r>
      <w:r w:rsidR="007A2C51" w:rsidRPr="000D127B">
        <w:t>the</w:t>
      </w:r>
      <w:r w:rsidR="007A2C51" w:rsidRPr="000D127B">
        <w:rPr>
          <w:spacing w:val="33"/>
        </w:rPr>
        <w:t xml:space="preserve"> </w:t>
      </w:r>
      <w:r w:rsidR="007A2C51" w:rsidRPr="000D127B">
        <w:t>liquidators</w:t>
      </w:r>
      <w:r w:rsidR="007A2C51" w:rsidRPr="000D127B">
        <w:rPr>
          <w:spacing w:val="28"/>
        </w:rPr>
        <w:t xml:space="preserve"> </w:t>
      </w:r>
      <w:r w:rsidR="007A2C51" w:rsidRPr="000D127B">
        <w:t>were</w:t>
      </w:r>
      <w:r w:rsidR="007A2C51" w:rsidRPr="000D127B">
        <w:rPr>
          <w:spacing w:val="32"/>
        </w:rPr>
        <w:t xml:space="preserve"> </w:t>
      </w:r>
      <w:r w:rsidR="007A2C51" w:rsidRPr="000D127B">
        <w:t>unaware</w:t>
      </w:r>
      <w:r w:rsidR="007A2C51" w:rsidRPr="000D127B">
        <w:rPr>
          <w:spacing w:val="37"/>
        </w:rPr>
        <w:t xml:space="preserve"> </w:t>
      </w:r>
      <w:r w:rsidR="007A2C51" w:rsidRPr="000D127B">
        <w:t>of</w:t>
      </w:r>
      <w:r w:rsidR="007A2C51" w:rsidRPr="000D127B">
        <w:rPr>
          <w:spacing w:val="14"/>
        </w:rPr>
        <w:t xml:space="preserve"> </w:t>
      </w:r>
      <w:r w:rsidRPr="000D127B">
        <w:t xml:space="preserve">the additional </w:t>
      </w:r>
      <w:r w:rsidR="007A2C51" w:rsidRPr="000D127B">
        <w:t>transactions</w:t>
      </w:r>
      <w:r w:rsidR="007A2C51" w:rsidRPr="000D127B">
        <w:rPr>
          <w:spacing w:val="44"/>
        </w:rPr>
        <w:t xml:space="preserve"> </w:t>
      </w:r>
      <w:r w:rsidR="007A2C51" w:rsidRPr="000D127B">
        <w:t>now</w:t>
      </w:r>
      <w:r w:rsidR="007A2C51" w:rsidRPr="000D127B">
        <w:rPr>
          <w:spacing w:val="36"/>
        </w:rPr>
        <w:t xml:space="preserve"> </w:t>
      </w:r>
      <w:r w:rsidR="007A2C51" w:rsidRPr="000D127B">
        <w:t>sought</w:t>
      </w:r>
      <w:r w:rsidR="007A2C51" w:rsidRPr="000D127B">
        <w:rPr>
          <w:spacing w:val="23"/>
        </w:rPr>
        <w:t xml:space="preserve"> </w:t>
      </w:r>
      <w:r w:rsidR="007A2C51" w:rsidRPr="000D127B">
        <w:t>to</w:t>
      </w:r>
      <w:r w:rsidR="007A2C51" w:rsidRPr="000D127B">
        <w:rPr>
          <w:spacing w:val="22"/>
        </w:rPr>
        <w:t xml:space="preserve"> </w:t>
      </w:r>
      <w:r w:rsidR="007A2C51" w:rsidRPr="000D127B">
        <w:t>be</w:t>
      </w:r>
      <w:r w:rsidR="007A2C51" w:rsidRPr="000D127B">
        <w:rPr>
          <w:spacing w:val="21"/>
          <w:w w:val="97"/>
        </w:rPr>
        <w:t xml:space="preserve"> </w:t>
      </w:r>
      <w:r w:rsidR="007A2C51" w:rsidRPr="000D127B">
        <w:t>made</w:t>
      </w:r>
      <w:r w:rsidR="007A2C51" w:rsidRPr="000D127B">
        <w:rPr>
          <w:spacing w:val="40"/>
        </w:rPr>
        <w:t xml:space="preserve"> </w:t>
      </w:r>
      <w:r w:rsidR="007A2C51" w:rsidRPr="000D127B">
        <w:t>the</w:t>
      </w:r>
      <w:r w:rsidR="007A2C51" w:rsidRPr="000D127B">
        <w:rPr>
          <w:spacing w:val="42"/>
        </w:rPr>
        <w:t xml:space="preserve"> </w:t>
      </w:r>
      <w:r w:rsidR="007A2C51" w:rsidRPr="000D127B">
        <w:t>subject</w:t>
      </w:r>
      <w:r w:rsidR="007A2C51" w:rsidRPr="000D127B">
        <w:rPr>
          <w:spacing w:val="39"/>
        </w:rPr>
        <w:t xml:space="preserve"> </w:t>
      </w:r>
      <w:r w:rsidR="007A2C51" w:rsidRPr="000D127B">
        <w:t>of</w:t>
      </w:r>
      <w:r w:rsidR="007A2C51" w:rsidRPr="000D127B">
        <w:rPr>
          <w:spacing w:val="41"/>
        </w:rPr>
        <w:t xml:space="preserve"> </w:t>
      </w:r>
      <w:r w:rsidR="007A2C51" w:rsidRPr="000D127B">
        <w:t>preference</w:t>
      </w:r>
      <w:r w:rsidR="007A2C51" w:rsidRPr="000D127B">
        <w:rPr>
          <w:spacing w:val="5"/>
        </w:rPr>
        <w:t xml:space="preserve"> </w:t>
      </w:r>
      <w:r w:rsidR="007A2C51" w:rsidRPr="000D127B">
        <w:t>claims</w:t>
      </w:r>
      <w:r w:rsidR="007A2C51" w:rsidRPr="000D127B">
        <w:rPr>
          <w:spacing w:val="41"/>
        </w:rPr>
        <w:t xml:space="preserve"> </w:t>
      </w:r>
      <w:r w:rsidR="007A2C51" w:rsidRPr="000D127B">
        <w:t>at</w:t>
      </w:r>
      <w:r w:rsidR="007A2C51" w:rsidRPr="000D127B">
        <w:rPr>
          <w:spacing w:val="28"/>
        </w:rPr>
        <w:t xml:space="preserve"> </w:t>
      </w:r>
      <w:r w:rsidR="007A2C51" w:rsidRPr="000D127B">
        <w:t>the</w:t>
      </w:r>
      <w:r w:rsidR="007A2C51" w:rsidRPr="000D127B">
        <w:rPr>
          <w:spacing w:val="33"/>
        </w:rPr>
        <w:t xml:space="preserve"> </w:t>
      </w:r>
      <w:r w:rsidR="007A2C51" w:rsidRPr="000D127B">
        <w:t>time</w:t>
      </w:r>
      <w:r w:rsidR="007A2C51" w:rsidRPr="000D127B">
        <w:rPr>
          <w:spacing w:val="39"/>
        </w:rPr>
        <w:t xml:space="preserve"> </w:t>
      </w:r>
      <w:r w:rsidR="007A2C51" w:rsidRPr="000D127B">
        <w:t>that</w:t>
      </w:r>
      <w:r w:rsidR="007A2C51" w:rsidRPr="000D127B">
        <w:rPr>
          <w:spacing w:val="36"/>
        </w:rPr>
        <w:t xml:space="preserve"> </w:t>
      </w:r>
      <w:r w:rsidR="007A2C51" w:rsidRPr="000D127B">
        <w:t>proceedings were</w:t>
      </w:r>
      <w:r w:rsidR="007A2C51" w:rsidRPr="000D127B">
        <w:rPr>
          <w:spacing w:val="48"/>
        </w:rPr>
        <w:t xml:space="preserve"> </w:t>
      </w:r>
      <w:r w:rsidR="007A2C51" w:rsidRPr="000D127B">
        <w:t>instituted</w:t>
      </w:r>
      <w:r w:rsidR="002D25B4">
        <w:t xml:space="preserve">.  </w:t>
      </w:r>
      <w:r w:rsidRPr="000D127B">
        <w:t>Rather</w:t>
      </w:r>
      <w:r w:rsidR="00A05D93" w:rsidRPr="000D127B">
        <w:t>, it was said,</w:t>
      </w:r>
      <w:r w:rsidRPr="000D127B">
        <w:t xml:space="preserve"> a </w:t>
      </w:r>
      <w:r w:rsidR="007A2C51" w:rsidRPr="000D127B">
        <w:t>decision</w:t>
      </w:r>
      <w:r w:rsidR="007A2C51" w:rsidRPr="000D127B">
        <w:rPr>
          <w:spacing w:val="11"/>
        </w:rPr>
        <w:t xml:space="preserve"> </w:t>
      </w:r>
      <w:r w:rsidR="007A2C51" w:rsidRPr="000D127B">
        <w:t>was</w:t>
      </w:r>
      <w:r w:rsidR="007A2C51" w:rsidRPr="000D127B">
        <w:rPr>
          <w:spacing w:val="9"/>
        </w:rPr>
        <w:t xml:space="preserve"> </w:t>
      </w:r>
      <w:r w:rsidRPr="000D127B">
        <w:rPr>
          <w:spacing w:val="9"/>
        </w:rPr>
        <w:t>“</w:t>
      </w:r>
      <w:r w:rsidR="007A2C51" w:rsidRPr="000D127B">
        <w:t>self-evidently</w:t>
      </w:r>
      <w:r w:rsidR="007A2C51" w:rsidRPr="000D127B">
        <w:rPr>
          <w:spacing w:val="15"/>
        </w:rPr>
        <w:t xml:space="preserve"> </w:t>
      </w:r>
      <w:r w:rsidR="007A2C51" w:rsidRPr="000D127B">
        <w:t>made</w:t>
      </w:r>
      <w:r w:rsidR="007A2C51" w:rsidRPr="000D127B">
        <w:rPr>
          <w:spacing w:val="15"/>
        </w:rPr>
        <w:t xml:space="preserve"> </w:t>
      </w:r>
      <w:r w:rsidR="007A2C51" w:rsidRPr="000D127B">
        <w:t>not</w:t>
      </w:r>
      <w:r w:rsidR="007A2C51" w:rsidRPr="000D127B">
        <w:rPr>
          <w:spacing w:val="7"/>
        </w:rPr>
        <w:t xml:space="preserve"> </w:t>
      </w:r>
      <w:r w:rsidR="007A2C51" w:rsidRPr="000D127B">
        <w:t>to</w:t>
      </w:r>
      <w:r w:rsidR="007A2C51" w:rsidRPr="000D127B">
        <w:rPr>
          <w:spacing w:val="5"/>
        </w:rPr>
        <w:t xml:space="preserve"> </w:t>
      </w:r>
      <w:r w:rsidR="007A2C51" w:rsidRPr="000D127B">
        <w:t>pursue</w:t>
      </w:r>
      <w:r w:rsidR="007A2C51" w:rsidRPr="000D127B">
        <w:rPr>
          <w:spacing w:val="14"/>
        </w:rPr>
        <w:t xml:space="preserve"> </w:t>
      </w:r>
      <w:r w:rsidR="007A2C51" w:rsidRPr="000D127B">
        <w:t>them</w:t>
      </w:r>
      <w:r w:rsidRPr="000D127B">
        <w:t>”</w:t>
      </w:r>
      <w:r w:rsidR="00FC743B" w:rsidRPr="000D127B">
        <w:t xml:space="preserve"> and, it was argued, to</w:t>
      </w:r>
      <w:r w:rsidRPr="000D127B">
        <w:t xml:space="preserve"> the extent that any prejudice may be occasioned to the liquidators by their inability now to attempt to overturn the additional transactions, any such prejudice was “self-inflicted” (</w:t>
      </w:r>
      <w:r w:rsidRPr="000D127B">
        <w:rPr>
          <w:i/>
        </w:rPr>
        <w:t>Worldwide Specialty Property</w:t>
      </w:r>
      <w:r w:rsidRPr="000D127B">
        <w:t xml:space="preserve"> </w:t>
      </w:r>
      <w:r w:rsidR="003C0881" w:rsidRPr="000D127B">
        <w:rPr>
          <w:i/>
        </w:rPr>
        <w:t>Services Pty Ltd (in Liq) v Worldwide Specialty Property Services Pty Ltd (in Liq)</w:t>
      </w:r>
      <w:r w:rsidR="003C0881" w:rsidRPr="000D127B">
        <w:t xml:space="preserve"> [2017] FCA 687 </w:t>
      </w:r>
      <w:r w:rsidRPr="000D127B">
        <w:t>at [19] per Lee J)</w:t>
      </w:r>
      <w:r w:rsidR="002D25B4">
        <w:t xml:space="preserve">.  </w:t>
      </w:r>
      <w:r w:rsidRPr="000D127B">
        <w:t xml:space="preserve">Furthermore, </w:t>
      </w:r>
      <w:r w:rsidR="00FC743B" w:rsidRPr="000D127B">
        <w:t xml:space="preserve">it was argued, </w:t>
      </w:r>
      <w:r w:rsidRPr="000D127B">
        <w:t>“i</w:t>
      </w:r>
      <w:r w:rsidR="007A2C51" w:rsidRPr="000D127B">
        <w:t>f and to the extent it were open to suppose in the liquidators’ favour that they perceived some difficulty or uncertainty about the merits of pursuing those claims (and that should not be inferred given the absence of evidence), the point would cut both ways in any event</w:t>
      </w:r>
      <w:r w:rsidRPr="000D127B">
        <w:t>”</w:t>
      </w:r>
      <w:r w:rsidR="002D25B4">
        <w:t xml:space="preserve">.  </w:t>
      </w:r>
      <w:r w:rsidRPr="000D127B">
        <w:t>It was said that the</w:t>
      </w:r>
      <w:r w:rsidR="007A2C51" w:rsidRPr="000D127B">
        <w:t xml:space="preserve"> difficulties caused by the passage of time are more keenly felt by a defendant to a preference claim than to the liquidator, who has access to, </w:t>
      </w:r>
      <w:r w:rsidRPr="000D127B">
        <w:t>“and here, obviously”</w:t>
      </w:r>
      <w:r w:rsidR="007A2C51" w:rsidRPr="000D127B">
        <w:t xml:space="preserve"> the resources to investigate matters of history</w:t>
      </w:r>
      <w:r w:rsidR="002D25B4">
        <w:t xml:space="preserve">.  </w:t>
      </w:r>
      <w:r w:rsidR="007A2C51" w:rsidRPr="000D127B">
        <w:t xml:space="preserve">It </w:t>
      </w:r>
      <w:r w:rsidRPr="000D127B">
        <w:t xml:space="preserve">was also submitted that it </w:t>
      </w:r>
      <w:r w:rsidR="007A2C51" w:rsidRPr="000D127B">
        <w:t>is oppressive for an unsecured creditor, having pleaded to a claim based on a discrete number of preference claims over a discrete period, then to be faced with a very different and much broader case, amounting to a total claim which is more than double the claim as originally formulated.</w:t>
      </w:r>
    </w:p>
    <w:p w:rsidR="007A2C51" w:rsidRPr="00A04E62" w:rsidRDefault="007A2C51" w:rsidP="00017B82">
      <w:pPr>
        <w:pStyle w:val="ParaNumbering"/>
        <w:numPr>
          <w:ilvl w:val="0"/>
          <w:numId w:val="30"/>
        </w:numPr>
        <w:rPr>
          <w:rFonts w:ascii="TimesNewRoman" w:hAnsi="TimesNewRoman" w:cs="TimesNewRoman"/>
          <w:szCs w:val="24"/>
          <w:lang w:eastAsia="en-AU"/>
        </w:rPr>
      </w:pPr>
      <w:r w:rsidRPr="00A04E62">
        <w:rPr>
          <w:lang w:eastAsia="en-AU"/>
        </w:rPr>
        <w:lastRenderedPageBreak/>
        <w:t xml:space="preserve">I am not persuaded </w:t>
      </w:r>
      <w:r w:rsidR="005836CC" w:rsidRPr="00A04E62">
        <w:rPr>
          <w:lang w:eastAsia="en-AU"/>
        </w:rPr>
        <w:t xml:space="preserve">by these arguments </w:t>
      </w:r>
      <w:r w:rsidRPr="00A04E62">
        <w:rPr>
          <w:lang w:eastAsia="en-AU"/>
        </w:rPr>
        <w:t>that leave to amend should not have been granted</w:t>
      </w:r>
      <w:r w:rsidR="002D25B4">
        <w:rPr>
          <w:lang w:eastAsia="en-AU"/>
        </w:rPr>
        <w:t xml:space="preserve">. </w:t>
      </w:r>
      <w:r w:rsidRPr="00A04E62">
        <w:rPr>
          <w:lang w:eastAsia="en-AU"/>
        </w:rPr>
        <w:t xml:space="preserve"> </w:t>
      </w:r>
      <w:r w:rsidR="00E87A95" w:rsidRPr="00A04E62">
        <w:rPr>
          <w:lang w:eastAsia="en-AU"/>
        </w:rPr>
        <w:t>First, t</w:t>
      </w:r>
      <w:r w:rsidRPr="00A04E62">
        <w:rPr>
          <w:lang w:eastAsia="en-AU"/>
        </w:rPr>
        <w:t xml:space="preserve">he original pleading flagged that the companies may have been insolvent from a date earlier than 3 July 2012 which included particulars of facts and events going back to January 2012.  </w:t>
      </w:r>
      <w:r w:rsidR="00FC743B" w:rsidRPr="00A04E62">
        <w:rPr>
          <w:lang w:eastAsia="en-AU"/>
        </w:rPr>
        <w:t xml:space="preserve">Furthermore, </w:t>
      </w:r>
      <w:r w:rsidR="00886F83" w:rsidRPr="00A04E62">
        <w:rPr>
          <w:lang w:eastAsia="en-AU"/>
        </w:rPr>
        <w:t>each of the defendants were put on notice of the companies’ possible insolvency from a date earlier than 3 July 2012 in letters of demand that were earlier sent to them</w:t>
      </w:r>
      <w:r w:rsidR="002D25B4">
        <w:rPr>
          <w:lang w:eastAsia="en-AU"/>
        </w:rPr>
        <w:t xml:space="preserve">.  </w:t>
      </w:r>
      <w:r w:rsidR="00E87A95" w:rsidRPr="00A04E62">
        <w:rPr>
          <w:lang w:eastAsia="en-AU"/>
        </w:rPr>
        <w:t xml:space="preserve">In other words, taking into account </w:t>
      </w:r>
      <w:r w:rsidR="005836CC" w:rsidRPr="00A04E62">
        <w:rPr>
          <w:lang w:eastAsia="en-AU"/>
        </w:rPr>
        <w:t xml:space="preserve">and giving weight to </w:t>
      </w:r>
      <w:r w:rsidR="00E87A95" w:rsidRPr="00A04E62">
        <w:rPr>
          <w:lang w:eastAsia="en-AU"/>
        </w:rPr>
        <w:t>the statutory policy of the limitation period in the exercise of discretion, it is relevant, in my view, that the possibility that the liquidators may seek to claim back alleged preference payments from an earlier period was not foreclosed by the institution of proceedings</w:t>
      </w:r>
      <w:r w:rsidR="002D25B4">
        <w:rPr>
          <w:lang w:eastAsia="en-AU"/>
        </w:rPr>
        <w:t xml:space="preserve">.  </w:t>
      </w:r>
      <w:r w:rsidRPr="00A04E62">
        <w:rPr>
          <w:lang w:eastAsia="en-AU"/>
        </w:rPr>
        <w:t xml:space="preserve">Secondly, </w:t>
      </w:r>
      <w:r w:rsidR="00687208" w:rsidRPr="00A04E62">
        <w:rPr>
          <w:lang w:eastAsia="en-AU"/>
        </w:rPr>
        <w:t xml:space="preserve">the </w:t>
      </w:r>
      <w:r w:rsidR="0052671A">
        <w:rPr>
          <w:lang w:eastAsia="en-AU"/>
        </w:rPr>
        <w:t>s</w:t>
      </w:r>
      <w:r w:rsidRPr="00A04E62">
        <w:rPr>
          <w:lang w:eastAsia="en-AU"/>
        </w:rPr>
        <w:t>tatemen</w:t>
      </w:r>
      <w:r w:rsidR="00C0011C" w:rsidRPr="00A04E62">
        <w:rPr>
          <w:lang w:eastAsia="en-AU"/>
        </w:rPr>
        <w:t xml:space="preserve">ts of </w:t>
      </w:r>
      <w:r w:rsidR="0052671A">
        <w:rPr>
          <w:lang w:eastAsia="en-AU"/>
        </w:rPr>
        <w:t>c</w:t>
      </w:r>
      <w:r w:rsidR="00C0011C" w:rsidRPr="00A04E62">
        <w:rPr>
          <w:lang w:eastAsia="en-AU"/>
        </w:rPr>
        <w:t>laim were served in the relevant a</w:t>
      </w:r>
      <w:r w:rsidRPr="00A04E62">
        <w:rPr>
          <w:lang w:eastAsia="en-AU"/>
        </w:rPr>
        <w:t>ct</w:t>
      </w:r>
      <w:r w:rsidR="00C0011C" w:rsidRPr="00A04E62">
        <w:rPr>
          <w:lang w:eastAsia="en-AU"/>
        </w:rPr>
        <w:t>ions on 18 and 19 November 2015</w:t>
      </w:r>
      <w:r w:rsidR="002D25B4">
        <w:rPr>
          <w:lang w:eastAsia="en-AU"/>
        </w:rPr>
        <w:t xml:space="preserve">.  </w:t>
      </w:r>
      <w:r w:rsidRPr="00A04E62">
        <w:rPr>
          <w:rFonts w:ascii="TimesNewRoman" w:hAnsi="TimesNewRoman" w:cs="TimesNewRoman"/>
          <w:szCs w:val="24"/>
          <w:lang w:eastAsia="en-AU"/>
        </w:rPr>
        <w:t>On 16 February 2016</w:t>
      </w:r>
      <w:r w:rsidR="00687208" w:rsidRPr="00A04E62">
        <w:rPr>
          <w:rFonts w:ascii="TimesNewRoman" w:hAnsi="TimesNewRoman" w:cs="TimesNewRoman"/>
          <w:szCs w:val="24"/>
          <w:lang w:eastAsia="en-AU"/>
        </w:rPr>
        <w:t>, the plaintiffs served on the relevant d</w:t>
      </w:r>
      <w:r w:rsidRPr="00A04E62">
        <w:rPr>
          <w:rFonts w:ascii="TimesNewRoman" w:hAnsi="TimesNewRoman" w:cs="TimesNewRoman"/>
          <w:szCs w:val="24"/>
          <w:lang w:eastAsia="en-AU"/>
        </w:rPr>
        <w:t>efendants the solvency report of Mr Georges of Ferrier Hodgson dated 12 February 2016</w:t>
      </w:r>
      <w:r w:rsidR="002D25B4">
        <w:rPr>
          <w:rFonts w:ascii="TimesNewRoman" w:hAnsi="TimesNewRoman" w:cs="TimesNewRoman"/>
          <w:szCs w:val="24"/>
          <w:lang w:eastAsia="en-AU"/>
        </w:rPr>
        <w:t xml:space="preserve">.  </w:t>
      </w:r>
      <w:r w:rsidRPr="00A04E62">
        <w:rPr>
          <w:rFonts w:ascii="TimesNewRoman" w:hAnsi="TimesNewRoman" w:cs="TimesNewRoman"/>
          <w:szCs w:val="24"/>
          <w:lang w:eastAsia="en-AU"/>
        </w:rPr>
        <w:t xml:space="preserve">Notice of </w:t>
      </w:r>
      <w:r w:rsidR="00C0011C" w:rsidRPr="00A04E62">
        <w:rPr>
          <w:rFonts w:ascii="TimesNewRoman" w:hAnsi="TimesNewRoman" w:cs="TimesNewRoman"/>
          <w:szCs w:val="24"/>
          <w:lang w:eastAsia="en-AU"/>
        </w:rPr>
        <w:t xml:space="preserve">the </w:t>
      </w:r>
      <w:r w:rsidRPr="00A04E62">
        <w:rPr>
          <w:rFonts w:ascii="TimesNewRoman" w:hAnsi="TimesNewRoman" w:cs="TimesNewRoman"/>
          <w:szCs w:val="24"/>
          <w:lang w:eastAsia="en-AU"/>
        </w:rPr>
        <w:t xml:space="preserve">proposed amendments was initially provided on a without prejudice basis on 15 March 2016 (to the solicitors acting for the WA </w:t>
      </w:r>
      <w:r w:rsidR="0052671A">
        <w:rPr>
          <w:rFonts w:ascii="TimesNewRoman" w:hAnsi="TimesNewRoman" w:cs="TimesNewRoman"/>
          <w:szCs w:val="24"/>
          <w:lang w:eastAsia="en-AU"/>
        </w:rPr>
        <w:t>d</w:t>
      </w:r>
      <w:r w:rsidRPr="00A04E62">
        <w:rPr>
          <w:rFonts w:ascii="TimesNewRoman" w:hAnsi="TimesNewRoman" w:cs="TimesNewRoman"/>
          <w:szCs w:val="24"/>
          <w:lang w:eastAsia="en-AU"/>
        </w:rPr>
        <w:t xml:space="preserve">efendants) and on 6 April 2016 (to the solicitors acting for </w:t>
      </w:r>
      <w:r w:rsidR="006B2EFA" w:rsidRPr="00A04E62">
        <w:rPr>
          <w:rFonts w:ascii="TimesNewRoman" w:hAnsi="TimesNewRoman" w:cs="TimesNewRoman"/>
          <w:szCs w:val="24"/>
          <w:lang w:eastAsia="en-AU"/>
        </w:rPr>
        <w:t>the SA defendant</w:t>
      </w:r>
      <w:r w:rsidRPr="00A04E62">
        <w:rPr>
          <w:rFonts w:ascii="TimesNewRoman" w:hAnsi="TimesNewRoman" w:cs="TimesNewRoman"/>
          <w:szCs w:val="24"/>
          <w:lang w:eastAsia="en-AU"/>
        </w:rPr>
        <w:t>) and on an open basis to all of these defendants on 3 May 2016</w:t>
      </w:r>
      <w:r w:rsidR="002D25B4">
        <w:rPr>
          <w:rFonts w:ascii="TimesNewRoman" w:hAnsi="TimesNewRoman" w:cs="TimesNewRoman"/>
          <w:szCs w:val="24"/>
          <w:lang w:eastAsia="en-AU"/>
        </w:rPr>
        <w:t xml:space="preserve">.  </w:t>
      </w:r>
      <w:r w:rsidR="00687208" w:rsidRPr="00A04E62">
        <w:rPr>
          <w:rFonts w:ascii="TimesNewRoman" w:hAnsi="TimesNewRoman" w:cs="TimesNewRoman"/>
          <w:szCs w:val="24"/>
          <w:lang w:eastAsia="en-AU"/>
        </w:rPr>
        <w:t>In other words, there has not been a significant time lapse between the institution of the proceedings</w:t>
      </w:r>
      <w:r w:rsidR="006B2EFA" w:rsidRPr="00A04E62">
        <w:rPr>
          <w:rFonts w:ascii="TimesNewRoman" w:hAnsi="TimesNewRoman" w:cs="TimesNewRoman"/>
          <w:szCs w:val="24"/>
          <w:lang w:eastAsia="en-AU"/>
        </w:rPr>
        <w:t xml:space="preserve">, obtaining an expert’s report on solvency, </w:t>
      </w:r>
      <w:r w:rsidR="00687208" w:rsidRPr="00A04E62">
        <w:rPr>
          <w:rFonts w:ascii="TimesNewRoman" w:hAnsi="TimesNewRoman" w:cs="TimesNewRoman"/>
          <w:szCs w:val="24"/>
          <w:lang w:eastAsia="en-AU"/>
        </w:rPr>
        <w:t xml:space="preserve">and </w:t>
      </w:r>
      <w:r w:rsidR="00924DD3" w:rsidRPr="00A04E62">
        <w:rPr>
          <w:rFonts w:ascii="TimesNewRoman" w:hAnsi="TimesNewRoman" w:cs="TimesNewRoman"/>
          <w:szCs w:val="24"/>
          <w:lang w:eastAsia="en-AU"/>
        </w:rPr>
        <w:t>amending the pleadings to add the further claims</w:t>
      </w:r>
      <w:r w:rsidR="002D25B4">
        <w:rPr>
          <w:rFonts w:ascii="TimesNewRoman" w:hAnsi="TimesNewRoman" w:cs="TimesNewRoman"/>
          <w:szCs w:val="24"/>
          <w:lang w:eastAsia="en-AU"/>
        </w:rPr>
        <w:t xml:space="preserve">.  </w:t>
      </w:r>
      <w:r w:rsidR="00924DD3" w:rsidRPr="00A04E62">
        <w:rPr>
          <w:rFonts w:ascii="TimesNewRoman" w:hAnsi="TimesNewRoman" w:cs="TimesNewRoman"/>
          <w:szCs w:val="24"/>
          <w:lang w:eastAsia="en-AU"/>
        </w:rPr>
        <w:t xml:space="preserve">Moreover, </w:t>
      </w:r>
      <w:r w:rsidR="00687208" w:rsidRPr="00A04E62">
        <w:rPr>
          <w:rFonts w:ascii="TimesNewRoman" w:hAnsi="TimesNewRoman" w:cs="TimesNewRoman"/>
          <w:szCs w:val="24"/>
          <w:lang w:eastAsia="en-AU"/>
        </w:rPr>
        <w:t xml:space="preserve">the plaintiffs acted promptly </w:t>
      </w:r>
      <w:r w:rsidR="00924DD3" w:rsidRPr="00A04E62">
        <w:rPr>
          <w:rFonts w:ascii="TimesNewRoman" w:hAnsi="TimesNewRoman" w:cs="TimesNewRoman"/>
          <w:szCs w:val="24"/>
          <w:lang w:eastAsia="en-AU"/>
        </w:rPr>
        <w:t>following receipt of their expert’s report in making application to amend</w:t>
      </w:r>
      <w:r w:rsidR="002D25B4">
        <w:rPr>
          <w:rFonts w:ascii="TimesNewRoman" w:hAnsi="TimesNewRoman" w:cs="TimesNewRoman"/>
          <w:szCs w:val="24"/>
          <w:lang w:eastAsia="en-AU"/>
        </w:rPr>
        <w:t xml:space="preserve">.  </w:t>
      </w:r>
      <w:r w:rsidR="00E87A95" w:rsidRPr="00A04E62">
        <w:rPr>
          <w:rFonts w:ascii="TimesNewRoman" w:hAnsi="TimesNewRoman" w:cs="TimesNewRoman"/>
          <w:szCs w:val="24"/>
          <w:lang w:eastAsia="en-AU"/>
        </w:rPr>
        <w:t>Thirdly, t</w:t>
      </w:r>
      <w:r w:rsidRPr="00A04E62">
        <w:rPr>
          <w:lang w:eastAsia="en-AU"/>
        </w:rPr>
        <w:t xml:space="preserve">he defendants have not identified any particular prejudice consequent on any alleged delay in bringing forward the amendments, </w:t>
      </w:r>
      <w:r w:rsidR="006B2EFA" w:rsidRPr="00A04E62">
        <w:rPr>
          <w:lang w:eastAsia="en-AU"/>
        </w:rPr>
        <w:t>and the “delay” was not extensive</w:t>
      </w:r>
      <w:r w:rsidR="002D25B4">
        <w:rPr>
          <w:lang w:eastAsia="en-AU"/>
        </w:rPr>
        <w:t xml:space="preserve">.  </w:t>
      </w:r>
    </w:p>
    <w:p w:rsidR="00E723B4" w:rsidRPr="00FF3C5F" w:rsidRDefault="00195B50" w:rsidP="007A2C51">
      <w:pPr>
        <w:pStyle w:val="Heading1"/>
      </w:pPr>
      <w:r w:rsidRPr="00FF3C5F">
        <w:t xml:space="preserve">Conclusion </w:t>
      </w:r>
    </w:p>
    <w:p w:rsidR="00195B50" w:rsidRDefault="00195B50" w:rsidP="00017B82">
      <w:pPr>
        <w:pStyle w:val="ParaNumbering"/>
        <w:numPr>
          <w:ilvl w:val="0"/>
          <w:numId w:val="30"/>
        </w:numPr>
      </w:pPr>
      <w:r w:rsidRPr="00FF3C5F">
        <w:t>Accordingly</w:t>
      </w:r>
      <w:r w:rsidR="00100173" w:rsidRPr="00FF3C5F">
        <w:t>,</w:t>
      </w:r>
      <w:r w:rsidRPr="00FF3C5F">
        <w:t xml:space="preserve"> I am satisfied that the companies in the </w:t>
      </w:r>
      <w:proofErr w:type="spellStart"/>
      <w:r w:rsidRPr="00FF3C5F">
        <w:t>Gunns</w:t>
      </w:r>
      <w:proofErr w:type="spellEnd"/>
      <w:r w:rsidRPr="00FF3C5F">
        <w:t xml:space="preserve"> </w:t>
      </w:r>
      <w:r w:rsidR="00100173" w:rsidRPr="00FF3C5F">
        <w:t xml:space="preserve">Group </w:t>
      </w:r>
      <w:r w:rsidRPr="00FF3C5F">
        <w:t>were and remained insolvent at least from 30 March 2012 until 25 September 2012</w:t>
      </w:r>
      <w:r w:rsidR="002D25B4">
        <w:t xml:space="preserve">.  </w:t>
      </w:r>
      <w:r w:rsidRPr="00FF3C5F">
        <w:t>I am also satisfied that the Court had the power pursuant to r 8.21(g)(</w:t>
      </w:r>
      <w:proofErr w:type="spellStart"/>
      <w:r w:rsidRPr="00FF3C5F">
        <w:t>i</w:t>
      </w:r>
      <w:proofErr w:type="spellEnd"/>
      <w:r w:rsidRPr="00FF3C5F">
        <w:t xml:space="preserve">) to authorise the amendments </w:t>
      </w:r>
      <w:r w:rsidR="00100173" w:rsidRPr="00FF3C5F">
        <w:t>the</w:t>
      </w:r>
      <w:r w:rsidRPr="00FF3C5F">
        <w:t xml:space="preserve"> subject of </w:t>
      </w:r>
      <w:r w:rsidR="00100173" w:rsidRPr="00FF3C5F">
        <w:t>the</w:t>
      </w:r>
      <w:r w:rsidRPr="00FF3C5F">
        <w:t xml:space="preserve"> orders of Middleton J on 6 May 2016.</w:t>
      </w:r>
    </w:p>
    <w:p w:rsidR="00A04E62" w:rsidRDefault="00A04E62" w:rsidP="009725F3">
      <w:pPr>
        <w:pStyle w:val="ParaNumbering"/>
        <w:numPr>
          <w:ilvl w:val="0"/>
          <w:numId w:val="0"/>
        </w:numPr>
        <w:rPr>
          <w:highlight w:val="yellow"/>
        </w:rPr>
      </w:pPr>
    </w:p>
    <w:p w:rsidR="00EC7DC5" w:rsidRDefault="00EC7DC5" w:rsidP="009725F3">
      <w:pPr>
        <w:pStyle w:val="ParaNumbering"/>
        <w:numPr>
          <w:ilvl w:val="0"/>
          <w:numId w:val="0"/>
        </w:numPr>
        <w:rPr>
          <w:highlight w:val="yellow"/>
        </w:rPr>
      </w:pPr>
    </w:p>
    <w:p w:rsidR="00EC7DC5" w:rsidRDefault="00EC7DC5" w:rsidP="009725F3">
      <w:pPr>
        <w:pStyle w:val="ParaNumbering"/>
        <w:numPr>
          <w:ilvl w:val="0"/>
          <w:numId w:val="0"/>
        </w:numPr>
        <w:rPr>
          <w:highlight w:val="yellow"/>
        </w:rPr>
      </w:pPr>
    </w:p>
    <w:p w:rsidR="00EC7DC5" w:rsidRDefault="00EC7DC5" w:rsidP="009725F3">
      <w:pPr>
        <w:pStyle w:val="ParaNumbering"/>
        <w:numPr>
          <w:ilvl w:val="0"/>
          <w:numId w:val="0"/>
        </w:numPr>
        <w:rPr>
          <w:highlight w:val="yellow"/>
        </w:rPr>
      </w:pPr>
    </w:p>
    <w:p w:rsidR="00EC7DC5" w:rsidRPr="00A04E62" w:rsidRDefault="00EC7DC5" w:rsidP="009725F3">
      <w:pPr>
        <w:pStyle w:val="ParaNumbering"/>
        <w:numPr>
          <w:ilvl w:val="0"/>
          <w:numId w:val="0"/>
        </w:numPr>
        <w:rPr>
          <w:highlight w:val="yellow"/>
        </w:rPr>
      </w:pPr>
    </w:p>
    <w:p w:rsidR="00A04E62" w:rsidRDefault="00A04E62" w:rsidP="002D25B4">
      <w:pPr>
        <w:pStyle w:val="BodyText"/>
      </w:pPr>
      <w:bookmarkStart w:id="19" w:name="Certification"/>
    </w:p>
    <w:tbl>
      <w:tblPr>
        <w:tblW w:w="0" w:type="auto"/>
        <w:tblLook w:val="04A0" w:firstRow="1" w:lastRow="0" w:firstColumn="1" w:lastColumn="0" w:noHBand="0" w:noVBand="1"/>
      </w:tblPr>
      <w:tblGrid>
        <w:gridCol w:w="3794"/>
      </w:tblGrid>
      <w:tr w:rsidR="00A04E62" w:rsidRPr="00A04E62">
        <w:tc>
          <w:tcPr>
            <w:tcW w:w="3794" w:type="dxa"/>
            <w:shd w:val="clear" w:color="auto" w:fill="auto"/>
          </w:tcPr>
          <w:p w:rsidR="00A04E62" w:rsidRPr="00A04E62" w:rsidRDefault="00A04E62" w:rsidP="00A04E62">
            <w:pPr>
              <w:pStyle w:val="Normal1linespace"/>
            </w:pPr>
            <w:r w:rsidRPr="00A04E62">
              <w:t xml:space="preserve">I certify that the preceding </w:t>
            </w:r>
            <w:bookmarkStart w:id="20" w:name="NumberWord"/>
            <w:r w:rsidR="00957666">
              <w:t>eighty</w:t>
            </w:r>
            <w:r w:rsidR="00957666">
              <w:noBreakHyphen/>
            </w:r>
            <w:r>
              <w:t>nine</w:t>
            </w:r>
            <w:bookmarkEnd w:id="20"/>
            <w:r w:rsidRPr="00A04E62">
              <w:t xml:space="preserve"> (</w:t>
            </w:r>
            <w:bookmarkStart w:id="21" w:name="NumberNumeral"/>
            <w:r>
              <w:t>89</w:t>
            </w:r>
            <w:bookmarkEnd w:id="21"/>
            <w:r w:rsidRPr="00A04E62">
              <w:t xml:space="preserve">) numbered </w:t>
            </w:r>
            <w:bookmarkStart w:id="22" w:name="CertPara"/>
            <w:r>
              <w:t>paragraphs are</w:t>
            </w:r>
            <w:bookmarkEnd w:id="22"/>
            <w:r w:rsidRPr="00A04E62">
              <w:t xml:space="preserve"> a true copy of the Reasons for Judgment herein of the Honourable </w:t>
            </w:r>
            <w:bookmarkStart w:id="23" w:name="Justice"/>
            <w:r>
              <w:t>Justice Davies</w:t>
            </w:r>
            <w:bookmarkEnd w:id="23"/>
            <w:r w:rsidRPr="00A04E62">
              <w:t>.</w:t>
            </w:r>
          </w:p>
        </w:tc>
      </w:tr>
    </w:tbl>
    <w:p w:rsidR="00A04E62" w:rsidRDefault="00A04E62" w:rsidP="002D25B4">
      <w:pPr>
        <w:pStyle w:val="BodyText"/>
      </w:pPr>
    </w:p>
    <w:p w:rsidR="00A04E62" w:rsidRDefault="00A04E62" w:rsidP="002D25B4">
      <w:pPr>
        <w:pStyle w:val="BodyText"/>
      </w:pPr>
    </w:p>
    <w:p w:rsidR="00A04E62" w:rsidRDefault="00A04E62" w:rsidP="002D25B4">
      <w:pPr>
        <w:pStyle w:val="BodyText"/>
      </w:pPr>
      <w:r>
        <w:t>Associate:</w:t>
      </w:r>
    </w:p>
    <w:p w:rsidR="00A04E62" w:rsidRDefault="00A04E62" w:rsidP="002D25B4">
      <w:pPr>
        <w:pStyle w:val="BodyText"/>
      </w:pPr>
    </w:p>
    <w:p w:rsidR="00A04E62" w:rsidRDefault="00A04E62" w:rsidP="002D25B4">
      <w:pPr>
        <w:pStyle w:val="BodyText"/>
        <w:tabs>
          <w:tab w:val="left" w:pos="1134"/>
        </w:tabs>
      </w:pPr>
      <w:r>
        <w:t>Dated:</w:t>
      </w:r>
      <w:r>
        <w:tab/>
      </w:r>
      <w:bookmarkStart w:id="24" w:name="CertifyDated"/>
      <w:r>
        <w:t>6 March 2018</w:t>
      </w:r>
      <w:bookmarkEnd w:id="24"/>
    </w:p>
    <w:p w:rsidR="00A04E62" w:rsidRDefault="00A04E62" w:rsidP="002D25B4">
      <w:pPr>
        <w:pStyle w:val="BodyText"/>
      </w:pPr>
    </w:p>
    <w:bookmarkEnd w:id="19"/>
    <w:p w:rsidR="009725F3" w:rsidRDefault="005F5C83" w:rsidP="00A04E62">
      <w:pPr>
        <w:pStyle w:val="BodyText"/>
      </w:pPr>
      <w:r>
        <w:br w:type="column"/>
      </w:r>
    </w:p>
    <w:p w:rsidR="009725F3" w:rsidRDefault="009725F3" w:rsidP="009725F3">
      <w:pPr>
        <w:jc w:val="center"/>
        <w:rPr>
          <w:b/>
          <w:szCs w:val="24"/>
        </w:rPr>
      </w:pPr>
      <w:r>
        <w:rPr>
          <w:b/>
          <w:szCs w:val="24"/>
        </w:rPr>
        <w:t xml:space="preserve">ANNEXURE 1 </w:t>
      </w:r>
    </w:p>
    <w:p w:rsidR="00ED4D84" w:rsidRDefault="00ED4D84" w:rsidP="00ED4D84">
      <w:pPr>
        <w:jc w:val="center"/>
        <w:rPr>
          <w:b/>
          <w:szCs w:val="24"/>
        </w:rPr>
      </w:pPr>
      <w:proofErr w:type="spellStart"/>
      <w:r>
        <w:rPr>
          <w:b/>
          <w:szCs w:val="24"/>
        </w:rPr>
        <w:t>Gunns</w:t>
      </w:r>
      <w:proofErr w:type="spellEnd"/>
      <w:r>
        <w:rPr>
          <w:b/>
          <w:szCs w:val="24"/>
        </w:rPr>
        <w:t xml:space="preserve"> Group of Companies </w:t>
      </w:r>
    </w:p>
    <w:p w:rsidR="00571151" w:rsidRDefault="00571151" w:rsidP="009725F3">
      <w:pPr>
        <w:jc w:val="center"/>
        <w:rPr>
          <w:b/>
          <w:szCs w:val="24"/>
        </w:rPr>
      </w:pPr>
    </w:p>
    <w:p w:rsidR="009725F3" w:rsidRDefault="00303749" w:rsidP="009725F3">
      <w:pPr>
        <w:jc w:val="center"/>
        <w:rPr>
          <w:b/>
          <w:szCs w:val="24"/>
        </w:rPr>
      </w:pPr>
      <w:r>
        <w:rPr>
          <w:noProof/>
          <w:lang w:eastAsia="en-AU"/>
        </w:rPr>
        <w:drawing>
          <wp:inline distT="0" distB="0" distL="0" distR="0" wp14:anchorId="3F2701F9" wp14:editId="0C5ADDC5">
            <wp:extent cx="4371975" cy="7286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71975" cy="7286625"/>
                    </a:xfrm>
                    <a:prstGeom prst="rect">
                      <a:avLst/>
                    </a:prstGeom>
                  </pic:spPr>
                </pic:pic>
              </a:graphicData>
            </a:graphic>
          </wp:inline>
        </w:drawing>
      </w:r>
      <w:r w:rsidR="009725F3">
        <w:rPr>
          <w:b/>
          <w:szCs w:val="24"/>
        </w:rPr>
        <w:br w:type="column"/>
      </w:r>
    </w:p>
    <w:p w:rsidR="00ED4D84" w:rsidRDefault="009725F3" w:rsidP="009725F3">
      <w:pPr>
        <w:jc w:val="center"/>
        <w:rPr>
          <w:b/>
          <w:szCs w:val="24"/>
        </w:rPr>
      </w:pPr>
      <w:r>
        <w:rPr>
          <w:b/>
          <w:szCs w:val="24"/>
        </w:rPr>
        <w:t>ANNEXURE 2</w:t>
      </w:r>
    </w:p>
    <w:p w:rsidR="009725F3" w:rsidRDefault="00ED4D84" w:rsidP="009725F3">
      <w:pPr>
        <w:jc w:val="center"/>
        <w:rPr>
          <w:b/>
          <w:szCs w:val="24"/>
        </w:rPr>
      </w:pPr>
      <w:r>
        <w:rPr>
          <w:b/>
          <w:szCs w:val="24"/>
        </w:rPr>
        <w:t xml:space="preserve">Remaining </w:t>
      </w:r>
      <w:proofErr w:type="spellStart"/>
      <w:r>
        <w:rPr>
          <w:b/>
          <w:szCs w:val="24"/>
        </w:rPr>
        <w:t>Gunns</w:t>
      </w:r>
      <w:proofErr w:type="spellEnd"/>
      <w:r>
        <w:rPr>
          <w:b/>
          <w:szCs w:val="24"/>
        </w:rPr>
        <w:t xml:space="preserve"> Group Proceedings</w:t>
      </w:r>
      <w:r w:rsidR="009725F3">
        <w:rPr>
          <w:b/>
          <w:szCs w:val="24"/>
        </w:rPr>
        <w:t xml:space="preserve"> </w:t>
      </w:r>
    </w:p>
    <w:p w:rsidR="00A04E62" w:rsidRDefault="00A04E62" w:rsidP="00720157">
      <w:pPr>
        <w:spacing w:after="240" w:line="240" w:lineRule="auto"/>
        <w:rPr>
          <w:b/>
          <w:szCs w:val="24"/>
        </w:rPr>
      </w:pPr>
    </w:p>
    <w:p w:rsidR="00720157" w:rsidRPr="00C43F18" w:rsidRDefault="00720157" w:rsidP="00720157">
      <w:pPr>
        <w:spacing w:after="240" w:line="240" w:lineRule="auto"/>
        <w:rPr>
          <w:b/>
          <w:szCs w:val="24"/>
        </w:rPr>
      </w:pPr>
      <w:r w:rsidRPr="00C43F18">
        <w:rPr>
          <w:b/>
          <w:szCs w:val="24"/>
        </w:rPr>
        <w:t>Victoria District Registry</w:t>
      </w:r>
    </w:p>
    <w:p w:rsidR="00720157" w:rsidRDefault="00720157" w:rsidP="00017B82">
      <w:pPr>
        <w:pStyle w:val="ListParagraph"/>
        <w:numPr>
          <w:ilvl w:val="0"/>
          <w:numId w:val="28"/>
        </w:numPr>
        <w:spacing w:after="240" w:line="240" w:lineRule="auto"/>
        <w:ind w:left="737" w:hanging="737"/>
        <w:contextualSpacing w:val="0"/>
        <w:rPr>
          <w:szCs w:val="24"/>
        </w:rPr>
      </w:pPr>
      <w:r>
        <w:rPr>
          <w:szCs w:val="24"/>
        </w:rPr>
        <w:t>Bryant &amp; Ors v JEG Management Pty Ltd &amp; Ors VID 586 of 2015</w:t>
      </w:r>
    </w:p>
    <w:p w:rsidR="00720157" w:rsidRDefault="00720157" w:rsidP="00017B82">
      <w:pPr>
        <w:pStyle w:val="ListParagraph"/>
        <w:numPr>
          <w:ilvl w:val="0"/>
          <w:numId w:val="28"/>
        </w:numPr>
        <w:spacing w:after="240" w:line="240" w:lineRule="auto"/>
        <w:ind w:left="737" w:hanging="737"/>
        <w:contextualSpacing w:val="0"/>
        <w:rPr>
          <w:szCs w:val="24"/>
        </w:rPr>
      </w:pPr>
      <w:r>
        <w:rPr>
          <w:szCs w:val="24"/>
        </w:rPr>
        <w:t>Bryant &amp; Ors v Mumbannar Lime (a partnership) VID 584 of 2015</w:t>
      </w:r>
    </w:p>
    <w:p w:rsidR="00720157" w:rsidRDefault="00720157" w:rsidP="00017B82">
      <w:pPr>
        <w:pStyle w:val="ListParagraph"/>
        <w:numPr>
          <w:ilvl w:val="0"/>
          <w:numId w:val="28"/>
        </w:numPr>
        <w:spacing w:after="240" w:line="240" w:lineRule="auto"/>
        <w:ind w:left="737" w:hanging="737"/>
        <w:contextualSpacing w:val="0"/>
        <w:rPr>
          <w:szCs w:val="24"/>
        </w:rPr>
      </w:pPr>
      <w:r>
        <w:rPr>
          <w:szCs w:val="24"/>
        </w:rPr>
        <w:t xml:space="preserve">Bryant &amp; Ors v </w:t>
      </w:r>
      <w:proofErr w:type="spellStart"/>
      <w:r>
        <w:rPr>
          <w:szCs w:val="24"/>
        </w:rPr>
        <w:t>Thode</w:t>
      </w:r>
      <w:proofErr w:type="spellEnd"/>
      <w:r>
        <w:rPr>
          <w:szCs w:val="24"/>
        </w:rPr>
        <w:t xml:space="preserve"> Knife &amp; Saw Pty Ltd &amp; Anor VID 556 of 2015</w:t>
      </w:r>
    </w:p>
    <w:p w:rsidR="00720157" w:rsidRDefault="00720157" w:rsidP="00017B82">
      <w:pPr>
        <w:pStyle w:val="ListParagraph"/>
        <w:numPr>
          <w:ilvl w:val="0"/>
          <w:numId w:val="28"/>
        </w:numPr>
        <w:spacing w:after="480" w:line="240" w:lineRule="auto"/>
        <w:ind w:left="737" w:hanging="737"/>
        <w:contextualSpacing w:val="0"/>
        <w:rPr>
          <w:szCs w:val="24"/>
        </w:rPr>
      </w:pPr>
      <w:r>
        <w:rPr>
          <w:szCs w:val="24"/>
        </w:rPr>
        <w:t>Bryant &amp; Ors v The Trustee for the West Coast Transport Unit Trading Trust &amp; Anor VID 583 of 2015</w:t>
      </w:r>
    </w:p>
    <w:p w:rsidR="00720157" w:rsidRPr="00C43F18" w:rsidRDefault="00720157" w:rsidP="00720157">
      <w:pPr>
        <w:spacing w:after="240" w:line="240" w:lineRule="auto"/>
        <w:rPr>
          <w:b/>
          <w:szCs w:val="24"/>
        </w:rPr>
      </w:pPr>
      <w:r>
        <w:rPr>
          <w:b/>
          <w:szCs w:val="24"/>
        </w:rPr>
        <w:t>South Australia District Registry</w:t>
      </w:r>
    </w:p>
    <w:p w:rsidR="00720157" w:rsidRDefault="00720157" w:rsidP="00017B82">
      <w:pPr>
        <w:pStyle w:val="ListParagraph"/>
        <w:numPr>
          <w:ilvl w:val="0"/>
          <w:numId w:val="28"/>
        </w:numPr>
        <w:spacing w:after="240" w:line="240" w:lineRule="auto"/>
        <w:ind w:left="737" w:hanging="737"/>
        <w:contextualSpacing w:val="0"/>
        <w:rPr>
          <w:szCs w:val="24"/>
        </w:rPr>
      </w:pPr>
      <w:r>
        <w:rPr>
          <w:szCs w:val="24"/>
        </w:rPr>
        <w:t>Bryant &amp; Ors v Badenoch Integrated Logging Pty Ltd SAD 341 of 2015</w:t>
      </w:r>
    </w:p>
    <w:p w:rsidR="00720157" w:rsidRDefault="00720157" w:rsidP="00017B82">
      <w:pPr>
        <w:pStyle w:val="ListParagraph"/>
        <w:numPr>
          <w:ilvl w:val="0"/>
          <w:numId w:val="28"/>
        </w:numPr>
        <w:spacing w:after="480" w:line="240" w:lineRule="auto"/>
        <w:ind w:left="737" w:hanging="737"/>
        <w:contextualSpacing w:val="0"/>
        <w:rPr>
          <w:szCs w:val="24"/>
        </w:rPr>
      </w:pPr>
      <w:r>
        <w:rPr>
          <w:szCs w:val="24"/>
        </w:rPr>
        <w:t xml:space="preserve">Bryant &amp; Ors v LV </w:t>
      </w:r>
      <w:proofErr w:type="spellStart"/>
      <w:r>
        <w:rPr>
          <w:szCs w:val="24"/>
        </w:rPr>
        <w:t>Dohnt</w:t>
      </w:r>
      <w:proofErr w:type="spellEnd"/>
      <w:r>
        <w:rPr>
          <w:szCs w:val="24"/>
        </w:rPr>
        <w:t xml:space="preserve"> &amp; Co Pty Ltd SAD 334 of 2015</w:t>
      </w:r>
    </w:p>
    <w:p w:rsidR="00720157" w:rsidRPr="00C43F18" w:rsidRDefault="00720157" w:rsidP="00720157">
      <w:pPr>
        <w:spacing w:after="240" w:line="240" w:lineRule="auto"/>
        <w:rPr>
          <w:b/>
          <w:szCs w:val="24"/>
        </w:rPr>
      </w:pPr>
      <w:r>
        <w:rPr>
          <w:b/>
          <w:szCs w:val="24"/>
        </w:rPr>
        <w:t>Western Australia District Registry</w:t>
      </w:r>
    </w:p>
    <w:p w:rsidR="00720157" w:rsidRDefault="00720157" w:rsidP="00017B82">
      <w:pPr>
        <w:pStyle w:val="ListParagraph"/>
        <w:numPr>
          <w:ilvl w:val="0"/>
          <w:numId w:val="28"/>
        </w:numPr>
        <w:spacing w:after="240" w:line="240" w:lineRule="auto"/>
        <w:ind w:left="737" w:hanging="737"/>
        <w:contextualSpacing w:val="0"/>
        <w:rPr>
          <w:szCs w:val="24"/>
        </w:rPr>
      </w:pPr>
      <w:r>
        <w:rPr>
          <w:szCs w:val="24"/>
        </w:rPr>
        <w:t xml:space="preserve">Bryant &amp; Ors v </w:t>
      </w:r>
      <w:proofErr w:type="spellStart"/>
      <w:r>
        <w:rPr>
          <w:szCs w:val="24"/>
        </w:rPr>
        <w:t>Bluewood</w:t>
      </w:r>
      <w:proofErr w:type="spellEnd"/>
      <w:r>
        <w:rPr>
          <w:szCs w:val="24"/>
        </w:rPr>
        <w:t xml:space="preserve"> Industries Pty Ltd WAD 540 of 2015</w:t>
      </w:r>
    </w:p>
    <w:p w:rsidR="00720157" w:rsidRDefault="00720157" w:rsidP="00017B82">
      <w:pPr>
        <w:pStyle w:val="ListParagraph"/>
        <w:numPr>
          <w:ilvl w:val="0"/>
          <w:numId w:val="28"/>
        </w:numPr>
        <w:spacing w:after="240" w:line="240" w:lineRule="auto"/>
        <w:ind w:left="737" w:hanging="737"/>
        <w:contextualSpacing w:val="0"/>
        <w:rPr>
          <w:szCs w:val="24"/>
        </w:rPr>
      </w:pPr>
      <w:r>
        <w:rPr>
          <w:szCs w:val="24"/>
        </w:rPr>
        <w:t xml:space="preserve">Bryant &amp; Ors v </w:t>
      </w:r>
      <w:proofErr w:type="spellStart"/>
      <w:r>
        <w:rPr>
          <w:szCs w:val="24"/>
        </w:rPr>
        <w:t>Edenborn</w:t>
      </w:r>
      <w:proofErr w:type="spellEnd"/>
      <w:r>
        <w:rPr>
          <w:szCs w:val="24"/>
        </w:rPr>
        <w:t xml:space="preserve"> Pty ltd WAD 553 of 2015</w:t>
      </w:r>
    </w:p>
    <w:p w:rsidR="00720157" w:rsidRDefault="00720157" w:rsidP="00017B82">
      <w:pPr>
        <w:pStyle w:val="ListParagraph"/>
        <w:numPr>
          <w:ilvl w:val="0"/>
          <w:numId w:val="28"/>
        </w:numPr>
        <w:spacing w:after="240" w:line="240" w:lineRule="auto"/>
        <w:ind w:left="737" w:hanging="737"/>
        <w:contextualSpacing w:val="0"/>
        <w:rPr>
          <w:szCs w:val="24"/>
        </w:rPr>
      </w:pPr>
      <w:r>
        <w:rPr>
          <w:szCs w:val="24"/>
        </w:rPr>
        <w:t>Bryant &amp; Ors v Southern Regional Transport WAD 550 of 2015</w:t>
      </w:r>
    </w:p>
    <w:p w:rsidR="009725F3" w:rsidRDefault="009725F3" w:rsidP="009725F3">
      <w:pPr>
        <w:jc w:val="center"/>
        <w:rPr>
          <w:b/>
          <w:szCs w:val="24"/>
        </w:rPr>
      </w:pPr>
      <w:r>
        <w:rPr>
          <w:b/>
          <w:szCs w:val="24"/>
        </w:rPr>
        <w:br w:type="column"/>
      </w:r>
    </w:p>
    <w:p w:rsidR="009725F3" w:rsidRPr="00D96290" w:rsidRDefault="00AA00E4" w:rsidP="009725F3">
      <w:pPr>
        <w:jc w:val="center"/>
        <w:rPr>
          <w:b/>
          <w:szCs w:val="24"/>
        </w:rPr>
      </w:pPr>
      <w:r>
        <w:rPr>
          <w:b/>
          <w:szCs w:val="24"/>
        </w:rPr>
        <w:t>ANNEXURE 3</w:t>
      </w:r>
    </w:p>
    <w:p w:rsidR="009725F3" w:rsidRDefault="00AA00E4" w:rsidP="009725F3">
      <w:pPr>
        <w:jc w:val="center"/>
        <w:rPr>
          <w:szCs w:val="24"/>
        </w:rPr>
      </w:pPr>
      <w:r>
        <w:rPr>
          <w:b/>
          <w:szCs w:val="24"/>
        </w:rPr>
        <w:t xml:space="preserve">Amended </w:t>
      </w:r>
      <w:r w:rsidR="009725F3">
        <w:rPr>
          <w:b/>
          <w:szCs w:val="24"/>
        </w:rPr>
        <w:t>Particulars</w:t>
      </w:r>
    </w:p>
    <w:p w:rsidR="009725F3" w:rsidRDefault="009725F3" w:rsidP="009725F3">
      <w:pPr>
        <w:spacing w:after="240"/>
        <w:rPr>
          <w:szCs w:val="24"/>
        </w:rPr>
      </w:pPr>
      <w:r>
        <w:rPr>
          <w:szCs w:val="24"/>
        </w:rPr>
        <w:t xml:space="preserve">The plaintiffs refer to and rely upon, inter alia, the following matters which indicate that </w:t>
      </w:r>
      <w:proofErr w:type="spellStart"/>
      <w:r>
        <w:rPr>
          <w:szCs w:val="24"/>
        </w:rPr>
        <w:t>Gunns</w:t>
      </w:r>
      <w:proofErr w:type="spellEnd"/>
      <w:r>
        <w:rPr>
          <w:szCs w:val="24"/>
        </w:rPr>
        <w:t xml:space="preserve"> was insolvent from at least </w:t>
      </w:r>
      <w:r w:rsidRPr="00D96290">
        <w:rPr>
          <w:strike/>
          <w:szCs w:val="24"/>
        </w:rPr>
        <w:t>3 July 2012</w:t>
      </w:r>
      <w:r>
        <w:rPr>
          <w:szCs w:val="24"/>
        </w:rPr>
        <w:t xml:space="preserve"> </w:t>
      </w:r>
      <w:r w:rsidRPr="00D96290">
        <w:rPr>
          <w:szCs w:val="24"/>
          <w:u w:val="single"/>
        </w:rPr>
        <w:t>30 March 2012</w:t>
      </w:r>
      <w:r>
        <w:rPr>
          <w:szCs w:val="24"/>
        </w:rPr>
        <w:t xml:space="preserve"> and possibly earlier.</w:t>
      </w:r>
    </w:p>
    <w:p w:rsidR="009725F3" w:rsidRDefault="009725F3" w:rsidP="00017B82">
      <w:pPr>
        <w:pStyle w:val="ListParagraph"/>
        <w:numPr>
          <w:ilvl w:val="0"/>
          <w:numId w:val="28"/>
        </w:numPr>
        <w:spacing w:after="240"/>
        <w:ind w:left="737" w:hanging="737"/>
        <w:contextualSpacing w:val="0"/>
        <w:rPr>
          <w:szCs w:val="24"/>
        </w:rPr>
      </w:pPr>
      <w:r>
        <w:rPr>
          <w:szCs w:val="24"/>
        </w:rPr>
        <w:t xml:space="preserve">The </w:t>
      </w:r>
      <w:proofErr w:type="spellStart"/>
      <w:r>
        <w:rPr>
          <w:szCs w:val="24"/>
        </w:rPr>
        <w:t>Gunns</w:t>
      </w:r>
      <w:proofErr w:type="spellEnd"/>
      <w:r>
        <w:rPr>
          <w:szCs w:val="24"/>
        </w:rPr>
        <w:t xml:space="preserve"> Group experienced declines in revenue in each financial year between 30 June 2010 (</w:t>
      </w:r>
      <w:r>
        <w:rPr>
          <w:b/>
          <w:szCs w:val="24"/>
        </w:rPr>
        <w:t>FY10</w:t>
      </w:r>
      <w:r>
        <w:rPr>
          <w:szCs w:val="24"/>
        </w:rPr>
        <w:t>) and the financial year ended 30 June 2012 (</w:t>
      </w:r>
      <w:r>
        <w:rPr>
          <w:b/>
          <w:szCs w:val="24"/>
        </w:rPr>
        <w:t>FY12</w:t>
      </w:r>
      <w:r>
        <w:rPr>
          <w:szCs w:val="24"/>
        </w:rPr>
        <w:t>), including a loss after tax of $903.9 million as at 30 June 2012;</w:t>
      </w:r>
    </w:p>
    <w:p w:rsidR="009725F3" w:rsidRDefault="009725F3" w:rsidP="009725F3">
      <w:pPr>
        <w:tabs>
          <w:tab w:val="left" w:pos="1134"/>
        </w:tabs>
        <w:spacing w:after="240"/>
        <w:ind w:left="737" w:hanging="737"/>
        <w:rPr>
          <w:szCs w:val="24"/>
        </w:rPr>
      </w:pPr>
      <w:proofErr w:type="spellStart"/>
      <w:r w:rsidRPr="00D96290">
        <w:rPr>
          <w:szCs w:val="24"/>
          <w:u w:val="single"/>
        </w:rPr>
        <w:t>ia.</w:t>
      </w:r>
      <w:proofErr w:type="spellEnd"/>
      <w:r w:rsidRPr="00D96290">
        <w:rPr>
          <w:szCs w:val="24"/>
          <w:u w:val="single"/>
        </w:rPr>
        <w:tab/>
      </w:r>
      <w:r>
        <w:rPr>
          <w:szCs w:val="24"/>
          <w:u w:val="single"/>
        </w:rPr>
        <w:t xml:space="preserve">The </w:t>
      </w:r>
      <w:proofErr w:type="spellStart"/>
      <w:r>
        <w:rPr>
          <w:szCs w:val="24"/>
          <w:u w:val="single"/>
        </w:rPr>
        <w:t>Gunns</w:t>
      </w:r>
      <w:proofErr w:type="spellEnd"/>
      <w:r>
        <w:rPr>
          <w:szCs w:val="24"/>
          <w:u w:val="single"/>
        </w:rPr>
        <w:t xml:space="preserve"> Group experienced deteriorating trading conditions affecting various divisions of the business and resulting in significant reductions in EBIT as at 31 December 2011;</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Minutes of meetings of the board of directors of </w:t>
      </w:r>
      <w:proofErr w:type="spellStart"/>
      <w:r>
        <w:rPr>
          <w:szCs w:val="24"/>
        </w:rPr>
        <w:t>Gunns</w:t>
      </w:r>
      <w:proofErr w:type="spellEnd"/>
      <w:r>
        <w:rPr>
          <w:szCs w:val="24"/>
        </w:rPr>
        <w:t xml:space="preserve"> and the other companies in the </w:t>
      </w:r>
      <w:proofErr w:type="spellStart"/>
      <w:r>
        <w:rPr>
          <w:szCs w:val="24"/>
        </w:rPr>
        <w:t>Gunns</w:t>
      </w:r>
      <w:proofErr w:type="spellEnd"/>
      <w:r>
        <w:rPr>
          <w:szCs w:val="24"/>
        </w:rPr>
        <w:t xml:space="preserve"> Group and the management reports generated by the </w:t>
      </w:r>
      <w:proofErr w:type="spellStart"/>
      <w:r>
        <w:rPr>
          <w:szCs w:val="24"/>
        </w:rPr>
        <w:t>Gunns</w:t>
      </w:r>
      <w:proofErr w:type="spellEnd"/>
      <w:r>
        <w:rPr>
          <w:szCs w:val="24"/>
        </w:rPr>
        <w:t xml:space="preserve"> Group in 2012 contain numerous references to the </w:t>
      </w:r>
      <w:proofErr w:type="spellStart"/>
      <w:r>
        <w:rPr>
          <w:szCs w:val="24"/>
        </w:rPr>
        <w:t>Gunns</w:t>
      </w:r>
      <w:proofErr w:type="spellEnd"/>
      <w:r>
        <w:rPr>
          <w:szCs w:val="24"/>
        </w:rPr>
        <w:t xml:space="preserve"> Group being under significant cash flow and creditor pressure;</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Between January 2012 and June 2012, the </w:t>
      </w:r>
      <w:proofErr w:type="spellStart"/>
      <w:r>
        <w:rPr>
          <w:szCs w:val="24"/>
        </w:rPr>
        <w:t>Gunns</w:t>
      </w:r>
      <w:proofErr w:type="spellEnd"/>
      <w:r>
        <w:rPr>
          <w:szCs w:val="24"/>
        </w:rPr>
        <w:t xml:space="preserve"> Group’s liabilities increased from $715 million to $880 million and the </w:t>
      </w:r>
      <w:proofErr w:type="spellStart"/>
      <w:r>
        <w:rPr>
          <w:szCs w:val="24"/>
        </w:rPr>
        <w:t>Gunns</w:t>
      </w:r>
      <w:proofErr w:type="spellEnd"/>
      <w:r>
        <w:rPr>
          <w:szCs w:val="24"/>
        </w:rPr>
        <w:t xml:space="preserve"> Group’s net asset position decreased from $885 million to approximately $24 million in the same period;</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The net asset position of the </w:t>
      </w:r>
      <w:proofErr w:type="spellStart"/>
      <w:r>
        <w:rPr>
          <w:szCs w:val="24"/>
        </w:rPr>
        <w:t>Gunns</w:t>
      </w:r>
      <w:proofErr w:type="spellEnd"/>
      <w:r>
        <w:rPr>
          <w:szCs w:val="24"/>
        </w:rPr>
        <w:t xml:space="preserve"> Group was materially impaired by write</w:t>
      </w:r>
      <w:r>
        <w:rPr>
          <w:szCs w:val="24"/>
        </w:rPr>
        <w:noBreakHyphen/>
        <w:t>downs of at least $1.4 billion by 30 June 2012;</w:t>
      </w:r>
    </w:p>
    <w:p w:rsidR="009725F3" w:rsidRDefault="009725F3" w:rsidP="009725F3">
      <w:pPr>
        <w:tabs>
          <w:tab w:val="left" w:pos="1134"/>
        </w:tabs>
        <w:spacing w:after="240"/>
        <w:ind w:left="737" w:hanging="737"/>
        <w:rPr>
          <w:szCs w:val="24"/>
          <w:u w:val="single"/>
        </w:rPr>
      </w:pPr>
      <w:proofErr w:type="spellStart"/>
      <w:r>
        <w:rPr>
          <w:szCs w:val="24"/>
          <w:u w:val="single"/>
        </w:rPr>
        <w:t>iva</w:t>
      </w:r>
      <w:proofErr w:type="spellEnd"/>
      <w:r>
        <w:rPr>
          <w:szCs w:val="24"/>
          <w:u w:val="single"/>
        </w:rPr>
        <w:t>.</w:t>
      </w:r>
      <w:r>
        <w:rPr>
          <w:szCs w:val="24"/>
          <w:u w:val="single"/>
        </w:rPr>
        <w:tab/>
        <w:t xml:space="preserve">Between 31 December 2011 and 25 September 2012, the </w:t>
      </w:r>
      <w:proofErr w:type="spellStart"/>
      <w:r>
        <w:rPr>
          <w:szCs w:val="24"/>
          <w:u w:val="single"/>
        </w:rPr>
        <w:t>Gunns</w:t>
      </w:r>
      <w:proofErr w:type="spellEnd"/>
      <w:r>
        <w:rPr>
          <w:szCs w:val="24"/>
          <w:u w:val="single"/>
        </w:rPr>
        <w:t xml:space="preserve"> Group had a net liquid asset deficiency of between approximately $14 million and $45 million;</w:t>
      </w:r>
    </w:p>
    <w:p w:rsidR="009725F3" w:rsidRDefault="009725F3" w:rsidP="009725F3">
      <w:pPr>
        <w:tabs>
          <w:tab w:val="left" w:pos="1134"/>
        </w:tabs>
        <w:spacing w:after="240"/>
        <w:ind w:left="737" w:hanging="737"/>
        <w:rPr>
          <w:szCs w:val="24"/>
          <w:u w:val="single"/>
        </w:rPr>
      </w:pPr>
      <w:proofErr w:type="spellStart"/>
      <w:r>
        <w:rPr>
          <w:szCs w:val="24"/>
          <w:u w:val="single"/>
        </w:rPr>
        <w:t>ivb</w:t>
      </w:r>
      <w:proofErr w:type="spellEnd"/>
      <w:r>
        <w:rPr>
          <w:szCs w:val="24"/>
          <w:u w:val="single"/>
        </w:rPr>
        <w:t>.</w:t>
      </w:r>
      <w:r>
        <w:rPr>
          <w:szCs w:val="24"/>
          <w:u w:val="single"/>
        </w:rPr>
        <w:tab/>
        <w:t xml:space="preserve">The </w:t>
      </w:r>
      <w:proofErr w:type="spellStart"/>
      <w:r>
        <w:rPr>
          <w:szCs w:val="24"/>
          <w:u w:val="single"/>
        </w:rPr>
        <w:t>Gunns</w:t>
      </w:r>
      <w:proofErr w:type="spellEnd"/>
      <w:r>
        <w:rPr>
          <w:szCs w:val="24"/>
          <w:u w:val="single"/>
        </w:rPr>
        <w:t xml:space="preserve"> Group undertook a significant asset sale process with the objective of reducing its secured debt.  The total probable realisable value of the assets sold and/or to be sold in the relevant period was significantly less than the total secured debt;</w:t>
      </w:r>
    </w:p>
    <w:p w:rsidR="009725F3" w:rsidRDefault="009725F3" w:rsidP="009725F3">
      <w:pPr>
        <w:tabs>
          <w:tab w:val="left" w:pos="1134"/>
        </w:tabs>
        <w:spacing w:after="240"/>
        <w:ind w:left="737" w:hanging="737"/>
        <w:rPr>
          <w:szCs w:val="24"/>
          <w:u w:val="single"/>
        </w:rPr>
      </w:pPr>
      <w:proofErr w:type="spellStart"/>
      <w:r>
        <w:rPr>
          <w:szCs w:val="24"/>
          <w:u w:val="single"/>
        </w:rPr>
        <w:t>ivc</w:t>
      </w:r>
      <w:proofErr w:type="spellEnd"/>
      <w:r>
        <w:rPr>
          <w:szCs w:val="24"/>
          <w:u w:val="single"/>
        </w:rPr>
        <w:t>.</w:t>
      </w:r>
      <w:r>
        <w:rPr>
          <w:szCs w:val="24"/>
          <w:u w:val="single"/>
        </w:rPr>
        <w:tab/>
        <w:t xml:space="preserve">The </w:t>
      </w:r>
      <w:proofErr w:type="spellStart"/>
      <w:r>
        <w:rPr>
          <w:szCs w:val="24"/>
          <w:u w:val="single"/>
        </w:rPr>
        <w:t>Gunns</w:t>
      </w:r>
      <w:proofErr w:type="spellEnd"/>
      <w:r>
        <w:rPr>
          <w:szCs w:val="24"/>
          <w:u w:val="single"/>
        </w:rPr>
        <w:t xml:space="preserve"> Group further incurred significant expenditure in relation to the construction of a Pulp Mill.  In respect of that project:</w:t>
      </w:r>
    </w:p>
    <w:p w:rsidR="009725F3" w:rsidRDefault="009725F3" w:rsidP="009725F3">
      <w:pPr>
        <w:spacing w:after="240"/>
        <w:ind w:left="1474" w:hanging="737"/>
        <w:rPr>
          <w:szCs w:val="24"/>
          <w:u w:val="single"/>
        </w:rPr>
      </w:pPr>
      <w:r>
        <w:rPr>
          <w:szCs w:val="24"/>
        </w:rPr>
        <w:lastRenderedPageBreak/>
        <w:t>(a)</w:t>
      </w:r>
      <w:r>
        <w:rPr>
          <w:szCs w:val="24"/>
        </w:rPr>
        <w:tab/>
      </w:r>
      <w:r>
        <w:rPr>
          <w:szCs w:val="24"/>
          <w:u w:val="single"/>
        </w:rPr>
        <w:t>development cost projections for the project as at June 2008 were approximately $2.067 billion;</w:t>
      </w:r>
    </w:p>
    <w:p w:rsidR="009725F3" w:rsidRDefault="009725F3" w:rsidP="009725F3">
      <w:pPr>
        <w:spacing w:after="240"/>
        <w:ind w:left="1474" w:hanging="737"/>
        <w:rPr>
          <w:szCs w:val="24"/>
          <w:u w:val="single"/>
        </w:rPr>
      </w:pPr>
      <w:r w:rsidRPr="00D96290">
        <w:rPr>
          <w:szCs w:val="24"/>
        </w:rPr>
        <w:t>(b)</w:t>
      </w:r>
      <w:r w:rsidRPr="00D96290">
        <w:rPr>
          <w:szCs w:val="24"/>
        </w:rPr>
        <w:tab/>
      </w:r>
      <w:r>
        <w:rPr>
          <w:szCs w:val="24"/>
          <w:u w:val="single"/>
        </w:rPr>
        <w:t>as at December 2011, the carrying value of the capitalised costs relating to the project were in the amount of $232 million;</w:t>
      </w:r>
    </w:p>
    <w:p w:rsidR="009725F3" w:rsidRDefault="009725F3" w:rsidP="009725F3">
      <w:pPr>
        <w:spacing w:after="240"/>
        <w:ind w:left="1474" w:hanging="737"/>
        <w:rPr>
          <w:szCs w:val="24"/>
          <w:u w:val="single"/>
        </w:rPr>
      </w:pPr>
      <w:r w:rsidRPr="00D96290">
        <w:rPr>
          <w:szCs w:val="24"/>
        </w:rPr>
        <w:t>(c)</w:t>
      </w:r>
      <w:r w:rsidRPr="00D96290">
        <w:rPr>
          <w:szCs w:val="24"/>
        </w:rPr>
        <w:tab/>
      </w:r>
      <w:r>
        <w:rPr>
          <w:szCs w:val="24"/>
          <w:u w:val="single"/>
        </w:rPr>
        <w:t xml:space="preserve">the </w:t>
      </w:r>
      <w:proofErr w:type="spellStart"/>
      <w:r>
        <w:rPr>
          <w:szCs w:val="24"/>
          <w:u w:val="single"/>
        </w:rPr>
        <w:t>Gunns</w:t>
      </w:r>
      <w:proofErr w:type="spellEnd"/>
      <w:r>
        <w:rPr>
          <w:szCs w:val="24"/>
          <w:u w:val="single"/>
        </w:rPr>
        <w:t xml:space="preserve"> Group was required by its lenders to engage a joint venture partner by 31 March 2012 for the project to proceed.  That did not occur; and</w:t>
      </w:r>
    </w:p>
    <w:p w:rsidR="009725F3" w:rsidRDefault="009725F3" w:rsidP="009725F3">
      <w:pPr>
        <w:spacing w:after="240"/>
        <w:ind w:left="1474" w:hanging="737"/>
        <w:rPr>
          <w:szCs w:val="24"/>
        </w:rPr>
      </w:pPr>
      <w:r>
        <w:rPr>
          <w:szCs w:val="24"/>
        </w:rPr>
        <w:t>(d)</w:t>
      </w:r>
      <w:r>
        <w:rPr>
          <w:szCs w:val="24"/>
        </w:rPr>
        <w:tab/>
      </w:r>
      <w:r>
        <w:rPr>
          <w:szCs w:val="24"/>
          <w:u w:val="single"/>
        </w:rPr>
        <w:t xml:space="preserve">in June 2012, the </w:t>
      </w:r>
      <w:proofErr w:type="spellStart"/>
      <w:r>
        <w:rPr>
          <w:szCs w:val="24"/>
          <w:u w:val="single"/>
        </w:rPr>
        <w:t>Gunns</w:t>
      </w:r>
      <w:proofErr w:type="spellEnd"/>
      <w:r>
        <w:rPr>
          <w:szCs w:val="24"/>
          <w:u w:val="single"/>
        </w:rPr>
        <w:t xml:space="preserve"> Group determined that it was no longer probable that the project would proceed to completion and capitalised costs in relation to the project were impaired and written down to a recoverable amount of $37.5 million;</w:t>
      </w:r>
    </w:p>
    <w:p w:rsidR="009725F3" w:rsidRDefault="009725F3" w:rsidP="009725F3">
      <w:pPr>
        <w:tabs>
          <w:tab w:val="left" w:pos="1134"/>
        </w:tabs>
        <w:spacing w:after="240"/>
        <w:ind w:left="737" w:hanging="737"/>
        <w:rPr>
          <w:szCs w:val="24"/>
        </w:rPr>
      </w:pPr>
      <w:proofErr w:type="spellStart"/>
      <w:r>
        <w:rPr>
          <w:szCs w:val="24"/>
          <w:u w:val="single"/>
        </w:rPr>
        <w:t>ivd</w:t>
      </w:r>
      <w:proofErr w:type="spellEnd"/>
      <w:r>
        <w:rPr>
          <w:szCs w:val="24"/>
          <w:u w:val="single"/>
        </w:rPr>
        <w:t>.</w:t>
      </w:r>
      <w:r>
        <w:rPr>
          <w:szCs w:val="24"/>
          <w:u w:val="single"/>
        </w:rPr>
        <w:tab/>
        <w:t xml:space="preserve">Between 31 December 2011 and 25 September 2012, the </w:t>
      </w:r>
      <w:proofErr w:type="spellStart"/>
      <w:r>
        <w:rPr>
          <w:szCs w:val="24"/>
          <w:u w:val="single"/>
        </w:rPr>
        <w:t>Gunns</w:t>
      </w:r>
      <w:proofErr w:type="spellEnd"/>
      <w:r>
        <w:rPr>
          <w:szCs w:val="24"/>
          <w:u w:val="single"/>
        </w:rPr>
        <w:t xml:space="preserve"> Group had significant levels of overdue unsecured trade creditors in the amount of between $16 million and $33 million, with a peak overdue indebtedness of $46 million in July 2012;</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During the period of January 2012 to June 2012, the </w:t>
      </w:r>
      <w:proofErr w:type="spellStart"/>
      <w:r>
        <w:rPr>
          <w:szCs w:val="24"/>
        </w:rPr>
        <w:t>Gunns</w:t>
      </w:r>
      <w:proofErr w:type="spellEnd"/>
      <w:r>
        <w:rPr>
          <w:szCs w:val="24"/>
        </w:rPr>
        <w:t xml:space="preserve"> Group took approximately 183 days on average to pay its creditors </w:t>
      </w:r>
      <w:r>
        <w:rPr>
          <w:szCs w:val="24"/>
          <w:u w:val="single"/>
        </w:rPr>
        <w:t>and numerous lump sum round amount payments were made to trading creditors from at least January 2012;</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Aged debts of the </w:t>
      </w:r>
      <w:proofErr w:type="spellStart"/>
      <w:r>
        <w:rPr>
          <w:szCs w:val="24"/>
        </w:rPr>
        <w:t>Gunns</w:t>
      </w:r>
      <w:proofErr w:type="spellEnd"/>
      <w:r>
        <w:rPr>
          <w:szCs w:val="24"/>
        </w:rPr>
        <w:t xml:space="preserve"> Group increased between the financial year ended 30 June 2011 (</w:t>
      </w:r>
      <w:r>
        <w:rPr>
          <w:b/>
          <w:szCs w:val="24"/>
        </w:rPr>
        <w:t>FY11</w:t>
      </w:r>
      <w:r>
        <w:rPr>
          <w:szCs w:val="24"/>
        </w:rPr>
        <w:t>) and the financial year ended 30 June 2013 (</w:t>
      </w:r>
      <w:r>
        <w:rPr>
          <w:b/>
          <w:szCs w:val="24"/>
        </w:rPr>
        <w:t>FY13</w:t>
      </w:r>
      <w:r>
        <w:rPr>
          <w:szCs w:val="24"/>
        </w:rPr>
        <w:t>) with debts over 30 days increasing from 16.6% in FY11 to 33.5% in FY13;</w:t>
      </w:r>
    </w:p>
    <w:p w:rsidR="009725F3" w:rsidRDefault="009725F3" w:rsidP="009725F3">
      <w:pPr>
        <w:tabs>
          <w:tab w:val="left" w:pos="1134"/>
        </w:tabs>
        <w:spacing w:after="240"/>
        <w:ind w:left="737" w:hanging="737"/>
        <w:rPr>
          <w:szCs w:val="24"/>
        </w:rPr>
      </w:pPr>
      <w:r w:rsidRPr="00D96290">
        <w:rPr>
          <w:szCs w:val="24"/>
          <w:u w:val="single"/>
        </w:rPr>
        <w:t>via.</w:t>
      </w:r>
      <w:r>
        <w:rPr>
          <w:szCs w:val="24"/>
          <w:u w:val="single"/>
        </w:rPr>
        <w:tab/>
        <w:t xml:space="preserve">At various times, major unsecured trade creditors threatened legal action against the </w:t>
      </w:r>
      <w:proofErr w:type="spellStart"/>
      <w:r>
        <w:rPr>
          <w:szCs w:val="24"/>
          <w:u w:val="single"/>
        </w:rPr>
        <w:t>Gunns</w:t>
      </w:r>
      <w:proofErr w:type="spellEnd"/>
      <w:r>
        <w:rPr>
          <w:szCs w:val="24"/>
          <w:u w:val="single"/>
        </w:rPr>
        <w:t xml:space="preserve"> Group and/or threatened to issue statutory demands.  Some major unsecured trade creditors ceased and/or threatened to cease the supply of good and/or services to the </w:t>
      </w:r>
      <w:proofErr w:type="spellStart"/>
      <w:r>
        <w:rPr>
          <w:szCs w:val="24"/>
          <w:u w:val="single"/>
        </w:rPr>
        <w:t>Gunns</w:t>
      </w:r>
      <w:proofErr w:type="spellEnd"/>
      <w:r>
        <w:rPr>
          <w:szCs w:val="24"/>
          <w:u w:val="single"/>
        </w:rPr>
        <w:t xml:space="preserve"> Group unless payments were made to reduce overdue debts;</w:t>
      </w:r>
    </w:p>
    <w:p w:rsidR="009725F3" w:rsidRDefault="009725F3" w:rsidP="00017B82">
      <w:pPr>
        <w:pStyle w:val="ListParagraph"/>
        <w:numPr>
          <w:ilvl w:val="0"/>
          <w:numId w:val="28"/>
        </w:numPr>
        <w:tabs>
          <w:tab w:val="left" w:pos="1134"/>
        </w:tabs>
        <w:spacing w:after="240"/>
        <w:ind w:left="737" w:hanging="737"/>
        <w:contextualSpacing w:val="0"/>
        <w:rPr>
          <w:szCs w:val="24"/>
        </w:rPr>
      </w:pPr>
      <w:r w:rsidRPr="00D96290">
        <w:rPr>
          <w:strike/>
          <w:szCs w:val="24"/>
        </w:rPr>
        <w:t>Between January 2012 and June 2012, the guns Group had deficiencies in working capital of at least $500,000 in each of those months, assuming exclusion from current assets of those assets that were held for sale</w:t>
      </w:r>
      <w:r w:rsidRPr="00D96290">
        <w:rPr>
          <w:szCs w:val="24"/>
        </w:rPr>
        <w:t xml:space="preserve"> </w:t>
      </w:r>
      <w:r>
        <w:rPr>
          <w:szCs w:val="24"/>
          <w:u w:val="single"/>
        </w:rPr>
        <w:t xml:space="preserve">Between 31 December 2011 and 31 July 2012, the </w:t>
      </w:r>
      <w:proofErr w:type="spellStart"/>
      <w:r>
        <w:rPr>
          <w:szCs w:val="24"/>
          <w:u w:val="single"/>
        </w:rPr>
        <w:t>Gunns</w:t>
      </w:r>
      <w:proofErr w:type="spellEnd"/>
      <w:r>
        <w:rPr>
          <w:szCs w:val="24"/>
          <w:u w:val="single"/>
        </w:rPr>
        <w:t xml:space="preserve"> Group had a working capital deficiency of between $533 million and $614 million, after adjusting reported balances for overstated carrying values of assets </w:t>
      </w:r>
      <w:r>
        <w:rPr>
          <w:szCs w:val="24"/>
          <w:u w:val="single"/>
        </w:rPr>
        <w:lastRenderedPageBreak/>
        <w:t>held for sale included as current assets, and adjusted for additional provisioning against aged receivables;</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Payments were made out of the central bank account of the </w:t>
      </w:r>
      <w:proofErr w:type="spellStart"/>
      <w:r>
        <w:rPr>
          <w:szCs w:val="24"/>
        </w:rPr>
        <w:t>Gunns</w:t>
      </w:r>
      <w:proofErr w:type="spellEnd"/>
      <w:r>
        <w:rPr>
          <w:szCs w:val="24"/>
        </w:rPr>
        <w:t xml:space="preserve"> Group to the Defendant in rounded sums referred to in paragraph 7 on or around 6 July 2012 and 20 September 2012 respectively;</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From around March 2012 onwards, the </w:t>
      </w:r>
      <w:proofErr w:type="spellStart"/>
      <w:r>
        <w:rPr>
          <w:szCs w:val="24"/>
        </w:rPr>
        <w:t>Gunns</w:t>
      </w:r>
      <w:proofErr w:type="spellEnd"/>
      <w:r>
        <w:rPr>
          <w:szCs w:val="24"/>
        </w:rPr>
        <w:t xml:space="preserve"> Group was unsuccessful in its efforts to obtain further equity investment from existing or prospective shareholders;</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Between January and June 2012, all of the </w:t>
      </w:r>
      <w:proofErr w:type="spellStart"/>
      <w:r>
        <w:rPr>
          <w:szCs w:val="24"/>
        </w:rPr>
        <w:t>Gunns</w:t>
      </w:r>
      <w:proofErr w:type="spellEnd"/>
      <w:r>
        <w:rPr>
          <w:szCs w:val="24"/>
        </w:rPr>
        <w:t xml:space="preserve"> Group’s banking facilities were fully drawn (with the exception of its leasing facility)</w:t>
      </w:r>
      <w:r>
        <w:rPr>
          <w:szCs w:val="24"/>
          <w:u w:val="single"/>
        </w:rPr>
        <w:t xml:space="preserve">, and </w:t>
      </w:r>
      <w:proofErr w:type="spellStart"/>
      <w:r>
        <w:rPr>
          <w:szCs w:val="24"/>
          <w:u w:val="single"/>
        </w:rPr>
        <w:t>Auspine</w:t>
      </w:r>
      <w:proofErr w:type="spellEnd"/>
      <w:r>
        <w:rPr>
          <w:szCs w:val="24"/>
          <w:u w:val="single"/>
        </w:rPr>
        <w:t xml:space="preserve"> Limited (ACN 004 289 730) was, between December 2011 and June 2012, in breach of one of its quarterly borrowing covenants;</w:t>
      </w:r>
    </w:p>
    <w:p w:rsidR="009725F3" w:rsidRDefault="009725F3" w:rsidP="00017B82">
      <w:pPr>
        <w:pStyle w:val="ListParagraph"/>
        <w:numPr>
          <w:ilvl w:val="0"/>
          <w:numId w:val="28"/>
        </w:numPr>
        <w:tabs>
          <w:tab w:val="left" w:pos="1134"/>
        </w:tabs>
        <w:spacing w:after="240"/>
        <w:ind w:left="737" w:hanging="737"/>
        <w:contextualSpacing w:val="0"/>
        <w:rPr>
          <w:szCs w:val="24"/>
        </w:rPr>
      </w:pPr>
      <w:r>
        <w:rPr>
          <w:szCs w:val="24"/>
        </w:rPr>
        <w:t xml:space="preserve">Between 2 May and 12 September 2012, the </w:t>
      </w:r>
      <w:proofErr w:type="spellStart"/>
      <w:r>
        <w:rPr>
          <w:szCs w:val="24"/>
        </w:rPr>
        <w:t>Gunns</w:t>
      </w:r>
      <w:proofErr w:type="spellEnd"/>
      <w:r>
        <w:rPr>
          <w:szCs w:val="24"/>
        </w:rPr>
        <w:t xml:space="preserve"> Group made numerous requests to its lenders for extensions, waivers and compromises of scheduled repayments owing under its banking facilities, which requests were refused or not granted.</w:t>
      </w:r>
    </w:p>
    <w:p w:rsidR="009725F3" w:rsidRDefault="009725F3" w:rsidP="00017B82">
      <w:pPr>
        <w:pStyle w:val="ListParagraph"/>
        <w:numPr>
          <w:ilvl w:val="0"/>
          <w:numId w:val="28"/>
        </w:numPr>
        <w:tabs>
          <w:tab w:val="left" w:pos="1134"/>
        </w:tabs>
        <w:spacing w:after="240"/>
        <w:ind w:left="737" w:hanging="737"/>
        <w:contextualSpacing w:val="0"/>
        <w:rPr>
          <w:szCs w:val="24"/>
        </w:rPr>
      </w:pPr>
      <w:proofErr w:type="spellStart"/>
      <w:r>
        <w:rPr>
          <w:szCs w:val="24"/>
        </w:rPr>
        <w:t>Gunns</w:t>
      </w:r>
      <w:proofErr w:type="spellEnd"/>
      <w:r>
        <w:rPr>
          <w:szCs w:val="24"/>
        </w:rPr>
        <w:t xml:space="preserve"> and a number of other companies within the </w:t>
      </w:r>
      <w:proofErr w:type="spellStart"/>
      <w:r>
        <w:rPr>
          <w:szCs w:val="24"/>
        </w:rPr>
        <w:t>Gunns</w:t>
      </w:r>
      <w:proofErr w:type="spellEnd"/>
      <w:r>
        <w:rPr>
          <w:szCs w:val="24"/>
        </w:rPr>
        <w:t xml:space="preserve"> Group, were party to a Deed of Cross-Guarantee (</w:t>
      </w:r>
      <w:r>
        <w:rPr>
          <w:b/>
          <w:szCs w:val="24"/>
        </w:rPr>
        <w:t>Deed</w:t>
      </w:r>
      <w:r>
        <w:rPr>
          <w:szCs w:val="24"/>
        </w:rPr>
        <w:t>):</w:t>
      </w:r>
    </w:p>
    <w:p w:rsidR="009725F3" w:rsidRDefault="009725F3" w:rsidP="00017B82">
      <w:pPr>
        <w:pStyle w:val="ListParagraph"/>
        <w:numPr>
          <w:ilvl w:val="0"/>
          <w:numId w:val="29"/>
        </w:numPr>
        <w:spacing w:after="240"/>
        <w:ind w:left="1474" w:hanging="737"/>
        <w:contextualSpacing w:val="0"/>
        <w:rPr>
          <w:szCs w:val="24"/>
        </w:rPr>
      </w:pPr>
      <w:r>
        <w:rPr>
          <w:szCs w:val="24"/>
        </w:rPr>
        <w:t>The Deed was in writing;</w:t>
      </w:r>
    </w:p>
    <w:p w:rsidR="009725F3" w:rsidRDefault="009725F3" w:rsidP="00017B82">
      <w:pPr>
        <w:pStyle w:val="ListParagraph"/>
        <w:numPr>
          <w:ilvl w:val="0"/>
          <w:numId w:val="29"/>
        </w:numPr>
        <w:spacing w:after="240"/>
        <w:ind w:left="1474" w:hanging="737"/>
        <w:contextualSpacing w:val="0"/>
        <w:rPr>
          <w:szCs w:val="24"/>
        </w:rPr>
      </w:pPr>
      <w:r>
        <w:rPr>
          <w:szCs w:val="24"/>
        </w:rPr>
        <w:t>The Deed contained express terms to the effect that each of the parties to the Deed guaranteed the debts of each of the other parties to the Deed in the event of the winding up of one of those parties pursuant to certain provisions of the Act; and</w:t>
      </w:r>
    </w:p>
    <w:p w:rsidR="009725F3" w:rsidRDefault="009725F3" w:rsidP="00017B82">
      <w:pPr>
        <w:pStyle w:val="ListParagraph"/>
        <w:numPr>
          <w:ilvl w:val="0"/>
          <w:numId w:val="29"/>
        </w:numPr>
        <w:spacing w:after="240"/>
        <w:ind w:left="1474" w:hanging="737"/>
        <w:contextualSpacing w:val="0"/>
        <w:rPr>
          <w:szCs w:val="24"/>
        </w:rPr>
      </w:pPr>
      <w:r>
        <w:rPr>
          <w:szCs w:val="24"/>
        </w:rPr>
        <w:t>The Plaintiffs will refer to the Deed at trial for its full terms and effect.</w:t>
      </w:r>
    </w:p>
    <w:p w:rsidR="009725F3" w:rsidRDefault="009725F3" w:rsidP="009725F3">
      <w:pPr>
        <w:tabs>
          <w:tab w:val="left" w:pos="1134"/>
        </w:tabs>
        <w:spacing w:after="240"/>
        <w:ind w:left="737"/>
        <w:rPr>
          <w:szCs w:val="24"/>
        </w:rPr>
      </w:pPr>
      <w:r w:rsidRPr="00D96290">
        <w:rPr>
          <w:szCs w:val="24"/>
          <w:u w:val="single"/>
        </w:rPr>
        <w:t>The Plaintiffs refer generally to the expert report of Mr George Georges dated 12 February 2016.</w:t>
      </w:r>
    </w:p>
    <w:p w:rsidR="009725F3" w:rsidRDefault="009725F3" w:rsidP="009725F3">
      <w:pPr>
        <w:tabs>
          <w:tab w:val="left" w:pos="1134"/>
        </w:tabs>
        <w:spacing w:after="240"/>
        <w:ind w:left="737"/>
        <w:rPr>
          <w:szCs w:val="24"/>
        </w:rPr>
      </w:pPr>
      <w:r>
        <w:rPr>
          <w:szCs w:val="24"/>
        </w:rPr>
        <w:t>A copy of the Deed is in the possession of the solicitor for the Plaintiffs and may be inspected by appointment during ordinary business hours.</w:t>
      </w:r>
    </w:p>
    <w:p w:rsidR="009725F3" w:rsidRPr="00A04E62" w:rsidRDefault="009725F3" w:rsidP="00A04E62">
      <w:pPr>
        <w:tabs>
          <w:tab w:val="left" w:pos="1134"/>
        </w:tabs>
        <w:spacing w:after="240"/>
        <w:ind w:left="737"/>
        <w:rPr>
          <w:szCs w:val="24"/>
        </w:rPr>
      </w:pPr>
      <w:r>
        <w:rPr>
          <w:szCs w:val="24"/>
        </w:rPr>
        <w:t>Further particulars may be provided prior to trial.</w:t>
      </w:r>
    </w:p>
    <w:sectPr w:rsidR="009725F3" w:rsidRPr="00A04E62">
      <w:headerReference w:type="even" r:id="rId21"/>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13" w:rsidRDefault="006C5E13">
      <w:pPr>
        <w:spacing w:line="20" w:lineRule="exact"/>
      </w:pPr>
    </w:p>
    <w:p w:rsidR="006C5E13" w:rsidRDefault="006C5E13"/>
    <w:p w:rsidR="006C5E13" w:rsidRDefault="006C5E13"/>
  </w:endnote>
  <w:endnote w:type="continuationSeparator" w:id="0">
    <w:p w:rsidR="006C5E13" w:rsidRDefault="006C5E13">
      <w:r>
        <w:t xml:space="preserve"> </w:t>
      </w:r>
    </w:p>
    <w:p w:rsidR="006C5E13" w:rsidRDefault="006C5E13"/>
    <w:p w:rsidR="006C5E13" w:rsidRDefault="006C5E13"/>
  </w:endnote>
  <w:endnote w:type="continuationNotice" w:id="1">
    <w:p w:rsidR="006C5E13" w:rsidRDefault="006C5E13">
      <w:r>
        <w:t xml:space="preserve"> </w:t>
      </w:r>
    </w:p>
    <w:p w:rsidR="006C5E13" w:rsidRDefault="006C5E13"/>
    <w:p w:rsidR="006C5E13" w:rsidRDefault="006C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Pr="00624520" w:rsidRDefault="006C5E13" w:rsidP="00624520">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13" w:rsidRDefault="006C5E13"/>
    <w:p w:rsidR="006C5E13" w:rsidRDefault="006C5E13"/>
    <w:p w:rsidR="006C5E13" w:rsidRDefault="006C5E13"/>
  </w:footnote>
  <w:footnote w:type="continuationSeparator" w:id="0">
    <w:p w:rsidR="006C5E13" w:rsidRDefault="006C5E13">
      <w:r>
        <w:continuationSeparator/>
      </w:r>
    </w:p>
    <w:p w:rsidR="006C5E13" w:rsidRDefault="006C5E13"/>
    <w:p w:rsidR="006C5E13" w:rsidRDefault="006C5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tabs>
        <w:tab w:val="center" w:pos="4512"/>
      </w:tabs>
      <w:suppressAutoHyphens/>
    </w:pPr>
    <w:r>
      <w:tab/>
      <w:t xml:space="preserve">- </w:t>
    </w:r>
    <w:r>
      <w:fldChar w:fldCharType="begin"/>
    </w:r>
    <w:r>
      <w:instrText xml:space="preserve"> PAGE   \* MERGEFORMAT </w:instrText>
    </w:r>
    <w:r>
      <w:fldChar w:fldCharType="separate"/>
    </w:r>
    <w:r w:rsidR="00017B82">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tabs>
        <w:tab w:val="center" w:pos="4512"/>
      </w:tabs>
      <w:suppressAutoHyphens/>
    </w:pPr>
    <w:r>
      <w:tab/>
      <w:t xml:space="preserve">- </w:t>
    </w:r>
    <w:r>
      <w:fldChar w:fldCharType="begin"/>
    </w:r>
    <w:r>
      <w:instrText xml:space="preserve"> PAGE   \* MERGEFORMAT </w:instrText>
    </w:r>
    <w:r>
      <w:fldChar w:fldCharType="separate"/>
    </w:r>
    <w:r w:rsidR="00017B82">
      <w:rPr>
        <w:noProof/>
      </w:rPr>
      <w:t>2</w:t>
    </w:r>
    <w:r>
      <w:rPr>
        <w:noProof/>
      </w:rP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pStyle w:val="Header"/>
      <w:tabs>
        <w:tab w:val="clear" w:pos="4320"/>
        <w:tab w:val="clear"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tabs>
        <w:tab w:val="center" w:pos="4512"/>
      </w:tabs>
      <w:suppressAutoHyphens/>
    </w:pPr>
    <w:r>
      <w:tab/>
      <w:t xml:space="preserve">- </w:t>
    </w:r>
    <w:r>
      <w:fldChar w:fldCharType="begin"/>
    </w:r>
    <w:r>
      <w:instrText xml:space="preserve"> PAGE   \* MERGEFORMAT </w:instrText>
    </w:r>
    <w:r>
      <w:fldChar w:fldCharType="separate"/>
    </w:r>
    <w:r w:rsidR="00017B82">
      <w:rPr>
        <w:noProof/>
      </w:rPr>
      <w:t>ii</w:t>
    </w:r>
    <w:r>
      <w:rPr>
        <w:noProof/>
      </w:rP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pStyle w:val="Header"/>
      <w:tabs>
        <w:tab w:val="clear" w:pos="4320"/>
        <w:tab w:val="clear" w:pos="864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tabs>
        <w:tab w:val="center" w:pos="4512"/>
      </w:tabs>
      <w:suppressAutoHyphens/>
    </w:pPr>
    <w:r>
      <w:tab/>
      <w:t xml:space="preserve">- </w:t>
    </w:r>
    <w:r>
      <w:fldChar w:fldCharType="begin"/>
    </w:r>
    <w:r>
      <w:instrText>page \* arabic</w:instrText>
    </w:r>
    <w:r>
      <w:fldChar w:fldCharType="separate"/>
    </w:r>
    <w:r w:rsidR="00017B82">
      <w:rPr>
        <w:noProof/>
      </w:rPr>
      <w:t>44</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3" w:rsidRDefault="006C5E1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5AA20E7"/>
    <w:multiLevelType w:val="hybridMultilevel"/>
    <w:tmpl w:val="99F617F8"/>
    <w:lvl w:ilvl="0" w:tplc="7E5045E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293217FC"/>
    <w:multiLevelType w:val="hybridMultilevel"/>
    <w:tmpl w:val="C2B8A298"/>
    <w:lvl w:ilvl="0" w:tplc="BF4EAAC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16B7239"/>
    <w:multiLevelType w:val="hybridMultilevel"/>
    <w:tmpl w:val="C268B92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5D9628F"/>
    <w:multiLevelType w:val="hybridMultilevel"/>
    <w:tmpl w:val="35EE6E00"/>
    <w:lvl w:ilvl="0" w:tplc="BBA2AD4E">
      <w:start w:val="1"/>
      <w:numFmt w:val="lowerLetter"/>
      <w:lvlText w:val="(%1)"/>
      <w:lvlJc w:val="left"/>
      <w:pPr>
        <w:ind w:left="1636" w:hanging="360"/>
      </w:pPr>
      <w:rPr>
        <w:rFonts w:ascii="Times New Roman" w:hAnsi="Times New Roman" w:cs="Times New Roman" w:hint="default"/>
        <w:sz w:val="22"/>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2"/>
  </w:num>
  <w:num w:numId="18">
    <w:abstractNumId w:val="23"/>
  </w:num>
  <w:num w:numId="19">
    <w:abstractNumId w:val="10"/>
  </w:num>
  <w:num w:numId="20">
    <w:abstractNumId w:val="17"/>
  </w:num>
  <w:num w:numId="21">
    <w:abstractNumId w:val="16"/>
  </w:num>
  <w:num w:numId="22">
    <w:abstractNumId w:val="16"/>
  </w:num>
  <w:num w:numId="23">
    <w:abstractNumId w:val="19"/>
  </w:num>
  <w:num w:numId="24">
    <w:abstractNumId w:val="24"/>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 w:numId="29">
    <w:abstractNumId w:val="14"/>
  </w:num>
  <w:num w:numId="30">
    <w:abstractNumId w:val="15"/>
    <w:lvlOverride w:ilvl="0">
      <w:startOverride w:val="1"/>
    </w:lvlOverride>
  </w:num>
  <w:num w:numId="31">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L V DOHNT &amp; CO PTY LIMITED"/>
    <w:docVar w:name="Defenders" w:val="(and another named in the Schedule)"/>
    <w:docVar w:name="Division" w:val="General Division"/>
    <w:docVar w:name="DocCreated" w:val="True"/>
    <w:docVar w:name="FileNumbers" w:val="SAD 334 of 2015"/>
    <w:docVar w:name="HearingDate" w:val="27-28 November 2017 "/>
    <w:docVar w:name="Initiators" w:val="(and another named in the Schedule)"/>
    <w:docVar w:name="InTheMatterOf" w:val="GUNNS LIMITED (IN LIQUIDATION) (RECEIVERS &amp; MANAGERS APPOINTED) (ACN 009 478 148)"/>
    <w:docVar w:name="Judgdate" w:val="6 March 2018"/>
    <w:docVar w:name="Judge" w:val="DAVIES"/>
    <w:docVar w:name="Justices" w:val="Justice"/>
    <w:docVar w:name="lstEntryList" w:val="-1"/>
    <w:docVar w:name="myEntryList" w:val="Counsel for the Plaintiff=Mr M Hoffmann QC with Mr B Gibson|Solicitor for the Plaintiff=Johnson Winter &amp; Slattery Lawyers |Counsel for the First Defendant=Mr TW Cox SC with Mr BJ Doyle |Solicitor for the First Defendant=Minter Ellison|Counsel for the Second Defendant=Mr M De Kerloy|Solicitor for the Second Defendant=Mony De Kerloy Barristers &amp; Solicitors "/>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DANIEL MATHEW BRYANT, IAN MENZIES CARSON AND CRAIG DAVID CROSBIE in their capacities as joint and several liquidators of GUNNS LIMITED (IN LIQUIDATION) RECEIVERS &amp; MANAGERS APPOINTED) (ACN 009 478 148)"/>
    <w:docVar w:name="PracticeArea" w:val="[none]"/>
    <w:docVar w:name="RESAndAnother" w:val="True"/>
    <w:docVar w:name="RESAndOthers" w:val="False"/>
    <w:docVar w:name="ResState" w:val="South Australia"/>
    <w:docVar w:name="SubArea" w:val="[none]"/>
  </w:docVars>
  <w:rsids>
    <w:rsidRoot w:val="00F00F0F"/>
    <w:rsid w:val="000023C2"/>
    <w:rsid w:val="000122EB"/>
    <w:rsid w:val="00013C19"/>
    <w:rsid w:val="0001469E"/>
    <w:rsid w:val="000158F1"/>
    <w:rsid w:val="00015993"/>
    <w:rsid w:val="00017B82"/>
    <w:rsid w:val="00022289"/>
    <w:rsid w:val="00027A10"/>
    <w:rsid w:val="00032F9F"/>
    <w:rsid w:val="00036D31"/>
    <w:rsid w:val="00041C07"/>
    <w:rsid w:val="00043D3D"/>
    <w:rsid w:val="00045BB7"/>
    <w:rsid w:val="0005276C"/>
    <w:rsid w:val="000535CE"/>
    <w:rsid w:val="00055719"/>
    <w:rsid w:val="0005641B"/>
    <w:rsid w:val="000747A8"/>
    <w:rsid w:val="00081497"/>
    <w:rsid w:val="00091F20"/>
    <w:rsid w:val="000957C1"/>
    <w:rsid w:val="000969A4"/>
    <w:rsid w:val="00097D9A"/>
    <w:rsid w:val="000A2E76"/>
    <w:rsid w:val="000A4538"/>
    <w:rsid w:val="000A4807"/>
    <w:rsid w:val="000A4959"/>
    <w:rsid w:val="000A4BE4"/>
    <w:rsid w:val="000B06BE"/>
    <w:rsid w:val="000B7A39"/>
    <w:rsid w:val="000C023E"/>
    <w:rsid w:val="000C5195"/>
    <w:rsid w:val="000C62EF"/>
    <w:rsid w:val="000C7FE3"/>
    <w:rsid w:val="000D127B"/>
    <w:rsid w:val="000D2137"/>
    <w:rsid w:val="000D3FD2"/>
    <w:rsid w:val="000D52BE"/>
    <w:rsid w:val="000D53A5"/>
    <w:rsid w:val="000D5AD9"/>
    <w:rsid w:val="000D7A65"/>
    <w:rsid w:val="000E07F4"/>
    <w:rsid w:val="000E6454"/>
    <w:rsid w:val="000E7BAE"/>
    <w:rsid w:val="000F133D"/>
    <w:rsid w:val="00100173"/>
    <w:rsid w:val="00105288"/>
    <w:rsid w:val="0010536B"/>
    <w:rsid w:val="001057F7"/>
    <w:rsid w:val="00110C52"/>
    <w:rsid w:val="0011145C"/>
    <w:rsid w:val="001128BD"/>
    <w:rsid w:val="0011419D"/>
    <w:rsid w:val="0011423B"/>
    <w:rsid w:val="00126903"/>
    <w:rsid w:val="00127156"/>
    <w:rsid w:val="00127781"/>
    <w:rsid w:val="00132054"/>
    <w:rsid w:val="00132F91"/>
    <w:rsid w:val="00134F40"/>
    <w:rsid w:val="00140CEE"/>
    <w:rsid w:val="00140E7D"/>
    <w:rsid w:val="001428A7"/>
    <w:rsid w:val="00150B54"/>
    <w:rsid w:val="001515F1"/>
    <w:rsid w:val="001577DA"/>
    <w:rsid w:val="00160DBE"/>
    <w:rsid w:val="00161D4A"/>
    <w:rsid w:val="00162000"/>
    <w:rsid w:val="001648A2"/>
    <w:rsid w:val="0016652A"/>
    <w:rsid w:val="001676E4"/>
    <w:rsid w:val="00167DA1"/>
    <w:rsid w:val="00171C89"/>
    <w:rsid w:val="001727A4"/>
    <w:rsid w:val="0017376C"/>
    <w:rsid w:val="001738AB"/>
    <w:rsid w:val="001765E0"/>
    <w:rsid w:val="00177562"/>
    <w:rsid w:val="00177759"/>
    <w:rsid w:val="001820D8"/>
    <w:rsid w:val="00185E6B"/>
    <w:rsid w:val="00187BBC"/>
    <w:rsid w:val="001932F3"/>
    <w:rsid w:val="00195972"/>
    <w:rsid w:val="00195B50"/>
    <w:rsid w:val="00196D39"/>
    <w:rsid w:val="001A0E95"/>
    <w:rsid w:val="001A4309"/>
    <w:rsid w:val="001B032D"/>
    <w:rsid w:val="001B1053"/>
    <w:rsid w:val="001B14AC"/>
    <w:rsid w:val="001B3070"/>
    <w:rsid w:val="001B7940"/>
    <w:rsid w:val="001C37CA"/>
    <w:rsid w:val="001C3AEA"/>
    <w:rsid w:val="001C708D"/>
    <w:rsid w:val="001C7472"/>
    <w:rsid w:val="001D4303"/>
    <w:rsid w:val="001D6746"/>
    <w:rsid w:val="001D73CB"/>
    <w:rsid w:val="001E3B49"/>
    <w:rsid w:val="001E632B"/>
    <w:rsid w:val="001E6B3B"/>
    <w:rsid w:val="001E7388"/>
    <w:rsid w:val="001F13DD"/>
    <w:rsid w:val="001F2DBC"/>
    <w:rsid w:val="0020262C"/>
    <w:rsid w:val="0021614A"/>
    <w:rsid w:val="002176B0"/>
    <w:rsid w:val="00224537"/>
    <w:rsid w:val="00226E4E"/>
    <w:rsid w:val="00226E9D"/>
    <w:rsid w:val="00234EC4"/>
    <w:rsid w:val="00235956"/>
    <w:rsid w:val="00237AF5"/>
    <w:rsid w:val="00242C87"/>
    <w:rsid w:val="00242CF2"/>
    <w:rsid w:val="002439C8"/>
    <w:rsid w:val="00244231"/>
    <w:rsid w:val="00246ED7"/>
    <w:rsid w:val="0024790B"/>
    <w:rsid w:val="00247C9A"/>
    <w:rsid w:val="0025160C"/>
    <w:rsid w:val="00252EE5"/>
    <w:rsid w:val="0025330C"/>
    <w:rsid w:val="002535D0"/>
    <w:rsid w:val="002539B3"/>
    <w:rsid w:val="002547AA"/>
    <w:rsid w:val="00255BC8"/>
    <w:rsid w:val="00256D9C"/>
    <w:rsid w:val="002575EF"/>
    <w:rsid w:val="00257C3E"/>
    <w:rsid w:val="002602C2"/>
    <w:rsid w:val="002609AA"/>
    <w:rsid w:val="00260B91"/>
    <w:rsid w:val="00261191"/>
    <w:rsid w:val="00262DF8"/>
    <w:rsid w:val="002630E2"/>
    <w:rsid w:val="002666C9"/>
    <w:rsid w:val="00270136"/>
    <w:rsid w:val="00274F5B"/>
    <w:rsid w:val="00275E41"/>
    <w:rsid w:val="002769C8"/>
    <w:rsid w:val="00277C71"/>
    <w:rsid w:val="00280836"/>
    <w:rsid w:val="00282E1A"/>
    <w:rsid w:val="00283431"/>
    <w:rsid w:val="002851B1"/>
    <w:rsid w:val="0028779E"/>
    <w:rsid w:val="0029113B"/>
    <w:rsid w:val="00291E80"/>
    <w:rsid w:val="00293395"/>
    <w:rsid w:val="002934C0"/>
    <w:rsid w:val="00297433"/>
    <w:rsid w:val="00297FA6"/>
    <w:rsid w:val="002A1B50"/>
    <w:rsid w:val="002A2B30"/>
    <w:rsid w:val="002A3EC1"/>
    <w:rsid w:val="002A4E8A"/>
    <w:rsid w:val="002A6321"/>
    <w:rsid w:val="002A6D32"/>
    <w:rsid w:val="002A6F3F"/>
    <w:rsid w:val="002B0E91"/>
    <w:rsid w:val="002B3A61"/>
    <w:rsid w:val="002B6779"/>
    <w:rsid w:val="002B6D36"/>
    <w:rsid w:val="002B71C0"/>
    <w:rsid w:val="002B7A34"/>
    <w:rsid w:val="002C017D"/>
    <w:rsid w:val="002C0A22"/>
    <w:rsid w:val="002C31AD"/>
    <w:rsid w:val="002C39C4"/>
    <w:rsid w:val="002C7385"/>
    <w:rsid w:val="002D160C"/>
    <w:rsid w:val="002D1646"/>
    <w:rsid w:val="002D25B4"/>
    <w:rsid w:val="002D2CD2"/>
    <w:rsid w:val="002D2DBB"/>
    <w:rsid w:val="002D4F09"/>
    <w:rsid w:val="002D54A6"/>
    <w:rsid w:val="002D5EBA"/>
    <w:rsid w:val="002E3084"/>
    <w:rsid w:val="002E4645"/>
    <w:rsid w:val="002E6A7A"/>
    <w:rsid w:val="002F1E49"/>
    <w:rsid w:val="002F3278"/>
    <w:rsid w:val="002F4E9C"/>
    <w:rsid w:val="00303749"/>
    <w:rsid w:val="00305610"/>
    <w:rsid w:val="003073DE"/>
    <w:rsid w:val="00307C23"/>
    <w:rsid w:val="0031256C"/>
    <w:rsid w:val="00313C70"/>
    <w:rsid w:val="003148CB"/>
    <w:rsid w:val="00314D6C"/>
    <w:rsid w:val="00316D2A"/>
    <w:rsid w:val="00316F1F"/>
    <w:rsid w:val="00317CA5"/>
    <w:rsid w:val="00321907"/>
    <w:rsid w:val="00322A7C"/>
    <w:rsid w:val="003240CD"/>
    <w:rsid w:val="00326A8D"/>
    <w:rsid w:val="00335655"/>
    <w:rsid w:val="00337800"/>
    <w:rsid w:val="003402D3"/>
    <w:rsid w:val="00343ABC"/>
    <w:rsid w:val="003463FE"/>
    <w:rsid w:val="003466FE"/>
    <w:rsid w:val="003542C8"/>
    <w:rsid w:val="00354359"/>
    <w:rsid w:val="003554B3"/>
    <w:rsid w:val="00356632"/>
    <w:rsid w:val="003574F1"/>
    <w:rsid w:val="003614E7"/>
    <w:rsid w:val="0036662A"/>
    <w:rsid w:val="00370A6D"/>
    <w:rsid w:val="00371ABD"/>
    <w:rsid w:val="003845A9"/>
    <w:rsid w:val="00390883"/>
    <w:rsid w:val="003922F8"/>
    <w:rsid w:val="003925D3"/>
    <w:rsid w:val="00394308"/>
    <w:rsid w:val="00395B24"/>
    <w:rsid w:val="003A2D38"/>
    <w:rsid w:val="003A7ECC"/>
    <w:rsid w:val="003B12D1"/>
    <w:rsid w:val="003B2C72"/>
    <w:rsid w:val="003B6C18"/>
    <w:rsid w:val="003C0881"/>
    <w:rsid w:val="003C1333"/>
    <w:rsid w:val="003C20FF"/>
    <w:rsid w:val="003C2CD2"/>
    <w:rsid w:val="003C77FC"/>
    <w:rsid w:val="003D0309"/>
    <w:rsid w:val="003D2650"/>
    <w:rsid w:val="003D560C"/>
    <w:rsid w:val="003E5874"/>
    <w:rsid w:val="003F105D"/>
    <w:rsid w:val="003F193E"/>
    <w:rsid w:val="003F2215"/>
    <w:rsid w:val="003F34F1"/>
    <w:rsid w:val="003F39A6"/>
    <w:rsid w:val="00400D57"/>
    <w:rsid w:val="004037DB"/>
    <w:rsid w:val="00404B3D"/>
    <w:rsid w:val="00404DEF"/>
    <w:rsid w:val="00406836"/>
    <w:rsid w:val="00407CD4"/>
    <w:rsid w:val="00411AE8"/>
    <w:rsid w:val="00411BBE"/>
    <w:rsid w:val="00411C73"/>
    <w:rsid w:val="00413B74"/>
    <w:rsid w:val="00413D89"/>
    <w:rsid w:val="00414CFD"/>
    <w:rsid w:val="0041588B"/>
    <w:rsid w:val="004176A8"/>
    <w:rsid w:val="0042059F"/>
    <w:rsid w:val="00424EA0"/>
    <w:rsid w:val="00426F16"/>
    <w:rsid w:val="00430424"/>
    <w:rsid w:val="00435288"/>
    <w:rsid w:val="00435C5F"/>
    <w:rsid w:val="00435F5A"/>
    <w:rsid w:val="00441E98"/>
    <w:rsid w:val="00441EC2"/>
    <w:rsid w:val="004424F8"/>
    <w:rsid w:val="00445DE7"/>
    <w:rsid w:val="00447CA1"/>
    <w:rsid w:val="00451177"/>
    <w:rsid w:val="004515A7"/>
    <w:rsid w:val="004532F7"/>
    <w:rsid w:val="004576C2"/>
    <w:rsid w:val="00460B29"/>
    <w:rsid w:val="004625B2"/>
    <w:rsid w:val="00462755"/>
    <w:rsid w:val="0046388B"/>
    <w:rsid w:val="00467FF8"/>
    <w:rsid w:val="00472027"/>
    <w:rsid w:val="00472290"/>
    <w:rsid w:val="004738D1"/>
    <w:rsid w:val="004758CC"/>
    <w:rsid w:val="004804CF"/>
    <w:rsid w:val="004807F9"/>
    <w:rsid w:val="004835C5"/>
    <w:rsid w:val="00484962"/>
    <w:rsid w:val="00484F6D"/>
    <w:rsid w:val="00485243"/>
    <w:rsid w:val="00490542"/>
    <w:rsid w:val="0049338A"/>
    <w:rsid w:val="0049417F"/>
    <w:rsid w:val="004A32A4"/>
    <w:rsid w:val="004A6588"/>
    <w:rsid w:val="004B0C8B"/>
    <w:rsid w:val="004B14F1"/>
    <w:rsid w:val="004B3EFA"/>
    <w:rsid w:val="004B57B1"/>
    <w:rsid w:val="004B7A0F"/>
    <w:rsid w:val="004C2A87"/>
    <w:rsid w:val="004C4ED3"/>
    <w:rsid w:val="004C62DE"/>
    <w:rsid w:val="004C79A0"/>
    <w:rsid w:val="004D2EA5"/>
    <w:rsid w:val="004D32A6"/>
    <w:rsid w:val="004D53E5"/>
    <w:rsid w:val="004D55CA"/>
    <w:rsid w:val="004D68B0"/>
    <w:rsid w:val="004E1E56"/>
    <w:rsid w:val="004F6E7B"/>
    <w:rsid w:val="004F7BA8"/>
    <w:rsid w:val="00501A12"/>
    <w:rsid w:val="00503703"/>
    <w:rsid w:val="00503F58"/>
    <w:rsid w:val="005049C5"/>
    <w:rsid w:val="0050654A"/>
    <w:rsid w:val="00506A1A"/>
    <w:rsid w:val="005118D3"/>
    <w:rsid w:val="0051346D"/>
    <w:rsid w:val="00513EAE"/>
    <w:rsid w:val="00516806"/>
    <w:rsid w:val="00525A49"/>
    <w:rsid w:val="0052671A"/>
    <w:rsid w:val="005319C5"/>
    <w:rsid w:val="005322EB"/>
    <w:rsid w:val="00535144"/>
    <w:rsid w:val="00535613"/>
    <w:rsid w:val="005359EB"/>
    <w:rsid w:val="00540C2D"/>
    <w:rsid w:val="0054254A"/>
    <w:rsid w:val="00542ACA"/>
    <w:rsid w:val="00543A02"/>
    <w:rsid w:val="005466B5"/>
    <w:rsid w:val="00555E44"/>
    <w:rsid w:val="00556D15"/>
    <w:rsid w:val="00556EA9"/>
    <w:rsid w:val="00557D2B"/>
    <w:rsid w:val="005629B3"/>
    <w:rsid w:val="005678EB"/>
    <w:rsid w:val="00571151"/>
    <w:rsid w:val="00573AC4"/>
    <w:rsid w:val="005745FB"/>
    <w:rsid w:val="00575B68"/>
    <w:rsid w:val="00576C72"/>
    <w:rsid w:val="005801FC"/>
    <w:rsid w:val="0058364C"/>
    <w:rsid w:val="005836CC"/>
    <w:rsid w:val="0059095C"/>
    <w:rsid w:val="00592A4D"/>
    <w:rsid w:val="00594827"/>
    <w:rsid w:val="00595016"/>
    <w:rsid w:val="00597AAE"/>
    <w:rsid w:val="005A222C"/>
    <w:rsid w:val="005A4009"/>
    <w:rsid w:val="005A4257"/>
    <w:rsid w:val="005A4CA3"/>
    <w:rsid w:val="005A4DF8"/>
    <w:rsid w:val="005A504F"/>
    <w:rsid w:val="005B1426"/>
    <w:rsid w:val="005B2E66"/>
    <w:rsid w:val="005C0709"/>
    <w:rsid w:val="005C0A8E"/>
    <w:rsid w:val="005C1767"/>
    <w:rsid w:val="005C42EF"/>
    <w:rsid w:val="005C7451"/>
    <w:rsid w:val="005D7A28"/>
    <w:rsid w:val="005E02F5"/>
    <w:rsid w:val="005E0510"/>
    <w:rsid w:val="005E176E"/>
    <w:rsid w:val="005E1D6B"/>
    <w:rsid w:val="005E218E"/>
    <w:rsid w:val="005E22BE"/>
    <w:rsid w:val="005E35A0"/>
    <w:rsid w:val="005E414F"/>
    <w:rsid w:val="005F0D1B"/>
    <w:rsid w:val="005F1865"/>
    <w:rsid w:val="005F5C83"/>
    <w:rsid w:val="005F6F65"/>
    <w:rsid w:val="005F72AE"/>
    <w:rsid w:val="006007BD"/>
    <w:rsid w:val="006013C8"/>
    <w:rsid w:val="0060270D"/>
    <w:rsid w:val="00604611"/>
    <w:rsid w:val="00611586"/>
    <w:rsid w:val="00611B85"/>
    <w:rsid w:val="00612CCB"/>
    <w:rsid w:val="00617086"/>
    <w:rsid w:val="00617610"/>
    <w:rsid w:val="00621887"/>
    <w:rsid w:val="006234E3"/>
    <w:rsid w:val="00624520"/>
    <w:rsid w:val="00631578"/>
    <w:rsid w:val="006319E3"/>
    <w:rsid w:val="00632BB7"/>
    <w:rsid w:val="00633969"/>
    <w:rsid w:val="00634E45"/>
    <w:rsid w:val="00635B36"/>
    <w:rsid w:val="00636871"/>
    <w:rsid w:val="00640F4E"/>
    <w:rsid w:val="00643A0B"/>
    <w:rsid w:val="00643DE0"/>
    <w:rsid w:val="00644E85"/>
    <w:rsid w:val="0065532B"/>
    <w:rsid w:val="00656FC3"/>
    <w:rsid w:val="0066063F"/>
    <w:rsid w:val="00662BB0"/>
    <w:rsid w:val="00663878"/>
    <w:rsid w:val="0066414B"/>
    <w:rsid w:val="00667773"/>
    <w:rsid w:val="0067028E"/>
    <w:rsid w:val="00670743"/>
    <w:rsid w:val="00683360"/>
    <w:rsid w:val="00687208"/>
    <w:rsid w:val="00690EE2"/>
    <w:rsid w:val="0069460F"/>
    <w:rsid w:val="00697BCD"/>
    <w:rsid w:val="006A0E20"/>
    <w:rsid w:val="006A5695"/>
    <w:rsid w:val="006B079D"/>
    <w:rsid w:val="006B2214"/>
    <w:rsid w:val="006B2300"/>
    <w:rsid w:val="006B2EFA"/>
    <w:rsid w:val="006B3904"/>
    <w:rsid w:val="006B5966"/>
    <w:rsid w:val="006B5B7D"/>
    <w:rsid w:val="006B687A"/>
    <w:rsid w:val="006B7F5C"/>
    <w:rsid w:val="006C1960"/>
    <w:rsid w:val="006C5E13"/>
    <w:rsid w:val="006D0611"/>
    <w:rsid w:val="006D0ECF"/>
    <w:rsid w:val="006D101C"/>
    <w:rsid w:val="006D1AF1"/>
    <w:rsid w:val="006D4C92"/>
    <w:rsid w:val="006D4EB6"/>
    <w:rsid w:val="006D5B54"/>
    <w:rsid w:val="006D724A"/>
    <w:rsid w:val="006E1F4B"/>
    <w:rsid w:val="006E35BF"/>
    <w:rsid w:val="006E5EDD"/>
    <w:rsid w:val="006E7850"/>
    <w:rsid w:val="006F331B"/>
    <w:rsid w:val="007028D9"/>
    <w:rsid w:val="00702D33"/>
    <w:rsid w:val="007030C1"/>
    <w:rsid w:val="00707218"/>
    <w:rsid w:val="00707993"/>
    <w:rsid w:val="00712B1D"/>
    <w:rsid w:val="00715F90"/>
    <w:rsid w:val="00717613"/>
    <w:rsid w:val="00720157"/>
    <w:rsid w:val="00725624"/>
    <w:rsid w:val="007325D9"/>
    <w:rsid w:val="00732B37"/>
    <w:rsid w:val="00732B93"/>
    <w:rsid w:val="00733244"/>
    <w:rsid w:val="0073499F"/>
    <w:rsid w:val="0073584E"/>
    <w:rsid w:val="007360CA"/>
    <w:rsid w:val="007369CA"/>
    <w:rsid w:val="00744480"/>
    <w:rsid w:val="0074549E"/>
    <w:rsid w:val="00753406"/>
    <w:rsid w:val="007609EE"/>
    <w:rsid w:val="00764997"/>
    <w:rsid w:val="0078003A"/>
    <w:rsid w:val="00780771"/>
    <w:rsid w:val="00781EE7"/>
    <w:rsid w:val="00784C57"/>
    <w:rsid w:val="00786CA9"/>
    <w:rsid w:val="007910DF"/>
    <w:rsid w:val="0079197A"/>
    <w:rsid w:val="007929CF"/>
    <w:rsid w:val="007943FE"/>
    <w:rsid w:val="00794E83"/>
    <w:rsid w:val="00795356"/>
    <w:rsid w:val="007975FE"/>
    <w:rsid w:val="007A2732"/>
    <w:rsid w:val="007A2C51"/>
    <w:rsid w:val="007A3E71"/>
    <w:rsid w:val="007A454E"/>
    <w:rsid w:val="007A6F28"/>
    <w:rsid w:val="007B03C6"/>
    <w:rsid w:val="007B0725"/>
    <w:rsid w:val="007B0DB1"/>
    <w:rsid w:val="007B3DA7"/>
    <w:rsid w:val="007B47AD"/>
    <w:rsid w:val="007B669B"/>
    <w:rsid w:val="007C2C05"/>
    <w:rsid w:val="007C6F78"/>
    <w:rsid w:val="007D2EF8"/>
    <w:rsid w:val="007D561F"/>
    <w:rsid w:val="007D6F76"/>
    <w:rsid w:val="007D7FCF"/>
    <w:rsid w:val="007D7FD2"/>
    <w:rsid w:val="007E13D9"/>
    <w:rsid w:val="007E2D45"/>
    <w:rsid w:val="007E4DB6"/>
    <w:rsid w:val="007E7CD4"/>
    <w:rsid w:val="007F1459"/>
    <w:rsid w:val="007F3E6F"/>
    <w:rsid w:val="007F5FB2"/>
    <w:rsid w:val="00801800"/>
    <w:rsid w:val="00801B5B"/>
    <w:rsid w:val="00802648"/>
    <w:rsid w:val="008037C7"/>
    <w:rsid w:val="008100B9"/>
    <w:rsid w:val="00811F3E"/>
    <w:rsid w:val="008124D1"/>
    <w:rsid w:val="00813DFE"/>
    <w:rsid w:val="008172CA"/>
    <w:rsid w:val="008264C9"/>
    <w:rsid w:val="00826CF5"/>
    <w:rsid w:val="00826F16"/>
    <w:rsid w:val="008276B4"/>
    <w:rsid w:val="00831724"/>
    <w:rsid w:val="00831927"/>
    <w:rsid w:val="00834503"/>
    <w:rsid w:val="008376BD"/>
    <w:rsid w:val="00840009"/>
    <w:rsid w:val="00840378"/>
    <w:rsid w:val="00841BD3"/>
    <w:rsid w:val="0084273D"/>
    <w:rsid w:val="00844E3F"/>
    <w:rsid w:val="00845A83"/>
    <w:rsid w:val="00846967"/>
    <w:rsid w:val="00851435"/>
    <w:rsid w:val="00852787"/>
    <w:rsid w:val="00854C61"/>
    <w:rsid w:val="00855E65"/>
    <w:rsid w:val="008613B2"/>
    <w:rsid w:val="008712BB"/>
    <w:rsid w:val="00886F83"/>
    <w:rsid w:val="008A0367"/>
    <w:rsid w:val="008A2484"/>
    <w:rsid w:val="008A29FB"/>
    <w:rsid w:val="008A578C"/>
    <w:rsid w:val="008A5F42"/>
    <w:rsid w:val="008C26D9"/>
    <w:rsid w:val="008C2D64"/>
    <w:rsid w:val="008C6D50"/>
    <w:rsid w:val="008C6FAD"/>
    <w:rsid w:val="008C7167"/>
    <w:rsid w:val="008C71BC"/>
    <w:rsid w:val="008C7503"/>
    <w:rsid w:val="008D0399"/>
    <w:rsid w:val="008D1617"/>
    <w:rsid w:val="008D5E02"/>
    <w:rsid w:val="008D6656"/>
    <w:rsid w:val="008E6315"/>
    <w:rsid w:val="008F11E0"/>
    <w:rsid w:val="008F1FE7"/>
    <w:rsid w:val="008F4EB2"/>
    <w:rsid w:val="008F5C46"/>
    <w:rsid w:val="008F6869"/>
    <w:rsid w:val="008F78BC"/>
    <w:rsid w:val="008F7B63"/>
    <w:rsid w:val="008F7D6A"/>
    <w:rsid w:val="0090279C"/>
    <w:rsid w:val="00903D72"/>
    <w:rsid w:val="00904A64"/>
    <w:rsid w:val="009054CB"/>
    <w:rsid w:val="00910BBE"/>
    <w:rsid w:val="00910F1F"/>
    <w:rsid w:val="00911353"/>
    <w:rsid w:val="00912F94"/>
    <w:rsid w:val="0091354F"/>
    <w:rsid w:val="00915A19"/>
    <w:rsid w:val="00924DD3"/>
    <w:rsid w:val="00925245"/>
    <w:rsid w:val="0092590B"/>
    <w:rsid w:val="00925E60"/>
    <w:rsid w:val="009264B3"/>
    <w:rsid w:val="00926AE4"/>
    <w:rsid w:val="00930947"/>
    <w:rsid w:val="00932AE7"/>
    <w:rsid w:val="00936490"/>
    <w:rsid w:val="00936BC2"/>
    <w:rsid w:val="009429C1"/>
    <w:rsid w:val="00942BA2"/>
    <w:rsid w:val="00944C86"/>
    <w:rsid w:val="00951BCD"/>
    <w:rsid w:val="0095297A"/>
    <w:rsid w:val="00953DFA"/>
    <w:rsid w:val="00956AD8"/>
    <w:rsid w:val="00957666"/>
    <w:rsid w:val="00957DE8"/>
    <w:rsid w:val="00960ECB"/>
    <w:rsid w:val="009615D6"/>
    <w:rsid w:val="00967855"/>
    <w:rsid w:val="009725F3"/>
    <w:rsid w:val="0098038B"/>
    <w:rsid w:val="00980736"/>
    <w:rsid w:val="009810BF"/>
    <w:rsid w:val="00981A39"/>
    <w:rsid w:val="00985205"/>
    <w:rsid w:val="00987097"/>
    <w:rsid w:val="00987983"/>
    <w:rsid w:val="009A0076"/>
    <w:rsid w:val="009A43A1"/>
    <w:rsid w:val="009A6938"/>
    <w:rsid w:val="009A7184"/>
    <w:rsid w:val="009B0058"/>
    <w:rsid w:val="009B046C"/>
    <w:rsid w:val="009B0AF5"/>
    <w:rsid w:val="009B0D95"/>
    <w:rsid w:val="009B13FA"/>
    <w:rsid w:val="009B1E2D"/>
    <w:rsid w:val="009B7B7A"/>
    <w:rsid w:val="009C04E7"/>
    <w:rsid w:val="009C2007"/>
    <w:rsid w:val="009C59FB"/>
    <w:rsid w:val="009C6F3B"/>
    <w:rsid w:val="009C6FCD"/>
    <w:rsid w:val="009D0544"/>
    <w:rsid w:val="009D40B1"/>
    <w:rsid w:val="009D49CC"/>
    <w:rsid w:val="009D5A62"/>
    <w:rsid w:val="009E23AC"/>
    <w:rsid w:val="009E2B1A"/>
    <w:rsid w:val="009E4AC4"/>
    <w:rsid w:val="009E4FA6"/>
    <w:rsid w:val="009E53E6"/>
    <w:rsid w:val="009E7D93"/>
    <w:rsid w:val="009F1033"/>
    <w:rsid w:val="009F380E"/>
    <w:rsid w:val="009F5C33"/>
    <w:rsid w:val="00A02BC9"/>
    <w:rsid w:val="00A03EAC"/>
    <w:rsid w:val="00A04E62"/>
    <w:rsid w:val="00A05D93"/>
    <w:rsid w:val="00A0622D"/>
    <w:rsid w:val="00A06D5F"/>
    <w:rsid w:val="00A11CA6"/>
    <w:rsid w:val="00A1344D"/>
    <w:rsid w:val="00A13F23"/>
    <w:rsid w:val="00A149D8"/>
    <w:rsid w:val="00A15932"/>
    <w:rsid w:val="00A206F7"/>
    <w:rsid w:val="00A20C49"/>
    <w:rsid w:val="00A24A89"/>
    <w:rsid w:val="00A24B11"/>
    <w:rsid w:val="00A269CA"/>
    <w:rsid w:val="00A359AC"/>
    <w:rsid w:val="00A40309"/>
    <w:rsid w:val="00A40FB8"/>
    <w:rsid w:val="00A41413"/>
    <w:rsid w:val="00A44D0A"/>
    <w:rsid w:val="00A45FB1"/>
    <w:rsid w:val="00A46CCC"/>
    <w:rsid w:val="00A51CFE"/>
    <w:rsid w:val="00A61C55"/>
    <w:rsid w:val="00A7265A"/>
    <w:rsid w:val="00A76C13"/>
    <w:rsid w:val="00A83F4F"/>
    <w:rsid w:val="00A92E79"/>
    <w:rsid w:val="00A950B6"/>
    <w:rsid w:val="00AA00E4"/>
    <w:rsid w:val="00AA5B31"/>
    <w:rsid w:val="00AB0DEE"/>
    <w:rsid w:val="00AB23D7"/>
    <w:rsid w:val="00AB4085"/>
    <w:rsid w:val="00AB41C1"/>
    <w:rsid w:val="00AB643B"/>
    <w:rsid w:val="00AB7A5B"/>
    <w:rsid w:val="00AC2DC9"/>
    <w:rsid w:val="00AC3BAB"/>
    <w:rsid w:val="00AC65BC"/>
    <w:rsid w:val="00AC6AEA"/>
    <w:rsid w:val="00AD12A8"/>
    <w:rsid w:val="00AD25C6"/>
    <w:rsid w:val="00AD3A5D"/>
    <w:rsid w:val="00AD4B9E"/>
    <w:rsid w:val="00AD668D"/>
    <w:rsid w:val="00AF22F3"/>
    <w:rsid w:val="00AF3577"/>
    <w:rsid w:val="00AF35F9"/>
    <w:rsid w:val="00AF5074"/>
    <w:rsid w:val="00B01773"/>
    <w:rsid w:val="00B05C7D"/>
    <w:rsid w:val="00B06710"/>
    <w:rsid w:val="00B07C64"/>
    <w:rsid w:val="00B10BFE"/>
    <w:rsid w:val="00B10EE3"/>
    <w:rsid w:val="00B15052"/>
    <w:rsid w:val="00B15079"/>
    <w:rsid w:val="00B16409"/>
    <w:rsid w:val="00B2308F"/>
    <w:rsid w:val="00B236F4"/>
    <w:rsid w:val="00B252B7"/>
    <w:rsid w:val="00B34585"/>
    <w:rsid w:val="00B346C3"/>
    <w:rsid w:val="00B40668"/>
    <w:rsid w:val="00B41FDB"/>
    <w:rsid w:val="00B4471C"/>
    <w:rsid w:val="00B451A6"/>
    <w:rsid w:val="00B466F2"/>
    <w:rsid w:val="00B57B54"/>
    <w:rsid w:val="00B57EE3"/>
    <w:rsid w:val="00B60082"/>
    <w:rsid w:val="00B60609"/>
    <w:rsid w:val="00B63D7C"/>
    <w:rsid w:val="00B67629"/>
    <w:rsid w:val="00B70DCE"/>
    <w:rsid w:val="00B722DE"/>
    <w:rsid w:val="00B73A54"/>
    <w:rsid w:val="00B75F90"/>
    <w:rsid w:val="00B76C44"/>
    <w:rsid w:val="00B76FF6"/>
    <w:rsid w:val="00B82CD9"/>
    <w:rsid w:val="00B83F87"/>
    <w:rsid w:val="00B92BC1"/>
    <w:rsid w:val="00B94513"/>
    <w:rsid w:val="00B94D26"/>
    <w:rsid w:val="00BA2EFA"/>
    <w:rsid w:val="00BA3DBC"/>
    <w:rsid w:val="00BB19A7"/>
    <w:rsid w:val="00BB2DA2"/>
    <w:rsid w:val="00BB391E"/>
    <w:rsid w:val="00BB56DC"/>
    <w:rsid w:val="00BB74FA"/>
    <w:rsid w:val="00BC096D"/>
    <w:rsid w:val="00BD0256"/>
    <w:rsid w:val="00BD1429"/>
    <w:rsid w:val="00BD47D0"/>
    <w:rsid w:val="00BD61EA"/>
    <w:rsid w:val="00BE183D"/>
    <w:rsid w:val="00BE18E4"/>
    <w:rsid w:val="00BE3001"/>
    <w:rsid w:val="00BE56EA"/>
    <w:rsid w:val="00BF2443"/>
    <w:rsid w:val="00BF2777"/>
    <w:rsid w:val="00BF5509"/>
    <w:rsid w:val="00BF5D7A"/>
    <w:rsid w:val="00BF6262"/>
    <w:rsid w:val="00C0011C"/>
    <w:rsid w:val="00C1084E"/>
    <w:rsid w:val="00C10B0C"/>
    <w:rsid w:val="00C2218F"/>
    <w:rsid w:val="00C230FA"/>
    <w:rsid w:val="00C25C59"/>
    <w:rsid w:val="00C2661F"/>
    <w:rsid w:val="00C30B56"/>
    <w:rsid w:val="00C3265D"/>
    <w:rsid w:val="00C3518E"/>
    <w:rsid w:val="00C36442"/>
    <w:rsid w:val="00C400CE"/>
    <w:rsid w:val="00C410FD"/>
    <w:rsid w:val="00C523DA"/>
    <w:rsid w:val="00C539A6"/>
    <w:rsid w:val="00C539FB"/>
    <w:rsid w:val="00C53CF5"/>
    <w:rsid w:val="00C55D36"/>
    <w:rsid w:val="00C60D87"/>
    <w:rsid w:val="00C62BFD"/>
    <w:rsid w:val="00C7685B"/>
    <w:rsid w:val="00C76EE5"/>
    <w:rsid w:val="00C82236"/>
    <w:rsid w:val="00C862F6"/>
    <w:rsid w:val="00C86D17"/>
    <w:rsid w:val="00C915C5"/>
    <w:rsid w:val="00C9347A"/>
    <w:rsid w:val="00C96B67"/>
    <w:rsid w:val="00CA246D"/>
    <w:rsid w:val="00CA3FA1"/>
    <w:rsid w:val="00CA4063"/>
    <w:rsid w:val="00CA4838"/>
    <w:rsid w:val="00CB5636"/>
    <w:rsid w:val="00CB5E79"/>
    <w:rsid w:val="00CB7E3C"/>
    <w:rsid w:val="00CC115F"/>
    <w:rsid w:val="00CC259E"/>
    <w:rsid w:val="00CC5025"/>
    <w:rsid w:val="00CC5914"/>
    <w:rsid w:val="00CC76CB"/>
    <w:rsid w:val="00CD2378"/>
    <w:rsid w:val="00CD3895"/>
    <w:rsid w:val="00CE32F3"/>
    <w:rsid w:val="00CE605A"/>
    <w:rsid w:val="00CE758C"/>
    <w:rsid w:val="00CF3134"/>
    <w:rsid w:val="00D00E19"/>
    <w:rsid w:val="00D03360"/>
    <w:rsid w:val="00D10F21"/>
    <w:rsid w:val="00D126FF"/>
    <w:rsid w:val="00D1550F"/>
    <w:rsid w:val="00D1674D"/>
    <w:rsid w:val="00D16BFB"/>
    <w:rsid w:val="00D23FC5"/>
    <w:rsid w:val="00D2520B"/>
    <w:rsid w:val="00D31A47"/>
    <w:rsid w:val="00D34040"/>
    <w:rsid w:val="00D34E69"/>
    <w:rsid w:val="00D375EE"/>
    <w:rsid w:val="00D40BB8"/>
    <w:rsid w:val="00D43087"/>
    <w:rsid w:val="00D445A0"/>
    <w:rsid w:val="00D5022E"/>
    <w:rsid w:val="00D50784"/>
    <w:rsid w:val="00D50A15"/>
    <w:rsid w:val="00D60612"/>
    <w:rsid w:val="00D62699"/>
    <w:rsid w:val="00D654CE"/>
    <w:rsid w:val="00D70679"/>
    <w:rsid w:val="00D71797"/>
    <w:rsid w:val="00D72325"/>
    <w:rsid w:val="00D744BD"/>
    <w:rsid w:val="00D80D2A"/>
    <w:rsid w:val="00D82620"/>
    <w:rsid w:val="00D901DF"/>
    <w:rsid w:val="00D92CA3"/>
    <w:rsid w:val="00D941D8"/>
    <w:rsid w:val="00D94409"/>
    <w:rsid w:val="00D94BB4"/>
    <w:rsid w:val="00D9507D"/>
    <w:rsid w:val="00D96B9D"/>
    <w:rsid w:val="00D9725F"/>
    <w:rsid w:val="00DA01B1"/>
    <w:rsid w:val="00DA11A2"/>
    <w:rsid w:val="00DA14ED"/>
    <w:rsid w:val="00DA1CAF"/>
    <w:rsid w:val="00DA3F9B"/>
    <w:rsid w:val="00DB1966"/>
    <w:rsid w:val="00DB2EF1"/>
    <w:rsid w:val="00DB3DE1"/>
    <w:rsid w:val="00DB5DA0"/>
    <w:rsid w:val="00DB716C"/>
    <w:rsid w:val="00DB7D89"/>
    <w:rsid w:val="00DC5C85"/>
    <w:rsid w:val="00DD38E3"/>
    <w:rsid w:val="00DD3EE2"/>
    <w:rsid w:val="00DD4236"/>
    <w:rsid w:val="00DD44F1"/>
    <w:rsid w:val="00DE101E"/>
    <w:rsid w:val="00DE3067"/>
    <w:rsid w:val="00DE54E1"/>
    <w:rsid w:val="00DF096B"/>
    <w:rsid w:val="00E027BC"/>
    <w:rsid w:val="00E12AB4"/>
    <w:rsid w:val="00E14953"/>
    <w:rsid w:val="00E14EA5"/>
    <w:rsid w:val="00E1695F"/>
    <w:rsid w:val="00E1763E"/>
    <w:rsid w:val="00E21133"/>
    <w:rsid w:val="00E2327E"/>
    <w:rsid w:val="00E25D89"/>
    <w:rsid w:val="00E266EF"/>
    <w:rsid w:val="00E32976"/>
    <w:rsid w:val="00E32980"/>
    <w:rsid w:val="00E339A1"/>
    <w:rsid w:val="00E47428"/>
    <w:rsid w:val="00E53798"/>
    <w:rsid w:val="00E56455"/>
    <w:rsid w:val="00E60894"/>
    <w:rsid w:val="00E60B55"/>
    <w:rsid w:val="00E61564"/>
    <w:rsid w:val="00E6186D"/>
    <w:rsid w:val="00E66B9F"/>
    <w:rsid w:val="00E710D6"/>
    <w:rsid w:val="00E718FF"/>
    <w:rsid w:val="00E723B4"/>
    <w:rsid w:val="00E74017"/>
    <w:rsid w:val="00E754C2"/>
    <w:rsid w:val="00E76E45"/>
    <w:rsid w:val="00E777C9"/>
    <w:rsid w:val="00E77AB6"/>
    <w:rsid w:val="00E806F1"/>
    <w:rsid w:val="00E81DA6"/>
    <w:rsid w:val="00E83764"/>
    <w:rsid w:val="00E84212"/>
    <w:rsid w:val="00E842FE"/>
    <w:rsid w:val="00E87A95"/>
    <w:rsid w:val="00E9086C"/>
    <w:rsid w:val="00E91A0F"/>
    <w:rsid w:val="00E9274C"/>
    <w:rsid w:val="00E94A71"/>
    <w:rsid w:val="00E9769D"/>
    <w:rsid w:val="00EA0133"/>
    <w:rsid w:val="00EA03CE"/>
    <w:rsid w:val="00EA23E5"/>
    <w:rsid w:val="00EA272E"/>
    <w:rsid w:val="00EA497B"/>
    <w:rsid w:val="00EA4E2E"/>
    <w:rsid w:val="00EA517E"/>
    <w:rsid w:val="00EA5DC2"/>
    <w:rsid w:val="00EB2CCB"/>
    <w:rsid w:val="00EB51CF"/>
    <w:rsid w:val="00EB5678"/>
    <w:rsid w:val="00EB5C9E"/>
    <w:rsid w:val="00EB6C7C"/>
    <w:rsid w:val="00EC1C9A"/>
    <w:rsid w:val="00EC57A7"/>
    <w:rsid w:val="00EC7DC5"/>
    <w:rsid w:val="00ED0817"/>
    <w:rsid w:val="00ED4D84"/>
    <w:rsid w:val="00ED7DD9"/>
    <w:rsid w:val="00EE1984"/>
    <w:rsid w:val="00EE2B43"/>
    <w:rsid w:val="00EF00B0"/>
    <w:rsid w:val="00EF3113"/>
    <w:rsid w:val="00EF3F84"/>
    <w:rsid w:val="00F00F0F"/>
    <w:rsid w:val="00F0284C"/>
    <w:rsid w:val="00F02C71"/>
    <w:rsid w:val="00F13F80"/>
    <w:rsid w:val="00F176AC"/>
    <w:rsid w:val="00F20162"/>
    <w:rsid w:val="00F27714"/>
    <w:rsid w:val="00F3276E"/>
    <w:rsid w:val="00F33D3C"/>
    <w:rsid w:val="00F37335"/>
    <w:rsid w:val="00F37A91"/>
    <w:rsid w:val="00F45173"/>
    <w:rsid w:val="00F4558A"/>
    <w:rsid w:val="00F45CF5"/>
    <w:rsid w:val="00F47DB0"/>
    <w:rsid w:val="00F50E34"/>
    <w:rsid w:val="00F517AF"/>
    <w:rsid w:val="00F53EF7"/>
    <w:rsid w:val="00F54752"/>
    <w:rsid w:val="00F54BF2"/>
    <w:rsid w:val="00F54DB1"/>
    <w:rsid w:val="00F55246"/>
    <w:rsid w:val="00F84B69"/>
    <w:rsid w:val="00F8684B"/>
    <w:rsid w:val="00F92355"/>
    <w:rsid w:val="00F93963"/>
    <w:rsid w:val="00F94291"/>
    <w:rsid w:val="00F949CF"/>
    <w:rsid w:val="00FA6FEE"/>
    <w:rsid w:val="00FA7C03"/>
    <w:rsid w:val="00FB73B0"/>
    <w:rsid w:val="00FB7982"/>
    <w:rsid w:val="00FC0734"/>
    <w:rsid w:val="00FC0FC5"/>
    <w:rsid w:val="00FC3378"/>
    <w:rsid w:val="00FC588F"/>
    <w:rsid w:val="00FC6FE1"/>
    <w:rsid w:val="00FC743B"/>
    <w:rsid w:val="00FD6A5D"/>
    <w:rsid w:val="00FE1B30"/>
    <w:rsid w:val="00FE7B44"/>
    <w:rsid w:val="00FF3C5F"/>
    <w:rsid w:val="00FF47C0"/>
    <w:rsid w:val="00FF4CF3"/>
    <w:rsid w:val="00FF6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uiPriority w:val="99"/>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3"/>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717613"/>
    <w:pPr>
      <w:autoSpaceDE w:val="0"/>
      <w:autoSpaceDN w:val="0"/>
      <w:adjustRightInd w:val="0"/>
    </w:pPr>
    <w:rPr>
      <w:color w:val="000000"/>
      <w:sz w:val="24"/>
      <w:szCs w:val="24"/>
    </w:rPr>
  </w:style>
  <w:style w:type="character" w:customStyle="1" w:styleId="bnwrappedspan">
    <w:name w:val="bn_wrapped_span"/>
    <w:basedOn w:val="DefaultParagraphFont"/>
    <w:rsid w:val="005E414F"/>
  </w:style>
  <w:style w:type="character" w:customStyle="1" w:styleId="ssl2">
    <w:name w:val="ss_l2"/>
    <w:basedOn w:val="DefaultParagraphFont"/>
    <w:rsid w:val="005E414F"/>
  </w:style>
  <w:style w:type="character" w:customStyle="1" w:styleId="italic">
    <w:name w:val="italic"/>
    <w:basedOn w:val="DefaultParagraphFont"/>
    <w:rsid w:val="005E414F"/>
  </w:style>
  <w:style w:type="paragraph" w:customStyle="1" w:styleId="jade-outdent">
    <w:name w:val="jade-outdent"/>
    <w:basedOn w:val="Normal"/>
    <w:rsid w:val="00932AE7"/>
    <w:pPr>
      <w:spacing w:before="100" w:beforeAutospacing="1" w:after="100" w:afterAutospacing="1" w:line="240" w:lineRule="auto"/>
      <w:jc w:val="left"/>
    </w:pPr>
    <w:rPr>
      <w:rFonts w:eastAsia="Times New Roman"/>
      <w:szCs w:val="24"/>
      <w:lang w:eastAsia="en-AU"/>
    </w:rPr>
  </w:style>
  <w:style w:type="paragraph" w:customStyle="1" w:styleId="paragraph">
    <w:name w:val="paragraph"/>
    <w:aliases w:val="a"/>
    <w:basedOn w:val="Normal"/>
    <w:link w:val="paragraphChar"/>
    <w:rsid w:val="006D724A"/>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6D724A"/>
    <w:pPr>
      <w:tabs>
        <w:tab w:val="right" w:pos="1985"/>
      </w:tabs>
      <w:spacing w:before="40" w:line="240" w:lineRule="auto"/>
      <w:ind w:left="2098" w:hanging="2098"/>
      <w:jc w:val="left"/>
    </w:pPr>
    <w:rPr>
      <w:rFonts w:eastAsia="Times New Roman"/>
      <w:sz w:val="22"/>
      <w:lang w:eastAsia="en-AU"/>
    </w:rPr>
  </w:style>
  <w:style w:type="character" w:customStyle="1" w:styleId="paragraphChar">
    <w:name w:val="paragraph Char"/>
    <w:aliases w:val="a Char"/>
    <w:link w:val="paragraph"/>
    <w:rsid w:val="006D724A"/>
    <w:rPr>
      <w:rFonts w:eastAsia="Times New Roman"/>
      <w:sz w:val="22"/>
    </w:rPr>
  </w:style>
  <w:style w:type="paragraph" w:styleId="FootnoteText">
    <w:name w:val="footnote text"/>
    <w:basedOn w:val="Normal"/>
    <w:link w:val="FootnoteTextChar"/>
    <w:uiPriority w:val="99"/>
    <w:semiHidden/>
    <w:rsid w:val="005118D3"/>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454" w:hanging="454"/>
    </w:pPr>
    <w:rPr>
      <w:rFonts w:eastAsia="Times New Roman"/>
      <w:szCs w:val="24"/>
      <w:lang w:val="en-GB"/>
    </w:rPr>
  </w:style>
  <w:style w:type="character" w:customStyle="1" w:styleId="FootnoteTextChar">
    <w:name w:val="Footnote Text Char"/>
    <w:basedOn w:val="DefaultParagraphFont"/>
    <w:link w:val="FootnoteText"/>
    <w:uiPriority w:val="99"/>
    <w:semiHidden/>
    <w:rsid w:val="005118D3"/>
    <w:rPr>
      <w:rFonts w:eastAsia="Times New Roman"/>
      <w:sz w:val="24"/>
      <w:szCs w:val="24"/>
      <w:lang w:val="en-GB" w:eastAsia="en-US"/>
    </w:rPr>
  </w:style>
  <w:style w:type="character" w:styleId="FootnoteReference">
    <w:name w:val="footnote reference"/>
    <w:basedOn w:val="DefaultParagraphFont"/>
    <w:uiPriority w:val="99"/>
    <w:semiHidden/>
    <w:rsid w:val="005118D3"/>
    <w:rPr>
      <w:b/>
      <w:bCs/>
      <w:sz w:val="24"/>
      <w:szCs w:val="24"/>
      <w:vertAlign w:val="superscript"/>
    </w:rPr>
  </w:style>
  <w:style w:type="paragraph" w:customStyle="1" w:styleId="leftright">
    <w:name w:val="leftright"/>
    <w:basedOn w:val="Normal"/>
    <w:uiPriority w:val="99"/>
    <w:rsid w:val="005118D3"/>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pPr>
    <w:rPr>
      <w:rFonts w:eastAsia="Times New Roman"/>
      <w:sz w:val="26"/>
      <w:szCs w:val="26"/>
    </w:rPr>
  </w:style>
  <w:style w:type="character" w:customStyle="1" w:styleId="italic1">
    <w:name w:val="italic1"/>
    <w:basedOn w:val="DefaultParagraphFont"/>
    <w:rsid w:val="00FB73B0"/>
    <w:rPr>
      <w:i/>
      <w:iCs/>
    </w:rPr>
  </w:style>
  <w:style w:type="character" w:customStyle="1" w:styleId="blue1">
    <w:name w:val="blue1"/>
    <w:basedOn w:val="DefaultParagraphFont"/>
    <w:rsid w:val="00FB73B0"/>
    <w:rPr>
      <w:color w:val="004B91"/>
    </w:rPr>
  </w:style>
  <w:style w:type="character" w:customStyle="1" w:styleId="ro1">
    <w:name w:val="ro1"/>
    <w:basedOn w:val="DefaultParagraphFont"/>
    <w:rsid w:val="00FB73B0"/>
    <w:rPr>
      <w:b w:val="0"/>
      <w:bCs w:val="0"/>
    </w:rPr>
  </w:style>
  <w:style w:type="paragraph" w:customStyle="1" w:styleId="CaselawNumbered1">
    <w:name w:val="Caselaw Numbered 1"/>
    <w:basedOn w:val="Normal"/>
    <w:uiPriority w:val="5"/>
    <w:qFormat/>
    <w:rsid w:val="00EB6C7C"/>
    <w:pPr>
      <w:tabs>
        <w:tab w:val="num" w:pos="720"/>
      </w:tabs>
      <w:spacing w:after="240"/>
      <w:ind w:left="720" w:hanging="720"/>
      <w:jc w:val="left"/>
    </w:pPr>
    <w:rPr>
      <w:rFonts w:ascii="Arial" w:eastAsia="Times New Roman" w:hAnsi="Arial" w:cs="Arial"/>
      <w:szCs w:val="24"/>
      <w:lang w:eastAsia="en-AU"/>
    </w:rPr>
  </w:style>
  <w:style w:type="paragraph" w:customStyle="1" w:styleId="CaselawQuote">
    <w:name w:val="Caselaw Quote &gt;"/>
    <w:basedOn w:val="Normal"/>
    <w:qFormat/>
    <w:rsid w:val="00EB6C7C"/>
    <w:pPr>
      <w:spacing w:after="360" w:line="240" w:lineRule="auto"/>
      <w:ind w:left="720"/>
      <w:jc w:val="left"/>
    </w:pPr>
    <w:rPr>
      <w:rFonts w:ascii="Arial" w:eastAsia="Times New Roman" w:hAnsi="Arial" w:cs="Arial"/>
      <w:sz w:val="22"/>
      <w:szCs w:val="24"/>
      <w:lang w:eastAsia="en-AU"/>
    </w:rPr>
  </w:style>
  <w:style w:type="paragraph" w:styleId="ListParagraph">
    <w:name w:val="List Paragraph"/>
    <w:basedOn w:val="Normal"/>
    <w:uiPriority w:val="34"/>
    <w:qFormat/>
    <w:rsid w:val="007A2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uiPriority w:val="99"/>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3"/>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717613"/>
    <w:pPr>
      <w:autoSpaceDE w:val="0"/>
      <w:autoSpaceDN w:val="0"/>
      <w:adjustRightInd w:val="0"/>
    </w:pPr>
    <w:rPr>
      <w:color w:val="000000"/>
      <w:sz w:val="24"/>
      <w:szCs w:val="24"/>
    </w:rPr>
  </w:style>
  <w:style w:type="character" w:customStyle="1" w:styleId="bnwrappedspan">
    <w:name w:val="bn_wrapped_span"/>
    <w:basedOn w:val="DefaultParagraphFont"/>
    <w:rsid w:val="005E414F"/>
  </w:style>
  <w:style w:type="character" w:customStyle="1" w:styleId="ssl2">
    <w:name w:val="ss_l2"/>
    <w:basedOn w:val="DefaultParagraphFont"/>
    <w:rsid w:val="005E414F"/>
  </w:style>
  <w:style w:type="character" w:customStyle="1" w:styleId="italic">
    <w:name w:val="italic"/>
    <w:basedOn w:val="DefaultParagraphFont"/>
    <w:rsid w:val="005E414F"/>
  </w:style>
  <w:style w:type="paragraph" w:customStyle="1" w:styleId="jade-outdent">
    <w:name w:val="jade-outdent"/>
    <w:basedOn w:val="Normal"/>
    <w:rsid w:val="00932AE7"/>
    <w:pPr>
      <w:spacing w:before="100" w:beforeAutospacing="1" w:after="100" w:afterAutospacing="1" w:line="240" w:lineRule="auto"/>
      <w:jc w:val="left"/>
    </w:pPr>
    <w:rPr>
      <w:rFonts w:eastAsia="Times New Roman"/>
      <w:szCs w:val="24"/>
      <w:lang w:eastAsia="en-AU"/>
    </w:rPr>
  </w:style>
  <w:style w:type="paragraph" w:customStyle="1" w:styleId="paragraph">
    <w:name w:val="paragraph"/>
    <w:aliases w:val="a"/>
    <w:basedOn w:val="Normal"/>
    <w:link w:val="paragraphChar"/>
    <w:rsid w:val="006D724A"/>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6D724A"/>
    <w:pPr>
      <w:tabs>
        <w:tab w:val="right" w:pos="1985"/>
      </w:tabs>
      <w:spacing w:before="40" w:line="240" w:lineRule="auto"/>
      <w:ind w:left="2098" w:hanging="2098"/>
      <w:jc w:val="left"/>
    </w:pPr>
    <w:rPr>
      <w:rFonts w:eastAsia="Times New Roman"/>
      <w:sz w:val="22"/>
      <w:lang w:eastAsia="en-AU"/>
    </w:rPr>
  </w:style>
  <w:style w:type="character" w:customStyle="1" w:styleId="paragraphChar">
    <w:name w:val="paragraph Char"/>
    <w:aliases w:val="a Char"/>
    <w:link w:val="paragraph"/>
    <w:rsid w:val="006D724A"/>
    <w:rPr>
      <w:rFonts w:eastAsia="Times New Roman"/>
      <w:sz w:val="22"/>
    </w:rPr>
  </w:style>
  <w:style w:type="paragraph" w:styleId="FootnoteText">
    <w:name w:val="footnote text"/>
    <w:basedOn w:val="Normal"/>
    <w:link w:val="FootnoteTextChar"/>
    <w:uiPriority w:val="99"/>
    <w:semiHidden/>
    <w:rsid w:val="005118D3"/>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454" w:hanging="454"/>
    </w:pPr>
    <w:rPr>
      <w:rFonts w:eastAsia="Times New Roman"/>
      <w:szCs w:val="24"/>
      <w:lang w:val="en-GB"/>
    </w:rPr>
  </w:style>
  <w:style w:type="character" w:customStyle="1" w:styleId="FootnoteTextChar">
    <w:name w:val="Footnote Text Char"/>
    <w:basedOn w:val="DefaultParagraphFont"/>
    <w:link w:val="FootnoteText"/>
    <w:uiPriority w:val="99"/>
    <w:semiHidden/>
    <w:rsid w:val="005118D3"/>
    <w:rPr>
      <w:rFonts w:eastAsia="Times New Roman"/>
      <w:sz w:val="24"/>
      <w:szCs w:val="24"/>
      <w:lang w:val="en-GB" w:eastAsia="en-US"/>
    </w:rPr>
  </w:style>
  <w:style w:type="character" w:styleId="FootnoteReference">
    <w:name w:val="footnote reference"/>
    <w:basedOn w:val="DefaultParagraphFont"/>
    <w:uiPriority w:val="99"/>
    <w:semiHidden/>
    <w:rsid w:val="005118D3"/>
    <w:rPr>
      <w:b/>
      <w:bCs/>
      <w:sz w:val="24"/>
      <w:szCs w:val="24"/>
      <w:vertAlign w:val="superscript"/>
    </w:rPr>
  </w:style>
  <w:style w:type="paragraph" w:customStyle="1" w:styleId="leftright">
    <w:name w:val="leftright"/>
    <w:basedOn w:val="Normal"/>
    <w:uiPriority w:val="99"/>
    <w:rsid w:val="005118D3"/>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pPr>
    <w:rPr>
      <w:rFonts w:eastAsia="Times New Roman"/>
      <w:sz w:val="26"/>
      <w:szCs w:val="26"/>
    </w:rPr>
  </w:style>
  <w:style w:type="character" w:customStyle="1" w:styleId="italic1">
    <w:name w:val="italic1"/>
    <w:basedOn w:val="DefaultParagraphFont"/>
    <w:rsid w:val="00FB73B0"/>
    <w:rPr>
      <w:i/>
      <w:iCs/>
    </w:rPr>
  </w:style>
  <w:style w:type="character" w:customStyle="1" w:styleId="blue1">
    <w:name w:val="blue1"/>
    <w:basedOn w:val="DefaultParagraphFont"/>
    <w:rsid w:val="00FB73B0"/>
    <w:rPr>
      <w:color w:val="004B91"/>
    </w:rPr>
  </w:style>
  <w:style w:type="character" w:customStyle="1" w:styleId="ro1">
    <w:name w:val="ro1"/>
    <w:basedOn w:val="DefaultParagraphFont"/>
    <w:rsid w:val="00FB73B0"/>
    <w:rPr>
      <w:b w:val="0"/>
      <w:bCs w:val="0"/>
    </w:rPr>
  </w:style>
  <w:style w:type="paragraph" w:customStyle="1" w:styleId="CaselawNumbered1">
    <w:name w:val="Caselaw Numbered 1"/>
    <w:basedOn w:val="Normal"/>
    <w:uiPriority w:val="5"/>
    <w:qFormat/>
    <w:rsid w:val="00EB6C7C"/>
    <w:pPr>
      <w:tabs>
        <w:tab w:val="num" w:pos="720"/>
      </w:tabs>
      <w:spacing w:after="240"/>
      <w:ind w:left="720" w:hanging="720"/>
      <w:jc w:val="left"/>
    </w:pPr>
    <w:rPr>
      <w:rFonts w:ascii="Arial" w:eastAsia="Times New Roman" w:hAnsi="Arial" w:cs="Arial"/>
      <w:szCs w:val="24"/>
      <w:lang w:eastAsia="en-AU"/>
    </w:rPr>
  </w:style>
  <w:style w:type="paragraph" w:customStyle="1" w:styleId="CaselawQuote">
    <w:name w:val="Caselaw Quote &gt;"/>
    <w:basedOn w:val="Normal"/>
    <w:qFormat/>
    <w:rsid w:val="00EB6C7C"/>
    <w:pPr>
      <w:spacing w:after="360" w:line="240" w:lineRule="auto"/>
      <w:ind w:left="720"/>
      <w:jc w:val="left"/>
    </w:pPr>
    <w:rPr>
      <w:rFonts w:ascii="Arial" w:eastAsia="Times New Roman" w:hAnsi="Arial" w:cs="Arial"/>
      <w:sz w:val="22"/>
      <w:szCs w:val="24"/>
      <w:lang w:eastAsia="en-AU"/>
    </w:rPr>
  </w:style>
  <w:style w:type="paragraph" w:styleId="ListParagraph">
    <w:name w:val="List Paragraph"/>
    <w:basedOn w:val="Normal"/>
    <w:uiPriority w:val="34"/>
    <w:qFormat/>
    <w:rsid w:val="007A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19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79097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09685">
      <w:bodyDiv w:val="1"/>
      <w:marLeft w:val="0"/>
      <w:marRight w:val="0"/>
      <w:marTop w:val="0"/>
      <w:marBottom w:val="0"/>
      <w:divBdr>
        <w:top w:val="none" w:sz="0" w:space="0" w:color="auto"/>
        <w:left w:val="none" w:sz="0" w:space="0" w:color="auto"/>
        <w:bottom w:val="none" w:sz="0" w:space="0" w:color="auto"/>
        <w:right w:val="none" w:sz="0" w:space="0" w:color="auto"/>
      </w:divBdr>
    </w:div>
    <w:div w:id="257981077">
      <w:bodyDiv w:val="1"/>
      <w:marLeft w:val="0"/>
      <w:marRight w:val="0"/>
      <w:marTop w:val="0"/>
      <w:marBottom w:val="0"/>
      <w:divBdr>
        <w:top w:val="none" w:sz="0" w:space="0" w:color="auto"/>
        <w:left w:val="none" w:sz="0" w:space="0" w:color="auto"/>
        <w:bottom w:val="none" w:sz="0" w:space="0" w:color="auto"/>
        <w:right w:val="none" w:sz="0" w:space="0" w:color="auto"/>
      </w:divBdr>
    </w:div>
    <w:div w:id="321280752">
      <w:bodyDiv w:val="1"/>
      <w:marLeft w:val="0"/>
      <w:marRight w:val="0"/>
      <w:marTop w:val="0"/>
      <w:marBottom w:val="0"/>
      <w:divBdr>
        <w:top w:val="none" w:sz="0" w:space="0" w:color="auto"/>
        <w:left w:val="none" w:sz="0" w:space="0" w:color="auto"/>
        <w:bottom w:val="none" w:sz="0" w:space="0" w:color="auto"/>
        <w:right w:val="none" w:sz="0" w:space="0" w:color="auto"/>
      </w:divBdr>
      <w:divsChild>
        <w:div w:id="665940340">
          <w:marLeft w:val="750"/>
          <w:marRight w:val="0"/>
          <w:marTop w:val="0"/>
          <w:marBottom w:val="0"/>
          <w:divBdr>
            <w:top w:val="none" w:sz="0" w:space="0" w:color="auto"/>
            <w:left w:val="none" w:sz="0" w:space="0" w:color="auto"/>
            <w:bottom w:val="none" w:sz="0" w:space="0" w:color="auto"/>
            <w:right w:val="none" w:sz="0" w:space="0" w:color="auto"/>
          </w:divBdr>
        </w:div>
      </w:divsChild>
    </w:div>
    <w:div w:id="399064896">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0367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2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8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9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38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79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18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452059">
      <w:bodyDiv w:val="1"/>
      <w:marLeft w:val="0"/>
      <w:marRight w:val="0"/>
      <w:marTop w:val="0"/>
      <w:marBottom w:val="0"/>
      <w:divBdr>
        <w:top w:val="none" w:sz="0" w:space="0" w:color="auto"/>
        <w:left w:val="none" w:sz="0" w:space="0" w:color="auto"/>
        <w:bottom w:val="none" w:sz="0" w:space="0" w:color="auto"/>
        <w:right w:val="none" w:sz="0" w:space="0" w:color="auto"/>
      </w:divBdr>
    </w:div>
    <w:div w:id="431366522">
      <w:bodyDiv w:val="1"/>
      <w:marLeft w:val="0"/>
      <w:marRight w:val="0"/>
      <w:marTop w:val="0"/>
      <w:marBottom w:val="0"/>
      <w:divBdr>
        <w:top w:val="none" w:sz="0" w:space="0" w:color="auto"/>
        <w:left w:val="none" w:sz="0" w:space="0" w:color="auto"/>
        <w:bottom w:val="none" w:sz="0" w:space="0" w:color="auto"/>
        <w:right w:val="none" w:sz="0" w:space="0" w:color="auto"/>
      </w:divBdr>
    </w:div>
    <w:div w:id="53577773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0146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92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47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934971">
      <w:bodyDiv w:val="1"/>
      <w:marLeft w:val="0"/>
      <w:marRight w:val="0"/>
      <w:marTop w:val="0"/>
      <w:marBottom w:val="0"/>
      <w:divBdr>
        <w:top w:val="none" w:sz="0" w:space="0" w:color="auto"/>
        <w:left w:val="none" w:sz="0" w:space="0" w:color="auto"/>
        <w:bottom w:val="none" w:sz="0" w:space="0" w:color="auto"/>
        <w:right w:val="none" w:sz="0" w:space="0" w:color="auto"/>
      </w:divBdr>
    </w:div>
    <w:div w:id="837312924">
      <w:bodyDiv w:val="1"/>
      <w:marLeft w:val="0"/>
      <w:marRight w:val="0"/>
      <w:marTop w:val="0"/>
      <w:marBottom w:val="0"/>
      <w:divBdr>
        <w:top w:val="none" w:sz="0" w:space="0" w:color="auto"/>
        <w:left w:val="none" w:sz="0" w:space="0" w:color="auto"/>
        <w:bottom w:val="none" w:sz="0" w:space="0" w:color="auto"/>
        <w:right w:val="none" w:sz="0" w:space="0" w:color="auto"/>
      </w:divBdr>
      <w:divsChild>
        <w:div w:id="135287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34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8566406">
      <w:bodyDiv w:val="1"/>
      <w:marLeft w:val="0"/>
      <w:marRight w:val="0"/>
      <w:marTop w:val="0"/>
      <w:marBottom w:val="0"/>
      <w:divBdr>
        <w:top w:val="none" w:sz="0" w:space="0" w:color="auto"/>
        <w:left w:val="none" w:sz="0" w:space="0" w:color="auto"/>
        <w:bottom w:val="none" w:sz="0" w:space="0" w:color="auto"/>
        <w:right w:val="none" w:sz="0" w:space="0" w:color="auto"/>
      </w:divBdr>
    </w:div>
    <w:div w:id="882517767">
      <w:bodyDiv w:val="1"/>
      <w:marLeft w:val="0"/>
      <w:marRight w:val="0"/>
      <w:marTop w:val="0"/>
      <w:marBottom w:val="0"/>
      <w:divBdr>
        <w:top w:val="none" w:sz="0" w:space="0" w:color="auto"/>
        <w:left w:val="none" w:sz="0" w:space="0" w:color="auto"/>
        <w:bottom w:val="none" w:sz="0" w:space="0" w:color="auto"/>
        <w:right w:val="none" w:sz="0" w:space="0" w:color="auto"/>
      </w:divBdr>
      <w:divsChild>
        <w:div w:id="1526408740">
          <w:marLeft w:val="750"/>
          <w:marRight w:val="0"/>
          <w:marTop w:val="0"/>
          <w:marBottom w:val="0"/>
          <w:divBdr>
            <w:top w:val="none" w:sz="0" w:space="0" w:color="auto"/>
            <w:left w:val="none" w:sz="0" w:space="0" w:color="auto"/>
            <w:bottom w:val="none" w:sz="0" w:space="0" w:color="auto"/>
            <w:right w:val="none" w:sz="0" w:space="0" w:color="auto"/>
          </w:divBdr>
        </w:div>
      </w:divsChild>
    </w:div>
    <w:div w:id="929704167">
      <w:bodyDiv w:val="1"/>
      <w:marLeft w:val="0"/>
      <w:marRight w:val="0"/>
      <w:marTop w:val="0"/>
      <w:marBottom w:val="0"/>
      <w:divBdr>
        <w:top w:val="none" w:sz="0" w:space="0" w:color="auto"/>
        <w:left w:val="none" w:sz="0" w:space="0" w:color="auto"/>
        <w:bottom w:val="none" w:sz="0" w:space="0" w:color="auto"/>
        <w:right w:val="none" w:sz="0" w:space="0" w:color="auto"/>
      </w:divBdr>
      <w:divsChild>
        <w:div w:id="92095788">
          <w:marLeft w:val="750"/>
          <w:marRight w:val="0"/>
          <w:marTop w:val="0"/>
          <w:marBottom w:val="0"/>
          <w:divBdr>
            <w:top w:val="none" w:sz="0" w:space="0" w:color="auto"/>
            <w:left w:val="none" w:sz="0" w:space="0" w:color="auto"/>
            <w:bottom w:val="none" w:sz="0" w:space="0" w:color="auto"/>
            <w:right w:val="none" w:sz="0" w:space="0" w:color="auto"/>
          </w:divBdr>
        </w:div>
      </w:divsChild>
    </w:div>
    <w:div w:id="962880601">
      <w:bodyDiv w:val="1"/>
      <w:marLeft w:val="0"/>
      <w:marRight w:val="0"/>
      <w:marTop w:val="0"/>
      <w:marBottom w:val="0"/>
      <w:divBdr>
        <w:top w:val="none" w:sz="0" w:space="0" w:color="auto"/>
        <w:left w:val="none" w:sz="0" w:space="0" w:color="auto"/>
        <w:bottom w:val="none" w:sz="0" w:space="0" w:color="auto"/>
        <w:right w:val="none" w:sz="0" w:space="0" w:color="auto"/>
      </w:divBdr>
      <w:divsChild>
        <w:div w:id="1820069240">
          <w:marLeft w:val="0"/>
          <w:marRight w:val="0"/>
          <w:marTop w:val="0"/>
          <w:marBottom w:val="0"/>
          <w:divBdr>
            <w:top w:val="none" w:sz="0" w:space="0" w:color="auto"/>
            <w:left w:val="none" w:sz="0" w:space="0" w:color="auto"/>
            <w:bottom w:val="none" w:sz="0" w:space="0" w:color="auto"/>
            <w:right w:val="none" w:sz="0" w:space="0" w:color="auto"/>
          </w:divBdr>
        </w:div>
        <w:div w:id="1361200765">
          <w:marLeft w:val="0"/>
          <w:marRight w:val="0"/>
          <w:marTop w:val="0"/>
          <w:marBottom w:val="0"/>
          <w:divBdr>
            <w:top w:val="none" w:sz="0" w:space="0" w:color="auto"/>
            <w:left w:val="none" w:sz="0" w:space="0" w:color="auto"/>
            <w:bottom w:val="none" w:sz="0" w:space="0" w:color="auto"/>
            <w:right w:val="none" w:sz="0" w:space="0" w:color="auto"/>
          </w:divBdr>
        </w:div>
        <w:div w:id="1177580116">
          <w:marLeft w:val="0"/>
          <w:marRight w:val="0"/>
          <w:marTop w:val="0"/>
          <w:marBottom w:val="0"/>
          <w:divBdr>
            <w:top w:val="none" w:sz="0" w:space="0" w:color="auto"/>
            <w:left w:val="none" w:sz="0" w:space="0" w:color="auto"/>
            <w:bottom w:val="none" w:sz="0" w:space="0" w:color="auto"/>
            <w:right w:val="none" w:sz="0" w:space="0" w:color="auto"/>
          </w:divBdr>
        </w:div>
        <w:div w:id="919758687">
          <w:marLeft w:val="0"/>
          <w:marRight w:val="0"/>
          <w:marTop w:val="0"/>
          <w:marBottom w:val="0"/>
          <w:divBdr>
            <w:top w:val="none" w:sz="0" w:space="0" w:color="auto"/>
            <w:left w:val="none" w:sz="0" w:space="0" w:color="auto"/>
            <w:bottom w:val="none" w:sz="0" w:space="0" w:color="auto"/>
            <w:right w:val="none" w:sz="0" w:space="0" w:color="auto"/>
          </w:divBdr>
        </w:div>
        <w:div w:id="1221554945">
          <w:marLeft w:val="0"/>
          <w:marRight w:val="0"/>
          <w:marTop w:val="0"/>
          <w:marBottom w:val="0"/>
          <w:divBdr>
            <w:top w:val="none" w:sz="0" w:space="0" w:color="auto"/>
            <w:left w:val="none" w:sz="0" w:space="0" w:color="auto"/>
            <w:bottom w:val="none" w:sz="0" w:space="0" w:color="auto"/>
            <w:right w:val="none" w:sz="0" w:space="0" w:color="auto"/>
          </w:divBdr>
        </w:div>
        <w:div w:id="268437486">
          <w:marLeft w:val="0"/>
          <w:marRight w:val="0"/>
          <w:marTop w:val="0"/>
          <w:marBottom w:val="0"/>
          <w:divBdr>
            <w:top w:val="none" w:sz="0" w:space="0" w:color="auto"/>
            <w:left w:val="none" w:sz="0" w:space="0" w:color="auto"/>
            <w:bottom w:val="none" w:sz="0" w:space="0" w:color="auto"/>
            <w:right w:val="none" w:sz="0" w:space="0" w:color="auto"/>
          </w:divBdr>
        </w:div>
        <w:div w:id="1064765166">
          <w:marLeft w:val="0"/>
          <w:marRight w:val="0"/>
          <w:marTop w:val="0"/>
          <w:marBottom w:val="0"/>
          <w:divBdr>
            <w:top w:val="none" w:sz="0" w:space="0" w:color="auto"/>
            <w:left w:val="none" w:sz="0" w:space="0" w:color="auto"/>
            <w:bottom w:val="none" w:sz="0" w:space="0" w:color="auto"/>
            <w:right w:val="none" w:sz="0" w:space="0" w:color="auto"/>
          </w:divBdr>
        </w:div>
        <w:div w:id="1556743919">
          <w:marLeft w:val="0"/>
          <w:marRight w:val="0"/>
          <w:marTop w:val="0"/>
          <w:marBottom w:val="0"/>
          <w:divBdr>
            <w:top w:val="none" w:sz="0" w:space="0" w:color="auto"/>
            <w:left w:val="none" w:sz="0" w:space="0" w:color="auto"/>
            <w:bottom w:val="none" w:sz="0" w:space="0" w:color="auto"/>
            <w:right w:val="none" w:sz="0" w:space="0" w:color="auto"/>
          </w:divBdr>
        </w:div>
        <w:div w:id="254361588">
          <w:marLeft w:val="0"/>
          <w:marRight w:val="0"/>
          <w:marTop w:val="0"/>
          <w:marBottom w:val="0"/>
          <w:divBdr>
            <w:top w:val="none" w:sz="0" w:space="0" w:color="auto"/>
            <w:left w:val="none" w:sz="0" w:space="0" w:color="auto"/>
            <w:bottom w:val="none" w:sz="0" w:space="0" w:color="auto"/>
            <w:right w:val="none" w:sz="0" w:space="0" w:color="auto"/>
          </w:divBdr>
        </w:div>
        <w:div w:id="122776382">
          <w:marLeft w:val="0"/>
          <w:marRight w:val="0"/>
          <w:marTop w:val="0"/>
          <w:marBottom w:val="0"/>
          <w:divBdr>
            <w:top w:val="none" w:sz="0" w:space="0" w:color="auto"/>
            <w:left w:val="none" w:sz="0" w:space="0" w:color="auto"/>
            <w:bottom w:val="none" w:sz="0" w:space="0" w:color="auto"/>
            <w:right w:val="none" w:sz="0" w:space="0" w:color="auto"/>
          </w:divBdr>
        </w:div>
        <w:div w:id="1084759201">
          <w:marLeft w:val="0"/>
          <w:marRight w:val="0"/>
          <w:marTop w:val="0"/>
          <w:marBottom w:val="0"/>
          <w:divBdr>
            <w:top w:val="none" w:sz="0" w:space="0" w:color="auto"/>
            <w:left w:val="none" w:sz="0" w:space="0" w:color="auto"/>
            <w:bottom w:val="none" w:sz="0" w:space="0" w:color="auto"/>
            <w:right w:val="none" w:sz="0" w:space="0" w:color="auto"/>
          </w:divBdr>
        </w:div>
        <w:div w:id="1567645652">
          <w:marLeft w:val="0"/>
          <w:marRight w:val="0"/>
          <w:marTop w:val="0"/>
          <w:marBottom w:val="0"/>
          <w:divBdr>
            <w:top w:val="none" w:sz="0" w:space="0" w:color="auto"/>
            <w:left w:val="none" w:sz="0" w:space="0" w:color="auto"/>
            <w:bottom w:val="none" w:sz="0" w:space="0" w:color="auto"/>
            <w:right w:val="none" w:sz="0" w:space="0" w:color="auto"/>
          </w:divBdr>
        </w:div>
        <w:div w:id="1895699123">
          <w:marLeft w:val="0"/>
          <w:marRight w:val="0"/>
          <w:marTop w:val="0"/>
          <w:marBottom w:val="0"/>
          <w:divBdr>
            <w:top w:val="none" w:sz="0" w:space="0" w:color="auto"/>
            <w:left w:val="none" w:sz="0" w:space="0" w:color="auto"/>
            <w:bottom w:val="none" w:sz="0" w:space="0" w:color="auto"/>
            <w:right w:val="none" w:sz="0" w:space="0" w:color="auto"/>
          </w:divBdr>
        </w:div>
        <w:div w:id="1578980831">
          <w:marLeft w:val="0"/>
          <w:marRight w:val="0"/>
          <w:marTop w:val="0"/>
          <w:marBottom w:val="0"/>
          <w:divBdr>
            <w:top w:val="none" w:sz="0" w:space="0" w:color="auto"/>
            <w:left w:val="none" w:sz="0" w:space="0" w:color="auto"/>
            <w:bottom w:val="none" w:sz="0" w:space="0" w:color="auto"/>
            <w:right w:val="none" w:sz="0" w:space="0" w:color="auto"/>
          </w:divBdr>
        </w:div>
        <w:div w:id="2109622060">
          <w:marLeft w:val="0"/>
          <w:marRight w:val="0"/>
          <w:marTop w:val="0"/>
          <w:marBottom w:val="0"/>
          <w:divBdr>
            <w:top w:val="none" w:sz="0" w:space="0" w:color="auto"/>
            <w:left w:val="none" w:sz="0" w:space="0" w:color="auto"/>
            <w:bottom w:val="none" w:sz="0" w:space="0" w:color="auto"/>
            <w:right w:val="none" w:sz="0" w:space="0" w:color="auto"/>
          </w:divBdr>
        </w:div>
        <w:div w:id="2050302367">
          <w:marLeft w:val="0"/>
          <w:marRight w:val="0"/>
          <w:marTop w:val="0"/>
          <w:marBottom w:val="0"/>
          <w:divBdr>
            <w:top w:val="none" w:sz="0" w:space="0" w:color="auto"/>
            <w:left w:val="none" w:sz="0" w:space="0" w:color="auto"/>
            <w:bottom w:val="none" w:sz="0" w:space="0" w:color="auto"/>
            <w:right w:val="none" w:sz="0" w:space="0" w:color="auto"/>
          </w:divBdr>
        </w:div>
        <w:div w:id="1525365482">
          <w:marLeft w:val="0"/>
          <w:marRight w:val="0"/>
          <w:marTop w:val="0"/>
          <w:marBottom w:val="0"/>
          <w:divBdr>
            <w:top w:val="none" w:sz="0" w:space="0" w:color="auto"/>
            <w:left w:val="none" w:sz="0" w:space="0" w:color="auto"/>
            <w:bottom w:val="none" w:sz="0" w:space="0" w:color="auto"/>
            <w:right w:val="none" w:sz="0" w:space="0" w:color="auto"/>
          </w:divBdr>
        </w:div>
        <w:div w:id="1260528365">
          <w:marLeft w:val="0"/>
          <w:marRight w:val="0"/>
          <w:marTop w:val="0"/>
          <w:marBottom w:val="0"/>
          <w:divBdr>
            <w:top w:val="none" w:sz="0" w:space="0" w:color="auto"/>
            <w:left w:val="none" w:sz="0" w:space="0" w:color="auto"/>
            <w:bottom w:val="none" w:sz="0" w:space="0" w:color="auto"/>
            <w:right w:val="none" w:sz="0" w:space="0" w:color="auto"/>
          </w:divBdr>
        </w:div>
        <w:div w:id="1725762134">
          <w:marLeft w:val="0"/>
          <w:marRight w:val="0"/>
          <w:marTop w:val="0"/>
          <w:marBottom w:val="0"/>
          <w:divBdr>
            <w:top w:val="none" w:sz="0" w:space="0" w:color="auto"/>
            <w:left w:val="none" w:sz="0" w:space="0" w:color="auto"/>
            <w:bottom w:val="none" w:sz="0" w:space="0" w:color="auto"/>
            <w:right w:val="none" w:sz="0" w:space="0" w:color="auto"/>
          </w:divBdr>
        </w:div>
        <w:div w:id="369719587">
          <w:marLeft w:val="0"/>
          <w:marRight w:val="0"/>
          <w:marTop w:val="0"/>
          <w:marBottom w:val="0"/>
          <w:divBdr>
            <w:top w:val="none" w:sz="0" w:space="0" w:color="auto"/>
            <w:left w:val="none" w:sz="0" w:space="0" w:color="auto"/>
            <w:bottom w:val="none" w:sz="0" w:space="0" w:color="auto"/>
            <w:right w:val="none" w:sz="0" w:space="0" w:color="auto"/>
          </w:divBdr>
        </w:div>
        <w:div w:id="1495105200">
          <w:marLeft w:val="0"/>
          <w:marRight w:val="0"/>
          <w:marTop w:val="0"/>
          <w:marBottom w:val="0"/>
          <w:divBdr>
            <w:top w:val="none" w:sz="0" w:space="0" w:color="auto"/>
            <w:left w:val="none" w:sz="0" w:space="0" w:color="auto"/>
            <w:bottom w:val="none" w:sz="0" w:space="0" w:color="auto"/>
            <w:right w:val="none" w:sz="0" w:space="0" w:color="auto"/>
          </w:divBdr>
        </w:div>
        <w:div w:id="1262447658">
          <w:marLeft w:val="0"/>
          <w:marRight w:val="0"/>
          <w:marTop w:val="0"/>
          <w:marBottom w:val="0"/>
          <w:divBdr>
            <w:top w:val="none" w:sz="0" w:space="0" w:color="auto"/>
            <w:left w:val="none" w:sz="0" w:space="0" w:color="auto"/>
            <w:bottom w:val="none" w:sz="0" w:space="0" w:color="auto"/>
            <w:right w:val="none" w:sz="0" w:space="0" w:color="auto"/>
          </w:divBdr>
        </w:div>
        <w:div w:id="594438819">
          <w:marLeft w:val="0"/>
          <w:marRight w:val="0"/>
          <w:marTop w:val="0"/>
          <w:marBottom w:val="0"/>
          <w:divBdr>
            <w:top w:val="none" w:sz="0" w:space="0" w:color="auto"/>
            <w:left w:val="none" w:sz="0" w:space="0" w:color="auto"/>
            <w:bottom w:val="none" w:sz="0" w:space="0" w:color="auto"/>
            <w:right w:val="none" w:sz="0" w:space="0" w:color="auto"/>
          </w:divBdr>
        </w:div>
        <w:div w:id="229732849">
          <w:marLeft w:val="0"/>
          <w:marRight w:val="0"/>
          <w:marTop w:val="0"/>
          <w:marBottom w:val="0"/>
          <w:divBdr>
            <w:top w:val="none" w:sz="0" w:space="0" w:color="auto"/>
            <w:left w:val="none" w:sz="0" w:space="0" w:color="auto"/>
            <w:bottom w:val="none" w:sz="0" w:space="0" w:color="auto"/>
            <w:right w:val="none" w:sz="0" w:space="0" w:color="auto"/>
          </w:divBdr>
        </w:div>
        <w:div w:id="1636596722">
          <w:marLeft w:val="0"/>
          <w:marRight w:val="0"/>
          <w:marTop w:val="0"/>
          <w:marBottom w:val="0"/>
          <w:divBdr>
            <w:top w:val="none" w:sz="0" w:space="0" w:color="auto"/>
            <w:left w:val="none" w:sz="0" w:space="0" w:color="auto"/>
            <w:bottom w:val="none" w:sz="0" w:space="0" w:color="auto"/>
            <w:right w:val="none" w:sz="0" w:space="0" w:color="auto"/>
          </w:divBdr>
        </w:div>
        <w:div w:id="634023085">
          <w:marLeft w:val="0"/>
          <w:marRight w:val="0"/>
          <w:marTop w:val="0"/>
          <w:marBottom w:val="0"/>
          <w:divBdr>
            <w:top w:val="none" w:sz="0" w:space="0" w:color="auto"/>
            <w:left w:val="none" w:sz="0" w:space="0" w:color="auto"/>
            <w:bottom w:val="none" w:sz="0" w:space="0" w:color="auto"/>
            <w:right w:val="none" w:sz="0" w:space="0" w:color="auto"/>
          </w:divBdr>
        </w:div>
        <w:div w:id="1085538596">
          <w:marLeft w:val="0"/>
          <w:marRight w:val="0"/>
          <w:marTop w:val="0"/>
          <w:marBottom w:val="0"/>
          <w:divBdr>
            <w:top w:val="none" w:sz="0" w:space="0" w:color="auto"/>
            <w:left w:val="none" w:sz="0" w:space="0" w:color="auto"/>
            <w:bottom w:val="none" w:sz="0" w:space="0" w:color="auto"/>
            <w:right w:val="none" w:sz="0" w:space="0" w:color="auto"/>
          </w:divBdr>
        </w:div>
        <w:div w:id="1299186501">
          <w:marLeft w:val="0"/>
          <w:marRight w:val="0"/>
          <w:marTop w:val="0"/>
          <w:marBottom w:val="0"/>
          <w:divBdr>
            <w:top w:val="none" w:sz="0" w:space="0" w:color="auto"/>
            <w:left w:val="none" w:sz="0" w:space="0" w:color="auto"/>
            <w:bottom w:val="none" w:sz="0" w:space="0" w:color="auto"/>
            <w:right w:val="none" w:sz="0" w:space="0" w:color="auto"/>
          </w:divBdr>
        </w:div>
        <w:div w:id="1706785169">
          <w:marLeft w:val="0"/>
          <w:marRight w:val="0"/>
          <w:marTop w:val="0"/>
          <w:marBottom w:val="0"/>
          <w:divBdr>
            <w:top w:val="none" w:sz="0" w:space="0" w:color="auto"/>
            <w:left w:val="none" w:sz="0" w:space="0" w:color="auto"/>
            <w:bottom w:val="none" w:sz="0" w:space="0" w:color="auto"/>
            <w:right w:val="none" w:sz="0" w:space="0" w:color="auto"/>
          </w:divBdr>
        </w:div>
        <w:div w:id="1333218721">
          <w:marLeft w:val="0"/>
          <w:marRight w:val="0"/>
          <w:marTop w:val="0"/>
          <w:marBottom w:val="0"/>
          <w:divBdr>
            <w:top w:val="none" w:sz="0" w:space="0" w:color="auto"/>
            <w:left w:val="none" w:sz="0" w:space="0" w:color="auto"/>
            <w:bottom w:val="none" w:sz="0" w:space="0" w:color="auto"/>
            <w:right w:val="none" w:sz="0" w:space="0" w:color="auto"/>
          </w:divBdr>
        </w:div>
        <w:div w:id="849416945">
          <w:marLeft w:val="0"/>
          <w:marRight w:val="0"/>
          <w:marTop w:val="0"/>
          <w:marBottom w:val="0"/>
          <w:divBdr>
            <w:top w:val="none" w:sz="0" w:space="0" w:color="auto"/>
            <w:left w:val="none" w:sz="0" w:space="0" w:color="auto"/>
            <w:bottom w:val="none" w:sz="0" w:space="0" w:color="auto"/>
            <w:right w:val="none" w:sz="0" w:space="0" w:color="auto"/>
          </w:divBdr>
        </w:div>
        <w:div w:id="607004283">
          <w:marLeft w:val="0"/>
          <w:marRight w:val="0"/>
          <w:marTop w:val="0"/>
          <w:marBottom w:val="0"/>
          <w:divBdr>
            <w:top w:val="none" w:sz="0" w:space="0" w:color="auto"/>
            <w:left w:val="none" w:sz="0" w:space="0" w:color="auto"/>
            <w:bottom w:val="none" w:sz="0" w:space="0" w:color="auto"/>
            <w:right w:val="none" w:sz="0" w:space="0" w:color="auto"/>
          </w:divBdr>
        </w:div>
        <w:div w:id="1598824567">
          <w:marLeft w:val="0"/>
          <w:marRight w:val="0"/>
          <w:marTop w:val="0"/>
          <w:marBottom w:val="0"/>
          <w:divBdr>
            <w:top w:val="none" w:sz="0" w:space="0" w:color="auto"/>
            <w:left w:val="none" w:sz="0" w:space="0" w:color="auto"/>
            <w:bottom w:val="none" w:sz="0" w:space="0" w:color="auto"/>
            <w:right w:val="none" w:sz="0" w:space="0" w:color="auto"/>
          </w:divBdr>
        </w:div>
        <w:div w:id="160513991">
          <w:marLeft w:val="0"/>
          <w:marRight w:val="0"/>
          <w:marTop w:val="0"/>
          <w:marBottom w:val="0"/>
          <w:divBdr>
            <w:top w:val="none" w:sz="0" w:space="0" w:color="auto"/>
            <w:left w:val="none" w:sz="0" w:space="0" w:color="auto"/>
            <w:bottom w:val="none" w:sz="0" w:space="0" w:color="auto"/>
            <w:right w:val="none" w:sz="0" w:space="0" w:color="auto"/>
          </w:divBdr>
        </w:div>
        <w:div w:id="1223636392">
          <w:marLeft w:val="0"/>
          <w:marRight w:val="0"/>
          <w:marTop w:val="0"/>
          <w:marBottom w:val="0"/>
          <w:divBdr>
            <w:top w:val="none" w:sz="0" w:space="0" w:color="auto"/>
            <w:left w:val="none" w:sz="0" w:space="0" w:color="auto"/>
            <w:bottom w:val="none" w:sz="0" w:space="0" w:color="auto"/>
            <w:right w:val="none" w:sz="0" w:space="0" w:color="auto"/>
          </w:divBdr>
        </w:div>
        <w:div w:id="108083955">
          <w:marLeft w:val="0"/>
          <w:marRight w:val="0"/>
          <w:marTop w:val="0"/>
          <w:marBottom w:val="0"/>
          <w:divBdr>
            <w:top w:val="none" w:sz="0" w:space="0" w:color="auto"/>
            <w:left w:val="none" w:sz="0" w:space="0" w:color="auto"/>
            <w:bottom w:val="none" w:sz="0" w:space="0" w:color="auto"/>
            <w:right w:val="none" w:sz="0" w:space="0" w:color="auto"/>
          </w:divBdr>
        </w:div>
        <w:div w:id="154956003">
          <w:marLeft w:val="0"/>
          <w:marRight w:val="0"/>
          <w:marTop w:val="0"/>
          <w:marBottom w:val="0"/>
          <w:divBdr>
            <w:top w:val="none" w:sz="0" w:space="0" w:color="auto"/>
            <w:left w:val="none" w:sz="0" w:space="0" w:color="auto"/>
            <w:bottom w:val="none" w:sz="0" w:space="0" w:color="auto"/>
            <w:right w:val="none" w:sz="0" w:space="0" w:color="auto"/>
          </w:divBdr>
        </w:div>
        <w:div w:id="1509322655">
          <w:marLeft w:val="0"/>
          <w:marRight w:val="0"/>
          <w:marTop w:val="0"/>
          <w:marBottom w:val="0"/>
          <w:divBdr>
            <w:top w:val="none" w:sz="0" w:space="0" w:color="auto"/>
            <w:left w:val="none" w:sz="0" w:space="0" w:color="auto"/>
            <w:bottom w:val="none" w:sz="0" w:space="0" w:color="auto"/>
            <w:right w:val="none" w:sz="0" w:space="0" w:color="auto"/>
          </w:divBdr>
        </w:div>
        <w:div w:id="1514346629">
          <w:marLeft w:val="0"/>
          <w:marRight w:val="0"/>
          <w:marTop w:val="0"/>
          <w:marBottom w:val="0"/>
          <w:divBdr>
            <w:top w:val="none" w:sz="0" w:space="0" w:color="auto"/>
            <w:left w:val="none" w:sz="0" w:space="0" w:color="auto"/>
            <w:bottom w:val="none" w:sz="0" w:space="0" w:color="auto"/>
            <w:right w:val="none" w:sz="0" w:space="0" w:color="auto"/>
          </w:divBdr>
        </w:div>
        <w:div w:id="648098217">
          <w:marLeft w:val="0"/>
          <w:marRight w:val="0"/>
          <w:marTop w:val="0"/>
          <w:marBottom w:val="0"/>
          <w:divBdr>
            <w:top w:val="none" w:sz="0" w:space="0" w:color="auto"/>
            <w:left w:val="none" w:sz="0" w:space="0" w:color="auto"/>
            <w:bottom w:val="none" w:sz="0" w:space="0" w:color="auto"/>
            <w:right w:val="none" w:sz="0" w:space="0" w:color="auto"/>
          </w:divBdr>
        </w:div>
        <w:div w:id="753209670">
          <w:marLeft w:val="0"/>
          <w:marRight w:val="0"/>
          <w:marTop w:val="0"/>
          <w:marBottom w:val="0"/>
          <w:divBdr>
            <w:top w:val="none" w:sz="0" w:space="0" w:color="auto"/>
            <w:left w:val="none" w:sz="0" w:space="0" w:color="auto"/>
            <w:bottom w:val="none" w:sz="0" w:space="0" w:color="auto"/>
            <w:right w:val="none" w:sz="0" w:space="0" w:color="auto"/>
          </w:divBdr>
        </w:div>
        <w:div w:id="666589511">
          <w:marLeft w:val="0"/>
          <w:marRight w:val="0"/>
          <w:marTop w:val="0"/>
          <w:marBottom w:val="0"/>
          <w:divBdr>
            <w:top w:val="none" w:sz="0" w:space="0" w:color="auto"/>
            <w:left w:val="none" w:sz="0" w:space="0" w:color="auto"/>
            <w:bottom w:val="none" w:sz="0" w:space="0" w:color="auto"/>
            <w:right w:val="none" w:sz="0" w:space="0" w:color="auto"/>
          </w:divBdr>
        </w:div>
        <w:div w:id="378019360">
          <w:marLeft w:val="0"/>
          <w:marRight w:val="0"/>
          <w:marTop w:val="0"/>
          <w:marBottom w:val="0"/>
          <w:divBdr>
            <w:top w:val="none" w:sz="0" w:space="0" w:color="auto"/>
            <w:left w:val="none" w:sz="0" w:space="0" w:color="auto"/>
            <w:bottom w:val="none" w:sz="0" w:space="0" w:color="auto"/>
            <w:right w:val="none" w:sz="0" w:space="0" w:color="auto"/>
          </w:divBdr>
        </w:div>
        <w:div w:id="1381858527">
          <w:marLeft w:val="0"/>
          <w:marRight w:val="0"/>
          <w:marTop w:val="0"/>
          <w:marBottom w:val="0"/>
          <w:divBdr>
            <w:top w:val="none" w:sz="0" w:space="0" w:color="auto"/>
            <w:left w:val="none" w:sz="0" w:space="0" w:color="auto"/>
            <w:bottom w:val="none" w:sz="0" w:space="0" w:color="auto"/>
            <w:right w:val="none" w:sz="0" w:space="0" w:color="auto"/>
          </w:divBdr>
        </w:div>
        <w:div w:id="391470856">
          <w:marLeft w:val="0"/>
          <w:marRight w:val="0"/>
          <w:marTop w:val="0"/>
          <w:marBottom w:val="0"/>
          <w:divBdr>
            <w:top w:val="none" w:sz="0" w:space="0" w:color="auto"/>
            <w:left w:val="none" w:sz="0" w:space="0" w:color="auto"/>
            <w:bottom w:val="none" w:sz="0" w:space="0" w:color="auto"/>
            <w:right w:val="none" w:sz="0" w:space="0" w:color="auto"/>
          </w:divBdr>
        </w:div>
        <w:div w:id="1606578716">
          <w:marLeft w:val="0"/>
          <w:marRight w:val="0"/>
          <w:marTop w:val="0"/>
          <w:marBottom w:val="0"/>
          <w:divBdr>
            <w:top w:val="none" w:sz="0" w:space="0" w:color="auto"/>
            <w:left w:val="none" w:sz="0" w:space="0" w:color="auto"/>
            <w:bottom w:val="none" w:sz="0" w:space="0" w:color="auto"/>
            <w:right w:val="none" w:sz="0" w:space="0" w:color="auto"/>
          </w:divBdr>
        </w:div>
        <w:div w:id="1403261686">
          <w:marLeft w:val="0"/>
          <w:marRight w:val="0"/>
          <w:marTop w:val="0"/>
          <w:marBottom w:val="0"/>
          <w:divBdr>
            <w:top w:val="none" w:sz="0" w:space="0" w:color="auto"/>
            <w:left w:val="none" w:sz="0" w:space="0" w:color="auto"/>
            <w:bottom w:val="none" w:sz="0" w:space="0" w:color="auto"/>
            <w:right w:val="none" w:sz="0" w:space="0" w:color="auto"/>
          </w:divBdr>
        </w:div>
        <w:div w:id="2099522604">
          <w:marLeft w:val="0"/>
          <w:marRight w:val="0"/>
          <w:marTop w:val="0"/>
          <w:marBottom w:val="0"/>
          <w:divBdr>
            <w:top w:val="none" w:sz="0" w:space="0" w:color="auto"/>
            <w:left w:val="none" w:sz="0" w:space="0" w:color="auto"/>
            <w:bottom w:val="none" w:sz="0" w:space="0" w:color="auto"/>
            <w:right w:val="none" w:sz="0" w:space="0" w:color="auto"/>
          </w:divBdr>
        </w:div>
        <w:div w:id="654727903">
          <w:marLeft w:val="0"/>
          <w:marRight w:val="0"/>
          <w:marTop w:val="0"/>
          <w:marBottom w:val="0"/>
          <w:divBdr>
            <w:top w:val="none" w:sz="0" w:space="0" w:color="auto"/>
            <w:left w:val="none" w:sz="0" w:space="0" w:color="auto"/>
            <w:bottom w:val="none" w:sz="0" w:space="0" w:color="auto"/>
            <w:right w:val="none" w:sz="0" w:space="0" w:color="auto"/>
          </w:divBdr>
        </w:div>
        <w:div w:id="1282148930">
          <w:marLeft w:val="0"/>
          <w:marRight w:val="0"/>
          <w:marTop w:val="0"/>
          <w:marBottom w:val="0"/>
          <w:divBdr>
            <w:top w:val="none" w:sz="0" w:space="0" w:color="auto"/>
            <w:left w:val="none" w:sz="0" w:space="0" w:color="auto"/>
            <w:bottom w:val="none" w:sz="0" w:space="0" w:color="auto"/>
            <w:right w:val="none" w:sz="0" w:space="0" w:color="auto"/>
          </w:divBdr>
        </w:div>
        <w:div w:id="461964977">
          <w:marLeft w:val="0"/>
          <w:marRight w:val="0"/>
          <w:marTop w:val="0"/>
          <w:marBottom w:val="0"/>
          <w:divBdr>
            <w:top w:val="none" w:sz="0" w:space="0" w:color="auto"/>
            <w:left w:val="none" w:sz="0" w:space="0" w:color="auto"/>
            <w:bottom w:val="none" w:sz="0" w:space="0" w:color="auto"/>
            <w:right w:val="none" w:sz="0" w:space="0" w:color="auto"/>
          </w:divBdr>
        </w:div>
        <w:div w:id="1281912444">
          <w:marLeft w:val="0"/>
          <w:marRight w:val="0"/>
          <w:marTop w:val="0"/>
          <w:marBottom w:val="0"/>
          <w:divBdr>
            <w:top w:val="none" w:sz="0" w:space="0" w:color="auto"/>
            <w:left w:val="none" w:sz="0" w:space="0" w:color="auto"/>
            <w:bottom w:val="none" w:sz="0" w:space="0" w:color="auto"/>
            <w:right w:val="none" w:sz="0" w:space="0" w:color="auto"/>
          </w:divBdr>
        </w:div>
        <w:div w:id="1121338209">
          <w:marLeft w:val="0"/>
          <w:marRight w:val="0"/>
          <w:marTop w:val="0"/>
          <w:marBottom w:val="0"/>
          <w:divBdr>
            <w:top w:val="none" w:sz="0" w:space="0" w:color="auto"/>
            <w:left w:val="none" w:sz="0" w:space="0" w:color="auto"/>
            <w:bottom w:val="none" w:sz="0" w:space="0" w:color="auto"/>
            <w:right w:val="none" w:sz="0" w:space="0" w:color="auto"/>
          </w:divBdr>
        </w:div>
        <w:div w:id="36442681">
          <w:marLeft w:val="0"/>
          <w:marRight w:val="0"/>
          <w:marTop w:val="0"/>
          <w:marBottom w:val="0"/>
          <w:divBdr>
            <w:top w:val="none" w:sz="0" w:space="0" w:color="auto"/>
            <w:left w:val="none" w:sz="0" w:space="0" w:color="auto"/>
            <w:bottom w:val="none" w:sz="0" w:space="0" w:color="auto"/>
            <w:right w:val="none" w:sz="0" w:space="0" w:color="auto"/>
          </w:divBdr>
        </w:div>
        <w:div w:id="711805622">
          <w:marLeft w:val="0"/>
          <w:marRight w:val="0"/>
          <w:marTop w:val="0"/>
          <w:marBottom w:val="0"/>
          <w:divBdr>
            <w:top w:val="none" w:sz="0" w:space="0" w:color="auto"/>
            <w:left w:val="none" w:sz="0" w:space="0" w:color="auto"/>
            <w:bottom w:val="none" w:sz="0" w:space="0" w:color="auto"/>
            <w:right w:val="none" w:sz="0" w:space="0" w:color="auto"/>
          </w:divBdr>
        </w:div>
        <w:div w:id="1434937400">
          <w:marLeft w:val="0"/>
          <w:marRight w:val="0"/>
          <w:marTop w:val="0"/>
          <w:marBottom w:val="0"/>
          <w:divBdr>
            <w:top w:val="none" w:sz="0" w:space="0" w:color="auto"/>
            <w:left w:val="none" w:sz="0" w:space="0" w:color="auto"/>
            <w:bottom w:val="none" w:sz="0" w:space="0" w:color="auto"/>
            <w:right w:val="none" w:sz="0" w:space="0" w:color="auto"/>
          </w:divBdr>
        </w:div>
        <w:div w:id="1181506397">
          <w:marLeft w:val="0"/>
          <w:marRight w:val="0"/>
          <w:marTop w:val="0"/>
          <w:marBottom w:val="0"/>
          <w:divBdr>
            <w:top w:val="none" w:sz="0" w:space="0" w:color="auto"/>
            <w:left w:val="none" w:sz="0" w:space="0" w:color="auto"/>
            <w:bottom w:val="none" w:sz="0" w:space="0" w:color="auto"/>
            <w:right w:val="none" w:sz="0" w:space="0" w:color="auto"/>
          </w:divBdr>
        </w:div>
        <w:div w:id="631327245">
          <w:marLeft w:val="0"/>
          <w:marRight w:val="0"/>
          <w:marTop w:val="0"/>
          <w:marBottom w:val="0"/>
          <w:divBdr>
            <w:top w:val="none" w:sz="0" w:space="0" w:color="auto"/>
            <w:left w:val="none" w:sz="0" w:space="0" w:color="auto"/>
            <w:bottom w:val="none" w:sz="0" w:space="0" w:color="auto"/>
            <w:right w:val="none" w:sz="0" w:space="0" w:color="auto"/>
          </w:divBdr>
        </w:div>
        <w:div w:id="1717731229">
          <w:marLeft w:val="0"/>
          <w:marRight w:val="0"/>
          <w:marTop w:val="0"/>
          <w:marBottom w:val="0"/>
          <w:divBdr>
            <w:top w:val="none" w:sz="0" w:space="0" w:color="auto"/>
            <w:left w:val="none" w:sz="0" w:space="0" w:color="auto"/>
            <w:bottom w:val="none" w:sz="0" w:space="0" w:color="auto"/>
            <w:right w:val="none" w:sz="0" w:space="0" w:color="auto"/>
          </w:divBdr>
        </w:div>
        <w:div w:id="1257323780">
          <w:marLeft w:val="0"/>
          <w:marRight w:val="0"/>
          <w:marTop w:val="0"/>
          <w:marBottom w:val="0"/>
          <w:divBdr>
            <w:top w:val="none" w:sz="0" w:space="0" w:color="auto"/>
            <w:left w:val="none" w:sz="0" w:space="0" w:color="auto"/>
            <w:bottom w:val="none" w:sz="0" w:space="0" w:color="auto"/>
            <w:right w:val="none" w:sz="0" w:space="0" w:color="auto"/>
          </w:divBdr>
        </w:div>
        <w:div w:id="1277785061">
          <w:marLeft w:val="0"/>
          <w:marRight w:val="0"/>
          <w:marTop w:val="0"/>
          <w:marBottom w:val="0"/>
          <w:divBdr>
            <w:top w:val="none" w:sz="0" w:space="0" w:color="auto"/>
            <w:left w:val="none" w:sz="0" w:space="0" w:color="auto"/>
            <w:bottom w:val="none" w:sz="0" w:space="0" w:color="auto"/>
            <w:right w:val="none" w:sz="0" w:space="0" w:color="auto"/>
          </w:divBdr>
        </w:div>
        <w:div w:id="1393503194">
          <w:marLeft w:val="0"/>
          <w:marRight w:val="0"/>
          <w:marTop w:val="0"/>
          <w:marBottom w:val="0"/>
          <w:divBdr>
            <w:top w:val="none" w:sz="0" w:space="0" w:color="auto"/>
            <w:left w:val="none" w:sz="0" w:space="0" w:color="auto"/>
            <w:bottom w:val="none" w:sz="0" w:space="0" w:color="auto"/>
            <w:right w:val="none" w:sz="0" w:space="0" w:color="auto"/>
          </w:divBdr>
        </w:div>
        <w:div w:id="1763330526">
          <w:marLeft w:val="0"/>
          <w:marRight w:val="0"/>
          <w:marTop w:val="0"/>
          <w:marBottom w:val="0"/>
          <w:divBdr>
            <w:top w:val="none" w:sz="0" w:space="0" w:color="auto"/>
            <w:left w:val="none" w:sz="0" w:space="0" w:color="auto"/>
            <w:bottom w:val="none" w:sz="0" w:space="0" w:color="auto"/>
            <w:right w:val="none" w:sz="0" w:space="0" w:color="auto"/>
          </w:divBdr>
        </w:div>
        <w:div w:id="1556962141">
          <w:marLeft w:val="0"/>
          <w:marRight w:val="0"/>
          <w:marTop w:val="0"/>
          <w:marBottom w:val="0"/>
          <w:divBdr>
            <w:top w:val="none" w:sz="0" w:space="0" w:color="auto"/>
            <w:left w:val="none" w:sz="0" w:space="0" w:color="auto"/>
            <w:bottom w:val="none" w:sz="0" w:space="0" w:color="auto"/>
            <w:right w:val="none" w:sz="0" w:space="0" w:color="auto"/>
          </w:divBdr>
        </w:div>
        <w:div w:id="721637501">
          <w:marLeft w:val="0"/>
          <w:marRight w:val="0"/>
          <w:marTop w:val="0"/>
          <w:marBottom w:val="0"/>
          <w:divBdr>
            <w:top w:val="none" w:sz="0" w:space="0" w:color="auto"/>
            <w:left w:val="none" w:sz="0" w:space="0" w:color="auto"/>
            <w:bottom w:val="none" w:sz="0" w:space="0" w:color="auto"/>
            <w:right w:val="none" w:sz="0" w:space="0" w:color="auto"/>
          </w:divBdr>
        </w:div>
        <w:div w:id="1523401503">
          <w:marLeft w:val="0"/>
          <w:marRight w:val="0"/>
          <w:marTop w:val="0"/>
          <w:marBottom w:val="0"/>
          <w:divBdr>
            <w:top w:val="none" w:sz="0" w:space="0" w:color="auto"/>
            <w:left w:val="none" w:sz="0" w:space="0" w:color="auto"/>
            <w:bottom w:val="none" w:sz="0" w:space="0" w:color="auto"/>
            <w:right w:val="none" w:sz="0" w:space="0" w:color="auto"/>
          </w:divBdr>
        </w:div>
        <w:div w:id="109595876">
          <w:marLeft w:val="0"/>
          <w:marRight w:val="0"/>
          <w:marTop w:val="0"/>
          <w:marBottom w:val="0"/>
          <w:divBdr>
            <w:top w:val="none" w:sz="0" w:space="0" w:color="auto"/>
            <w:left w:val="none" w:sz="0" w:space="0" w:color="auto"/>
            <w:bottom w:val="none" w:sz="0" w:space="0" w:color="auto"/>
            <w:right w:val="none" w:sz="0" w:space="0" w:color="auto"/>
          </w:divBdr>
        </w:div>
        <w:div w:id="1844540658">
          <w:marLeft w:val="0"/>
          <w:marRight w:val="0"/>
          <w:marTop w:val="0"/>
          <w:marBottom w:val="0"/>
          <w:divBdr>
            <w:top w:val="none" w:sz="0" w:space="0" w:color="auto"/>
            <w:left w:val="none" w:sz="0" w:space="0" w:color="auto"/>
            <w:bottom w:val="none" w:sz="0" w:space="0" w:color="auto"/>
            <w:right w:val="none" w:sz="0" w:space="0" w:color="auto"/>
          </w:divBdr>
        </w:div>
        <w:div w:id="226187559">
          <w:marLeft w:val="0"/>
          <w:marRight w:val="0"/>
          <w:marTop w:val="0"/>
          <w:marBottom w:val="0"/>
          <w:divBdr>
            <w:top w:val="none" w:sz="0" w:space="0" w:color="auto"/>
            <w:left w:val="none" w:sz="0" w:space="0" w:color="auto"/>
            <w:bottom w:val="none" w:sz="0" w:space="0" w:color="auto"/>
            <w:right w:val="none" w:sz="0" w:space="0" w:color="auto"/>
          </w:divBdr>
        </w:div>
        <w:div w:id="1195583184">
          <w:marLeft w:val="0"/>
          <w:marRight w:val="0"/>
          <w:marTop w:val="0"/>
          <w:marBottom w:val="0"/>
          <w:divBdr>
            <w:top w:val="none" w:sz="0" w:space="0" w:color="auto"/>
            <w:left w:val="none" w:sz="0" w:space="0" w:color="auto"/>
            <w:bottom w:val="none" w:sz="0" w:space="0" w:color="auto"/>
            <w:right w:val="none" w:sz="0" w:space="0" w:color="auto"/>
          </w:divBdr>
        </w:div>
        <w:div w:id="286812317">
          <w:marLeft w:val="0"/>
          <w:marRight w:val="0"/>
          <w:marTop w:val="0"/>
          <w:marBottom w:val="0"/>
          <w:divBdr>
            <w:top w:val="none" w:sz="0" w:space="0" w:color="auto"/>
            <w:left w:val="none" w:sz="0" w:space="0" w:color="auto"/>
            <w:bottom w:val="none" w:sz="0" w:space="0" w:color="auto"/>
            <w:right w:val="none" w:sz="0" w:space="0" w:color="auto"/>
          </w:divBdr>
        </w:div>
        <w:div w:id="1784111672">
          <w:marLeft w:val="0"/>
          <w:marRight w:val="0"/>
          <w:marTop w:val="0"/>
          <w:marBottom w:val="0"/>
          <w:divBdr>
            <w:top w:val="none" w:sz="0" w:space="0" w:color="auto"/>
            <w:left w:val="none" w:sz="0" w:space="0" w:color="auto"/>
            <w:bottom w:val="none" w:sz="0" w:space="0" w:color="auto"/>
            <w:right w:val="none" w:sz="0" w:space="0" w:color="auto"/>
          </w:divBdr>
        </w:div>
        <w:div w:id="502208673">
          <w:marLeft w:val="0"/>
          <w:marRight w:val="0"/>
          <w:marTop w:val="0"/>
          <w:marBottom w:val="0"/>
          <w:divBdr>
            <w:top w:val="none" w:sz="0" w:space="0" w:color="auto"/>
            <w:left w:val="none" w:sz="0" w:space="0" w:color="auto"/>
            <w:bottom w:val="none" w:sz="0" w:space="0" w:color="auto"/>
            <w:right w:val="none" w:sz="0" w:space="0" w:color="auto"/>
          </w:divBdr>
        </w:div>
        <w:div w:id="1631209593">
          <w:marLeft w:val="0"/>
          <w:marRight w:val="0"/>
          <w:marTop w:val="0"/>
          <w:marBottom w:val="0"/>
          <w:divBdr>
            <w:top w:val="none" w:sz="0" w:space="0" w:color="auto"/>
            <w:left w:val="none" w:sz="0" w:space="0" w:color="auto"/>
            <w:bottom w:val="none" w:sz="0" w:space="0" w:color="auto"/>
            <w:right w:val="none" w:sz="0" w:space="0" w:color="auto"/>
          </w:divBdr>
        </w:div>
        <w:div w:id="1761292257">
          <w:marLeft w:val="0"/>
          <w:marRight w:val="0"/>
          <w:marTop w:val="0"/>
          <w:marBottom w:val="0"/>
          <w:divBdr>
            <w:top w:val="none" w:sz="0" w:space="0" w:color="auto"/>
            <w:left w:val="none" w:sz="0" w:space="0" w:color="auto"/>
            <w:bottom w:val="none" w:sz="0" w:space="0" w:color="auto"/>
            <w:right w:val="none" w:sz="0" w:space="0" w:color="auto"/>
          </w:divBdr>
        </w:div>
        <w:div w:id="1551376895">
          <w:marLeft w:val="0"/>
          <w:marRight w:val="0"/>
          <w:marTop w:val="0"/>
          <w:marBottom w:val="0"/>
          <w:divBdr>
            <w:top w:val="none" w:sz="0" w:space="0" w:color="auto"/>
            <w:left w:val="none" w:sz="0" w:space="0" w:color="auto"/>
            <w:bottom w:val="none" w:sz="0" w:space="0" w:color="auto"/>
            <w:right w:val="none" w:sz="0" w:space="0" w:color="auto"/>
          </w:divBdr>
        </w:div>
        <w:div w:id="1192836290">
          <w:marLeft w:val="0"/>
          <w:marRight w:val="0"/>
          <w:marTop w:val="0"/>
          <w:marBottom w:val="0"/>
          <w:divBdr>
            <w:top w:val="none" w:sz="0" w:space="0" w:color="auto"/>
            <w:left w:val="none" w:sz="0" w:space="0" w:color="auto"/>
            <w:bottom w:val="none" w:sz="0" w:space="0" w:color="auto"/>
            <w:right w:val="none" w:sz="0" w:space="0" w:color="auto"/>
          </w:divBdr>
        </w:div>
        <w:div w:id="74057418">
          <w:marLeft w:val="0"/>
          <w:marRight w:val="0"/>
          <w:marTop w:val="0"/>
          <w:marBottom w:val="0"/>
          <w:divBdr>
            <w:top w:val="none" w:sz="0" w:space="0" w:color="auto"/>
            <w:left w:val="none" w:sz="0" w:space="0" w:color="auto"/>
            <w:bottom w:val="none" w:sz="0" w:space="0" w:color="auto"/>
            <w:right w:val="none" w:sz="0" w:space="0" w:color="auto"/>
          </w:divBdr>
        </w:div>
        <w:div w:id="1864319684">
          <w:marLeft w:val="0"/>
          <w:marRight w:val="0"/>
          <w:marTop w:val="0"/>
          <w:marBottom w:val="0"/>
          <w:divBdr>
            <w:top w:val="none" w:sz="0" w:space="0" w:color="auto"/>
            <w:left w:val="none" w:sz="0" w:space="0" w:color="auto"/>
            <w:bottom w:val="none" w:sz="0" w:space="0" w:color="auto"/>
            <w:right w:val="none" w:sz="0" w:space="0" w:color="auto"/>
          </w:divBdr>
        </w:div>
        <w:div w:id="1745299963">
          <w:marLeft w:val="0"/>
          <w:marRight w:val="0"/>
          <w:marTop w:val="0"/>
          <w:marBottom w:val="0"/>
          <w:divBdr>
            <w:top w:val="none" w:sz="0" w:space="0" w:color="auto"/>
            <w:left w:val="none" w:sz="0" w:space="0" w:color="auto"/>
            <w:bottom w:val="none" w:sz="0" w:space="0" w:color="auto"/>
            <w:right w:val="none" w:sz="0" w:space="0" w:color="auto"/>
          </w:divBdr>
        </w:div>
        <w:div w:id="233901407">
          <w:marLeft w:val="0"/>
          <w:marRight w:val="0"/>
          <w:marTop w:val="0"/>
          <w:marBottom w:val="0"/>
          <w:divBdr>
            <w:top w:val="none" w:sz="0" w:space="0" w:color="auto"/>
            <w:left w:val="none" w:sz="0" w:space="0" w:color="auto"/>
            <w:bottom w:val="none" w:sz="0" w:space="0" w:color="auto"/>
            <w:right w:val="none" w:sz="0" w:space="0" w:color="auto"/>
          </w:divBdr>
        </w:div>
        <w:div w:id="43068708">
          <w:marLeft w:val="0"/>
          <w:marRight w:val="0"/>
          <w:marTop w:val="0"/>
          <w:marBottom w:val="0"/>
          <w:divBdr>
            <w:top w:val="none" w:sz="0" w:space="0" w:color="auto"/>
            <w:left w:val="none" w:sz="0" w:space="0" w:color="auto"/>
            <w:bottom w:val="none" w:sz="0" w:space="0" w:color="auto"/>
            <w:right w:val="none" w:sz="0" w:space="0" w:color="auto"/>
          </w:divBdr>
        </w:div>
        <w:div w:id="1675886682">
          <w:marLeft w:val="0"/>
          <w:marRight w:val="0"/>
          <w:marTop w:val="0"/>
          <w:marBottom w:val="0"/>
          <w:divBdr>
            <w:top w:val="none" w:sz="0" w:space="0" w:color="auto"/>
            <w:left w:val="none" w:sz="0" w:space="0" w:color="auto"/>
            <w:bottom w:val="none" w:sz="0" w:space="0" w:color="auto"/>
            <w:right w:val="none" w:sz="0" w:space="0" w:color="auto"/>
          </w:divBdr>
        </w:div>
        <w:div w:id="1934439512">
          <w:marLeft w:val="0"/>
          <w:marRight w:val="0"/>
          <w:marTop w:val="0"/>
          <w:marBottom w:val="0"/>
          <w:divBdr>
            <w:top w:val="none" w:sz="0" w:space="0" w:color="auto"/>
            <w:left w:val="none" w:sz="0" w:space="0" w:color="auto"/>
            <w:bottom w:val="none" w:sz="0" w:space="0" w:color="auto"/>
            <w:right w:val="none" w:sz="0" w:space="0" w:color="auto"/>
          </w:divBdr>
        </w:div>
      </w:divsChild>
    </w:div>
    <w:div w:id="1214123727">
      <w:bodyDiv w:val="1"/>
      <w:marLeft w:val="0"/>
      <w:marRight w:val="0"/>
      <w:marTop w:val="0"/>
      <w:marBottom w:val="0"/>
      <w:divBdr>
        <w:top w:val="none" w:sz="0" w:space="0" w:color="auto"/>
        <w:left w:val="none" w:sz="0" w:space="0" w:color="auto"/>
        <w:bottom w:val="none" w:sz="0" w:space="0" w:color="auto"/>
        <w:right w:val="none" w:sz="0" w:space="0" w:color="auto"/>
      </w:divBdr>
      <w:divsChild>
        <w:div w:id="174529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83403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152818">
      <w:bodyDiv w:val="1"/>
      <w:marLeft w:val="360"/>
      <w:marRight w:val="360"/>
      <w:marTop w:val="360"/>
      <w:marBottom w:val="360"/>
      <w:divBdr>
        <w:top w:val="none" w:sz="0" w:space="0" w:color="auto"/>
        <w:left w:val="none" w:sz="0" w:space="0" w:color="auto"/>
        <w:bottom w:val="none" w:sz="0" w:space="0" w:color="auto"/>
        <w:right w:val="none" w:sz="0" w:space="0" w:color="auto"/>
      </w:divBdr>
    </w:div>
    <w:div w:id="1300455324">
      <w:bodyDiv w:val="1"/>
      <w:marLeft w:val="360"/>
      <w:marRight w:val="360"/>
      <w:marTop w:val="360"/>
      <w:marBottom w:val="360"/>
      <w:divBdr>
        <w:top w:val="none" w:sz="0" w:space="0" w:color="auto"/>
        <w:left w:val="none" w:sz="0" w:space="0" w:color="auto"/>
        <w:bottom w:val="none" w:sz="0" w:space="0" w:color="auto"/>
        <w:right w:val="none" w:sz="0" w:space="0" w:color="auto"/>
      </w:divBdr>
    </w:div>
    <w:div w:id="1305310463">
      <w:bodyDiv w:val="1"/>
      <w:marLeft w:val="0"/>
      <w:marRight w:val="0"/>
      <w:marTop w:val="0"/>
      <w:marBottom w:val="0"/>
      <w:divBdr>
        <w:top w:val="none" w:sz="0" w:space="0" w:color="auto"/>
        <w:left w:val="none" w:sz="0" w:space="0" w:color="auto"/>
        <w:bottom w:val="none" w:sz="0" w:space="0" w:color="auto"/>
        <w:right w:val="none" w:sz="0" w:space="0" w:color="auto"/>
      </w:divBdr>
      <w:divsChild>
        <w:div w:id="448479008">
          <w:marLeft w:val="750"/>
          <w:marRight w:val="0"/>
          <w:marTop w:val="0"/>
          <w:marBottom w:val="0"/>
          <w:divBdr>
            <w:top w:val="none" w:sz="0" w:space="0" w:color="auto"/>
            <w:left w:val="none" w:sz="0" w:space="0" w:color="auto"/>
            <w:bottom w:val="none" w:sz="0" w:space="0" w:color="auto"/>
            <w:right w:val="none" w:sz="0" w:space="0" w:color="auto"/>
          </w:divBdr>
        </w:div>
      </w:divsChild>
    </w:div>
    <w:div w:id="1701315414">
      <w:bodyDiv w:val="1"/>
      <w:marLeft w:val="0"/>
      <w:marRight w:val="0"/>
      <w:marTop w:val="0"/>
      <w:marBottom w:val="0"/>
      <w:divBdr>
        <w:top w:val="none" w:sz="0" w:space="0" w:color="auto"/>
        <w:left w:val="none" w:sz="0" w:space="0" w:color="auto"/>
        <w:bottom w:val="none" w:sz="0" w:space="0" w:color="auto"/>
        <w:right w:val="none" w:sz="0" w:space="0" w:color="auto"/>
      </w:divBdr>
      <w:divsChild>
        <w:div w:id="1522552009">
          <w:marLeft w:val="0"/>
          <w:marRight w:val="0"/>
          <w:marTop w:val="0"/>
          <w:marBottom w:val="0"/>
          <w:divBdr>
            <w:top w:val="none" w:sz="0" w:space="0" w:color="auto"/>
            <w:left w:val="none" w:sz="0" w:space="0" w:color="auto"/>
            <w:bottom w:val="none" w:sz="0" w:space="0" w:color="auto"/>
            <w:right w:val="none" w:sz="0" w:space="0" w:color="auto"/>
          </w:divBdr>
          <w:divsChild>
            <w:div w:id="2006782316">
              <w:marLeft w:val="0"/>
              <w:marRight w:val="0"/>
              <w:marTop w:val="0"/>
              <w:marBottom w:val="0"/>
              <w:divBdr>
                <w:top w:val="none" w:sz="0" w:space="0" w:color="auto"/>
                <w:left w:val="single" w:sz="6" w:space="0" w:color="E4E4E4"/>
                <w:bottom w:val="none" w:sz="0" w:space="0" w:color="auto"/>
                <w:right w:val="none" w:sz="0" w:space="0" w:color="auto"/>
              </w:divBdr>
              <w:divsChild>
                <w:div w:id="687685012">
                  <w:marLeft w:val="0"/>
                  <w:marRight w:val="0"/>
                  <w:marTop w:val="0"/>
                  <w:marBottom w:val="0"/>
                  <w:divBdr>
                    <w:top w:val="none" w:sz="0" w:space="0" w:color="auto"/>
                    <w:left w:val="none" w:sz="0" w:space="0" w:color="auto"/>
                    <w:bottom w:val="none" w:sz="0" w:space="0" w:color="auto"/>
                    <w:right w:val="none" w:sz="0" w:space="0" w:color="auto"/>
                  </w:divBdr>
                  <w:divsChild>
                    <w:div w:id="143282506">
                      <w:marLeft w:val="0"/>
                      <w:marRight w:val="0"/>
                      <w:marTop w:val="0"/>
                      <w:marBottom w:val="0"/>
                      <w:divBdr>
                        <w:top w:val="none" w:sz="0" w:space="0" w:color="auto"/>
                        <w:left w:val="none" w:sz="0" w:space="0" w:color="auto"/>
                        <w:bottom w:val="none" w:sz="0" w:space="0" w:color="auto"/>
                        <w:right w:val="none" w:sz="0" w:space="0" w:color="auto"/>
                      </w:divBdr>
                      <w:divsChild>
                        <w:div w:id="400107249">
                          <w:marLeft w:val="0"/>
                          <w:marRight w:val="0"/>
                          <w:marTop w:val="0"/>
                          <w:marBottom w:val="105"/>
                          <w:divBdr>
                            <w:top w:val="none" w:sz="0" w:space="0" w:color="auto"/>
                            <w:left w:val="none" w:sz="0" w:space="0" w:color="auto"/>
                            <w:bottom w:val="none" w:sz="0" w:space="0" w:color="auto"/>
                            <w:right w:val="none" w:sz="0" w:space="0" w:color="auto"/>
                          </w:divBdr>
                          <w:divsChild>
                            <w:div w:id="7218960">
                              <w:marLeft w:val="0"/>
                              <w:marRight w:val="0"/>
                              <w:marTop w:val="105"/>
                              <w:marBottom w:val="0"/>
                              <w:divBdr>
                                <w:top w:val="none" w:sz="0" w:space="0" w:color="auto"/>
                                <w:left w:val="none" w:sz="0" w:space="0" w:color="auto"/>
                                <w:bottom w:val="none" w:sz="0" w:space="0" w:color="auto"/>
                                <w:right w:val="none" w:sz="0" w:space="0" w:color="auto"/>
                              </w:divBdr>
                              <w:divsChild>
                                <w:div w:id="1574925877">
                                  <w:marLeft w:val="0"/>
                                  <w:marRight w:val="0"/>
                                  <w:marTop w:val="0"/>
                                  <w:marBottom w:val="105"/>
                                  <w:divBdr>
                                    <w:top w:val="none" w:sz="0" w:space="0" w:color="auto"/>
                                    <w:left w:val="none" w:sz="0" w:space="0" w:color="auto"/>
                                    <w:bottom w:val="none" w:sz="0" w:space="0" w:color="auto"/>
                                    <w:right w:val="none" w:sz="0" w:space="0" w:color="auto"/>
                                  </w:divBdr>
                                  <w:divsChild>
                                    <w:div w:id="891037264">
                                      <w:marLeft w:val="0"/>
                                      <w:marRight w:val="0"/>
                                      <w:marTop w:val="105"/>
                                      <w:marBottom w:val="0"/>
                                      <w:divBdr>
                                        <w:top w:val="none" w:sz="0" w:space="0" w:color="auto"/>
                                        <w:left w:val="none" w:sz="0" w:space="0" w:color="auto"/>
                                        <w:bottom w:val="none" w:sz="0" w:space="0" w:color="auto"/>
                                        <w:right w:val="none" w:sz="0" w:space="0" w:color="auto"/>
                                      </w:divBdr>
                                      <w:divsChild>
                                        <w:div w:id="1701393690">
                                          <w:marLeft w:val="0"/>
                                          <w:marRight w:val="0"/>
                                          <w:marTop w:val="0"/>
                                          <w:marBottom w:val="105"/>
                                          <w:divBdr>
                                            <w:top w:val="none" w:sz="0" w:space="0" w:color="auto"/>
                                            <w:left w:val="none" w:sz="0" w:space="0" w:color="auto"/>
                                            <w:bottom w:val="none" w:sz="0" w:space="0" w:color="auto"/>
                                            <w:right w:val="none" w:sz="0" w:space="0" w:color="auto"/>
                                          </w:divBdr>
                                          <w:divsChild>
                                            <w:div w:id="388921525">
                                              <w:marLeft w:val="0"/>
                                              <w:marRight w:val="0"/>
                                              <w:marTop w:val="105"/>
                                              <w:marBottom w:val="0"/>
                                              <w:divBdr>
                                                <w:top w:val="none" w:sz="0" w:space="0" w:color="auto"/>
                                                <w:left w:val="none" w:sz="0" w:space="0" w:color="auto"/>
                                                <w:bottom w:val="none" w:sz="0" w:space="0" w:color="auto"/>
                                                <w:right w:val="none" w:sz="0" w:space="0" w:color="auto"/>
                                              </w:divBdr>
                                              <w:divsChild>
                                                <w:div w:id="243729692">
                                                  <w:marLeft w:val="0"/>
                                                  <w:marRight w:val="0"/>
                                                  <w:marTop w:val="0"/>
                                                  <w:marBottom w:val="105"/>
                                                  <w:divBdr>
                                                    <w:top w:val="none" w:sz="0" w:space="0" w:color="auto"/>
                                                    <w:left w:val="none" w:sz="0" w:space="0" w:color="auto"/>
                                                    <w:bottom w:val="none" w:sz="0" w:space="0" w:color="auto"/>
                                                    <w:right w:val="none" w:sz="0" w:space="0" w:color="auto"/>
                                                  </w:divBdr>
                                                  <w:divsChild>
                                                    <w:div w:id="1922523356">
                                                      <w:marLeft w:val="0"/>
                                                      <w:marRight w:val="0"/>
                                                      <w:marTop w:val="105"/>
                                                      <w:marBottom w:val="0"/>
                                                      <w:divBdr>
                                                        <w:top w:val="none" w:sz="0" w:space="0" w:color="auto"/>
                                                        <w:left w:val="none" w:sz="0" w:space="0" w:color="auto"/>
                                                        <w:bottom w:val="none" w:sz="0" w:space="0" w:color="auto"/>
                                                        <w:right w:val="none" w:sz="0" w:space="0" w:color="auto"/>
                                                      </w:divBdr>
                                                      <w:divsChild>
                                                        <w:div w:id="982389141">
                                                          <w:marLeft w:val="450"/>
                                                          <w:marRight w:val="0"/>
                                                          <w:marTop w:val="0"/>
                                                          <w:marBottom w:val="0"/>
                                                          <w:divBdr>
                                                            <w:top w:val="none" w:sz="0" w:space="0" w:color="auto"/>
                                                            <w:left w:val="none" w:sz="0" w:space="0" w:color="auto"/>
                                                            <w:bottom w:val="none" w:sz="0" w:space="0" w:color="auto"/>
                                                            <w:right w:val="none" w:sz="0" w:space="0" w:color="auto"/>
                                                          </w:divBdr>
                                                        </w:div>
                                                        <w:div w:id="46298663">
                                                          <w:marLeft w:val="450"/>
                                                          <w:marRight w:val="0"/>
                                                          <w:marTop w:val="0"/>
                                                          <w:marBottom w:val="0"/>
                                                          <w:divBdr>
                                                            <w:top w:val="none" w:sz="0" w:space="0" w:color="auto"/>
                                                            <w:left w:val="none" w:sz="0" w:space="0" w:color="auto"/>
                                                            <w:bottom w:val="none" w:sz="0" w:space="0" w:color="auto"/>
                                                            <w:right w:val="none" w:sz="0" w:space="0" w:color="auto"/>
                                                          </w:divBdr>
                                                        </w:div>
                                                        <w:div w:id="1753430993">
                                                          <w:marLeft w:val="450"/>
                                                          <w:marRight w:val="0"/>
                                                          <w:marTop w:val="0"/>
                                                          <w:marBottom w:val="0"/>
                                                          <w:divBdr>
                                                            <w:top w:val="none" w:sz="0" w:space="0" w:color="auto"/>
                                                            <w:left w:val="none" w:sz="0" w:space="0" w:color="auto"/>
                                                            <w:bottom w:val="none" w:sz="0" w:space="0" w:color="auto"/>
                                                            <w:right w:val="none" w:sz="0" w:space="0" w:color="auto"/>
                                                          </w:divBdr>
                                                        </w:div>
                                                        <w:div w:id="1372532545">
                                                          <w:marLeft w:val="450"/>
                                                          <w:marRight w:val="0"/>
                                                          <w:marTop w:val="0"/>
                                                          <w:marBottom w:val="0"/>
                                                          <w:divBdr>
                                                            <w:top w:val="none" w:sz="0" w:space="0" w:color="auto"/>
                                                            <w:left w:val="none" w:sz="0" w:space="0" w:color="auto"/>
                                                            <w:bottom w:val="none" w:sz="0" w:space="0" w:color="auto"/>
                                                            <w:right w:val="none" w:sz="0" w:space="0" w:color="auto"/>
                                                          </w:divBdr>
                                                        </w:div>
                                                        <w:div w:id="1789424896">
                                                          <w:marLeft w:val="450"/>
                                                          <w:marRight w:val="0"/>
                                                          <w:marTop w:val="0"/>
                                                          <w:marBottom w:val="0"/>
                                                          <w:divBdr>
                                                            <w:top w:val="none" w:sz="0" w:space="0" w:color="auto"/>
                                                            <w:left w:val="none" w:sz="0" w:space="0" w:color="auto"/>
                                                            <w:bottom w:val="none" w:sz="0" w:space="0" w:color="auto"/>
                                                            <w:right w:val="none" w:sz="0" w:space="0" w:color="auto"/>
                                                          </w:divBdr>
                                                        </w:div>
                                                        <w:div w:id="1026441275">
                                                          <w:marLeft w:val="450"/>
                                                          <w:marRight w:val="0"/>
                                                          <w:marTop w:val="0"/>
                                                          <w:marBottom w:val="0"/>
                                                          <w:divBdr>
                                                            <w:top w:val="none" w:sz="0" w:space="0" w:color="auto"/>
                                                            <w:left w:val="none" w:sz="0" w:space="0" w:color="auto"/>
                                                            <w:bottom w:val="none" w:sz="0" w:space="0" w:color="auto"/>
                                                            <w:right w:val="none" w:sz="0" w:space="0" w:color="auto"/>
                                                          </w:divBdr>
                                                        </w:div>
                                                        <w:div w:id="857080671">
                                                          <w:marLeft w:val="450"/>
                                                          <w:marRight w:val="0"/>
                                                          <w:marTop w:val="0"/>
                                                          <w:marBottom w:val="0"/>
                                                          <w:divBdr>
                                                            <w:top w:val="none" w:sz="0" w:space="0" w:color="auto"/>
                                                            <w:left w:val="none" w:sz="0" w:space="0" w:color="auto"/>
                                                            <w:bottom w:val="none" w:sz="0" w:space="0" w:color="auto"/>
                                                            <w:right w:val="none" w:sz="0" w:space="0" w:color="auto"/>
                                                          </w:divBdr>
                                                        </w:div>
                                                        <w:div w:id="13561570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6293658">
      <w:bodyDiv w:val="1"/>
      <w:marLeft w:val="0"/>
      <w:marRight w:val="0"/>
      <w:marTop w:val="0"/>
      <w:marBottom w:val="0"/>
      <w:divBdr>
        <w:top w:val="none" w:sz="0" w:space="0" w:color="auto"/>
        <w:left w:val="none" w:sz="0" w:space="0" w:color="auto"/>
        <w:bottom w:val="none" w:sz="0" w:space="0" w:color="auto"/>
        <w:right w:val="none" w:sz="0" w:space="0" w:color="auto"/>
      </w:divBdr>
      <w:divsChild>
        <w:div w:id="929044734">
          <w:marLeft w:val="750"/>
          <w:marRight w:val="0"/>
          <w:marTop w:val="0"/>
          <w:marBottom w:val="0"/>
          <w:divBdr>
            <w:top w:val="none" w:sz="0" w:space="0" w:color="auto"/>
            <w:left w:val="none" w:sz="0" w:space="0" w:color="auto"/>
            <w:bottom w:val="none" w:sz="0" w:space="0" w:color="auto"/>
            <w:right w:val="none" w:sz="0" w:space="0" w:color="auto"/>
          </w:divBdr>
          <w:divsChild>
            <w:div w:id="900824413">
              <w:marLeft w:val="1050"/>
              <w:marRight w:val="0"/>
              <w:marTop w:val="0"/>
              <w:marBottom w:val="0"/>
              <w:divBdr>
                <w:top w:val="none" w:sz="0" w:space="0" w:color="auto"/>
                <w:left w:val="none" w:sz="0" w:space="0" w:color="auto"/>
                <w:bottom w:val="none" w:sz="0" w:space="0" w:color="auto"/>
                <w:right w:val="none" w:sz="0" w:space="0" w:color="auto"/>
              </w:divBdr>
            </w:div>
            <w:div w:id="1950384123">
              <w:marLeft w:val="1050"/>
              <w:marRight w:val="0"/>
              <w:marTop w:val="0"/>
              <w:marBottom w:val="0"/>
              <w:divBdr>
                <w:top w:val="none" w:sz="0" w:space="0" w:color="auto"/>
                <w:left w:val="none" w:sz="0" w:space="0" w:color="auto"/>
                <w:bottom w:val="none" w:sz="0" w:space="0" w:color="auto"/>
                <w:right w:val="none" w:sz="0" w:space="0" w:color="auto"/>
              </w:divBdr>
            </w:div>
            <w:div w:id="1631745150">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808815480">
      <w:bodyDiv w:val="1"/>
      <w:marLeft w:val="0"/>
      <w:marRight w:val="0"/>
      <w:marTop w:val="0"/>
      <w:marBottom w:val="0"/>
      <w:divBdr>
        <w:top w:val="none" w:sz="0" w:space="0" w:color="auto"/>
        <w:left w:val="none" w:sz="0" w:space="0" w:color="auto"/>
        <w:bottom w:val="none" w:sz="0" w:space="0" w:color="auto"/>
        <w:right w:val="none" w:sz="0" w:space="0" w:color="auto"/>
      </w:divBdr>
      <w:divsChild>
        <w:div w:id="38039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02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12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133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7666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1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159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7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52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519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64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26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7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57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85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9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609859">
      <w:bodyDiv w:val="1"/>
      <w:marLeft w:val="0"/>
      <w:marRight w:val="0"/>
      <w:marTop w:val="0"/>
      <w:marBottom w:val="0"/>
      <w:divBdr>
        <w:top w:val="none" w:sz="0" w:space="0" w:color="auto"/>
        <w:left w:val="none" w:sz="0" w:space="0" w:color="auto"/>
        <w:bottom w:val="none" w:sz="0" w:space="0" w:color="auto"/>
        <w:right w:val="none" w:sz="0" w:space="0" w:color="auto"/>
      </w:divBdr>
      <w:divsChild>
        <w:div w:id="926767111">
          <w:marLeft w:val="0"/>
          <w:marRight w:val="0"/>
          <w:marTop w:val="0"/>
          <w:marBottom w:val="0"/>
          <w:divBdr>
            <w:top w:val="none" w:sz="0" w:space="0" w:color="auto"/>
            <w:left w:val="none" w:sz="0" w:space="0" w:color="auto"/>
            <w:bottom w:val="none" w:sz="0" w:space="0" w:color="auto"/>
            <w:right w:val="none" w:sz="0" w:space="0" w:color="auto"/>
          </w:divBdr>
        </w:div>
        <w:div w:id="597905138">
          <w:marLeft w:val="0"/>
          <w:marRight w:val="0"/>
          <w:marTop w:val="0"/>
          <w:marBottom w:val="0"/>
          <w:divBdr>
            <w:top w:val="none" w:sz="0" w:space="0" w:color="auto"/>
            <w:left w:val="none" w:sz="0" w:space="0" w:color="auto"/>
            <w:bottom w:val="none" w:sz="0" w:space="0" w:color="auto"/>
            <w:right w:val="none" w:sz="0" w:space="0" w:color="auto"/>
          </w:divBdr>
        </w:div>
        <w:div w:id="648746756">
          <w:marLeft w:val="0"/>
          <w:marRight w:val="0"/>
          <w:marTop w:val="0"/>
          <w:marBottom w:val="0"/>
          <w:divBdr>
            <w:top w:val="none" w:sz="0" w:space="0" w:color="auto"/>
            <w:left w:val="none" w:sz="0" w:space="0" w:color="auto"/>
            <w:bottom w:val="none" w:sz="0" w:space="0" w:color="auto"/>
            <w:right w:val="none" w:sz="0" w:space="0" w:color="auto"/>
          </w:divBdr>
        </w:div>
        <w:div w:id="265160362">
          <w:marLeft w:val="0"/>
          <w:marRight w:val="0"/>
          <w:marTop w:val="0"/>
          <w:marBottom w:val="0"/>
          <w:divBdr>
            <w:top w:val="none" w:sz="0" w:space="0" w:color="auto"/>
            <w:left w:val="none" w:sz="0" w:space="0" w:color="auto"/>
            <w:bottom w:val="none" w:sz="0" w:space="0" w:color="auto"/>
            <w:right w:val="none" w:sz="0" w:space="0" w:color="auto"/>
          </w:divBdr>
        </w:div>
        <w:div w:id="590895741">
          <w:marLeft w:val="0"/>
          <w:marRight w:val="0"/>
          <w:marTop w:val="0"/>
          <w:marBottom w:val="0"/>
          <w:divBdr>
            <w:top w:val="none" w:sz="0" w:space="0" w:color="auto"/>
            <w:left w:val="none" w:sz="0" w:space="0" w:color="auto"/>
            <w:bottom w:val="none" w:sz="0" w:space="0" w:color="auto"/>
            <w:right w:val="none" w:sz="0" w:space="0" w:color="auto"/>
          </w:divBdr>
        </w:div>
        <w:div w:id="456030196">
          <w:marLeft w:val="0"/>
          <w:marRight w:val="0"/>
          <w:marTop w:val="0"/>
          <w:marBottom w:val="0"/>
          <w:divBdr>
            <w:top w:val="none" w:sz="0" w:space="0" w:color="auto"/>
            <w:left w:val="none" w:sz="0" w:space="0" w:color="auto"/>
            <w:bottom w:val="none" w:sz="0" w:space="0" w:color="auto"/>
            <w:right w:val="none" w:sz="0" w:space="0" w:color="auto"/>
          </w:divBdr>
        </w:div>
        <w:div w:id="164249311">
          <w:marLeft w:val="0"/>
          <w:marRight w:val="0"/>
          <w:marTop w:val="0"/>
          <w:marBottom w:val="0"/>
          <w:divBdr>
            <w:top w:val="none" w:sz="0" w:space="0" w:color="auto"/>
            <w:left w:val="none" w:sz="0" w:space="0" w:color="auto"/>
            <w:bottom w:val="none" w:sz="0" w:space="0" w:color="auto"/>
            <w:right w:val="none" w:sz="0" w:space="0" w:color="auto"/>
          </w:divBdr>
        </w:div>
        <w:div w:id="379669256">
          <w:marLeft w:val="0"/>
          <w:marRight w:val="0"/>
          <w:marTop w:val="0"/>
          <w:marBottom w:val="0"/>
          <w:divBdr>
            <w:top w:val="none" w:sz="0" w:space="0" w:color="auto"/>
            <w:left w:val="none" w:sz="0" w:space="0" w:color="auto"/>
            <w:bottom w:val="none" w:sz="0" w:space="0" w:color="auto"/>
            <w:right w:val="none" w:sz="0" w:space="0" w:color="auto"/>
          </w:divBdr>
        </w:div>
        <w:div w:id="2128969348">
          <w:marLeft w:val="0"/>
          <w:marRight w:val="0"/>
          <w:marTop w:val="0"/>
          <w:marBottom w:val="0"/>
          <w:divBdr>
            <w:top w:val="none" w:sz="0" w:space="0" w:color="auto"/>
            <w:left w:val="none" w:sz="0" w:space="0" w:color="auto"/>
            <w:bottom w:val="none" w:sz="0" w:space="0" w:color="auto"/>
            <w:right w:val="none" w:sz="0" w:space="0" w:color="auto"/>
          </w:divBdr>
        </w:div>
        <w:div w:id="777605407">
          <w:marLeft w:val="0"/>
          <w:marRight w:val="0"/>
          <w:marTop w:val="0"/>
          <w:marBottom w:val="0"/>
          <w:divBdr>
            <w:top w:val="none" w:sz="0" w:space="0" w:color="auto"/>
            <w:left w:val="none" w:sz="0" w:space="0" w:color="auto"/>
            <w:bottom w:val="none" w:sz="0" w:space="0" w:color="auto"/>
            <w:right w:val="none" w:sz="0" w:space="0" w:color="auto"/>
          </w:divBdr>
        </w:div>
        <w:div w:id="1129395860">
          <w:marLeft w:val="0"/>
          <w:marRight w:val="0"/>
          <w:marTop w:val="0"/>
          <w:marBottom w:val="0"/>
          <w:divBdr>
            <w:top w:val="none" w:sz="0" w:space="0" w:color="auto"/>
            <w:left w:val="none" w:sz="0" w:space="0" w:color="auto"/>
            <w:bottom w:val="none" w:sz="0" w:space="0" w:color="auto"/>
            <w:right w:val="none" w:sz="0" w:space="0" w:color="auto"/>
          </w:divBdr>
        </w:div>
        <w:div w:id="1542787497">
          <w:marLeft w:val="0"/>
          <w:marRight w:val="0"/>
          <w:marTop w:val="0"/>
          <w:marBottom w:val="0"/>
          <w:divBdr>
            <w:top w:val="none" w:sz="0" w:space="0" w:color="auto"/>
            <w:left w:val="none" w:sz="0" w:space="0" w:color="auto"/>
            <w:bottom w:val="none" w:sz="0" w:space="0" w:color="auto"/>
            <w:right w:val="none" w:sz="0" w:space="0" w:color="auto"/>
          </w:divBdr>
        </w:div>
        <w:div w:id="182480143">
          <w:marLeft w:val="0"/>
          <w:marRight w:val="0"/>
          <w:marTop w:val="0"/>
          <w:marBottom w:val="0"/>
          <w:divBdr>
            <w:top w:val="none" w:sz="0" w:space="0" w:color="auto"/>
            <w:left w:val="none" w:sz="0" w:space="0" w:color="auto"/>
            <w:bottom w:val="none" w:sz="0" w:space="0" w:color="auto"/>
            <w:right w:val="none" w:sz="0" w:space="0" w:color="auto"/>
          </w:divBdr>
        </w:div>
        <w:div w:id="132523236">
          <w:marLeft w:val="0"/>
          <w:marRight w:val="0"/>
          <w:marTop w:val="0"/>
          <w:marBottom w:val="0"/>
          <w:divBdr>
            <w:top w:val="none" w:sz="0" w:space="0" w:color="auto"/>
            <w:left w:val="none" w:sz="0" w:space="0" w:color="auto"/>
            <w:bottom w:val="none" w:sz="0" w:space="0" w:color="auto"/>
            <w:right w:val="none" w:sz="0" w:space="0" w:color="auto"/>
          </w:divBdr>
        </w:div>
        <w:div w:id="1194225684">
          <w:marLeft w:val="0"/>
          <w:marRight w:val="0"/>
          <w:marTop w:val="0"/>
          <w:marBottom w:val="0"/>
          <w:divBdr>
            <w:top w:val="none" w:sz="0" w:space="0" w:color="auto"/>
            <w:left w:val="none" w:sz="0" w:space="0" w:color="auto"/>
            <w:bottom w:val="none" w:sz="0" w:space="0" w:color="auto"/>
            <w:right w:val="none" w:sz="0" w:space="0" w:color="auto"/>
          </w:divBdr>
        </w:div>
        <w:div w:id="1503273077">
          <w:marLeft w:val="0"/>
          <w:marRight w:val="0"/>
          <w:marTop w:val="0"/>
          <w:marBottom w:val="0"/>
          <w:divBdr>
            <w:top w:val="none" w:sz="0" w:space="0" w:color="auto"/>
            <w:left w:val="none" w:sz="0" w:space="0" w:color="auto"/>
            <w:bottom w:val="none" w:sz="0" w:space="0" w:color="auto"/>
            <w:right w:val="none" w:sz="0" w:space="0" w:color="auto"/>
          </w:divBdr>
        </w:div>
        <w:div w:id="739331119">
          <w:marLeft w:val="0"/>
          <w:marRight w:val="0"/>
          <w:marTop w:val="0"/>
          <w:marBottom w:val="0"/>
          <w:divBdr>
            <w:top w:val="none" w:sz="0" w:space="0" w:color="auto"/>
            <w:left w:val="none" w:sz="0" w:space="0" w:color="auto"/>
            <w:bottom w:val="none" w:sz="0" w:space="0" w:color="auto"/>
            <w:right w:val="none" w:sz="0" w:space="0" w:color="auto"/>
          </w:divBdr>
        </w:div>
        <w:div w:id="983924604">
          <w:marLeft w:val="0"/>
          <w:marRight w:val="0"/>
          <w:marTop w:val="0"/>
          <w:marBottom w:val="0"/>
          <w:divBdr>
            <w:top w:val="none" w:sz="0" w:space="0" w:color="auto"/>
            <w:left w:val="none" w:sz="0" w:space="0" w:color="auto"/>
            <w:bottom w:val="none" w:sz="0" w:space="0" w:color="auto"/>
            <w:right w:val="none" w:sz="0" w:space="0" w:color="auto"/>
          </w:divBdr>
        </w:div>
        <w:div w:id="1501576844">
          <w:marLeft w:val="0"/>
          <w:marRight w:val="0"/>
          <w:marTop w:val="0"/>
          <w:marBottom w:val="0"/>
          <w:divBdr>
            <w:top w:val="none" w:sz="0" w:space="0" w:color="auto"/>
            <w:left w:val="none" w:sz="0" w:space="0" w:color="auto"/>
            <w:bottom w:val="none" w:sz="0" w:space="0" w:color="auto"/>
            <w:right w:val="none" w:sz="0" w:space="0" w:color="auto"/>
          </w:divBdr>
        </w:div>
        <w:div w:id="720516710">
          <w:marLeft w:val="0"/>
          <w:marRight w:val="0"/>
          <w:marTop w:val="0"/>
          <w:marBottom w:val="0"/>
          <w:divBdr>
            <w:top w:val="none" w:sz="0" w:space="0" w:color="auto"/>
            <w:left w:val="none" w:sz="0" w:space="0" w:color="auto"/>
            <w:bottom w:val="none" w:sz="0" w:space="0" w:color="auto"/>
            <w:right w:val="none" w:sz="0" w:space="0" w:color="auto"/>
          </w:divBdr>
        </w:div>
        <w:div w:id="143131306">
          <w:marLeft w:val="0"/>
          <w:marRight w:val="0"/>
          <w:marTop w:val="0"/>
          <w:marBottom w:val="0"/>
          <w:divBdr>
            <w:top w:val="none" w:sz="0" w:space="0" w:color="auto"/>
            <w:left w:val="none" w:sz="0" w:space="0" w:color="auto"/>
            <w:bottom w:val="none" w:sz="0" w:space="0" w:color="auto"/>
            <w:right w:val="none" w:sz="0" w:space="0" w:color="auto"/>
          </w:divBdr>
        </w:div>
        <w:div w:id="1075395781">
          <w:marLeft w:val="0"/>
          <w:marRight w:val="0"/>
          <w:marTop w:val="0"/>
          <w:marBottom w:val="0"/>
          <w:divBdr>
            <w:top w:val="none" w:sz="0" w:space="0" w:color="auto"/>
            <w:left w:val="none" w:sz="0" w:space="0" w:color="auto"/>
            <w:bottom w:val="none" w:sz="0" w:space="0" w:color="auto"/>
            <w:right w:val="none" w:sz="0" w:space="0" w:color="auto"/>
          </w:divBdr>
        </w:div>
        <w:div w:id="1518428146">
          <w:marLeft w:val="0"/>
          <w:marRight w:val="0"/>
          <w:marTop w:val="0"/>
          <w:marBottom w:val="0"/>
          <w:divBdr>
            <w:top w:val="none" w:sz="0" w:space="0" w:color="auto"/>
            <w:left w:val="none" w:sz="0" w:space="0" w:color="auto"/>
            <w:bottom w:val="none" w:sz="0" w:space="0" w:color="auto"/>
            <w:right w:val="none" w:sz="0" w:space="0" w:color="auto"/>
          </w:divBdr>
        </w:div>
        <w:div w:id="1651442666">
          <w:marLeft w:val="0"/>
          <w:marRight w:val="0"/>
          <w:marTop w:val="0"/>
          <w:marBottom w:val="0"/>
          <w:divBdr>
            <w:top w:val="none" w:sz="0" w:space="0" w:color="auto"/>
            <w:left w:val="none" w:sz="0" w:space="0" w:color="auto"/>
            <w:bottom w:val="none" w:sz="0" w:space="0" w:color="auto"/>
            <w:right w:val="none" w:sz="0" w:space="0" w:color="auto"/>
          </w:divBdr>
        </w:div>
        <w:div w:id="1118332622">
          <w:marLeft w:val="0"/>
          <w:marRight w:val="0"/>
          <w:marTop w:val="0"/>
          <w:marBottom w:val="0"/>
          <w:divBdr>
            <w:top w:val="none" w:sz="0" w:space="0" w:color="auto"/>
            <w:left w:val="none" w:sz="0" w:space="0" w:color="auto"/>
            <w:bottom w:val="none" w:sz="0" w:space="0" w:color="auto"/>
            <w:right w:val="none" w:sz="0" w:space="0" w:color="auto"/>
          </w:divBdr>
        </w:div>
        <w:div w:id="124737722">
          <w:marLeft w:val="0"/>
          <w:marRight w:val="0"/>
          <w:marTop w:val="0"/>
          <w:marBottom w:val="0"/>
          <w:divBdr>
            <w:top w:val="none" w:sz="0" w:space="0" w:color="auto"/>
            <w:left w:val="none" w:sz="0" w:space="0" w:color="auto"/>
            <w:bottom w:val="none" w:sz="0" w:space="0" w:color="auto"/>
            <w:right w:val="none" w:sz="0" w:space="0" w:color="auto"/>
          </w:divBdr>
        </w:div>
      </w:divsChild>
    </w:div>
    <w:div w:id="2039816773">
      <w:bodyDiv w:val="1"/>
      <w:marLeft w:val="0"/>
      <w:marRight w:val="0"/>
      <w:marTop w:val="0"/>
      <w:marBottom w:val="0"/>
      <w:divBdr>
        <w:top w:val="none" w:sz="0" w:space="0" w:color="auto"/>
        <w:left w:val="none" w:sz="0" w:space="0" w:color="auto"/>
        <w:bottom w:val="none" w:sz="0" w:space="0" w:color="auto"/>
        <w:right w:val="none" w:sz="0" w:space="0" w:color="auto"/>
      </w:divBdr>
      <w:divsChild>
        <w:div w:id="2130777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8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657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287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03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1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1530557">
      <w:bodyDiv w:val="1"/>
      <w:marLeft w:val="0"/>
      <w:marRight w:val="0"/>
      <w:marTop w:val="0"/>
      <w:marBottom w:val="0"/>
      <w:divBdr>
        <w:top w:val="none" w:sz="0" w:space="0" w:color="auto"/>
        <w:left w:val="none" w:sz="0" w:space="0" w:color="auto"/>
        <w:bottom w:val="none" w:sz="0" w:space="0" w:color="auto"/>
        <w:right w:val="none" w:sz="0" w:space="0" w:color="auto"/>
      </w:divBdr>
      <w:divsChild>
        <w:div w:id="1161971734">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austlii.edu.au/au/cases/cth/FCA/2004/80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ustlii.edu.au/au/legis/cth/consol_act/ca2001172/s588ff.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ustlii.edu.au/au/cases/nsw/NSWCA/2010/276.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1091-71AF-4483-87D9-427CCD31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22</TotalTime>
  <Pages>60</Pages>
  <Words>21715</Words>
  <Characters>107401</Characters>
  <Application>Microsoft Office Word</Application>
  <DocSecurity>0</DocSecurity>
  <Lines>2065</Lines>
  <Paragraphs>652</Paragraphs>
  <ScaleCrop>false</ScaleCrop>
  <HeadingPairs>
    <vt:vector size="2" baseType="variant">
      <vt:variant>
        <vt:lpstr>Title</vt:lpstr>
      </vt:variant>
      <vt:variant>
        <vt:i4>1</vt:i4>
      </vt:variant>
    </vt:vector>
  </HeadingPairs>
  <TitlesOfParts>
    <vt:vector size="1" baseType="lpstr">
      <vt:lpstr>Bryant (Liquidator) v L.V. Dohnt &amp; Co Pty Ltd, In the Matter of Gunns Limited (In Liq) (Receivers and Managers Appointed) [2018] FCA 238</vt:lpstr>
    </vt:vector>
  </TitlesOfParts>
  <Company>Federal Court of Australia</Company>
  <LinksUpToDate>false</LinksUpToDate>
  <CharactersWithSpaces>128464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(Liquidator) v L.V. Dohnt &amp; Co Pty Ltd, In the Matter of Gunns Limited (In Liq) (Receivers and Managers Appointed) [2018] FCA 238</dc:title>
  <dc:creator>ibuild</dc:creator>
  <cp:lastModifiedBy>Anna Masters</cp:lastModifiedBy>
  <cp:revision>6</cp:revision>
  <cp:lastPrinted>2018-03-06T04:44:00Z</cp:lastPrinted>
  <dcterms:created xsi:type="dcterms:W3CDTF">2018-03-23T04:44:00Z</dcterms:created>
  <dcterms:modified xsi:type="dcterms:W3CDTF">2018-03-23T05:21:00Z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DAVIES J</vt:lpwstr>
  </property>
  <property fmtid="{D5CDD505-2E9C-101B-9397-08002B2CF9AE}" pid="4" name="Judgment_dated" linkTarget="Judgment_dated">
    <vt:lpwstr># DECEMBER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