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B6547C" w:rsidRDefault="00A57E3E">
      <w:pPr>
        <w:pStyle w:val="MediaNeutralStyle"/>
      </w:pPr>
      <w:bookmarkStart w:id="0" w:name="MNC"/>
      <w:r>
        <w:t>Tech Mahindra Limited v Commissioner of Taxation</w:t>
      </w:r>
    </w:p>
    <w:p w:rsidR="00395B24" w:rsidRDefault="00B6547C">
      <w:pPr>
        <w:pStyle w:val="MediaNeutralStyle"/>
      </w:pPr>
      <w:r>
        <w:t>[2016] FCAFC 130</w:t>
      </w:r>
      <w:r w:rsidR="00A57E3E">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876F3">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6876F3" w:rsidP="002539B3">
            <w:pPr>
              <w:pStyle w:val="CasesLegislationAppealFrom"/>
              <w:spacing w:after="60"/>
            </w:pPr>
            <w:r w:rsidRPr="00BB3061">
              <w:rPr>
                <w:i/>
              </w:rPr>
              <w:t>Tech Mahindra Limited v Commissioner of Taxation</w:t>
            </w:r>
            <w:r>
              <w:t xml:space="preserve"> [2015] FCA 1082</w:t>
            </w:r>
          </w:p>
        </w:tc>
      </w:tr>
      <w:tr w:rsidR="00395B24" w:rsidTr="006876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6F3">
        <w:tc>
          <w:tcPr>
            <w:tcW w:w="3085" w:type="dxa"/>
            <w:shd w:val="clear" w:color="auto" w:fill="auto"/>
          </w:tcPr>
          <w:p w:rsidR="00395B24" w:rsidRDefault="006876F3" w:rsidP="00663878">
            <w:pPr>
              <w:pStyle w:val="Normal1linespace"/>
              <w:widowControl w:val="0"/>
              <w:jc w:val="left"/>
            </w:pPr>
            <w:r>
              <w:t>File number</w:t>
            </w:r>
            <w:r w:rsidR="002C7385">
              <w:t>:</w:t>
            </w:r>
          </w:p>
        </w:tc>
        <w:tc>
          <w:tcPr>
            <w:tcW w:w="5989" w:type="dxa"/>
            <w:shd w:val="clear" w:color="auto" w:fill="auto"/>
          </w:tcPr>
          <w:p w:rsidR="00395B24" w:rsidRPr="00A57E3E" w:rsidRDefault="00056742" w:rsidP="00A57E3E">
            <w:pPr>
              <w:pStyle w:val="Normal1linespace"/>
              <w:jc w:val="left"/>
            </w:pPr>
            <w:r>
              <w:fldChar w:fldCharType="begin" w:fldLock="1"/>
            </w:r>
            <w:r>
              <w:instrText xml:space="preserve"> REF  FileNo  \* MERGEFORMAT </w:instrText>
            </w:r>
            <w:r>
              <w:fldChar w:fldCharType="separate"/>
            </w:r>
            <w:r w:rsidR="00A57E3E" w:rsidRPr="00A57E3E">
              <w:t>NSD 1699 of 2015</w:t>
            </w:r>
            <w:r>
              <w:fldChar w:fldCharType="end"/>
            </w:r>
          </w:p>
        </w:tc>
      </w:tr>
      <w:tr w:rsidR="00395B24" w:rsidTr="006876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6F3">
        <w:tc>
          <w:tcPr>
            <w:tcW w:w="3085" w:type="dxa"/>
            <w:shd w:val="clear" w:color="auto" w:fill="auto"/>
          </w:tcPr>
          <w:p w:rsidR="00395B24" w:rsidRDefault="006876F3" w:rsidP="00663878">
            <w:pPr>
              <w:pStyle w:val="Normal1linespace"/>
              <w:widowControl w:val="0"/>
              <w:jc w:val="left"/>
            </w:pPr>
            <w:r>
              <w:t>Judges</w:t>
            </w:r>
            <w:r w:rsidR="002C7385">
              <w:t>:</w:t>
            </w:r>
          </w:p>
        </w:tc>
        <w:tc>
          <w:tcPr>
            <w:tcW w:w="5989" w:type="dxa"/>
            <w:shd w:val="clear" w:color="auto" w:fill="auto"/>
          </w:tcPr>
          <w:p w:rsidR="00395B24" w:rsidRDefault="002C7385" w:rsidP="00DD0EAB">
            <w:pPr>
              <w:pStyle w:val="Normal1linespace"/>
              <w:widowControl w:val="0"/>
              <w:jc w:val="left"/>
              <w:rPr>
                <w:b/>
              </w:rPr>
            </w:pPr>
            <w:r w:rsidRPr="00A57E3E">
              <w:rPr>
                <w:b/>
              </w:rPr>
              <w:fldChar w:fldCharType="begin" w:fldLock="1"/>
            </w:r>
            <w:r w:rsidRPr="00A57E3E">
              <w:rPr>
                <w:b/>
              </w:rPr>
              <w:instrText xml:space="preserve"> REF  Judge  \* MERGEFORMAT </w:instrText>
            </w:r>
            <w:r w:rsidRPr="00A57E3E">
              <w:rPr>
                <w:b/>
              </w:rPr>
              <w:fldChar w:fldCharType="separate"/>
            </w:r>
            <w:r w:rsidR="00A57E3E" w:rsidRPr="00A57E3E">
              <w:rPr>
                <w:b/>
                <w:caps/>
                <w:szCs w:val="24"/>
              </w:rPr>
              <w:t>ROBERTSON, DAVIES AND WIGNEY JJ</w:t>
            </w:r>
            <w:r w:rsidRPr="00A57E3E">
              <w:rPr>
                <w:b/>
              </w:rPr>
              <w:fldChar w:fldCharType="end"/>
            </w:r>
          </w:p>
        </w:tc>
      </w:tr>
      <w:tr w:rsidR="00395B24" w:rsidTr="006876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6F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6547C" w:rsidP="0066214C">
            <w:pPr>
              <w:pStyle w:val="Normal1linespace"/>
              <w:widowControl w:val="0"/>
              <w:jc w:val="left"/>
            </w:pPr>
            <w:bookmarkStart w:id="1" w:name="JudgmentDate"/>
            <w:r w:rsidRPr="0066214C">
              <w:t>22 September 2016</w:t>
            </w:r>
            <w:bookmarkEnd w:id="1"/>
          </w:p>
        </w:tc>
      </w:tr>
      <w:tr w:rsidR="00395B24" w:rsidTr="006876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6F3">
        <w:tc>
          <w:tcPr>
            <w:tcW w:w="3085" w:type="dxa"/>
            <w:shd w:val="clear" w:color="auto" w:fill="auto"/>
          </w:tcPr>
          <w:p w:rsidR="00395B24" w:rsidRPr="00040EE6" w:rsidRDefault="002C7385" w:rsidP="00663878">
            <w:pPr>
              <w:pStyle w:val="Normal1linespace"/>
              <w:widowControl w:val="0"/>
              <w:jc w:val="left"/>
            </w:pPr>
            <w:r w:rsidRPr="00040EE6">
              <w:t>Catchwords:</w:t>
            </w:r>
          </w:p>
        </w:tc>
        <w:tc>
          <w:tcPr>
            <w:tcW w:w="5989" w:type="dxa"/>
            <w:shd w:val="clear" w:color="auto" w:fill="auto"/>
          </w:tcPr>
          <w:p w:rsidR="00395B24" w:rsidRPr="00040EE6" w:rsidRDefault="006876F3" w:rsidP="00231EBE">
            <w:pPr>
              <w:pStyle w:val="Normal1linespace"/>
              <w:widowControl w:val="0"/>
              <w:jc w:val="left"/>
            </w:pPr>
            <w:r w:rsidRPr="00040EE6">
              <w:rPr>
                <w:b/>
              </w:rPr>
              <w:t xml:space="preserve">TAXATION </w:t>
            </w:r>
            <w:r w:rsidR="007D4CD9" w:rsidRPr="00040EE6">
              <w:t>–</w:t>
            </w:r>
            <w:r w:rsidRPr="00040EE6">
              <w:t xml:space="preserve"> </w:t>
            </w:r>
            <w:r w:rsidR="00F749AE">
              <w:t xml:space="preserve">allocation of taxing rights – </w:t>
            </w:r>
            <w:r w:rsidR="006759AB">
              <w:t xml:space="preserve">interaction between Art 7 and Art 12 </w:t>
            </w:r>
            <w:r w:rsidR="00F749AE">
              <w:t xml:space="preserve">of the </w:t>
            </w:r>
            <w:r w:rsidR="007D4CD9" w:rsidRPr="00040EE6">
              <w:rPr>
                <w:i/>
              </w:rPr>
              <w:t>Agreement between the Government of Australia and the Government of the Republic of India for the Avoidance of Double Taxation and the Prevention of Fiscal Evasion with Respect to Taxes on Income 1991</w:t>
            </w:r>
            <w:r w:rsidR="007D4CD9" w:rsidRPr="00040EE6">
              <w:t xml:space="preserve"> [1991] ATS 49 –</w:t>
            </w:r>
            <w:r w:rsidR="00F749AE">
              <w:t xml:space="preserve">– </w:t>
            </w:r>
            <w:r w:rsidR="006759AB">
              <w:t xml:space="preserve">operation of Art 7 “business profits rule” </w:t>
            </w:r>
            <w:r w:rsidR="007D4CD9" w:rsidRPr="00040EE6">
              <w:t xml:space="preserve">– </w:t>
            </w:r>
            <w:r w:rsidR="006759AB">
              <w:t xml:space="preserve">operation of Art 12 “the royalties provision”– </w:t>
            </w:r>
            <w:r w:rsidR="007D4CD9" w:rsidRPr="00040EE6">
              <w:t xml:space="preserve">whether </w:t>
            </w:r>
            <w:r w:rsidR="006759AB">
              <w:t>Art </w:t>
            </w:r>
            <w:r w:rsidR="007D4CD9" w:rsidRPr="00040EE6">
              <w:t xml:space="preserve">12(4) on its proper construction applied </w:t>
            </w:r>
            <w:r w:rsidR="00F61C73">
              <w:t>to royalties</w:t>
            </w:r>
            <w:r w:rsidR="00932DF0">
              <w:t xml:space="preserve"> </w:t>
            </w:r>
            <w:r w:rsidR="006759AB">
              <w:t xml:space="preserve">– whether source State has </w:t>
            </w:r>
            <w:r w:rsidR="00932DF0">
              <w:t xml:space="preserve">a </w:t>
            </w:r>
            <w:r w:rsidR="006759AB">
              <w:t xml:space="preserve">right to tax </w:t>
            </w:r>
            <w:r w:rsidR="00932DF0">
              <w:t xml:space="preserve"> royalties under</w:t>
            </w:r>
            <w:r w:rsidR="006759AB">
              <w:t xml:space="preserve"> Art 7 or Art 12</w:t>
            </w:r>
          </w:p>
        </w:tc>
      </w:tr>
      <w:tr w:rsidR="00395B24" w:rsidTr="006876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6F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6855B5" w:rsidRDefault="00CA5650" w:rsidP="00D82620">
            <w:pPr>
              <w:pStyle w:val="CasesLegislationAppealFrom"/>
              <w:spacing w:after="60"/>
            </w:pPr>
            <w:r w:rsidRPr="006855B5">
              <w:rPr>
                <w:i/>
              </w:rPr>
              <w:t>Agreement between the Government of Australia and the Government of the Republic of India for the Avoidance of Double Taxation and the Prevention of Fiscal Evasion with Respect to Taxes on Income 1991</w:t>
            </w:r>
            <w:r w:rsidRPr="006855B5">
              <w:t xml:space="preserve"> [1991] ATS 49, Art</w:t>
            </w:r>
            <w:r w:rsidR="007A4216" w:rsidRPr="006855B5">
              <w:t xml:space="preserve"> 7 and Art 12</w:t>
            </w:r>
          </w:p>
          <w:p w:rsidR="00CA5650" w:rsidRPr="00AB7D7A" w:rsidRDefault="00CA5650" w:rsidP="00FD4551">
            <w:pPr>
              <w:pStyle w:val="CasesLegislationAppealFrom"/>
              <w:spacing w:after="60"/>
            </w:pPr>
            <w:r w:rsidRPr="00AB7D7A">
              <w:rPr>
                <w:i/>
              </w:rPr>
              <w:t>International Tax Agreements Act 1953</w:t>
            </w:r>
            <w:r w:rsidRPr="00AB7D7A">
              <w:t xml:space="preserve"> (Cth</w:t>
            </w:r>
            <w:r w:rsidR="00B426DC" w:rsidRPr="00AB7D7A">
              <w:t>), s 11Z</w:t>
            </w:r>
          </w:p>
          <w:p w:rsidR="00CF4798" w:rsidRDefault="00CF4798" w:rsidP="0066214C">
            <w:pPr>
              <w:pStyle w:val="CasesLegislationAppealFrom"/>
              <w:spacing w:after="0"/>
            </w:pPr>
            <w:r w:rsidRPr="00AB7D7A">
              <w:rPr>
                <w:i/>
              </w:rPr>
              <w:t>Vienna Convention on the Law of Treaties</w:t>
            </w:r>
            <w:r w:rsidRPr="00AB7D7A">
              <w:t xml:space="preserve"> [1974] ATS 2, Art 31</w:t>
            </w:r>
          </w:p>
        </w:tc>
      </w:tr>
      <w:tr w:rsidR="00395B24" w:rsidTr="006876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6F3">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CA5650" w:rsidP="00D82620">
            <w:pPr>
              <w:pStyle w:val="CasesLegislationAppealFrom"/>
              <w:spacing w:after="60"/>
            </w:pPr>
            <w:r w:rsidRPr="00CA5650">
              <w:rPr>
                <w:i/>
              </w:rPr>
              <w:t>McDermott Industries (Aust) Pty Ltd v Commissioner of Taxation</w:t>
            </w:r>
            <w:r w:rsidRPr="00CA5650">
              <w:t xml:space="preserve"> (2005) 142 FCR 134; [2005] FCAFC 67</w:t>
            </w:r>
          </w:p>
          <w:p w:rsidR="00F45114" w:rsidRDefault="00F45114" w:rsidP="0066214C">
            <w:pPr>
              <w:pStyle w:val="CasesLegislationAppealFrom"/>
              <w:spacing w:after="0"/>
            </w:pPr>
            <w:r w:rsidRPr="00F45114">
              <w:rPr>
                <w:i/>
              </w:rPr>
              <w:t>Task Technology Pty Ltd v Federal Commissioner of Taxation</w:t>
            </w:r>
            <w:r w:rsidRPr="00F45114">
              <w:t xml:space="preserve"> (2014) 224 FCR 355; [2014] FCAFC 113</w:t>
            </w:r>
          </w:p>
        </w:tc>
      </w:tr>
      <w:tr w:rsidR="006876F3" w:rsidRPr="006876F3" w:rsidTr="006876F3">
        <w:tc>
          <w:tcPr>
            <w:tcW w:w="3085" w:type="dxa"/>
            <w:shd w:val="clear" w:color="auto" w:fill="auto"/>
          </w:tcPr>
          <w:p w:rsidR="006876F3" w:rsidRPr="006876F3" w:rsidRDefault="006876F3" w:rsidP="006876F3">
            <w:pPr>
              <w:pStyle w:val="Normal1linespace"/>
              <w:jc w:val="left"/>
            </w:pPr>
          </w:p>
        </w:tc>
        <w:tc>
          <w:tcPr>
            <w:tcW w:w="5989" w:type="dxa"/>
            <w:shd w:val="clear" w:color="auto" w:fill="auto"/>
          </w:tcPr>
          <w:p w:rsidR="006876F3" w:rsidRPr="006876F3" w:rsidRDefault="006876F3" w:rsidP="006876F3">
            <w:pPr>
              <w:pStyle w:val="Normal1linespace"/>
              <w:jc w:val="left"/>
            </w:pPr>
          </w:p>
        </w:tc>
      </w:tr>
      <w:tr w:rsidR="006876F3" w:rsidRPr="006876F3" w:rsidTr="006876F3">
        <w:tc>
          <w:tcPr>
            <w:tcW w:w="3085" w:type="dxa"/>
            <w:shd w:val="clear" w:color="auto" w:fill="auto"/>
          </w:tcPr>
          <w:p w:rsidR="006876F3" w:rsidRPr="006876F3" w:rsidRDefault="006876F3" w:rsidP="006876F3">
            <w:pPr>
              <w:pStyle w:val="Normal1linespace"/>
              <w:jc w:val="left"/>
            </w:pPr>
            <w:bookmarkStart w:id="2" w:name="CounselDate" w:colFirst="0" w:colLast="2"/>
            <w:r w:rsidRPr="006876F3">
              <w:t>Date of hearing:</w:t>
            </w:r>
          </w:p>
        </w:tc>
        <w:tc>
          <w:tcPr>
            <w:tcW w:w="5989" w:type="dxa"/>
            <w:shd w:val="clear" w:color="auto" w:fill="auto"/>
          </w:tcPr>
          <w:p w:rsidR="006876F3" w:rsidRPr="006876F3" w:rsidRDefault="006876F3" w:rsidP="006876F3">
            <w:pPr>
              <w:pStyle w:val="Normal1linespace"/>
              <w:jc w:val="left"/>
            </w:pPr>
            <w:bookmarkStart w:id="3" w:name="HearingDate"/>
            <w:r>
              <w:t>9 August 2016</w:t>
            </w:r>
            <w:bookmarkEnd w:id="3"/>
          </w:p>
        </w:tc>
      </w:tr>
      <w:tr w:rsidR="006876F3" w:rsidRPr="006876F3" w:rsidTr="006876F3">
        <w:tc>
          <w:tcPr>
            <w:tcW w:w="3085" w:type="dxa"/>
            <w:shd w:val="clear" w:color="auto" w:fill="auto"/>
          </w:tcPr>
          <w:p w:rsidR="006876F3" w:rsidRPr="006876F3" w:rsidRDefault="006876F3" w:rsidP="006876F3">
            <w:pPr>
              <w:pStyle w:val="Normal1linespace"/>
              <w:jc w:val="left"/>
            </w:pPr>
          </w:p>
        </w:tc>
        <w:tc>
          <w:tcPr>
            <w:tcW w:w="5989" w:type="dxa"/>
            <w:shd w:val="clear" w:color="auto" w:fill="auto"/>
          </w:tcPr>
          <w:p w:rsidR="006876F3" w:rsidRPr="006876F3" w:rsidRDefault="006876F3" w:rsidP="006876F3">
            <w:pPr>
              <w:pStyle w:val="Normal1linespace"/>
              <w:jc w:val="left"/>
            </w:pPr>
          </w:p>
        </w:tc>
      </w:tr>
      <w:bookmarkEnd w:id="2"/>
      <w:tr w:rsidR="006876F3" w:rsidTr="006876F3">
        <w:tc>
          <w:tcPr>
            <w:tcW w:w="3085" w:type="dxa"/>
            <w:shd w:val="clear" w:color="auto" w:fill="auto"/>
          </w:tcPr>
          <w:p w:rsidR="006876F3" w:rsidRDefault="006876F3" w:rsidP="006876F3">
            <w:pPr>
              <w:pStyle w:val="Normal1linespace"/>
              <w:widowControl w:val="0"/>
              <w:jc w:val="left"/>
            </w:pPr>
            <w:r>
              <w:t>Registry:</w:t>
            </w:r>
          </w:p>
        </w:tc>
        <w:tc>
          <w:tcPr>
            <w:tcW w:w="5989" w:type="dxa"/>
            <w:shd w:val="clear" w:color="auto" w:fill="auto"/>
          </w:tcPr>
          <w:p w:rsidR="006876F3" w:rsidRPr="00F17599" w:rsidRDefault="00231EBE" w:rsidP="006876F3">
            <w:pPr>
              <w:pStyle w:val="Normal1linespace"/>
              <w:widowControl w:val="0"/>
              <w:jc w:val="left"/>
            </w:pPr>
            <w:fldSimple w:instr=" DOCPROPERTY  Registry ">
              <w:r w:rsidR="006876F3">
                <w:t>New South Wales</w:t>
              </w:r>
            </w:fldSimple>
          </w:p>
        </w:tc>
      </w:tr>
      <w:tr w:rsidR="006876F3" w:rsidTr="006876F3">
        <w:tc>
          <w:tcPr>
            <w:tcW w:w="3085" w:type="dxa"/>
            <w:shd w:val="clear" w:color="auto" w:fill="auto"/>
          </w:tcPr>
          <w:p w:rsidR="006876F3" w:rsidRDefault="006876F3" w:rsidP="006876F3">
            <w:pPr>
              <w:pStyle w:val="Normal1linespace"/>
              <w:widowControl w:val="0"/>
              <w:jc w:val="left"/>
            </w:pPr>
          </w:p>
        </w:tc>
        <w:tc>
          <w:tcPr>
            <w:tcW w:w="5989" w:type="dxa"/>
            <w:shd w:val="clear" w:color="auto" w:fill="auto"/>
          </w:tcPr>
          <w:p w:rsidR="006876F3" w:rsidRDefault="006876F3" w:rsidP="006876F3">
            <w:pPr>
              <w:pStyle w:val="Normal1linespace"/>
              <w:widowControl w:val="0"/>
              <w:jc w:val="left"/>
            </w:pPr>
          </w:p>
        </w:tc>
      </w:tr>
      <w:tr w:rsidR="006876F3" w:rsidTr="006876F3">
        <w:tc>
          <w:tcPr>
            <w:tcW w:w="3085" w:type="dxa"/>
            <w:shd w:val="clear" w:color="auto" w:fill="auto"/>
          </w:tcPr>
          <w:p w:rsidR="006876F3" w:rsidRDefault="006876F3" w:rsidP="006876F3">
            <w:pPr>
              <w:pStyle w:val="Normal1linespace"/>
              <w:widowControl w:val="0"/>
              <w:jc w:val="left"/>
            </w:pPr>
            <w:r>
              <w:t>Division:</w:t>
            </w:r>
          </w:p>
        </w:tc>
        <w:tc>
          <w:tcPr>
            <w:tcW w:w="5989" w:type="dxa"/>
            <w:shd w:val="clear" w:color="auto" w:fill="auto"/>
          </w:tcPr>
          <w:p w:rsidR="006876F3" w:rsidRPr="00F17599" w:rsidRDefault="00231EBE" w:rsidP="006876F3">
            <w:pPr>
              <w:pStyle w:val="Normal1linespace"/>
              <w:widowControl w:val="0"/>
              <w:jc w:val="left"/>
            </w:pPr>
            <w:fldSimple w:instr=" DOCPROPERTY  Division ">
              <w:r w:rsidR="006876F3">
                <w:t>General Division</w:t>
              </w:r>
            </w:fldSimple>
          </w:p>
        </w:tc>
      </w:tr>
      <w:tr w:rsidR="006876F3" w:rsidTr="006876F3">
        <w:tc>
          <w:tcPr>
            <w:tcW w:w="3085" w:type="dxa"/>
            <w:shd w:val="clear" w:color="auto" w:fill="auto"/>
          </w:tcPr>
          <w:p w:rsidR="006876F3" w:rsidRDefault="006876F3" w:rsidP="006876F3">
            <w:pPr>
              <w:pStyle w:val="Normal1linespace"/>
              <w:widowControl w:val="0"/>
              <w:jc w:val="left"/>
            </w:pPr>
          </w:p>
        </w:tc>
        <w:tc>
          <w:tcPr>
            <w:tcW w:w="5989" w:type="dxa"/>
            <w:shd w:val="clear" w:color="auto" w:fill="auto"/>
          </w:tcPr>
          <w:p w:rsidR="006876F3" w:rsidRPr="00F17599" w:rsidRDefault="006876F3" w:rsidP="006876F3">
            <w:pPr>
              <w:pStyle w:val="Normal1linespace"/>
              <w:widowControl w:val="0"/>
              <w:jc w:val="left"/>
              <w:rPr>
                <w:b/>
              </w:rPr>
            </w:pPr>
          </w:p>
        </w:tc>
      </w:tr>
      <w:tr w:rsidR="006876F3" w:rsidRPr="006876F3" w:rsidTr="006876F3">
        <w:tc>
          <w:tcPr>
            <w:tcW w:w="3085" w:type="dxa"/>
            <w:shd w:val="clear" w:color="auto" w:fill="auto"/>
          </w:tcPr>
          <w:p w:rsidR="006876F3" w:rsidRPr="006876F3" w:rsidRDefault="006876F3" w:rsidP="006876F3">
            <w:pPr>
              <w:pStyle w:val="Normal1linespace"/>
              <w:widowControl w:val="0"/>
              <w:jc w:val="left"/>
              <w:rPr>
                <w:highlight w:val="yellow"/>
              </w:rPr>
            </w:pPr>
            <w:r w:rsidRPr="006876F3">
              <w:t>National Practice Area:</w:t>
            </w:r>
          </w:p>
        </w:tc>
        <w:tc>
          <w:tcPr>
            <w:tcW w:w="5989" w:type="dxa"/>
            <w:shd w:val="clear" w:color="auto" w:fill="auto"/>
          </w:tcPr>
          <w:p w:rsidR="006876F3" w:rsidRPr="006876F3" w:rsidRDefault="006876F3" w:rsidP="006876F3">
            <w:pPr>
              <w:pStyle w:val="Normal1linespace"/>
              <w:widowControl w:val="0"/>
              <w:jc w:val="left"/>
              <w:rPr>
                <w:b/>
                <w:highlight w:val="yellow"/>
              </w:rPr>
            </w:pPr>
            <w:r w:rsidRPr="006876F3">
              <w:t>Taxation</w:t>
            </w:r>
          </w:p>
        </w:tc>
      </w:tr>
      <w:tr w:rsidR="006876F3" w:rsidTr="006876F3">
        <w:tc>
          <w:tcPr>
            <w:tcW w:w="3085" w:type="dxa"/>
            <w:shd w:val="clear" w:color="auto" w:fill="auto"/>
          </w:tcPr>
          <w:p w:rsidR="006876F3" w:rsidRDefault="006876F3" w:rsidP="006876F3">
            <w:pPr>
              <w:pStyle w:val="Normal1linespace"/>
              <w:widowControl w:val="0"/>
              <w:jc w:val="left"/>
            </w:pPr>
          </w:p>
        </w:tc>
        <w:tc>
          <w:tcPr>
            <w:tcW w:w="5989" w:type="dxa"/>
            <w:shd w:val="clear" w:color="auto" w:fill="auto"/>
          </w:tcPr>
          <w:p w:rsidR="006876F3" w:rsidRDefault="006876F3" w:rsidP="006876F3">
            <w:pPr>
              <w:pStyle w:val="Normal1linespace"/>
              <w:widowControl w:val="0"/>
              <w:jc w:val="left"/>
            </w:pPr>
          </w:p>
        </w:tc>
      </w:tr>
      <w:tr w:rsidR="006876F3" w:rsidTr="006876F3">
        <w:tc>
          <w:tcPr>
            <w:tcW w:w="3085" w:type="dxa"/>
            <w:shd w:val="clear" w:color="auto" w:fill="auto"/>
          </w:tcPr>
          <w:p w:rsidR="006876F3" w:rsidRDefault="006876F3" w:rsidP="006876F3">
            <w:pPr>
              <w:pStyle w:val="Normal1linespace"/>
              <w:widowControl w:val="0"/>
              <w:jc w:val="left"/>
            </w:pPr>
            <w:r>
              <w:lastRenderedPageBreak/>
              <w:t>Category:</w:t>
            </w:r>
          </w:p>
        </w:tc>
        <w:tc>
          <w:tcPr>
            <w:tcW w:w="5989" w:type="dxa"/>
            <w:shd w:val="clear" w:color="auto" w:fill="auto"/>
          </w:tcPr>
          <w:p w:rsidR="006876F3" w:rsidRDefault="006876F3" w:rsidP="006876F3">
            <w:pPr>
              <w:pStyle w:val="Normal1linespace"/>
              <w:widowControl w:val="0"/>
              <w:jc w:val="left"/>
            </w:pPr>
            <w:r>
              <w:t>Catchwords</w:t>
            </w:r>
          </w:p>
        </w:tc>
      </w:tr>
      <w:tr w:rsidR="006876F3" w:rsidTr="006876F3">
        <w:tc>
          <w:tcPr>
            <w:tcW w:w="3085" w:type="dxa"/>
            <w:shd w:val="clear" w:color="auto" w:fill="auto"/>
          </w:tcPr>
          <w:p w:rsidR="006876F3" w:rsidRDefault="006876F3" w:rsidP="006876F3">
            <w:pPr>
              <w:pStyle w:val="Normal1linespace"/>
              <w:widowControl w:val="0"/>
              <w:jc w:val="left"/>
            </w:pPr>
          </w:p>
        </w:tc>
        <w:tc>
          <w:tcPr>
            <w:tcW w:w="5989" w:type="dxa"/>
            <w:shd w:val="clear" w:color="auto" w:fill="auto"/>
          </w:tcPr>
          <w:p w:rsidR="006876F3" w:rsidRDefault="006876F3" w:rsidP="006876F3">
            <w:pPr>
              <w:pStyle w:val="Normal1linespace"/>
              <w:widowControl w:val="0"/>
              <w:jc w:val="left"/>
            </w:pPr>
          </w:p>
        </w:tc>
      </w:tr>
      <w:tr w:rsidR="006876F3" w:rsidTr="006876F3">
        <w:tc>
          <w:tcPr>
            <w:tcW w:w="3085" w:type="dxa"/>
            <w:shd w:val="clear" w:color="auto" w:fill="auto"/>
          </w:tcPr>
          <w:p w:rsidR="006876F3" w:rsidRDefault="006876F3" w:rsidP="006876F3">
            <w:pPr>
              <w:pStyle w:val="Normal1linespace"/>
              <w:widowControl w:val="0"/>
              <w:jc w:val="left"/>
            </w:pPr>
            <w:r>
              <w:t>Number of paragraphs:</w:t>
            </w:r>
          </w:p>
        </w:tc>
        <w:tc>
          <w:tcPr>
            <w:tcW w:w="5989" w:type="dxa"/>
            <w:shd w:val="clear" w:color="auto" w:fill="auto"/>
          </w:tcPr>
          <w:p w:rsidR="006876F3" w:rsidRDefault="00B6547C" w:rsidP="006876F3">
            <w:pPr>
              <w:pStyle w:val="Normal1linespace"/>
              <w:widowControl w:val="0"/>
              <w:jc w:val="left"/>
            </w:pPr>
            <w:bookmarkStart w:id="4" w:name="PlaceCategoryParagraphs"/>
            <w:r>
              <w:t>44</w:t>
            </w:r>
            <w:bookmarkEnd w:id="4"/>
          </w:p>
        </w:tc>
      </w:tr>
      <w:tr w:rsidR="006876F3" w:rsidTr="006876F3">
        <w:tc>
          <w:tcPr>
            <w:tcW w:w="3085" w:type="dxa"/>
            <w:shd w:val="clear" w:color="auto" w:fill="auto"/>
          </w:tcPr>
          <w:p w:rsidR="006876F3" w:rsidRDefault="006876F3" w:rsidP="006876F3">
            <w:pPr>
              <w:pStyle w:val="Normal1linespace"/>
              <w:widowControl w:val="0"/>
              <w:jc w:val="left"/>
            </w:pPr>
          </w:p>
        </w:tc>
        <w:tc>
          <w:tcPr>
            <w:tcW w:w="5989" w:type="dxa"/>
            <w:shd w:val="clear" w:color="auto" w:fill="auto"/>
          </w:tcPr>
          <w:p w:rsidR="006876F3" w:rsidRDefault="006876F3" w:rsidP="006876F3">
            <w:pPr>
              <w:pStyle w:val="Normal1linespace"/>
              <w:widowControl w:val="0"/>
              <w:jc w:val="left"/>
            </w:pPr>
          </w:p>
        </w:tc>
      </w:tr>
      <w:tr w:rsidR="006876F3" w:rsidTr="006876F3">
        <w:tc>
          <w:tcPr>
            <w:tcW w:w="3085" w:type="dxa"/>
            <w:shd w:val="clear" w:color="auto" w:fill="auto"/>
          </w:tcPr>
          <w:p w:rsidR="006876F3" w:rsidRDefault="006876F3" w:rsidP="006876F3">
            <w:pPr>
              <w:pStyle w:val="Normal1linespace"/>
              <w:widowControl w:val="0"/>
              <w:jc w:val="left"/>
            </w:pPr>
            <w:bookmarkStart w:id="5" w:name="Counsel" w:colFirst="0" w:colLast="2"/>
            <w:r>
              <w:t>Counsel for the Appellant:</w:t>
            </w:r>
          </w:p>
        </w:tc>
        <w:tc>
          <w:tcPr>
            <w:tcW w:w="5989" w:type="dxa"/>
            <w:shd w:val="clear" w:color="auto" w:fill="auto"/>
          </w:tcPr>
          <w:p w:rsidR="006876F3" w:rsidRDefault="006876F3" w:rsidP="006876F3">
            <w:pPr>
              <w:pStyle w:val="Normal1linespace"/>
              <w:widowControl w:val="0"/>
              <w:jc w:val="left"/>
            </w:pPr>
            <w:bookmarkStart w:id="6" w:name="AppCounsel"/>
            <w:bookmarkEnd w:id="6"/>
            <w:r>
              <w:t>B J Sullivan SC with M</w:t>
            </w:r>
            <w:r w:rsidR="00CF4798">
              <w:t xml:space="preserve"> P</w:t>
            </w:r>
            <w:r>
              <w:t xml:space="preserve"> </w:t>
            </w:r>
            <w:proofErr w:type="spellStart"/>
            <w:r>
              <w:t>Heraghty</w:t>
            </w:r>
            <w:proofErr w:type="spellEnd"/>
            <w:r>
              <w:t xml:space="preserve"> and R</w:t>
            </w:r>
            <w:r w:rsidR="00CF4798">
              <w:t xml:space="preserve"> W</w:t>
            </w:r>
            <w:r>
              <w:t xml:space="preserve"> Clark</w:t>
            </w:r>
          </w:p>
        </w:tc>
      </w:tr>
      <w:tr w:rsidR="00BB3061" w:rsidTr="006876F3">
        <w:tc>
          <w:tcPr>
            <w:tcW w:w="3085" w:type="dxa"/>
            <w:shd w:val="clear" w:color="auto" w:fill="auto"/>
          </w:tcPr>
          <w:p w:rsidR="00BB3061" w:rsidRDefault="00BB3061" w:rsidP="006876F3">
            <w:pPr>
              <w:pStyle w:val="Normal1linespace"/>
              <w:widowControl w:val="0"/>
              <w:jc w:val="left"/>
            </w:pPr>
          </w:p>
        </w:tc>
        <w:tc>
          <w:tcPr>
            <w:tcW w:w="5989" w:type="dxa"/>
            <w:shd w:val="clear" w:color="auto" w:fill="auto"/>
          </w:tcPr>
          <w:p w:rsidR="00BB3061" w:rsidRDefault="00BB3061" w:rsidP="006876F3">
            <w:pPr>
              <w:pStyle w:val="Normal1linespace"/>
              <w:widowControl w:val="0"/>
              <w:jc w:val="left"/>
            </w:pPr>
          </w:p>
        </w:tc>
      </w:tr>
      <w:tr w:rsidR="006876F3" w:rsidTr="006876F3">
        <w:tc>
          <w:tcPr>
            <w:tcW w:w="3085" w:type="dxa"/>
            <w:shd w:val="clear" w:color="auto" w:fill="auto"/>
          </w:tcPr>
          <w:p w:rsidR="006876F3" w:rsidRDefault="00F342EA" w:rsidP="006876F3">
            <w:pPr>
              <w:pStyle w:val="Normal1linespace"/>
              <w:widowControl w:val="0"/>
              <w:jc w:val="left"/>
            </w:pPr>
            <w:r>
              <w:t>Solicitor for the Appellant:</w:t>
            </w:r>
          </w:p>
        </w:tc>
        <w:tc>
          <w:tcPr>
            <w:tcW w:w="5989" w:type="dxa"/>
            <w:shd w:val="clear" w:color="auto" w:fill="auto"/>
          </w:tcPr>
          <w:p w:rsidR="006876F3" w:rsidRDefault="00F342EA" w:rsidP="006876F3">
            <w:pPr>
              <w:pStyle w:val="Normal1linespace"/>
              <w:widowControl w:val="0"/>
              <w:jc w:val="left"/>
            </w:pPr>
            <w:proofErr w:type="spellStart"/>
            <w:r>
              <w:t>TressCox</w:t>
            </w:r>
            <w:proofErr w:type="spellEnd"/>
            <w:r>
              <w:t xml:space="preserve"> Lawyers</w:t>
            </w:r>
          </w:p>
        </w:tc>
      </w:tr>
      <w:tr w:rsidR="00BB3061" w:rsidTr="006876F3">
        <w:tc>
          <w:tcPr>
            <w:tcW w:w="3085" w:type="dxa"/>
            <w:shd w:val="clear" w:color="auto" w:fill="auto"/>
          </w:tcPr>
          <w:p w:rsidR="00BB3061" w:rsidRDefault="00BB3061" w:rsidP="006876F3">
            <w:pPr>
              <w:pStyle w:val="Normal1linespace"/>
              <w:widowControl w:val="0"/>
              <w:jc w:val="left"/>
            </w:pPr>
          </w:p>
        </w:tc>
        <w:tc>
          <w:tcPr>
            <w:tcW w:w="5989" w:type="dxa"/>
            <w:shd w:val="clear" w:color="auto" w:fill="auto"/>
          </w:tcPr>
          <w:p w:rsidR="00BB3061" w:rsidRDefault="00BB3061" w:rsidP="006876F3">
            <w:pPr>
              <w:pStyle w:val="Normal1linespace"/>
              <w:widowControl w:val="0"/>
              <w:jc w:val="left"/>
            </w:pPr>
          </w:p>
        </w:tc>
      </w:tr>
      <w:tr w:rsidR="006876F3" w:rsidTr="006876F3">
        <w:tc>
          <w:tcPr>
            <w:tcW w:w="3085" w:type="dxa"/>
            <w:shd w:val="clear" w:color="auto" w:fill="auto"/>
          </w:tcPr>
          <w:p w:rsidR="006876F3" w:rsidRDefault="006876F3" w:rsidP="006876F3">
            <w:pPr>
              <w:pStyle w:val="Normal1linespace"/>
              <w:widowControl w:val="0"/>
              <w:jc w:val="left"/>
            </w:pPr>
            <w:r>
              <w:t>Counsel for the Respondent:</w:t>
            </w:r>
          </w:p>
        </w:tc>
        <w:tc>
          <w:tcPr>
            <w:tcW w:w="5989" w:type="dxa"/>
            <w:shd w:val="clear" w:color="auto" w:fill="auto"/>
          </w:tcPr>
          <w:p w:rsidR="006876F3" w:rsidRDefault="006876F3" w:rsidP="006876F3">
            <w:pPr>
              <w:pStyle w:val="Normal1linespace"/>
              <w:widowControl w:val="0"/>
              <w:jc w:val="left"/>
            </w:pPr>
            <w:r>
              <w:t xml:space="preserve">J </w:t>
            </w:r>
            <w:proofErr w:type="spellStart"/>
            <w:r>
              <w:t>Hmelnitsky</w:t>
            </w:r>
            <w:proofErr w:type="spellEnd"/>
            <w:r>
              <w:t xml:space="preserve"> SC with P </w:t>
            </w:r>
            <w:proofErr w:type="spellStart"/>
            <w:r>
              <w:t>Afshar</w:t>
            </w:r>
            <w:proofErr w:type="spellEnd"/>
          </w:p>
        </w:tc>
      </w:tr>
      <w:tr w:rsidR="00BB3061" w:rsidTr="006876F3">
        <w:tc>
          <w:tcPr>
            <w:tcW w:w="3085" w:type="dxa"/>
            <w:shd w:val="clear" w:color="auto" w:fill="auto"/>
          </w:tcPr>
          <w:p w:rsidR="00BB3061" w:rsidRDefault="00BB3061" w:rsidP="006876F3">
            <w:pPr>
              <w:pStyle w:val="Normal1linespace"/>
              <w:widowControl w:val="0"/>
              <w:jc w:val="left"/>
            </w:pPr>
          </w:p>
        </w:tc>
        <w:tc>
          <w:tcPr>
            <w:tcW w:w="5989" w:type="dxa"/>
            <w:shd w:val="clear" w:color="auto" w:fill="auto"/>
          </w:tcPr>
          <w:p w:rsidR="00BB3061" w:rsidRDefault="00BB3061" w:rsidP="006876F3">
            <w:pPr>
              <w:pStyle w:val="Normal1linespace"/>
              <w:widowControl w:val="0"/>
              <w:jc w:val="left"/>
            </w:pPr>
          </w:p>
        </w:tc>
      </w:tr>
      <w:tr w:rsidR="00BB3061" w:rsidTr="006876F3">
        <w:tc>
          <w:tcPr>
            <w:tcW w:w="3085" w:type="dxa"/>
            <w:shd w:val="clear" w:color="auto" w:fill="auto"/>
          </w:tcPr>
          <w:p w:rsidR="00BB3061" w:rsidRDefault="00F342EA" w:rsidP="006876F3">
            <w:pPr>
              <w:pStyle w:val="Normal1linespace"/>
              <w:widowControl w:val="0"/>
              <w:jc w:val="left"/>
            </w:pPr>
            <w:r>
              <w:t>Solicitor for the Respondent:</w:t>
            </w:r>
          </w:p>
        </w:tc>
        <w:tc>
          <w:tcPr>
            <w:tcW w:w="5989" w:type="dxa"/>
            <w:shd w:val="clear" w:color="auto" w:fill="auto"/>
          </w:tcPr>
          <w:p w:rsidR="00BB3061" w:rsidRDefault="00F342EA" w:rsidP="00F342EA">
            <w:pPr>
              <w:pStyle w:val="Normal1linespace"/>
              <w:widowControl w:val="0"/>
              <w:jc w:val="left"/>
            </w:pPr>
            <w:r>
              <w:t>Australian Government Solicitor</w:t>
            </w:r>
          </w:p>
        </w:tc>
      </w:tr>
      <w:tr w:rsidR="00BB3061" w:rsidTr="006876F3">
        <w:tc>
          <w:tcPr>
            <w:tcW w:w="3085" w:type="dxa"/>
            <w:shd w:val="clear" w:color="auto" w:fill="auto"/>
          </w:tcPr>
          <w:p w:rsidR="00BB3061" w:rsidRDefault="00BB3061" w:rsidP="006876F3">
            <w:pPr>
              <w:pStyle w:val="Normal1linespace"/>
              <w:widowControl w:val="0"/>
              <w:jc w:val="left"/>
            </w:pPr>
          </w:p>
        </w:tc>
        <w:tc>
          <w:tcPr>
            <w:tcW w:w="5989" w:type="dxa"/>
            <w:shd w:val="clear" w:color="auto" w:fill="auto"/>
          </w:tcPr>
          <w:p w:rsidR="00BB3061" w:rsidRDefault="00BB3061" w:rsidP="006876F3">
            <w:pPr>
              <w:pStyle w:val="Normal1linespace"/>
              <w:widowControl w:val="0"/>
              <w:jc w:val="left"/>
            </w:pPr>
          </w:p>
        </w:tc>
      </w:tr>
      <w:bookmarkEnd w:id="5"/>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57E3E" w:rsidP="00F92355">
            <w:pPr>
              <w:pStyle w:val="NormalHeadings"/>
              <w:jc w:val="right"/>
            </w:pPr>
            <w:bookmarkStart w:id="7" w:name="FileNo"/>
            <w:r>
              <w:t>NSD 1699 of 2015</w:t>
            </w:r>
            <w:bookmarkEnd w:id="7"/>
          </w:p>
        </w:tc>
      </w:tr>
      <w:tr w:rsidR="00A76C13" w:rsidTr="00C10B53">
        <w:tc>
          <w:tcPr>
            <w:tcW w:w="9242" w:type="dxa"/>
            <w:gridSpan w:val="3"/>
          </w:tcPr>
          <w:p w:rsidR="00A76C13" w:rsidRPr="00A76C13" w:rsidRDefault="00A57E3E" w:rsidP="00A57E3E">
            <w:pPr>
              <w:pStyle w:val="NormalHeadings"/>
              <w:jc w:val="left"/>
            </w:pPr>
            <w:bookmarkStart w:id="8" w:name="InTheMatterOf"/>
            <w:r>
              <w:t xml:space="preserve"> </w:t>
            </w:r>
            <w:bookmarkEnd w:id="8"/>
          </w:p>
        </w:tc>
      </w:tr>
      <w:tr w:rsidR="00A46CCC" w:rsidTr="00C10B53">
        <w:trPr>
          <w:trHeight w:val="386"/>
        </w:trPr>
        <w:tc>
          <w:tcPr>
            <w:tcW w:w="2376" w:type="dxa"/>
          </w:tcPr>
          <w:p w:rsidR="00A46CCC" w:rsidRDefault="00A46CCC" w:rsidP="00C10B53">
            <w:pPr>
              <w:pStyle w:val="NormalHeadings"/>
              <w:jc w:val="left"/>
              <w:rPr>
                <w:caps/>
                <w:szCs w:val="24"/>
              </w:rPr>
            </w:pPr>
            <w:bookmarkStart w:id="9" w:name="Parties"/>
            <w:r>
              <w:rPr>
                <w:caps/>
                <w:szCs w:val="24"/>
              </w:rPr>
              <w:t>BETWEEN:</w:t>
            </w:r>
          </w:p>
        </w:tc>
        <w:tc>
          <w:tcPr>
            <w:tcW w:w="6866" w:type="dxa"/>
            <w:gridSpan w:val="2"/>
          </w:tcPr>
          <w:p w:rsidR="00A57E3E" w:rsidRDefault="00A57E3E" w:rsidP="00A57E3E">
            <w:pPr>
              <w:pStyle w:val="NormalHeadings"/>
              <w:jc w:val="left"/>
            </w:pPr>
            <w:bookmarkStart w:id="10" w:name="Applicant"/>
            <w:r>
              <w:t>TECH MAHINDRA LIMITED</w:t>
            </w:r>
          </w:p>
          <w:p w:rsidR="00A57E3E" w:rsidRDefault="00A57E3E" w:rsidP="00A57E3E">
            <w:pPr>
              <w:pStyle w:val="PartyType"/>
            </w:pPr>
            <w:r>
              <w:t>Appellant</w:t>
            </w:r>
          </w:p>
          <w:bookmarkEnd w:id="10"/>
          <w:p w:rsidR="00A46CCC" w:rsidRPr="006555B4" w:rsidRDefault="00A46CCC" w:rsidP="00C10B53">
            <w:pPr>
              <w:pStyle w:val="NormalHeadings"/>
              <w:jc w:val="left"/>
            </w:pPr>
          </w:p>
        </w:tc>
      </w:tr>
      <w:tr w:rsidR="00A46CCC" w:rsidTr="00C10B53">
        <w:trPr>
          <w:trHeight w:val="386"/>
        </w:trPr>
        <w:tc>
          <w:tcPr>
            <w:tcW w:w="2376" w:type="dxa"/>
          </w:tcPr>
          <w:p w:rsidR="00A46CCC" w:rsidRDefault="00A46CCC" w:rsidP="00C10B53">
            <w:pPr>
              <w:pStyle w:val="NormalHeadings"/>
              <w:jc w:val="left"/>
              <w:rPr>
                <w:caps/>
                <w:szCs w:val="24"/>
              </w:rPr>
            </w:pPr>
            <w:r>
              <w:rPr>
                <w:caps/>
                <w:szCs w:val="24"/>
              </w:rPr>
              <w:t>AND:</w:t>
            </w:r>
          </w:p>
        </w:tc>
        <w:tc>
          <w:tcPr>
            <w:tcW w:w="6866" w:type="dxa"/>
            <w:gridSpan w:val="2"/>
          </w:tcPr>
          <w:p w:rsidR="00A57E3E" w:rsidRDefault="00A57E3E" w:rsidP="00A57E3E">
            <w:pPr>
              <w:pStyle w:val="NormalHeadings"/>
              <w:jc w:val="left"/>
            </w:pPr>
            <w:bookmarkStart w:id="11" w:name="Respondent"/>
            <w:r>
              <w:t>COMMISSIONER OF TAXATION</w:t>
            </w:r>
          </w:p>
          <w:p w:rsidR="00A57E3E" w:rsidRDefault="00A57E3E" w:rsidP="00A57E3E">
            <w:pPr>
              <w:pStyle w:val="PartyType"/>
            </w:pPr>
            <w:r>
              <w:t>Respondent</w:t>
            </w:r>
          </w:p>
          <w:bookmarkEnd w:id="11"/>
          <w:p w:rsidR="00A46CCC" w:rsidRPr="006555B4" w:rsidRDefault="00A46CCC" w:rsidP="00C10B53">
            <w:pPr>
              <w:pStyle w:val="NormalHeadings"/>
              <w:jc w:val="left"/>
            </w:pPr>
          </w:p>
        </w:tc>
      </w:tr>
    </w:tbl>
    <w:p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57E3E">
            <w:pPr>
              <w:pStyle w:val="NormalHeadings"/>
              <w:spacing w:after="120"/>
              <w:jc w:val="left"/>
              <w:rPr>
                <w:caps/>
                <w:szCs w:val="24"/>
              </w:rPr>
            </w:pPr>
            <w:bookmarkStart w:id="13" w:name="JudgeText"/>
            <w:r>
              <w:rPr>
                <w:caps/>
                <w:szCs w:val="24"/>
              </w:rPr>
              <w:t>JUDGES</w:t>
            </w:r>
            <w:bookmarkEnd w:id="13"/>
            <w:r w:rsidR="002C7385">
              <w:rPr>
                <w:caps/>
                <w:szCs w:val="24"/>
              </w:rPr>
              <w:t>:</w:t>
            </w:r>
          </w:p>
        </w:tc>
        <w:tc>
          <w:tcPr>
            <w:tcW w:w="6866" w:type="dxa"/>
          </w:tcPr>
          <w:p w:rsidR="00395B24" w:rsidRDefault="00BB3061" w:rsidP="00BB3061">
            <w:pPr>
              <w:pStyle w:val="NormalHeadings"/>
              <w:spacing w:after="120"/>
              <w:jc w:val="left"/>
              <w:rPr>
                <w:caps/>
                <w:szCs w:val="24"/>
              </w:rPr>
            </w:pPr>
            <w:bookmarkStart w:id="14" w:name="Judge"/>
            <w:r>
              <w:rPr>
                <w:caps/>
                <w:szCs w:val="24"/>
              </w:rPr>
              <w:t xml:space="preserve">ROBERTSON, DAVIES AND </w:t>
            </w:r>
            <w:r w:rsidR="00A57E3E">
              <w:rPr>
                <w:caps/>
                <w:szCs w:val="24"/>
              </w:rPr>
              <w:t>WIGNE</w:t>
            </w:r>
            <w:r>
              <w:rPr>
                <w:caps/>
                <w:szCs w:val="24"/>
              </w:rPr>
              <w:t>Y JJ</w:t>
            </w:r>
            <w:bookmarkEnd w:id="14"/>
            <w:r>
              <w:rPr>
                <w:caps/>
                <w:szCs w:val="24"/>
              </w:rPr>
              <w:t xml:space="preserve"> </w:t>
            </w: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6547C" w:rsidP="0066214C">
            <w:pPr>
              <w:pStyle w:val="NormalHeadings"/>
              <w:jc w:val="left"/>
              <w:rPr>
                <w:caps/>
                <w:szCs w:val="24"/>
              </w:rPr>
            </w:pPr>
            <w:bookmarkStart w:id="15" w:name="Judgment_Dated"/>
            <w:r w:rsidRPr="0066214C">
              <w:rPr>
                <w:caps/>
                <w:szCs w:val="24"/>
              </w:rPr>
              <w:t>22 SEPTEMBER 2016</w:t>
            </w:r>
            <w:bookmarkEnd w:id="15"/>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876F3" w:rsidP="00274F5B">
      <w:pPr>
        <w:pStyle w:val="Order1"/>
      </w:pPr>
      <w:bookmarkStart w:id="16" w:name="Order_Start_Text"/>
      <w:bookmarkEnd w:id="16"/>
      <w:r>
        <w:t xml:space="preserve">The appeal </w:t>
      </w:r>
      <w:proofErr w:type="gramStart"/>
      <w:r>
        <w:t>be</w:t>
      </w:r>
      <w:proofErr w:type="gramEnd"/>
      <w:r>
        <w:t xml:space="preserve"> dismissed. </w:t>
      </w:r>
    </w:p>
    <w:p w:rsidR="006876F3" w:rsidRDefault="006876F3" w:rsidP="00274F5B">
      <w:pPr>
        <w:pStyle w:val="Order1"/>
      </w:pPr>
      <w:r>
        <w:t>The Appellant pay the Respondent’s costs of and incide</w:t>
      </w:r>
      <w:r w:rsidR="00184924">
        <w:t>ntal to the Appeal.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95B24" w:rsidRPr="00EA03CE" w:rsidRDefault="009C38E3" w:rsidP="005E0510">
      <w:pPr>
        <w:pStyle w:val="NormalHeadings"/>
        <w:spacing w:line="360" w:lineRule="auto"/>
        <w:jc w:val="left"/>
        <w:rPr>
          <w:sz w:val="26"/>
          <w:szCs w:val="26"/>
        </w:rPr>
      </w:pPr>
      <w:r>
        <w:rPr>
          <w:sz w:val="26"/>
          <w:szCs w:val="26"/>
        </w:rPr>
        <w:t>THE COURT</w:t>
      </w:r>
      <w:r w:rsidR="00484F6D" w:rsidRPr="00EA03CE">
        <w:rPr>
          <w:sz w:val="26"/>
          <w:szCs w:val="26"/>
        </w:rPr>
        <w:t>:</w:t>
      </w:r>
    </w:p>
    <w:p w:rsidR="00484F6D" w:rsidRDefault="00A57E3E" w:rsidP="00A57E3E">
      <w:pPr>
        <w:pStyle w:val="Heading1"/>
      </w:pPr>
      <w:r>
        <w:t>Introduction</w:t>
      </w:r>
    </w:p>
    <w:p w:rsidR="00C62D14" w:rsidRDefault="00D90DDE" w:rsidP="00C62D14">
      <w:pPr>
        <w:pStyle w:val="ParaNumbering"/>
      </w:pPr>
      <w:r>
        <w:t xml:space="preserve">This </w:t>
      </w:r>
      <w:r w:rsidRPr="00F977CB">
        <w:t xml:space="preserve">appeal concerns Article 7 (the business profits rule) and Article 12 (the royalties provision) of the </w:t>
      </w:r>
      <w:r w:rsidRPr="00F977CB">
        <w:rPr>
          <w:i/>
        </w:rPr>
        <w:t>Agreement between the Government of Australia and the Government of the Republic of India for the Avoidance of Double Taxation and the Prevention of Fiscal Evasion with Respect to Taxes on Income</w:t>
      </w:r>
      <w:r w:rsidR="002C2577" w:rsidRPr="00F977CB">
        <w:rPr>
          <w:i/>
        </w:rPr>
        <w:t xml:space="preserve">, </w:t>
      </w:r>
      <w:r w:rsidR="00EE2B61" w:rsidRPr="00F977CB">
        <w:t>concluded 25 July 1991,</w:t>
      </w:r>
      <w:r w:rsidRPr="00F977CB">
        <w:t xml:space="preserve"> [1991] ATS 49</w:t>
      </w:r>
      <w:r w:rsidR="00EE2B61" w:rsidRPr="00F977CB">
        <w:t xml:space="preserve"> (entered into force 30 December 1991)</w:t>
      </w:r>
      <w:r w:rsidRPr="00F977CB">
        <w:t xml:space="preserve"> (</w:t>
      </w:r>
      <w:r w:rsidRPr="00F977CB">
        <w:rPr>
          <w:b/>
        </w:rPr>
        <w:t>“the Indian Treaty”</w:t>
      </w:r>
      <w:r w:rsidRPr="00F977CB">
        <w:t>).</w:t>
      </w:r>
      <w:r>
        <w:t xml:space="preserve"> </w:t>
      </w:r>
    </w:p>
    <w:p w:rsidR="00885741" w:rsidRPr="00A044FD" w:rsidRDefault="00315F67" w:rsidP="00885741">
      <w:pPr>
        <w:pStyle w:val="ParaNumbering"/>
      </w:pPr>
      <w:r w:rsidRPr="00F977CB">
        <w:t>The A</w:t>
      </w:r>
      <w:r w:rsidR="00C62D14" w:rsidRPr="00F977CB">
        <w:t>ppellant</w:t>
      </w:r>
      <w:r w:rsidR="009C0D1D">
        <w:t xml:space="preserve"> </w:t>
      </w:r>
      <w:r w:rsidR="00C62D14">
        <w:t xml:space="preserve">is a resident of India which carries on business in Australia through a permanent establishment. </w:t>
      </w:r>
      <w:r w:rsidR="009C38E3">
        <w:t xml:space="preserve"> </w:t>
      </w:r>
      <w:r w:rsidR="00A70DC2">
        <w:t>In the</w:t>
      </w:r>
      <w:r w:rsidR="00CA2EE1">
        <w:t xml:space="preserve"> </w:t>
      </w:r>
      <w:r w:rsidR="00A70DC2">
        <w:t>income year</w:t>
      </w:r>
      <w:r w:rsidR="00CA2EE1">
        <w:t xml:space="preserve"> in issue, </w:t>
      </w:r>
      <w:r w:rsidR="00A70DC2">
        <w:t xml:space="preserve">the </w:t>
      </w:r>
      <w:r>
        <w:t>A</w:t>
      </w:r>
      <w:r w:rsidR="00631F75">
        <w:t xml:space="preserve">ppellant </w:t>
      </w:r>
      <w:r w:rsidR="00A70DC2">
        <w:t xml:space="preserve">performed services for its Australian customers </w:t>
      </w:r>
      <w:r w:rsidR="00D5524C">
        <w:t xml:space="preserve">both </w:t>
      </w:r>
      <w:r w:rsidR="00A70DC2">
        <w:t>in Australia</w:t>
      </w:r>
      <w:r w:rsidR="00D5524C">
        <w:t xml:space="preserve"> </w:t>
      </w:r>
      <w:r w:rsidR="00A70DC2">
        <w:t xml:space="preserve">and </w:t>
      </w:r>
      <w:r w:rsidR="00D5524C">
        <w:t xml:space="preserve">in </w:t>
      </w:r>
      <w:r w:rsidR="00A70DC2">
        <w:t>India</w:t>
      </w:r>
      <w:r w:rsidR="009C38E3">
        <w:t xml:space="preserve">.  </w:t>
      </w:r>
      <w:r w:rsidR="00C9393A">
        <w:t xml:space="preserve">The </w:t>
      </w:r>
      <w:r>
        <w:t>A</w:t>
      </w:r>
      <w:r w:rsidR="00631F75">
        <w:t xml:space="preserve">ppellant </w:t>
      </w:r>
      <w:r w:rsidR="00C9393A">
        <w:t xml:space="preserve">did not dispute that </w:t>
      </w:r>
      <w:r w:rsidR="00DD6BB9">
        <w:t>Article 7(1</w:t>
      </w:r>
      <w:proofErr w:type="gramStart"/>
      <w:r w:rsidR="00DD6BB9">
        <w:t>)(</w:t>
      </w:r>
      <w:proofErr w:type="gramEnd"/>
      <w:r w:rsidR="00DD6BB9">
        <w:t xml:space="preserve">a) of the </w:t>
      </w:r>
      <w:r w:rsidR="00DD6BB9" w:rsidRPr="00F977CB">
        <w:t>Indian T</w:t>
      </w:r>
      <w:r w:rsidR="00A70DC2" w:rsidRPr="00F977CB">
        <w:t>reaty</w:t>
      </w:r>
      <w:r w:rsidR="00A70DC2">
        <w:t xml:space="preserve"> </w:t>
      </w:r>
      <w:r w:rsidR="00D5524C">
        <w:t xml:space="preserve">gave </w:t>
      </w:r>
      <w:r w:rsidR="00A70DC2">
        <w:t xml:space="preserve">Australia the right to tax the </w:t>
      </w:r>
      <w:r w:rsidR="00D5524C">
        <w:t xml:space="preserve">income </w:t>
      </w:r>
      <w:r w:rsidR="00A70DC2">
        <w:t xml:space="preserve">that the </w:t>
      </w:r>
      <w:r>
        <w:t>A</w:t>
      </w:r>
      <w:r w:rsidR="00631F75">
        <w:t xml:space="preserve">ppellant </w:t>
      </w:r>
      <w:r w:rsidR="00A70DC2">
        <w:t xml:space="preserve">received </w:t>
      </w:r>
      <w:r w:rsidR="00CA2EE1">
        <w:t xml:space="preserve">in respect of </w:t>
      </w:r>
      <w:r w:rsidR="00D5524C">
        <w:t xml:space="preserve">the services performed in </w:t>
      </w:r>
      <w:r w:rsidR="00A70DC2">
        <w:t>Au</w:t>
      </w:r>
      <w:r w:rsidR="00D5524C">
        <w:t>stralia</w:t>
      </w:r>
      <w:r w:rsidR="00CA2EE1">
        <w:t>,</w:t>
      </w:r>
      <w:r w:rsidR="00D5524C">
        <w:t xml:space="preserve"> but </w:t>
      </w:r>
      <w:r w:rsidR="00885741">
        <w:t xml:space="preserve">in issue was whether </w:t>
      </w:r>
      <w:r w:rsidR="00CA2EE1">
        <w:t xml:space="preserve">Australia </w:t>
      </w:r>
      <w:r w:rsidR="00C9393A">
        <w:t xml:space="preserve">had any </w:t>
      </w:r>
      <w:r w:rsidR="00CA2EE1">
        <w:t>taxing rights</w:t>
      </w:r>
      <w:r w:rsidR="00D5524C">
        <w:t xml:space="preserve"> in respect of the</w:t>
      </w:r>
      <w:r w:rsidR="00C9393A">
        <w:t xml:space="preserve"> income from the </w:t>
      </w:r>
      <w:r w:rsidR="00D5524C">
        <w:t xml:space="preserve">services performed </w:t>
      </w:r>
      <w:r>
        <w:t>by the A</w:t>
      </w:r>
      <w:r w:rsidR="00386BA0">
        <w:t xml:space="preserve">ppellant </w:t>
      </w:r>
      <w:r w:rsidR="00D5524C">
        <w:t>in India</w:t>
      </w:r>
      <w:r w:rsidR="00631F75">
        <w:t xml:space="preserve"> (</w:t>
      </w:r>
      <w:r w:rsidR="00631F75">
        <w:rPr>
          <w:b/>
        </w:rPr>
        <w:t>“the Indian services”</w:t>
      </w:r>
      <w:r w:rsidR="00631F75">
        <w:t>)</w:t>
      </w:r>
      <w:r w:rsidR="009C38E3">
        <w:t xml:space="preserve">.  </w:t>
      </w:r>
      <w:r w:rsidR="007C5EB2">
        <w:t xml:space="preserve">The </w:t>
      </w:r>
      <w:r w:rsidR="00631F75">
        <w:t xml:space="preserve">respondent </w:t>
      </w:r>
      <w:r w:rsidR="007C5EB2">
        <w:t>(</w:t>
      </w:r>
      <w:r w:rsidR="007C5EB2" w:rsidRPr="00885741">
        <w:rPr>
          <w:b/>
        </w:rPr>
        <w:t>“the Commissioner”</w:t>
      </w:r>
      <w:r w:rsidR="007C5EB2">
        <w:t xml:space="preserve">) contended that the payments in respect of the </w:t>
      </w:r>
      <w:r w:rsidR="00A16504">
        <w:t xml:space="preserve">Indian </w:t>
      </w:r>
      <w:r w:rsidR="007C5EB2">
        <w:t>services were “royalties” as defined in Art 12</w:t>
      </w:r>
      <w:r w:rsidR="007C5EB2" w:rsidRPr="00A044FD">
        <w:t>(3) and</w:t>
      </w:r>
      <w:r w:rsidRPr="00A044FD">
        <w:t xml:space="preserve"> taxable in Australia under Art </w:t>
      </w:r>
      <w:r w:rsidR="007C5EB2" w:rsidRPr="00A044FD">
        <w:t xml:space="preserve">12(2) and, in the alternative, that the net profits from the Indian services were liable to Australian tax under </w:t>
      </w:r>
      <w:r w:rsidRPr="00A044FD">
        <w:t>Article 7(1</w:t>
      </w:r>
      <w:proofErr w:type="gramStart"/>
      <w:r w:rsidRPr="00A044FD">
        <w:t>)(</w:t>
      </w:r>
      <w:proofErr w:type="gramEnd"/>
      <w:r w:rsidRPr="00A044FD">
        <w:t>b) of the Indian T</w:t>
      </w:r>
      <w:r w:rsidR="00C9393A" w:rsidRPr="00A044FD">
        <w:t>reaty</w:t>
      </w:r>
      <w:r w:rsidR="009C38E3" w:rsidRPr="00A044FD">
        <w:t xml:space="preserve">.  </w:t>
      </w:r>
      <w:r w:rsidRPr="00A044FD">
        <w:t>The A</w:t>
      </w:r>
      <w:r w:rsidR="00631F75" w:rsidRPr="00A044FD">
        <w:t xml:space="preserve">ppellant </w:t>
      </w:r>
      <w:r w:rsidR="00A87F82" w:rsidRPr="00A044FD">
        <w:t xml:space="preserve">in turn </w:t>
      </w:r>
      <w:r w:rsidR="00885741" w:rsidRPr="00A044FD">
        <w:t>contended that the payments were not “royalties” as defined in Art 12(3) but</w:t>
      </w:r>
      <w:r w:rsidR="00081116" w:rsidRPr="00A044FD">
        <w:t>,</w:t>
      </w:r>
      <w:r w:rsidR="00885741" w:rsidRPr="00A044FD">
        <w:t xml:space="preserve"> if royalties</w:t>
      </w:r>
      <w:r w:rsidR="00081116" w:rsidRPr="00A044FD">
        <w:t>,</w:t>
      </w:r>
      <w:r w:rsidR="00885741" w:rsidRPr="00A044FD">
        <w:t xml:space="preserve"> Art 12(4) was engaged and</w:t>
      </w:r>
      <w:r w:rsidR="0048482C" w:rsidRPr="00A044FD">
        <w:t xml:space="preserve"> gave priority to </w:t>
      </w:r>
      <w:r w:rsidR="0012257C" w:rsidRPr="00A044FD">
        <w:t>Art</w:t>
      </w:r>
      <w:r w:rsidR="0048482C" w:rsidRPr="00A044FD">
        <w:t xml:space="preserve"> 7, so that whether Australia had the right to tax those payments depended on whether the criteria in Art 7(1) were met</w:t>
      </w:r>
      <w:r w:rsidR="00A87F82" w:rsidRPr="00A044FD">
        <w:t xml:space="preserve"> which, it was submitted, they were not</w:t>
      </w:r>
      <w:r w:rsidR="009C38E3" w:rsidRPr="00A044FD">
        <w:t xml:space="preserve">.  </w:t>
      </w:r>
      <w:r w:rsidR="00386BA0" w:rsidRPr="00A044FD">
        <w:t xml:space="preserve">It was common ground that the profits referable to the </w:t>
      </w:r>
      <w:r w:rsidR="00366757">
        <w:t xml:space="preserve">Indian </w:t>
      </w:r>
      <w:r w:rsidR="00386BA0" w:rsidRPr="00A044FD">
        <w:t>services were not</w:t>
      </w:r>
      <w:r w:rsidR="0012257C" w:rsidRPr="00A044FD">
        <w:t xml:space="preserve"> attributable to the A</w:t>
      </w:r>
      <w:r w:rsidR="00386BA0" w:rsidRPr="00A044FD">
        <w:t xml:space="preserve">ppellant’s permanent establishment in Australia and that Australia did not have taxing rights in respect of those profits under </w:t>
      </w:r>
      <w:r w:rsidR="0012257C" w:rsidRPr="00A044FD">
        <w:t>Art</w:t>
      </w:r>
      <w:r w:rsidR="00386BA0" w:rsidRPr="00A044FD">
        <w:t xml:space="preserve"> 7(1</w:t>
      </w:r>
      <w:proofErr w:type="gramStart"/>
      <w:r w:rsidR="00386BA0" w:rsidRPr="00A044FD">
        <w:t>)(</w:t>
      </w:r>
      <w:proofErr w:type="gramEnd"/>
      <w:r w:rsidR="00386BA0" w:rsidRPr="00A044FD">
        <w:t>a).</w:t>
      </w:r>
    </w:p>
    <w:p w:rsidR="00885741" w:rsidRDefault="00885741" w:rsidP="00885741">
      <w:pPr>
        <w:pStyle w:val="ParaNumbering"/>
      </w:pPr>
      <w:r w:rsidRPr="00A044FD">
        <w:t xml:space="preserve">The primary judge held that certain </w:t>
      </w:r>
      <w:r w:rsidR="00081116" w:rsidRPr="00A044FD">
        <w:t>categories of payments referrable to the Indian services were “royalties” within the meaning of that term as defined in Art 12(3</w:t>
      </w:r>
      <w:proofErr w:type="gramStart"/>
      <w:r w:rsidR="00081116" w:rsidRPr="00A044FD">
        <w:t>)(</w:t>
      </w:r>
      <w:proofErr w:type="gramEnd"/>
      <w:r w:rsidR="00081116" w:rsidRPr="00A044FD">
        <w:t>g) and held also that Art 12(4) was not engaged, so that Australia had the right to tax those payments</w:t>
      </w:r>
      <w:r w:rsidR="0012257C" w:rsidRPr="00A044FD">
        <w:t xml:space="preserve"> under Art </w:t>
      </w:r>
      <w:r w:rsidR="006018CF" w:rsidRPr="00A044FD">
        <w:t>12(2) of the Indian T</w:t>
      </w:r>
      <w:r w:rsidR="00081116" w:rsidRPr="00A044FD">
        <w:t>reaty</w:t>
      </w:r>
      <w:r w:rsidR="009C38E3" w:rsidRPr="00A044FD">
        <w:t xml:space="preserve">.  </w:t>
      </w:r>
      <w:r w:rsidR="0012257C" w:rsidRPr="00A044FD">
        <w:t>The A</w:t>
      </w:r>
      <w:r w:rsidR="00631F75" w:rsidRPr="00A044FD">
        <w:t xml:space="preserve">ppellant </w:t>
      </w:r>
      <w:r w:rsidR="00081116" w:rsidRPr="00A044FD">
        <w:t>has appealed the decision of the primary judge that Art 12(4) was not</w:t>
      </w:r>
      <w:r w:rsidR="00081116">
        <w:t xml:space="preserve"> engaged but not the finding that certain categories of payments referrable to the Indian services were “royalties” within the meaning of that term as defined </w:t>
      </w:r>
      <w:r w:rsidR="00081116">
        <w:lastRenderedPageBreak/>
        <w:t>in Art 12(3</w:t>
      </w:r>
      <w:proofErr w:type="gramStart"/>
      <w:r w:rsidR="00081116">
        <w:t>)(</w:t>
      </w:r>
      <w:proofErr w:type="gramEnd"/>
      <w:r w:rsidR="00081116">
        <w:t>g)</w:t>
      </w:r>
      <w:r w:rsidR="009C38E3">
        <w:t xml:space="preserve">.  </w:t>
      </w:r>
      <w:r w:rsidR="00081116">
        <w:t xml:space="preserve">For the reasons </w:t>
      </w:r>
      <w:r w:rsidR="00081116" w:rsidRPr="00984BA6">
        <w:t>that follow we agree with the primary judge that Art 12(4)</w:t>
      </w:r>
      <w:r w:rsidR="00984BA6" w:rsidRPr="00984BA6">
        <w:t xml:space="preserve"> of the Indian Treaty</w:t>
      </w:r>
      <w:r w:rsidR="00081116" w:rsidRPr="00984BA6">
        <w:t xml:space="preserve"> was not engaged</w:t>
      </w:r>
      <w:r w:rsidR="00081116">
        <w:t>.</w:t>
      </w:r>
    </w:p>
    <w:p w:rsidR="00081116" w:rsidRDefault="00081116" w:rsidP="00081116">
      <w:pPr>
        <w:pStyle w:val="Heading1"/>
      </w:pPr>
      <w:r>
        <w:t>The indian treaty</w:t>
      </w:r>
    </w:p>
    <w:p w:rsidR="00081116" w:rsidRDefault="00081116" w:rsidP="007B2B72">
      <w:pPr>
        <w:pStyle w:val="ParaNumbering"/>
      </w:pPr>
      <w:r>
        <w:t xml:space="preserve">The Indian Treaty is </w:t>
      </w:r>
      <w:r w:rsidR="002C2577">
        <w:t xml:space="preserve">set out in </w:t>
      </w:r>
      <w:r w:rsidRPr="002C2577">
        <w:t xml:space="preserve">Schedule 35 to the </w:t>
      </w:r>
      <w:r w:rsidRPr="002C2577">
        <w:rPr>
          <w:i/>
        </w:rPr>
        <w:t>International Tax Agreements Act 1953</w:t>
      </w:r>
      <w:r w:rsidRPr="002C2577">
        <w:t xml:space="preserve"> (Cth)</w:t>
      </w:r>
      <w:r w:rsidR="007B2B72">
        <w:t>,</w:t>
      </w:r>
      <w:r w:rsidR="00E15272">
        <w:t xml:space="preserve"> and</w:t>
      </w:r>
      <w:r>
        <w:t xml:space="preserve"> incorporated into Australian domestic law </w:t>
      </w:r>
      <w:r w:rsidRPr="007B2B72">
        <w:t xml:space="preserve">pursuant to s </w:t>
      </w:r>
      <w:r w:rsidRPr="00E15272">
        <w:t>11</w:t>
      </w:r>
      <w:r w:rsidR="007B2B72" w:rsidRPr="00E15272">
        <w:t>Z</w:t>
      </w:r>
      <w:r w:rsidRPr="00E15272">
        <w:t xml:space="preserve"> of</w:t>
      </w:r>
      <w:r w:rsidRPr="007B2B72">
        <w:t xml:space="preserve"> </w:t>
      </w:r>
      <w:r w:rsidR="00067633" w:rsidRPr="007B2B72">
        <w:t>that</w:t>
      </w:r>
      <w:r w:rsidR="007B2B72" w:rsidRPr="007B2B72">
        <w:t xml:space="preserve"> Act</w:t>
      </w:r>
      <w:r w:rsidR="007B2B72">
        <w:t>.</w:t>
      </w:r>
    </w:p>
    <w:p w:rsidR="00081116" w:rsidRDefault="00081116" w:rsidP="00081116">
      <w:pPr>
        <w:pStyle w:val="ParaNumbering"/>
      </w:pPr>
      <w:r w:rsidRPr="00165863">
        <w:t>Article 7</w:t>
      </w:r>
      <w:r w:rsidR="000A14A5" w:rsidRPr="00165863">
        <w:t xml:space="preserve"> of the Indian Treaty</w:t>
      </w:r>
      <w:r>
        <w:t xml:space="preserve"> relevantly provides:</w:t>
      </w:r>
    </w:p>
    <w:p w:rsidR="00081116" w:rsidRPr="00C60B59" w:rsidRDefault="00081116" w:rsidP="00081116">
      <w:pPr>
        <w:pStyle w:val="Quote1"/>
        <w:rPr>
          <w:i/>
        </w:rPr>
      </w:pPr>
      <w:r w:rsidRPr="00C60B59">
        <w:rPr>
          <w:i/>
        </w:rPr>
        <w:t xml:space="preserve">Business Profits </w:t>
      </w:r>
    </w:p>
    <w:p w:rsidR="00081116" w:rsidRPr="00265DF3" w:rsidRDefault="00081116" w:rsidP="00081116">
      <w:pPr>
        <w:pStyle w:val="Quote1"/>
        <w:ind w:left="1440" w:hanging="703"/>
      </w:pPr>
      <w:r>
        <w:t>(1)</w:t>
      </w:r>
      <w:r>
        <w:tab/>
      </w:r>
      <w:r w:rsidRPr="00265DF3">
        <w:t xml:space="preserve">The profits of an enterprise of one of the Contracting States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w:t>
      </w:r>
      <w:proofErr w:type="gramStart"/>
      <w:r w:rsidRPr="00265DF3">
        <w:t>is</w:t>
      </w:r>
      <w:proofErr w:type="gramEnd"/>
      <w:r w:rsidRPr="00265DF3">
        <w:t xml:space="preserve"> attributable to:</w:t>
      </w:r>
    </w:p>
    <w:p w:rsidR="00081116" w:rsidRPr="00265DF3" w:rsidRDefault="00081116" w:rsidP="00BB3061">
      <w:pPr>
        <w:pStyle w:val="Quote2"/>
      </w:pPr>
      <w:r>
        <w:t>(a)</w:t>
      </w:r>
      <w:r>
        <w:tab/>
      </w:r>
      <w:proofErr w:type="gramStart"/>
      <w:r w:rsidRPr="00265DF3">
        <w:t>that</w:t>
      </w:r>
      <w:proofErr w:type="gramEnd"/>
      <w:r w:rsidRPr="00265DF3">
        <w:t xml:space="preserve"> permanent establishment; or</w:t>
      </w:r>
    </w:p>
    <w:p w:rsidR="00081116" w:rsidRDefault="00081116" w:rsidP="00BB3061">
      <w:pPr>
        <w:pStyle w:val="Quote2"/>
        <w:ind w:left="2160" w:hanging="720"/>
      </w:pPr>
      <w:r>
        <w:t>(b)</w:t>
      </w:r>
      <w:r>
        <w:tab/>
      </w:r>
      <w:proofErr w:type="gramStart"/>
      <w:r>
        <w:t>sales</w:t>
      </w:r>
      <w:proofErr w:type="gramEnd"/>
      <w:r>
        <w:t xml:space="preserve"> within that other </w:t>
      </w:r>
      <w:r w:rsidR="00AF4DAF">
        <w:t>Contracting</w:t>
      </w:r>
      <w:r>
        <w:t xml:space="preserve"> </w:t>
      </w:r>
      <w:r w:rsidR="00AF4DAF">
        <w:t>States</w:t>
      </w:r>
      <w:r>
        <w:t xml:space="preserve"> of goods or </w:t>
      </w:r>
      <w:r w:rsidR="00AF4DAF">
        <w:t>merchandise</w:t>
      </w:r>
      <w:r>
        <w:t xml:space="preserve"> of the same or a similar kind as those sold, or other bu</w:t>
      </w:r>
      <w:r w:rsidR="00AF4DAF">
        <w:t>siness activities</w:t>
      </w:r>
      <w:r>
        <w:t xml:space="preserve"> of the same or a </w:t>
      </w:r>
      <w:r w:rsidR="00AF4DAF">
        <w:t>similar kind as those carried on,</w:t>
      </w:r>
      <w:r w:rsidR="009C38E3">
        <w:t xml:space="preserve"> </w:t>
      </w:r>
      <w:r w:rsidR="00AF4DAF">
        <w:t>through that permanent establishment.</w:t>
      </w:r>
    </w:p>
    <w:p w:rsidR="00AF4DAF" w:rsidRPr="00265DF3" w:rsidRDefault="00AF4DAF" w:rsidP="00AF4DAF">
      <w:pPr>
        <w:pStyle w:val="Quote1"/>
      </w:pPr>
      <w:r>
        <w:t>…</w:t>
      </w:r>
    </w:p>
    <w:p w:rsidR="00081116" w:rsidRPr="00265DF3" w:rsidRDefault="00081116" w:rsidP="00081116">
      <w:pPr>
        <w:pStyle w:val="Quote1"/>
        <w:ind w:left="1440" w:hanging="703"/>
      </w:pPr>
      <w:r>
        <w:t>(3)</w:t>
      </w:r>
      <w:r>
        <w:tab/>
      </w:r>
      <w:r w:rsidRPr="00265DF3">
        <w:t>In the determination of the profits of a permanent establishment, there shall be allowed as deductions…expenses of the enterprise…</w:t>
      </w:r>
    </w:p>
    <w:p w:rsidR="00081116" w:rsidRPr="00265DF3" w:rsidRDefault="00081116" w:rsidP="00081116">
      <w:pPr>
        <w:pStyle w:val="Quote1"/>
      </w:pPr>
      <w:r w:rsidRPr="00265DF3">
        <w:t>…</w:t>
      </w:r>
    </w:p>
    <w:p w:rsidR="00081116" w:rsidRPr="00265DF3" w:rsidRDefault="00081116" w:rsidP="00081116">
      <w:pPr>
        <w:pStyle w:val="Quote1"/>
        <w:ind w:left="1440" w:hanging="703"/>
      </w:pPr>
      <w:r w:rsidRPr="00265DF3">
        <w:t>(7)</w:t>
      </w:r>
      <w:r w:rsidRPr="00265DF3">
        <w:tab/>
        <w:t>Where profits include items of income which are dealt with separately in other Articles of this Agreement, then the provisions of those Articles shall not be affected by the provisions of this Article.</w:t>
      </w:r>
    </w:p>
    <w:p w:rsidR="00081116" w:rsidRDefault="00081116" w:rsidP="00081116">
      <w:pPr>
        <w:pStyle w:val="ParaNumbering"/>
      </w:pPr>
      <w:r>
        <w:t>Article 12 relevantly provides:</w:t>
      </w:r>
    </w:p>
    <w:p w:rsidR="00081116" w:rsidRDefault="00081116" w:rsidP="00081116">
      <w:pPr>
        <w:pStyle w:val="Quote1"/>
        <w:rPr>
          <w:i/>
          <w:iCs/>
        </w:rPr>
      </w:pPr>
      <w:r w:rsidRPr="00C60B59">
        <w:rPr>
          <w:i/>
          <w:iCs/>
        </w:rPr>
        <w:t>Royalties</w:t>
      </w:r>
    </w:p>
    <w:p w:rsidR="00081116" w:rsidRDefault="00081116" w:rsidP="00081116">
      <w:pPr>
        <w:pStyle w:val="Quote1"/>
        <w:ind w:left="1440" w:hanging="703"/>
      </w:pPr>
      <w:r>
        <w:t>(1)</w:t>
      </w:r>
      <w:r>
        <w:tab/>
      </w:r>
      <w:r w:rsidRPr="00C60B59">
        <w:t>Royalties arising in one of the Contracting States, being royalties to which a resident of the other Contracting State is beneficially entitled, may be taxed in that other State.</w:t>
      </w:r>
    </w:p>
    <w:p w:rsidR="00081116" w:rsidRPr="00CE5A71" w:rsidRDefault="00081116" w:rsidP="00081116">
      <w:pPr>
        <w:pStyle w:val="Quote1"/>
        <w:ind w:left="1440" w:hanging="703"/>
      </w:pPr>
      <w:r w:rsidRPr="00C60B59">
        <w:t>(2)</w:t>
      </w:r>
      <w:r w:rsidRPr="00C60B59">
        <w:tab/>
        <w:t xml:space="preserve">Such </w:t>
      </w:r>
      <w:r w:rsidRPr="00CE5A71">
        <w:t>royalties may also be taxed in the Contracting State in which they arise, and according to the law of that State, but the tax so charged shall not exceed:</w:t>
      </w:r>
    </w:p>
    <w:p w:rsidR="00AB4E45" w:rsidRPr="00CE5A71" w:rsidRDefault="00AB4E45" w:rsidP="00AB4E45">
      <w:pPr>
        <w:pStyle w:val="Quote2"/>
      </w:pPr>
      <w:r w:rsidRPr="00CE5A71">
        <w:t>…</w:t>
      </w:r>
    </w:p>
    <w:p w:rsidR="00081116" w:rsidRPr="00CE5A71" w:rsidRDefault="00081116" w:rsidP="00081116">
      <w:pPr>
        <w:pStyle w:val="Quote2"/>
      </w:pPr>
      <w:r w:rsidRPr="00CE5A71">
        <w:t>(b)</w:t>
      </w:r>
      <w:r w:rsidRPr="00CE5A71">
        <w:tab/>
      </w:r>
      <w:proofErr w:type="gramStart"/>
      <w:r w:rsidRPr="00CE5A71">
        <w:t>in</w:t>
      </w:r>
      <w:proofErr w:type="gramEnd"/>
      <w:r w:rsidRPr="00CE5A71">
        <w:t xml:space="preserve"> the case of other royalties:</w:t>
      </w:r>
    </w:p>
    <w:p w:rsidR="00081116" w:rsidRPr="00CE5A71" w:rsidRDefault="00081116" w:rsidP="00081116">
      <w:pPr>
        <w:pStyle w:val="Quote3"/>
        <w:ind w:left="2880" w:hanging="720"/>
      </w:pPr>
      <w:r w:rsidRPr="00CE5A71">
        <w:t>(i)</w:t>
      </w:r>
      <w:r w:rsidRPr="00CE5A71">
        <w:tab/>
      </w:r>
      <w:proofErr w:type="gramStart"/>
      <w:r w:rsidRPr="00CE5A71">
        <w:t>during</w:t>
      </w:r>
      <w:proofErr w:type="gramEnd"/>
      <w:r w:rsidRPr="00CE5A71">
        <w:t xml:space="preserve"> the first five years of income for which this agreement has effect:</w:t>
      </w:r>
    </w:p>
    <w:p w:rsidR="00081116" w:rsidRDefault="00081116" w:rsidP="00081116">
      <w:pPr>
        <w:pStyle w:val="Quote3"/>
        <w:ind w:firstLine="720"/>
      </w:pPr>
      <w:r w:rsidRPr="00CE5A71">
        <w:t>…</w:t>
      </w:r>
    </w:p>
    <w:p w:rsidR="00081116" w:rsidRPr="00C60B59" w:rsidRDefault="00081116" w:rsidP="00081116">
      <w:pPr>
        <w:pStyle w:val="Quote3"/>
        <w:ind w:left="3600" w:hanging="720"/>
      </w:pPr>
      <w:r>
        <w:lastRenderedPageBreak/>
        <w:t>B.</w:t>
      </w:r>
      <w:r>
        <w:tab/>
      </w:r>
      <w:r w:rsidRPr="00C60B59">
        <w:t>in all other cases: 20% of the gross amount of the royalties; and</w:t>
      </w:r>
    </w:p>
    <w:p w:rsidR="00081116" w:rsidRPr="00CE5A71" w:rsidRDefault="00081116" w:rsidP="00081116">
      <w:pPr>
        <w:pStyle w:val="Quote3"/>
        <w:ind w:left="2880" w:hanging="720"/>
      </w:pPr>
      <w:r w:rsidRPr="00C60B59">
        <w:t>(ii)</w:t>
      </w:r>
      <w:r w:rsidRPr="00C60B59">
        <w:tab/>
      </w:r>
      <w:proofErr w:type="gramStart"/>
      <w:r w:rsidRPr="00C60B59">
        <w:t>during</w:t>
      </w:r>
      <w:proofErr w:type="gramEnd"/>
      <w:r w:rsidRPr="00C60B59">
        <w:t xml:space="preserve"> all subsequent years of income: 15% of the gross </w:t>
      </w:r>
      <w:r w:rsidRPr="00CE5A71">
        <w:t>amount of  royalties.</w:t>
      </w:r>
    </w:p>
    <w:p w:rsidR="00081116" w:rsidRPr="00CE5A71" w:rsidRDefault="00081116" w:rsidP="00081116">
      <w:pPr>
        <w:pStyle w:val="Quote1"/>
        <w:ind w:left="1440" w:hanging="703"/>
      </w:pPr>
      <w:r w:rsidRPr="00CE5A71">
        <w:t>(3)</w:t>
      </w:r>
      <w:r w:rsidRPr="00CE5A71">
        <w:tab/>
        <w:t xml:space="preserve">The term “royalties” in this Article means payments or credits, whether periodical or not, and however described or computed, to the extent </w:t>
      </w:r>
      <w:proofErr w:type="gramStart"/>
      <w:r w:rsidRPr="00CE5A71">
        <w:t>to  which</w:t>
      </w:r>
      <w:proofErr w:type="gramEnd"/>
      <w:r w:rsidRPr="00CE5A71">
        <w:t xml:space="preserve"> they are made as consideration for: </w:t>
      </w:r>
    </w:p>
    <w:p w:rsidR="00AB4E45" w:rsidRPr="00CE5A71" w:rsidRDefault="00AB4E45" w:rsidP="00AB4E45">
      <w:pPr>
        <w:pStyle w:val="Quote2"/>
      </w:pPr>
      <w:r w:rsidRPr="00CE5A71">
        <w:t>…</w:t>
      </w:r>
    </w:p>
    <w:p w:rsidR="00081116" w:rsidRPr="00CE5A71" w:rsidRDefault="00081116" w:rsidP="00081116">
      <w:pPr>
        <w:pStyle w:val="Quote2"/>
        <w:ind w:left="2160" w:hanging="720"/>
      </w:pPr>
      <w:r w:rsidRPr="00CE5A71">
        <w:t>(g)</w:t>
      </w:r>
      <w:r w:rsidRPr="00CE5A71">
        <w:tab/>
        <w:t xml:space="preserve">the rendering of any services (including those of technical or other personnel) which make available technical knowledge, experience, skill, </w:t>
      </w:r>
      <w:r w:rsidR="00174953" w:rsidRPr="00CE5A71">
        <w:t>know</w:t>
      </w:r>
      <w:r w:rsidRPr="00CE5A71">
        <w:t>-how or process</w:t>
      </w:r>
      <w:r w:rsidR="00174953" w:rsidRPr="00CE5A71">
        <w:t>es</w:t>
      </w:r>
      <w:r w:rsidRPr="00CE5A71">
        <w:t xml:space="preserve"> or consist of the development and transfer of a technical plan or design…</w:t>
      </w:r>
    </w:p>
    <w:p w:rsidR="00475C39" w:rsidRPr="00CE5A71" w:rsidRDefault="00475C39" w:rsidP="00081116">
      <w:pPr>
        <w:pStyle w:val="Quote2"/>
        <w:ind w:left="2160" w:hanging="720"/>
      </w:pPr>
      <w:r w:rsidRPr="00CE5A71">
        <w:t>…</w:t>
      </w:r>
    </w:p>
    <w:p w:rsidR="00081116" w:rsidRPr="00CE5A71" w:rsidRDefault="00081116" w:rsidP="00081116">
      <w:pPr>
        <w:pStyle w:val="Quote1"/>
        <w:ind w:left="1440" w:hanging="703"/>
      </w:pPr>
      <w:r w:rsidRPr="00CE5A71">
        <w:t>(4)</w:t>
      </w:r>
      <w:r w:rsidRPr="00CE5A71">
        <w:tab/>
        <w:t xml:space="preserve">The provisions of paragraphs (1) and (2) shall not apply if the person beneficially entitled to the royalties, being a resident of one of the Contracting States, carries on business in the other Contracting State, in which the royalties arise, through a permanent establishment situated therein, or performs in that other State independent of personal services from a fixed base situated therein, and the property, right or services in respect of which the royalties are paid or credited are </w:t>
      </w:r>
      <w:r w:rsidRPr="00CE5A71">
        <w:rPr>
          <w:b/>
          <w:bCs/>
          <w:i/>
          <w:iCs/>
        </w:rPr>
        <w:t xml:space="preserve">effectively connected with </w:t>
      </w:r>
      <w:r w:rsidRPr="00CE5A71">
        <w:t xml:space="preserve">such permanent establishment or fixed base.  In such a case, the provisions of Article 7 … shall apply. </w:t>
      </w:r>
    </w:p>
    <w:p w:rsidR="00475C39" w:rsidRPr="00CE5A71" w:rsidRDefault="00475C39" w:rsidP="00475C39">
      <w:pPr>
        <w:pStyle w:val="Quote1"/>
      </w:pPr>
      <w:r w:rsidRPr="00CE5A71">
        <w:t>…</w:t>
      </w:r>
    </w:p>
    <w:p w:rsidR="00081116" w:rsidRPr="00CE5A71" w:rsidRDefault="00081116" w:rsidP="00081116">
      <w:pPr>
        <w:pStyle w:val="Quote1"/>
        <w:ind w:left="1440" w:hanging="703"/>
      </w:pPr>
      <w:r w:rsidRPr="00CE5A71">
        <w:t>(</w:t>
      </w:r>
      <w:proofErr w:type="gramStart"/>
      <w:r w:rsidRPr="00CE5A71">
        <w:t>emphasis</w:t>
      </w:r>
      <w:proofErr w:type="gramEnd"/>
      <w:r w:rsidRPr="00CE5A71">
        <w:t xml:space="preserve"> added)</w:t>
      </w:r>
    </w:p>
    <w:p w:rsidR="00A57E3E" w:rsidRPr="00CE5A71" w:rsidRDefault="0052722A" w:rsidP="00AF4DAF">
      <w:pPr>
        <w:pStyle w:val="ParaNumbering"/>
      </w:pPr>
      <w:r w:rsidRPr="00CE5A71">
        <w:t xml:space="preserve">Whether </w:t>
      </w:r>
      <w:r w:rsidR="00732379" w:rsidRPr="00CE5A71">
        <w:t>Art</w:t>
      </w:r>
      <w:r w:rsidRPr="00CE5A71">
        <w:t xml:space="preserve"> 12(4) applied</w:t>
      </w:r>
      <w:r w:rsidR="00AF4DAF" w:rsidRPr="00CE5A71">
        <w:t xml:space="preserve"> thus</w:t>
      </w:r>
      <w:r w:rsidR="00386BA0" w:rsidRPr="00CE5A71">
        <w:t xml:space="preserve"> depends</w:t>
      </w:r>
      <w:r w:rsidRPr="00CE5A71">
        <w:t xml:space="preserve"> upon whether the </w:t>
      </w:r>
      <w:r w:rsidR="00631F75" w:rsidRPr="00CE5A71">
        <w:t xml:space="preserve">Indian </w:t>
      </w:r>
      <w:r w:rsidRPr="00CE5A71">
        <w:t>se</w:t>
      </w:r>
      <w:r w:rsidR="00AF4DAF" w:rsidRPr="00CE5A71">
        <w:t xml:space="preserve">rvices in respect of which the </w:t>
      </w:r>
      <w:r w:rsidR="00386BA0" w:rsidRPr="00CE5A71">
        <w:t xml:space="preserve">royalties </w:t>
      </w:r>
      <w:r w:rsidRPr="00CE5A71">
        <w:t xml:space="preserve">were paid to </w:t>
      </w:r>
      <w:r w:rsidR="00631F75" w:rsidRPr="00CE5A71">
        <w:t>th</w:t>
      </w:r>
      <w:r w:rsidR="009446C4" w:rsidRPr="00CE5A71">
        <w:t>e A</w:t>
      </w:r>
      <w:r w:rsidR="00631F75" w:rsidRPr="00CE5A71">
        <w:t xml:space="preserve">ppellant </w:t>
      </w:r>
      <w:r w:rsidRPr="00CE5A71">
        <w:t xml:space="preserve">were “effectively connected with” its permanent establishment in Australia. </w:t>
      </w:r>
    </w:p>
    <w:p w:rsidR="00C60B59" w:rsidRDefault="00916D85" w:rsidP="00916D85">
      <w:pPr>
        <w:pStyle w:val="Heading1"/>
      </w:pPr>
      <w:r w:rsidRPr="00CE5A71">
        <w:t>Decision below</w:t>
      </w:r>
    </w:p>
    <w:p w:rsidR="00483CA3" w:rsidRDefault="00386BA0" w:rsidP="00483CA3">
      <w:pPr>
        <w:pStyle w:val="ParaNumbering"/>
      </w:pPr>
      <w:r>
        <w:t>Before the primary j</w:t>
      </w:r>
      <w:r w:rsidR="00916D85">
        <w:t xml:space="preserve">udge, </w:t>
      </w:r>
      <w:r w:rsidR="00732379">
        <w:t>the A</w:t>
      </w:r>
      <w:r w:rsidR="00631F75">
        <w:t xml:space="preserve">ppellant </w:t>
      </w:r>
      <w:r>
        <w:t xml:space="preserve">argued </w:t>
      </w:r>
      <w:r w:rsidR="00916D85">
        <w:t xml:space="preserve">that Article 12(4) was engaged because the </w:t>
      </w:r>
      <w:r w:rsidR="00916D85" w:rsidRPr="00CE5A71">
        <w:t>Indian services in respect of which the royalties were paid were “effectively connected” to its permanent establishment</w:t>
      </w:r>
      <w:r w:rsidR="009C38E3" w:rsidRPr="00CE5A71">
        <w:t xml:space="preserve">.  </w:t>
      </w:r>
      <w:r w:rsidR="00AF4DAF" w:rsidRPr="00CE5A71">
        <w:t xml:space="preserve">First it was said that </w:t>
      </w:r>
      <w:r w:rsidR="00675589" w:rsidRPr="00CE5A71">
        <w:t>the</w:t>
      </w:r>
      <w:r w:rsidR="009446C4" w:rsidRPr="00CE5A71">
        <w:t xml:space="preserve"> A</w:t>
      </w:r>
      <w:r w:rsidR="00631F75" w:rsidRPr="00CE5A71">
        <w:t>ppellant’s</w:t>
      </w:r>
      <w:r w:rsidR="00BA7582" w:rsidRPr="00CE5A71">
        <w:t xml:space="preserve"> </w:t>
      </w:r>
      <w:r w:rsidR="00675589" w:rsidRPr="00CE5A71">
        <w:t xml:space="preserve">contractual </w:t>
      </w:r>
      <w:r w:rsidR="00BA7582" w:rsidRPr="00CE5A71">
        <w:t xml:space="preserve">arrangements with the </w:t>
      </w:r>
      <w:r w:rsidR="00675589" w:rsidRPr="00CE5A71">
        <w:t>Australian customers defined both the scope of the services to be provided to the customer</w:t>
      </w:r>
      <w:r w:rsidR="00CA5650" w:rsidRPr="00CE5A71">
        <w:t>s</w:t>
      </w:r>
      <w:r w:rsidR="00675589" w:rsidRPr="00CE5A71">
        <w:t xml:space="preserve">, and the </w:t>
      </w:r>
      <w:r w:rsidR="00732379" w:rsidRPr="00CE5A71">
        <w:t>A</w:t>
      </w:r>
      <w:r w:rsidR="00631F75" w:rsidRPr="00CE5A71">
        <w:t xml:space="preserve">ppellant’s </w:t>
      </w:r>
      <w:r w:rsidR="00675589" w:rsidRPr="00CE5A71">
        <w:t>entitlement to be paid for those services</w:t>
      </w:r>
      <w:r w:rsidR="00BA7582" w:rsidRPr="00CE5A71">
        <w:t>,</w:t>
      </w:r>
      <w:r w:rsidR="00675589" w:rsidRPr="00CE5A71">
        <w:t xml:space="preserve"> and the contractual rights </w:t>
      </w:r>
      <w:r w:rsidR="00DE5068" w:rsidRPr="00CE5A71">
        <w:t xml:space="preserve">which gave rise to the payments </w:t>
      </w:r>
      <w:r w:rsidR="00BA7582" w:rsidRPr="00CE5A71">
        <w:t xml:space="preserve">thus served to effect the purpose of the permanent establishment in that they provided </w:t>
      </w:r>
      <w:r w:rsidR="00AF4DAF" w:rsidRPr="00CE5A71">
        <w:t xml:space="preserve">the essential foundation for the business </w:t>
      </w:r>
      <w:r w:rsidR="00BA7582" w:rsidRPr="00CE5A71">
        <w:t xml:space="preserve">activities carried on by </w:t>
      </w:r>
      <w:r w:rsidR="00732379" w:rsidRPr="00CE5A71">
        <w:t>the A</w:t>
      </w:r>
      <w:r w:rsidR="00631F75" w:rsidRPr="00CE5A71">
        <w:t xml:space="preserve">ppellant </w:t>
      </w:r>
      <w:r w:rsidR="00AF4DAF" w:rsidRPr="00CE5A71">
        <w:t>in Australia through the permanent establishment</w:t>
      </w:r>
      <w:r w:rsidR="009C38E3" w:rsidRPr="00CE5A71">
        <w:t xml:space="preserve">.  </w:t>
      </w:r>
      <w:r w:rsidR="00675589" w:rsidRPr="00CE5A71">
        <w:t>Secondly, it was submitted that the</w:t>
      </w:r>
      <w:r w:rsidR="00675589">
        <w:t xml:space="preserve"> Indian services </w:t>
      </w:r>
      <w:r w:rsidR="00916D85">
        <w:t>were performed in concert with the services performed through the permanent establishment</w:t>
      </w:r>
      <w:r w:rsidR="00D12FB0">
        <w:t xml:space="preserve">, such that it </w:t>
      </w:r>
      <w:r w:rsidR="00916D85">
        <w:t xml:space="preserve">was only the Indian services in combination </w:t>
      </w:r>
      <w:r w:rsidR="00916D85">
        <w:lastRenderedPageBreak/>
        <w:t xml:space="preserve">with the Australian services that together satisfied the contractual obligations to the Australian customers.  The close relationship </w:t>
      </w:r>
      <w:r w:rsidR="00D12FB0">
        <w:t>was said to have</w:t>
      </w:r>
      <w:r w:rsidR="00916D85">
        <w:t xml:space="preserve"> the consequence that the Indian services were effectively connected with the permanent establishment.  </w:t>
      </w:r>
    </w:p>
    <w:p w:rsidR="00F04B3B" w:rsidRPr="00CE5A71" w:rsidRDefault="00916D85" w:rsidP="00F04B3B">
      <w:pPr>
        <w:pStyle w:val="ParaNumbering"/>
      </w:pPr>
      <w:r>
        <w:t xml:space="preserve">The Commissioner argued that </w:t>
      </w:r>
      <w:r w:rsidR="00BA7582">
        <w:t xml:space="preserve">Art 12(4) </w:t>
      </w:r>
      <w:r w:rsidR="00BE3EFB">
        <w:t>is co-extensive with Art 7(1</w:t>
      </w:r>
      <w:proofErr w:type="gramStart"/>
      <w:r w:rsidR="00BE3EFB">
        <w:t>)(</w:t>
      </w:r>
      <w:proofErr w:type="gramEnd"/>
      <w:r w:rsidR="00BE3EFB">
        <w:t xml:space="preserve">a) </w:t>
      </w:r>
      <w:r w:rsidR="00F04B3B">
        <w:t xml:space="preserve">and that the relevant “property, </w:t>
      </w:r>
      <w:r w:rsidR="00F04B3B" w:rsidRPr="00C60B59">
        <w:t>right or services in respect of which the royalties are paid</w:t>
      </w:r>
      <w:r w:rsidR="00F04B3B">
        <w:t xml:space="preserve">” are “effectively connected with [the permanent establishment]” where the profits from such services are “attributable to [the] permanent establishment”.  </w:t>
      </w:r>
      <w:r w:rsidR="00386BA0">
        <w:t xml:space="preserve">It was argued </w:t>
      </w:r>
      <w:r w:rsidR="00F04B3B">
        <w:t xml:space="preserve">that Article 12(4) gave priority </w:t>
      </w:r>
      <w:r w:rsidR="00F04B3B" w:rsidRPr="00CE5A71">
        <w:t>to Article 7 where the criteria in Article 7(1</w:t>
      </w:r>
      <w:proofErr w:type="gramStart"/>
      <w:r w:rsidR="00F04B3B" w:rsidRPr="00CE5A71">
        <w:t>)(</w:t>
      </w:r>
      <w:proofErr w:type="gramEnd"/>
      <w:r w:rsidR="00F04B3B" w:rsidRPr="00CE5A71">
        <w:t>a) were met so as to give Australia the right to tax the royalties as part of the profits of the perman</w:t>
      </w:r>
      <w:r w:rsidR="00C00DCC" w:rsidRPr="00CE5A71">
        <w:t xml:space="preserve">ent establishment, instead of at the </w:t>
      </w:r>
      <w:r w:rsidR="00F04B3B" w:rsidRPr="00CE5A71">
        <w:t xml:space="preserve">capped rate under </w:t>
      </w:r>
      <w:r w:rsidR="00732379" w:rsidRPr="00CE5A71">
        <w:t>Art</w:t>
      </w:r>
      <w:r w:rsidR="00F04B3B" w:rsidRPr="00CE5A71">
        <w:t xml:space="preserve"> 12.</w:t>
      </w:r>
    </w:p>
    <w:p w:rsidR="00E36FAF" w:rsidRPr="00CE6EE6" w:rsidRDefault="00631F75" w:rsidP="00CA5650">
      <w:pPr>
        <w:pStyle w:val="ParaNumbering"/>
      </w:pPr>
      <w:r w:rsidRPr="00CE5A71">
        <w:t>The primary j</w:t>
      </w:r>
      <w:r w:rsidR="00E36FAF" w:rsidRPr="00CE5A71">
        <w:t>udge accepted</w:t>
      </w:r>
      <w:r w:rsidR="00C00DCC" w:rsidRPr="00CE5A71">
        <w:t xml:space="preserve"> </w:t>
      </w:r>
      <w:r w:rsidR="0044094E" w:rsidRPr="00CE5A71">
        <w:t>the Commissioner’s construction</w:t>
      </w:r>
      <w:r w:rsidR="009C38E3" w:rsidRPr="00CE5A71">
        <w:t xml:space="preserve">.  </w:t>
      </w:r>
      <w:r w:rsidR="00E36FAF" w:rsidRPr="00CE5A71">
        <w:t xml:space="preserve">First her Honour reasoned </w:t>
      </w:r>
      <w:r w:rsidR="0044094E" w:rsidRPr="00CE5A71">
        <w:t xml:space="preserve">that </w:t>
      </w:r>
      <w:r w:rsidR="0044094E" w:rsidRPr="00CE6EE6">
        <w:t xml:space="preserve">the </w:t>
      </w:r>
      <w:r w:rsidR="00E36FAF" w:rsidRPr="00CE6EE6">
        <w:t xml:space="preserve">purpose </w:t>
      </w:r>
      <w:r w:rsidR="0044094E" w:rsidRPr="00CE6EE6">
        <w:t xml:space="preserve">of </w:t>
      </w:r>
      <w:r w:rsidR="00732379" w:rsidRPr="00CE6EE6">
        <w:t>Art</w:t>
      </w:r>
      <w:r w:rsidR="00C00DCC" w:rsidRPr="00CE6EE6">
        <w:t xml:space="preserve"> 12(4) </w:t>
      </w:r>
      <w:r w:rsidR="00386BA0" w:rsidRPr="00CE6EE6">
        <w:t xml:space="preserve">was “manifestly” </w:t>
      </w:r>
      <w:r w:rsidR="0044094E" w:rsidRPr="00CE6EE6">
        <w:t xml:space="preserve">to entitle </w:t>
      </w:r>
      <w:r w:rsidR="00732379" w:rsidRPr="00CE6EE6">
        <w:t>the s</w:t>
      </w:r>
      <w:r w:rsidR="00C00DCC" w:rsidRPr="00CE6EE6">
        <w:t>ource S</w:t>
      </w:r>
      <w:r w:rsidR="00E36FAF" w:rsidRPr="00CE6EE6">
        <w:t>tate</w:t>
      </w:r>
      <w:r w:rsidR="00633A22" w:rsidRPr="00CE6EE6">
        <w:t xml:space="preserve"> </w:t>
      </w:r>
      <w:r w:rsidR="003D1943" w:rsidRPr="00CE6EE6">
        <w:t xml:space="preserve">where the royalties arise </w:t>
      </w:r>
      <w:r w:rsidR="00633A22" w:rsidRPr="00CE6EE6">
        <w:t xml:space="preserve">to impose tax </w:t>
      </w:r>
      <w:r w:rsidR="003D1943" w:rsidRPr="00CE6EE6">
        <w:t xml:space="preserve">on those “royalties” </w:t>
      </w:r>
      <w:r w:rsidR="00633A22" w:rsidRPr="00CE6EE6">
        <w:t xml:space="preserve">at the potentially more generous rates permitted under </w:t>
      </w:r>
      <w:r w:rsidR="00732379" w:rsidRPr="00CE6EE6">
        <w:t xml:space="preserve">Art </w:t>
      </w:r>
      <w:r w:rsidR="00633A22" w:rsidRPr="00CE6EE6">
        <w:t>7(1), rather than the cap</w:t>
      </w:r>
      <w:r w:rsidR="0044094E" w:rsidRPr="00CE6EE6">
        <w:t xml:space="preserve">ped rate under </w:t>
      </w:r>
      <w:r w:rsidR="00732379" w:rsidRPr="00CE6EE6">
        <w:t xml:space="preserve">Art </w:t>
      </w:r>
      <w:r w:rsidR="0044094E" w:rsidRPr="00CE6EE6">
        <w:t xml:space="preserve">12(2), where </w:t>
      </w:r>
      <w:r w:rsidR="00633A22" w:rsidRPr="00CE6EE6">
        <w:t>there is an effective connection between the payments and the permanent establishment</w:t>
      </w:r>
      <w:r w:rsidR="003D1943" w:rsidRPr="00CE6EE6">
        <w:t xml:space="preserve"> </w:t>
      </w:r>
      <w:r w:rsidR="00732379" w:rsidRPr="00CE6EE6">
        <w:t>in the s</w:t>
      </w:r>
      <w:r w:rsidR="0044094E" w:rsidRPr="00CE6EE6">
        <w:t xml:space="preserve">ource State </w:t>
      </w:r>
      <w:r w:rsidR="003D1943" w:rsidRPr="00CE6EE6">
        <w:t>through which the non-resident carries on business</w:t>
      </w:r>
      <w:r w:rsidR="009C38E3" w:rsidRPr="00CE6EE6">
        <w:t xml:space="preserve">.  </w:t>
      </w:r>
      <w:r w:rsidR="00E36FAF" w:rsidRPr="00CE6EE6">
        <w:t>Secondly her Honour accepted that the words “effectively connected” with the permanent establishment are intended to encapsulate in a shorthand way the different tests of connection und</w:t>
      </w:r>
      <w:r w:rsidR="00C00DCC" w:rsidRPr="00CE6EE6">
        <w:t>er</w:t>
      </w:r>
      <w:r w:rsidR="007F37AD" w:rsidRPr="00CE6EE6">
        <w:t xml:space="preserve"> </w:t>
      </w:r>
      <w:r w:rsidR="00732379" w:rsidRPr="00CE6EE6">
        <w:t xml:space="preserve">Art </w:t>
      </w:r>
      <w:r w:rsidR="00E36FAF" w:rsidRPr="00CE6EE6">
        <w:t>7(1</w:t>
      </w:r>
      <w:proofErr w:type="gramStart"/>
      <w:r w:rsidR="00E36FAF" w:rsidRPr="00CE6EE6">
        <w:t>)(</w:t>
      </w:r>
      <w:proofErr w:type="gramEnd"/>
      <w:r w:rsidR="00E36FAF" w:rsidRPr="00CE6EE6">
        <w:t xml:space="preserve">a) </w:t>
      </w:r>
      <w:r w:rsidR="007F37AD" w:rsidRPr="00CE6EE6">
        <w:t xml:space="preserve">(and Article 14) </w:t>
      </w:r>
      <w:r w:rsidR="00E36FAF" w:rsidRPr="00CE6EE6">
        <w:t xml:space="preserve">which were regarded as sufficient </w:t>
      </w:r>
      <w:r w:rsidR="007F37AD" w:rsidRPr="00CE6EE6">
        <w:t>justification for permitting a Contracting S</w:t>
      </w:r>
      <w:r w:rsidR="00E36FAF" w:rsidRPr="00CE6EE6">
        <w:t>tate to ta</w:t>
      </w:r>
      <w:r w:rsidR="00FF0421" w:rsidRPr="00CE6EE6">
        <w:t>x profits of an entit</w:t>
      </w:r>
      <w:r w:rsidR="00E36FAF" w:rsidRPr="00CE6EE6">
        <w:t>y notwithstanding tha</w:t>
      </w:r>
      <w:r w:rsidR="007F37AD" w:rsidRPr="00CE6EE6">
        <w:t>t it is not a resident of that S</w:t>
      </w:r>
      <w:r w:rsidR="00E36FAF" w:rsidRPr="00CE6EE6">
        <w:t xml:space="preserve">tate.  Thirdly, her Honour considered that the </w:t>
      </w:r>
      <w:r w:rsidR="00732379" w:rsidRPr="00CE6EE6">
        <w:t>A</w:t>
      </w:r>
      <w:r w:rsidRPr="00CE6EE6">
        <w:t>ppellant’s</w:t>
      </w:r>
      <w:r w:rsidR="00E36FAF" w:rsidRPr="00CE6EE6">
        <w:t xml:space="preserve"> construction left the concept of “effectively connected” undefined.  Fourthly, her Honour </w:t>
      </w:r>
      <w:r w:rsidR="007F37AD" w:rsidRPr="00CE6EE6">
        <w:t xml:space="preserve">considered </w:t>
      </w:r>
      <w:r w:rsidR="00E36FAF" w:rsidRPr="00CE6EE6">
        <w:t xml:space="preserve">that the Commissioner’s construction was consistent with the decision in </w:t>
      </w:r>
      <w:r w:rsidR="00E36FAF" w:rsidRPr="00CE6EE6">
        <w:rPr>
          <w:i/>
        </w:rPr>
        <w:t xml:space="preserve">McDermott Industries (Aust) Pty Ltd v Commissioner of Taxation </w:t>
      </w:r>
      <w:r w:rsidR="00E36FAF" w:rsidRPr="00CE6EE6">
        <w:t>(2005) 142 FCR 134</w:t>
      </w:r>
      <w:r w:rsidR="00CA5650" w:rsidRPr="00CE6EE6">
        <w:t>;</w:t>
      </w:r>
      <w:r w:rsidR="00E36FAF" w:rsidRPr="00CE6EE6">
        <w:t xml:space="preserve"> </w:t>
      </w:r>
      <w:r w:rsidR="00CA5650" w:rsidRPr="00CE6EE6">
        <w:t xml:space="preserve">[2005] FCAFC 67 </w:t>
      </w:r>
      <w:r w:rsidR="00E36FAF" w:rsidRPr="00CE6EE6">
        <w:t>which considered Art</w:t>
      </w:r>
      <w:r w:rsidR="00BE6C1C" w:rsidRPr="00CE6EE6">
        <w:t> 1</w:t>
      </w:r>
      <w:r w:rsidR="007F37AD" w:rsidRPr="00CE6EE6">
        <w:t xml:space="preserve">0 of the </w:t>
      </w:r>
      <w:r w:rsidR="00F238F5" w:rsidRPr="00CE6EE6">
        <w:t>d</w:t>
      </w:r>
      <w:r w:rsidR="007F37AD" w:rsidRPr="00CE6EE6">
        <w:t xml:space="preserve">ouble </w:t>
      </w:r>
      <w:r w:rsidR="00F238F5" w:rsidRPr="00CE6EE6">
        <w:t>t</w:t>
      </w:r>
      <w:r w:rsidR="007F37AD" w:rsidRPr="00CE6EE6">
        <w:t>ax</w:t>
      </w:r>
      <w:r w:rsidR="00572819" w:rsidRPr="00CE6EE6">
        <w:t>ation</w:t>
      </w:r>
      <w:r w:rsidR="00F238F5" w:rsidRPr="00CE6EE6">
        <w:t xml:space="preserve"> a</w:t>
      </w:r>
      <w:r w:rsidR="00E36FAF" w:rsidRPr="00CE6EE6">
        <w:t xml:space="preserve">greement between </w:t>
      </w:r>
      <w:r w:rsidR="00F43099" w:rsidRPr="00CE6EE6">
        <w:t xml:space="preserve">Australia and Singapore (equivalent to </w:t>
      </w:r>
      <w:r w:rsidR="00BE6C1C" w:rsidRPr="00CE6EE6">
        <w:t>Art</w:t>
      </w:r>
      <w:r w:rsidR="00F43099" w:rsidRPr="00CE6EE6">
        <w:t xml:space="preserve"> 12 of the Indian Treaty).  </w:t>
      </w:r>
    </w:p>
    <w:p w:rsidR="00483CA3" w:rsidRDefault="00483CA3" w:rsidP="00A57E3E">
      <w:pPr>
        <w:pStyle w:val="ParaNumbering"/>
      </w:pPr>
      <w:r>
        <w:t xml:space="preserve">The primary </w:t>
      </w:r>
      <w:r w:rsidRPr="00CE6EE6">
        <w:t xml:space="preserve">judge </w:t>
      </w:r>
      <w:r w:rsidR="00386BA0" w:rsidRPr="00CE6EE6">
        <w:t xml:space="preserve">also held </w:t>
      </w:r>
      <w:r w:rsidRPr="00CE6EE6">
        <w:t xml:space="preserve">that if </w:t>
      </w:r>
      <w:r w:rsidR="00905253" w:rsidRPr="00CE6EE6">
        <w:t xml:space="preserve">however </w:t>
      </w:r>
      <w:r w:rsidRPr="00CE6EE6">
        <w:t xml:space="preserve">the </w:t>
      </w:r>
      <w:r w:rsidR="00732379" w:rsidRPr="00CE6EE6">
        <w:t>A</w:t>
      </w:r>
      <w:r w:rsidR="00BE6C1C" w:rsidRPr="00CE6EE6">
        <w:t>ppellant’s</w:t>
      </w:r>
      <w:r w:rsidRPr="00CE6EE6">
        <w:t xml:space="preserve"> construction was the correct construction, then the profits from the Indian services in the relevant year were not liable to tax </w:t>
      </w:r>
      <w:r w:rsidR="00386BA0" w:rsidRPr="00CE6EE6">
        <w:t xml:space="preserve">by Australia </w:t>
      </w:r>
      <w:r w:rsidRPr="00CE6EE6">
        <w:t xml:space="preserve">under </w:t>
      </w:r>
      <w:r w:rsidR="00732379" w:rsidRPr="00CE6EE6">
        <w:t xml:space="preserve">Art </w:t>
      </w:r>
      <w:r w:rsidRPr="00CE6EE6">
        <w:t>7.</w:t>
      </w:r>
      <w:r>
        <w:t xml:space="preserve"> </w:t>
      </w:r>
    </w:p>
    <w:p w:rsidR="00483CA3" w:rsidRDefault="00483CA3" w:rsidP="00483CA3">
      <w:pPr>
        <w:pStyle w:val="Heading1"/>
      </w:pPr>
      <w:r>
        <w:t>the appeal</w:t>
      </w:r>
    </w:p>
    <w:p w:rsidR="00483CA3" w:rsidRDefault="00A87F82" w:rsidP="00A57E3E">
      <w:pPr>
        <w:pStyle w:val="ParaNumbering"/>
      </w:pPr>
      <w:r>
        <w:t>The so</w:t>
      </w:r>
      <w:r w:rsidR="008368CE">
        <w:t>le issue in the appeal concerns</w:t>
      </w:r>
      <w:r>
        <w:t xml:space="preserve"> the proper construction of Art 12(4)</w:t>
      </w:r>
      <w:r w:rsidR="009C38E3">
        <w:t xml:space="preserve">.  </w:t>
      </w:r>
      <w:r w:rsidR="001D5574">
        <w:t>The A</w:t>
      </w:r>
      <w:r w:rsidR="00631F75">
        <w:t xml:space="preserve">ppellant </w:t>
      </w:r>
      <w:r w:rsidR="000E0AD5">
        <w:t xml:space="preserve">did not challenge the finding below that certain of the payments in question constituted “royalties” as defined in Art 12(3) and the Commissioner did not seek to challenge the </w:t>
      </w:r>
      <w:r w:rsidR="000E0AD5">
        <w:lastRenderedPageBreak/>
        <w:t xml:space="preserve">finding that Art 7 would not apply to those </w:t>
      </w:r>
      <w:r w:rsidR="000E0AD5" w:rsidRPr="009421CE">
        <w:t xml:space="preserve">payments if the </w:t>
      </w:r>
      <w:r w:rsidR="001D5574" w:rsidRPr="009421CE">
        <w:t>A</w:t>
      </w:r>
      <w:r w:rsidR="00E95AC5" w:rsidRPr="009421CE">
        <w:t>ppellant’s</w:t>
      </w:r>
      <w:r w:rsidR="000E0AD5" w:rsidRPr="009421CE">
        <w:t xml:space="preserve"> construction</w:t>
      </w:r>
      <w:r w:rsidR="000E0AD5">
        <w:t xml:space="preserve"> was the correct construction. </w:t>
      </w:r>
    </w:p>
    <w:p w:rsidR="00FF0421" w:rsidRPr="00C509B5" w:rsidRDefault="009446C4" w:rsidP="00483CA3">
      <w:pPr>
        <w:pStyle w:val="Heading2"/>
      </w:pPr>
      <w:r w:rsidRPr="00C509B5">
        <w:t>The A</w:t>
      </w:r>
      <w:r w:rsidR="00631F75" w:rsidRPr="00C509B5">
        <w:t xml:space="preserve">ppellant’s </w:t>
      </w:r>
      <w:r w:rsidR="00A87F82" w:rsidRPr="00C509B5">
        <w:t>s</w:t>
      </w:r>
      <w:r w:rsidR="00FF0421" w:rsidRPr="00C509B5">
        <w:t>ubmissions</w:t>
      </w:r>
    </w:p>
    <w:p w:rsidR="00DE5068" w:rsidRPr="00C509B5" w:rsidRDefault="00B22C2C" w:rsidP="00483CA3">
      <w:pPr>
        <w:pStyle w:val="ParaNumbering"/>
      </w:pPr>
      <w:r w:rsidRPr="00C509B5">
        <w:t xml:space="preserve">It was argued for </w:t>
      </w:r>
      <w:r w:rsidR="001D5574" w:rsidRPr="00C509B5">
        <w:t>the A</w:t>
      </w:r>
      <w:r w:rsidR="00631F75" w:rsidRPr="00C509B5">
        <w:t xml:space="preserve">ppellant </w:t>
      </w:r>
      <w:r w:rsidR="00FF0421" w:rsidRPr="00C509B5">
        <w:t xml:space="preserve">that </w:t>
      </w:r>
      <w:r w:rsidR="00DE5068" w:rsidRPr="00C509B5">
        <w:t>the approach of the primary judge to the meaning of “effectively c</w:t>
      </w:r>
      <w:r w:rsidR="008368CE" w:rsidRPr="00C509B5">
        <w:t xml:space="preserve">onnected with” in </w:t>
      </w:r>
      <w:r w:rsidR="001D5574" w:rsidRPr="00C509B5">
        <w:t xml:space="preserve">Art </w:t>
      </w:r>
      <w:r w:rsidR="008368CE" w:rsidRPr="00C509B5">
        <w:t>12(</w:t>
      </w:r>
      <w:r w:rsidR="00DE5068" w:rsidRPr="00C509B5">
        <w:t xml:space="preserve">4) was in error. </w:t>
      </w:r>
    </w:p>
    <w:p w:rsidR="007E7032" w:rsidRPr="00C509B5" w:rsidRDefault="00DE5068" w:rsidP="00C4735B">
      <w:pPr>
        <w:pStyle w:val="ParaNumbering"/>
      </w:pPr>
      <w:r w:rsidRPr="00C509B5">
        <w:t xml:space="preserve">First it was submitted that the Commissioner’s </w:t>
      </w:r>
      <w:r w:rsidR="00404E96" w:rsidRPr="00C509B5">
        <w:t xml:space="preserve">argument as to </w:t>
      </w:r>
      <w:r w:rsidRPr="00C509B5">
        <w:t>construction (accepted by the primary judge) was based</w:t>
      </w:r>
      <w:r w:rsidR="00E6660B" w:rsidRPr="00C509B5">
        <w:t xml:space="preserve"> not upon the language used in Art 12(4), but</w:t>
      </w:r>
      <w:r w:rsidRPr="00C509B5">
        <w:t xml:space="preserve"> upon an assumption </w:t>
      </w:r>
      <w:r w:rsidR="00E6660B" w:rsidRPr="00C509B5">
        <w:t xml:space="preserve">that the purpose of </w:t>
      </w:r>
      <w:r w:rsidR="001D5574" w:rsidRPr="00C509B5">
        <w:t xml:space="preserve">Art </w:t>
      </w:r>
      <w:r w:rsidR="00E6660B" w:rsidRPr="00C509B5">
        <w:t xml:space="preserve">12(4) was to remove royalties from </w:t>
      </w:r>
      <w:r w:rsidR="001D5574" w:rsidRPr="00C509B5">
        <w:t>Art 12 only if the s</w:t>
      </w:r>
      <w:r w:rsidR="00E6660B" w:rsidRPr="00C509B5">
        <w:t xml:space="preserve">ource State had the right to tax such royalties </w:t>
      </w:r>
      <w:r w:rsidRPr="00C509B5">
        <w:t xml:space="preserve">pursuant to </w:t>
      </w:r>
      <w:r w:rsidR="001D5574" w:rsidRPr="00C509B5">
        <w:t xml:space="preserve">Art </w:t>
      </w:r>
      <w:r w:rsidRPr="00C509B5">
        <w:t>7(1</w:t>
      </w:r>
      <w:proofErr w:type="gramStart"/>
      <w:r w:rsidRPr="00C509B5">
        <w:t>)</w:t>
      </w:r>
      <w:r w:rsidR="00E6660B" w:rsidRPr="00C509B5">
        <w:t>(</w:t>
      </w:r>
      <w:proofErr w:type="gramEnd"/>
      <w:r w:rsidR="00E6660B" w:rsidRPr="00C509B5">
        <w:t>a)</w:t>
      </w:r>
      <w:r w:rsidR="009C38E3" w:rsidRPr="00C509B5">
        <w:t xml:space="preserve">.  </w:t>
      </w:r>
      <w:r w:rsidRPr="00C509B5">
        <w:t>It was s</w:t>
      </w:r>
      <w:r w:rsidR="00E6660B" w:rsidRPr="00C509B5">
        <w:t>ubmitted that</w:t>
      </w:r>
      <w:r w:rsidR="00CC1BE0" w:rsidRPr="00C509B5">
        <w:t xml:space="preserve"> that</w:t>
      </w:r>
      <w:r w:rsidR="00E6660B" w:rsidRPr="00C509B5">
        <w:t xml:space="preserve"> </w:t>
      </w:r>
      <w:r w:rsidR="008C342F" w:rsidRPr="00C509B5">
        <w:t xml:space="preserve">was not the language of </w:t>
      </w:r>
      <w:r w:rsidR="001D5574" w:rsidRPr="00C509B5">
        <w:t xml:space="preserve">Art </w:t>
      </w:r>
      <w:r w:rsidR="00E6660B" w:rsidRPr="00C509B5">
        <w:t xml:space="preserve">12(4) </w:t>
      </w:r>
      <w:r w:rsidR="008C342F" w:rsidRPr="00C509B5">
        <w:t xml:space="preserve">and </w:t>
      </w:r>
      <w:r w:rsidRPr="00C509B5">
        <w:t xml:space="preserve">that </w:t>
      </w:r>
      <w:r w:rsidR="001D5574" w:rsidRPr="00C509B5">
        <w:t xml:space="preserve">Art </w:t>
      </w:r>
      <w:r w:rsidRPr="00C509B5">
        <w:t>12(4) must be construed in accordance with the language used</w:t>
      </w:r>
      <w:r w:rsidR="008C342F" w:rsidRPr="00C509B5">
        <w:t xml:space="preserve">. </w:t>
      </w:r>
    </w:p>
    <w:p w:rsidR="007E7032" w:rsidRPr="00C509B5" w:rsidRDefault="007E7032" w:rsidP="00C4735B">
      <w:pPr>
        <w:pStyle w:val="ParaNumbering"/>
      </w:pPr>
      <w:r w:rsidRPr="00C509B5">
        <w:t>Secondly, i</w:t>
      </w:r>
      <w:r w:rsidR="00DE5068" w:rsidRPr="00C509B5">
        <w:t>t was submitted that</w:t>
      </w:r>
      <w:r w:rsidR="008C342F" w:rsidRPr="00C509B5">
        <w:t xml:space="preserve"> </w:t>
      </w:r>
      <w:r w:rsidR="00DB233A" w:rsidRPr="00C509B5">
        <w:t xml:space="preserve">the expression “effectively connected with” </w:t>
      </w:r>
      <w:r w:rsidR="008368CE" w:rsidRPr="00C509B5">
        <w:t xml:space="preserve">in Art 12(4) </w:t>
      </w:r>
      <w:r w:rsidR="00DB233A" w:rsidRPr="00C509B5">
        <w:t xml:space="preserve">connotes in ordinary language a connection which serves to </w:t>
      </w:r>
      <w:proofErr w:type="gramStart"/>
      <w:r w:rsidR="00DB233A" w:rsidRPr="00C509B5">
        <w:t>effect</w:t>
      </w:r>
      <w:proofErr w:type="gramEnd"/>
      <w:r w:rsidR="00DB233A" w:rsidRPr="00C509B5">
        <w:t xml:space="preserve"> the purposes of the permanent establishment</w:t>
      </w:r>
      <w:r w:rsidR="009C38E3" w:rsidRPr="00C509B5">
        <w:t xml:space="preserve">.  </w:t>
      </w:r>
      <w:r w:rsidR="00DB233A" w:rsidRPr="00C509B5">
        <w:t xml:space="preserve">It was submitted that the evident intent </w:t>
      </w:r>
      <w:r w:rsidR="00DE5068" w:rsidRPr="00C509B5">
        <w:t xml:space="preserve">of Article 12(4) </w:t>
      </w:r>
      <w:r w:rsidR="00DB233A" w:rsidRPr="00C509B5">
        <w:t xml:space="preserve">is that where an effective connection exists, the payments are not to be dealt with under the treaty as </w:t>
      </w:r>
      <w:r w:rsidR="008C342F" w:rsidRPr="00C509B5">
        <w:t>“</w:t>
      </w:r>
      <w:r w:rsidR="00DB233A" w:rsidRPr="00C509B5">
        <w:t>royalties</w:t>
      </w:r>
      <w:r w:rsidR="008C342F" w:rsidRPr="00C509B5">
        <w:t>”</w:t>
      </w:r>
      <w:r w:rsidR="00DB233A" w:rsidRPr="00C509B5">
        <w:t xml:space="preserve">, but are “assimilated” to business profits and on that basis, whether they are taxable in Australia will </w:t>
      </w:r>
      <w:r w:rsidR="00404E96" w:rsidRPr="00C509B5">
        <w:t xml:space="preserve">then </w:t>
      </w:r>
      <w:r w:rsidR="00DB233A" w:rsidRPr="00C509B5">
        <w:t>depend upon the operation of the business profits provision</w:t>
      </w:r>
      <w:r w:rsidR="008C342F" w:rsidRPr="00C509B5">
        <w:t xml:space="preserve"> in Art 7</w:t>
      </w:r>
      <w:r w:rsidR="001D5574" w:rsidRPr="00C509B5">
        <w:t xml:space="preserve"> of the Indian Treaty</w:t>
      </w:r>
      <w:r w:rsidR="00DB233A" w:rsidRPr="00C509B5">
        <w:t xml:space="preserve">. </w:t>
      </w:r>
      <w:r w:rsidR="00DE5068" w:rsidRPr="00C509B5">
        <w:t xml:space="preserve"> </w:t>
      </w:r>
    </w:p>
    <w:p w:rsidR="00C4735B" w:rsidRDefault="007E7032" w:rsidP="00C4735B">
      <w:pPr>
        <w:pStyle w:val="ParaNumbering"/>
      </w:pPr>
      <w:r>
        <w:t xml:space="preserve">Thirdly, it </w:t>
      </w:r>
      <w:r w:rsidR="00C4735B">
        <w:t xml:space="preserve">was submitted </w:t>
      </w:r>
      <w:r>
        <w:t>that the context of Art 12(4) is</w:t>
      </w:r>
      <w:r w:rsidR="002B5296">
        <w:t xml:space="preserve"> the allocation of taxing rights</w:t>
      </w:r>
      <w:r w:rsidR="009C38E3">
        <w:t xml:space="preserve">.  </w:t>
      </w:r>
      <w:r w:rsidR="00C4735B">
        <w:t>The context includes cognate provisions in Articles 10(4) (relating to dividends), 11(4) (relating to interest), and 22(3</w:t>
      </w:r>
      <w:r w:rsidR="00C4735B" w:rsidRPr="0076273C">
        <w:t xml:space="preserve">) (relating to items of income not expressly mentioned).  It was submitted that the result of the effective connection with the permanent establishment is that the taxing rights in respect of those payments are not to be allocated by Articles 10, 11, 12 or 22 but are to be allocated by </w:t>
      </w:r>
      <w:r w:rsidR="00E57ACE" w:rsidRPr="0076273C">
        <w:t xml:space="preserve">Art </w:t>
      </w:r>
      <w:r w:rsidR="00C4735B" w:rsidRPr="0076273C">
        <w:t xml:space="preserve">7, that is the dividends, interests, royalties, or other income are to be assimilated with business profits, and the taxing rights with respect to them allocated by </w:t>
      </w:r>
      <w:r w:rsidR="0022424A" w:rsidRPr="0076273C">
        <w:t>Art</w:t>
      </w:r>
      <w:r w:rsidR="00C4735B" w:rsidRPr="0076273C">
        <w:t xml:space="preserve"> 7</w:t>
      </w:r>
      <w:r w:rsidR="009C38E3" w:rsidRPr="0076273C">
        <w:t xml:space="preserve">.  </w:t>
      </w:r>
      <w:r w:rsidR="00C4735B" w:rsidRPr="0076273C">
        <w:t>In turn</w:t>
      </w:r>
      <w:r w:rsidR="008368CE" w:rsidRPr="0076273C">
        <w:t>,</w:t>
      </w:r>
      <w:r w:rsidR="00C4735B" w:rsidRPr="0076273C">
        <w:t xml:space="preserve"> whether </w:t>
      </w:r>
      <w:r w:rsidR="00E57ACE" w:rsidRPr="0076273C">
        <w:t xml:space="preserve">Art </w:t>
      </w:r>
      <w:r w:rsidRPr="0076273C">
        <w:t>7 allocates</w:t>
      </w:r>
      <w:r w:rsidR="00C4735B" w:rsidRPr="0076273C">
        <w:t xml:space="preserve"> taxing rights depend</w:t>
      </w:r>
      <w:r w:rsidRPr="0076273C">
        <w:t>s</w:t>
      </w:r>
      <w:r w:rsidR="00C4735B" w:rsidRPr="0076273C">
        <w:t xml:space="preserve"> upon the criteria of that Article.</w:t>
      </w:r>
      <w:r w:rsidR="00C4735B">
        <w:t xml:space="preserve"> </w:t>
      </w:r>
    </w:p>
    <w:p w:rsidR="00757977" w:rsidRDefault="00E6660B" w:rsidP="00D364E4">
      <w:pPr>
        <w:pStyle w:val="ParaNumbering"/>
      </w:pPr>
      <w:r>
        <w:t xml:space="preserve">In </w:t>
      </w:r>
      <w:r w:rsidR="00404E96">
        <w:t>this case</w:t>
      </w:r>
      <w:r>
        <w:t xml:space="preserve">, it was said, </w:t>
      </w:r>
      <w:r w:rsidR="008648D1">
        <w:t xml:space="preserve">Art 12(4) was engaged because the </w:t>
      </w:r>
      <w:r w:rsidR="008368CE">
        <w:t>services performed in India contributed</w:t>
      </w:r>
      <w:r w:rsidR="00740CEB">
        <w:t xml:space="preserve"> to the discharge of contractual obligations undertaken by the </w:t>
      </w:r>
      <w:r w:rsidR="009446C4">
        <w:t>A</w:t>
      </w:r>
      <w:r w:rsidR="00631F75">
        <w:t xml:space="preserve">ppellant </w:t>
      </w:r>
      <w:r w:rsidR="008368CE">
        <w:t>with its Australian customers</w:t>
      </w:r>
      <w:r w:rsidR="00D364E4">
        <w:t xml:space="preserve"> in relation to the </w:t>
      </w:r>
      <w:r w:rsidR="00740CEB">
        <w:t xml:space="preserve">business </w:t>
      </w:r>
      <w:r w:rsidR="00D364E4">
        <w:t xml:space="preserve">carried on </w:t>
      </w:r>
      <w:r w:rsidR="00740CEB">
        <w:t xml:space="preserve">through </w:t>
      </w:r>
      <w:r w:rsidR="00D364E4">
        <w:t xml:space="preserve">the </w:t>
      </w:r>
      <w:r w:rsidR="00740CEB">
        <w:t xml:space="preserve">permanent </w:t>
      </w:r>
      <w:r w:rsidR="00740CEB">
        <w:lastRenderedPageBreak/>
        <w:t>establishment in Australia</w:t>
      </w:r>
      <w:r w:rsidR="008368CE">
        <w:t xml:space="preserve"> and </w:t>
      </w:r>
      <w:r w:rsidR="00757977">
        <w:t>serve</w:t>
      </w:r>
      <w:r w:rsidR="008368CE">
        <w:t>d</w:t>
      </w:r>
      <w:r w:rsidR="00757977">
        <w:t xml:space="preserve"> to </w:t>
      </w:r>
      <w:proofErr w:type="gramStart"/>
      <w:r w:rsidR="00757977">
        <w:t>effect</w:t>
      </w:r>
      <w:proofErr w:type="gramEnd"/>
      <w:r w:rsidR="00757977">
        <w:t xml:space="preserve"> </w:t>
      </w:r>
      <w:r w:rsidR="00757977" w:rsidRPr="0076273C">
        <w:t>the purposes</w:t>
      </w:r>
      <w:r w:rsidR="008368CE" w:rsidRPr="0076273C">
        <w:t xml:space="preserve"> of the permanent establishment</w:t>
      </w:r>
      <w:r w:rsidR="009C38E3" w:rsidRPr="0076273C">
        <w:t xml:space="preserve">.  </w:t>
      </w:r>
      <w:r w:rsidR="00D364E4" w:rsidRPr="0076273C">
        <w:t xml:space="preserve">It was </w:t>
      </w:r>
      <w:r w:rsidR="0076273C" w:rsidRPr="0076273C">
        <w:t>not in dispute</w:t>
      </w:r>
      <w:r w:rsidR="00483CA3" w:rsidRPr="0076273C">
        <w:t xml:space="preserve"> that</w:t>
      </w:r>
      <w:r w:rsidR="00D364E4" w:rsidRPr="0076273C">
        <w:t xml:space="preserve"> the profits were not liable to tax by Australia under </w:t>
      </w:r>
      <w:r w:rsidR="008F529E" w:rsidRPr="0076273C">
        <w:t>Art</w:t>
      </w:r>
      <w:r w:rsidR="00D364E4" w:rsidRPr="0076273C">
        <w:t xml:space="preserve"> 7(1).</w:t>
      </w:r>
    </w:p>
    <w:p w:rsidR="00A87F82" w:rsidRDefault="007E7032" w:rsidP="00A87F82">
      <w:pPr>
        <w:pStyle w:val="Heading2"/>
      </w:pPr>
      <w:r>
        <w:t>The C</w:t>
      </w:r>
      <w:r w:rsidR="00A87F82">
        <w:t>ommissioner’s submissions</w:t>
      </w:r>
    </w:p>
    <w:p w:rsidR="00AA6DB4" w:rsidRDefault="00483CA3" w:rsidP="000E0AD5">
      <w:pPr>
        <w:pStyle w:val="ParaNumbering"/>
      </w:pPr>
      <w:r>
        <w:t>T</w:t>
      </w:r>
      <w:r w:rsidR="000C7341">
        <w:t>he Commissioner submitted that</w:t>
      </w:r>
      <w:r w:rsidR="00AA6DB4">
        <w:t xml:space="preserve"> </w:t>
      </w:r>
      <w:r w:rsidR="00F11370">
        <w:t xml:space="preserve">the construction for which </w:t>
      </w:r>
      <w:r w:rsidR="002F02BD">
        <w:t>the A</w:t>
      </w:r>
      <w:r w:rsidR="00631F75">
        <w:t xml:space="preserve">ppellant </w:t>
      </w:r>
      <w:r w:rsidR="00F11370">
        <w:t xml:space="preserve">contended was not supported by the language of that provision, </w:t>
      </w:r>
      <w:r w:rsidR="002B5296">
        <w:t xml:space="preserve">or </w:t>
      </w:r>
      <w:r w:rsidR="00F11370">
        <w:t>by a consideration of its context</w:t>
      </w:r>
      <w:r w:rsidR="00AA6DB4">
        <w:t xml:space="preserve"> </w:t>
      </w:r>
      <w:r w:rsidR="00F11370">
        <w:t>in the scheme of the Indian Treaty or having regard to the evident object and purpose of the Indian Treat</w:t>
      </w:r>
      <w:r w:rsidR="003F5549">
        <w:t>y</w:t>
      </w:r>
      <w:r w:rsidR="00F11370">
        <w:t xml:space="preserve"> as a whole.</w:t>
      </w:r>
    </w:p>
    <w:p w:rsidR="006520EE" w:rsidRPr="0076273C" w:rsidRDefault="005B5E8D" w:rsidP="00AA6DB4">
      <w:pPr>
        <w:pStyle w:val="ParaNumbering"/>
      </w:pPr>
      <w:r>
        <w:t>As a matter of language, i</w:t>
      </w:r>
      <w:r w:rsidR="000E0AD5">
        <w:t>t was argued that th</w:t>
      </w:r>
      <w:r w:rsidR="0076273C">
        <w:t xml:space="preserve">e </w:t>
      </w:r>
      <w:r w:rsidR="0076273C" w:rsidRPr="0076273C">
        <w:t xml:space="preserve">phrase “effectively connected” </w:t>
      </w:r>
      <w:r w:rsidR="008F529E" w:rsidRPr="0076273C">
        <w:t>in the context of the words “with such permanent establishment</w:t>
      </w:r>
      <w:r w:rsidR="0076273C" w:rsidRPr="0076273C">
        <w:t>”</w:t>
      </w:r>
      <w:r w:rsidR="000E0AD5" w:rsidRPr="0076273C">
        <w:t xml:space="preserve"> in ordinary</w:t>
      </w:r>
      <w:r w:rsidR="000E0AD5">
        <w:t xml:space="preserve"> meaning imports an element of causality between the relevant “</w:t>
      </w:r>
      <w:r w:rsidR="000E0AD5" w:rsidRPr="0076273C">
        <w:t>property, right or services” and the permanent establishment, which re</w:t>
      </w:r>
      <w:r w:rsidR="008368CE" w:rsidRPr="0076273C">
        <w:t xml:space="preserve">flects the operation of </w:t>
      </w:r>
      <w:r w:rsidR="002F02BD" w:rsidRPr="0076273C">
        <w:t xml:space="preserve">Art </w:t>
      </w:r>
      <w:r w:rsidR="000E0AD5" w:rsidRPr="0076273C">
        <w:t xml:space="preserve">7 (and </w:t>
      </w:r>
      <w:r w:rsidR="002F02BD" w:rsidRPr="0076273C">
        <w:t xml:space="preserve">Art </w:t>
      </w:r>
      <w:r w:rsidR="000E0AD5" w:rsidRPr="0076273C">
        <w:t xml:space="preserve">14).  It was also argued that the </w:t>
      </w:r>
      <w:r w:rsidR="006520EE" w:rsidRPr="0076273C">
        <w:t xml:space="preserve">expression </w:t>
      </w:r>
      <w:r w:rsidR="000E0AD5" w:rsidRPr="0076273C">
        <w:t xml:space="preserve">“property, right or services” </w:t>
      </w:r>
      <w:r w:rsidR="006520EE" w:rsidRPr="0076273C">
        <w:t xml:space="preserve">in </w:t>
      </w:r>
      <w:r w:rsidR="000E0AD5" w:rsidRPr="0076273C">
        <w:t>Art 12(4) must be read in conjunction</w:t>
      </w:r>
      <w:r w:rsidR="00F45114" w:rsidRPr="0076273C">
        <w:t xml:space="preserve"> with</w:t>
      </w:r>
      <w:r w:rsidR="002F02BD" w:rsidRPr="0076273C">
        <w:t xml:space="preserve"> </w:t>
      </w:r>
      <w:r w:rsidR="000E0AD5" w:rsidRPr="0076273C">
        <w:t xml:space="preserve">Art 12(3) </w:t>
      </w:r>
      <w:r w:rsidR="008368CE" w:rsidRPr="0076273C">
        <w:t xml:space="preserve">which defines </w:t>
      </w:r>
      <w:r w:rsidR="000119F8" w:rsidRPr="0076273C">
        <w:t xml:space="preserve">the </w:t>
      </w:r>
      <w:r w:rsidR="006520EE" w:rsidRPr="0076273C">
        <w:t xml:space="preserve">“property, right or services” </w:t>
      </w:r>
      <w:r w:rsidR="00AE4437" w:rsidRPr="0076273C">
        <w:t xml:space="preserve">for </w:t>
      </w:r>
      <w:r w:rsidR="006520EE" w:rsidRPr="0076273C">
        <w:t xml:space="preserve">which </w:t>
      </w:r>
      <w:r w:rsidR="00AE4437" w:rsidRPr="0076273C">
        <w:t xml:space="preserve">the </w:t>
      </w:r>
      <w:r w:rsidR="006520EE" w:rsidRPr="0076273C">
        <w:t xml:space="preserve">payments are made as consideration </w:t>
      </w:r>
      <w:r w:rsidR="00B74E45" w:rsidRPr="0076273C">
        <w:t xml:space="preserve">and constitute </w:t>
      </w:r>
      <w:r w:rsidR="006520EE" w:rsidRPr="0076273C">
        <w:t>“royalties</w:t>
      </w:r>
      <w:r w:rsidR="003F5549" w:rsidRPr="0076273C">
        <w:t>”</w:t>
      </w:r>
      <w:r w:rsidR="008368CE" w:rsidRPr="0076273C">
        <w:t>.</w:t>
      </w:r>
    </w:p>
    <w:p w:rsidR="003F5549" w:rsidRDefault="00631F75" w:rsidP="00AA6DB4">
      <w:pPr>
        <w:pStyle w:val="ParaNumbering"/>
      </w:pPr>
      <w:r w:rsidRPr="0076273C">
        <w:t>I</w:t>
      </w:r>
      <w:r w:rsidR="005B5E8D" w:rsidRPr="0076273C">
        <w:t>t was argued that</w:t>
      </w:r>
      <w:r w:rsidRPr="0076273C">
        <w:t xml:space="preserve"> </w:t>
      </w:r>
      <w:r w:rsidR="005B5E8D" w:rsidRPr="0076273C">
        <w:t>the purpose of Art 12(4)</w:t>
      </w:r>
      <w:r w:rsidR="008368CE" w:rsidRPr="0076273C">
        <w:t>,</w:t>
      </w:r>
      <w:r w:rsidR="005B5E8D" w:rsidRPr="0076273C">
        <w:t xml:space="preserve"> </w:t>
      </w:r>
      <w:r w:rsidR="008368CE" w:rsidRPr="0076273C">
        <w:t xml:space="preserve">considered in context, </w:t>
      </w:r>
      <w:r w:rsidR="005B5E8D" w:rsidRPr="0076273C">
        <w:t xml:space="preserve">is to give </w:t>
      </w:r>
      <w:r w:rsidR="009A1E3A" w:rsidRPr="0076273C">
        <w:t>the s</w:t>
      </w:r>
      <w:r w:rsidR="005D2B24" w:rsidRPr="0076273C">
        <w:t>ource State where the royalties arise</w:t>
      </w:r>
      <w:r w:rsidR="006A1D71" w:rsidRPr="0076273C">
        <w:t>,</w:t>
      </w:r>
      <w:r w:rsidR="005D2B24" w:rsidRPr="0076273C">
        <w:t xml:space="preserve"> </w:t>
      </w:r>
      <w:r w:rsidR="005B5E8D" w:rsidRPr="0076273C">
        <w:t xml:space="preserve">the right to tax </w:t>
      </w:r>
      <w:r w:rsidR="005D2B24" w:rsidRPr="0076273C">
        <w:t xml:space="preserve">such </w:t>
      </w:r>
      <w:r w:rsidR="005B5E8D" w:rsidRPr="0076273C">
        <w:t xml:space="preserve">royalties under Art 7 </w:t>
      </w:r>
      <w:r w:rsidR="005D2B24" w:rsidRPr="0076273C">
        <w:t xml:space="preserve">in lieu of Art 12 </w:t>
      </w:r>
      <w:r w:rsidR="005B5E8D" w:rsidRPr="0076273C">
        <w:t>where the property, right or services in respect of which the royalties are paid are effectively</w:t>
      </w:r>
      <w:r w:rsidR="005B5E8D">
        <w:t xml:space="preserve"> connected with</w:t>
      </w:r>
      <w:r w:rsidR="005F6851" w:rsidRPr="005F6851">
        <w:t xml:space="preserve"> </w:t>
      </w:r>
      <w:r w:rsidR="005F6851">
        <w:t>that permanent establishment</w:t>
      </w:r>
      <w:r w:rsidR="009C38E3">
        <w:t xml:space="preserve">.  </w:t>
      </w:r>
      <w:r w:rsidR="005F6851">
        <w:t xml:space="preserve">It was submitted that Art 12(4) has a co-extensive operation with Art 7 </w:t>
      </w:r>
      <w:r w:rsidR="00FE2D36">
        <w:t xml:space="preserve">with respect to </w:t>
      </w:r>
      <w:r w:rsidR="006A1D71">
        <w:t xml:space="preserve">the allocation of taxing rights in respect of </w:t>
      </w:r>
      <w:r w:rsidR="00FE2D36">
        <w:t xml:space="preserve">royalties, </w:t>
      </w:r>
      <w:r w:rsidR="006A1D71">
        <w:t xml:space="preserve">so that </w:t>
      </w:r>
      <w:r w:rsidR="00561420">
        <w:t xml:space="preserve">such </w:t>
      </w:r>
      <w:r w:rsidR="006A1D71">
        <w:t xml:space="preserve">royalties </w:t>
      </w:r>
      <w:r w:rsidR="00561420">
        <w:t xml:space="preserve">are taxable by Australia pursuant to </w:t>
      </w:r>
      <w:r w:rsidR="006A1D71">
        <w:t xml:space="preserve">Art </w:t>
      </w:r>
      <w:r w:rsidR="00561420">
        <w:t>7</w:t>
      </w:r>
      <w:r w:rsidR="006A1D71">
        <w:t xml:space="preserve">, where Art 12 (4) is engaged, </w:t>
      </w:r>
      <w:r w:rsidR="00561420">
        <w:t xml:space="preserve">or otherwise pursuant to Art 12(2). </w:t>
      </w:r>
    </w:p>
    <w:p w:rsidR="001A2B4B" w:rsidRDefault="001A2B4B" w:rsidP="001A2B4B">
      <w:pPr>
        <w:pStyle w:val="Heading1"/>
      </w:pPr>
      <w:r>
        <w:t>consideration</w:t>
      </w:r>
    </w:p>
    <w:p w:rsidR="00576003" w:rsidRDefault="001A2B4B" w:rsidP="00576003">
      <w:pPr>
        <w:pStyle w:val="ParaNumbering"/>
      </w:pPr>
      <w:r>
        <w:t>For the reasons that follow</w:t>
      </w:r>
      <w:r w:rsidR="00D13E36">
        <w:t>,</w:t>
      </w:r>
      <w:r>
        <w:t xml:space="preserve"> the primary judge was correct on the construction and application of Art 12(4). </w:t>
      </w:r>
    </w:p>
    <w:p w:rsidR="008368CE" w:rsidRPr="0076273C" w:rsidRDefault="003D22B9" w:rsidP="002B5296">
      <w:pPr>
        <w:pStyle w:val="ParaNumbering"/>
      </w:pPr>
      <w:r>
        <w:t xml:space="preserve">The principles to </w:t>
      </w:r>
      <w:r w:rsidRPr="0076273C">
        <w:t>apply in the interpretation of the Article were not in dispute and are well settled</w:t>
      </w:r>
      <w:r w:rsidR="009C38E3" w:rsidRPr="0076273C">
        <w:t xml:space="preserve">.  </w:t>
      </w:r>
      <w:r w:rsidR="00672CFD" w:rsidRPr="0076273C">
        <w:t xml:space="preserve">A holistic approach is to be taken to the interpretation of the Indian Treaty, in line with the rule of interpretation in Article 31 of the </w:t>
      </w:r>
      <w:r w:rsidR="00672CFD" w:rsidRPr="0076273C">
        <w:rPr>
          <w:i/>
        </w:rPr>
        <w:t>Vienna Convention on the Law of Treaties</w:t>
      </w:r>
      <w:r w:rsidR="00D8507B" w:rsidRPr="0076273C">
        <w:rPr>
          <w:i/>
        </w:rPr>
        <w:t xml:space="preserve">, </w:t>
      </w:r>
      <w:r w:rsidR="00D8507B" w:rsidRPr="0076273C">
        <w:t xml:space="preserve">opened for signature 23 May 1969, </w:t>
      </w:r>
      <w:r w:rsidR="00672CFD" w:rsidRPr="0076273C">
        <w:t>[1974] ATS 2</w:t>
      </w:r>
      <w:r w:rsidR="00D8507B" w:rsidRPr="0076273C">
        <w:t xml:space="preserve"> (entered into force 27 January 1980)</w:t>
      </w:r>
      <w:r w:rsidR="009C38E3" w:rsidRPr="0076273C">
        <w:t xml:space="preserve">.  </w:t>
      </w:r>
      <w:r w:rsidR="008368CE" w:rsidRPr="0076273C">
        <w:t>The written tex</w:t>
      </w:r>
      <w:r w:rsidR="007D44D5" w:rsidRPr="0076273C">
        <w:t xml:space="preserve">t has primacy but the Court must also have regard to the context, object and purpose of the treaty provisions: </w:t>
      </w:r>
      <w:r w:rsidR="00672CFD" w:rsidRPr="0076273C">
        <w:rPr>
          <w:i/>
        </w:rPr>
        <w:t>Task Technology Pty Ltd v Federal Commissioner of Taxation</w:t>
      </w:r>
      <w:r w:rsidR="00F45114" w:rsidRPr="0076273C">
        <w:rPr>
          <w:i/>
        </w:rPr>
        <w:t xml:space="preserve"> </w:t>
      </w:r>
      <w:r w:rsidR="00F45114" w:rsidRPr="0076273C">
        <w:t>(2014) 224 FCR 355;</w:t>
      </w:r>
      <w:r w:rsidR="00672CFD" w:rsidRPr="0076273C">
        <w:rPr>
          <w:i/>
        </w:rPr>
        <w:t xml:space="preserve"> </w:t>
      </w:r>
      <w:r w:rsidR="007D44D5" w:rsidRPr="0076273C">
        <w:t xml:space="preserve">[2014] FCAFC 113 at [12]. </w:t>
      </w:r>
    </w:p>
    <w:p w:rsidR="00750988" w:rsidRPr="006D2A19" w:rsidRDefault="00750988" w:rsidP="00750988">
      <w:pPr>
        <w:pStyle w:val="ParaNumbering"/>
      </w:pPr>
      <w:r>
        <w:lastRenderedPageBreak/>
        <w:t xml:space="preserve">The essential competing difference </w:t>
      </w:r>
      <w:r w:rsidRPr="00401347">
        <w:t xml:space="preserve">in construction between the parties is whether Art 12(4) is simply a gateway to Art 7 so that whether the source </w:t>
      </w:r>
      <w:r w:rsidR="009A1E3A" w:rsidRPr="00401347">
        <w:t>State</w:t>
      </w:r>
      <w:r w:rsidRPr="00401347">
        <w:t xml:space="preserve"> will have taxing rights under Art 7 will depend on whether the royalties “assimilated” to business profits are, relevantly, attributable to the permanent establishment in the source </w:t>
      </w:r>
      <w:r w:rsidR="009A1E3A" w:rsidRPr="00401347">
        <w:t>State</w:t>
      </w:r>
      <w:r>
        <w:t xml:space="preserve"> through which enterprise carries on business</w:t>
      </w:r>
      <w:r w:rsidR="009C38E3">
        <w:t xml:space="preserve">.  </w:t>
      </w:r>
      <w:r>
        <w:t xml:space="preserve">On </w:t>
      </w:r>
      <w:r w:rsidR="001A2219">
        <w:t>the construction argued by the A</w:t>
      </w:r>
      <w:r>
        <w:t xml:space="preserve">ppellant, a royalty may fall outside of the scope of the </w:t>
      </w:r>
      <w:r w:rsidRPr="00401347">
        <w:t xml:space="preserve">source </w:t>
      </w:r>
      <w:r w:rsidR="00460254" w:rsidRPr="006D2A19">
        <w:t>State’s</w:t>
      </w:r>
      <w:r w:rsidRPr="006D2A19">
        <w:t xml:space="preserve"> right to tax b</w:t>
      </w:r>
      <w:r w:rsidR="00460254" w:rsidRPr="006D2A19">
        <w:t>y virtue of Art </w:t>
      </w:r>
      <w:r w:rsidRPr="006D2A19">
        <w:t xml:space="preserve">12(4), if Art 7 does not give taxing rights to the source </w:t>
      </w:r>
      <w:r w:rsidR="00460254" w:rsidRPr="006D2A19">
        <w:t xml:space="preserve">State </w:t>
      </w:r>
      <w:r w:rsidRPr="006D2A19">
        <w:t>in respect of that royalty</w:t>
      </w:r>
      <w:r w:rsidR="009C38E3" w:rsidRPr="006D2A19">
        <w:t xml:space="preserve">.  </w:t>
      </w:r>
      <w:r w:rsidRPr="006D2A19">
        <w:t xml:space="preserve">The context and evident purpose of Art 12(4) does not give support for that construction. </w:t>
      </w:r>
    </w:p>
    <w:p w:rsidR="00672CFD" w:rsidRPr="006D2A19" w:rsidRDefault="00750988" w:rsidP="002B5296">
      <w:pPr>
        <w:pStyle w:val="ParaNumbering"/>
      </w:pPr>
      <w:r w:rsidRPr="006D2A19">
        <w:t xml:space="preserve">In </w:t>
      </w:r>
      <w:r w:rsidR="007D44D5" w:rsidRPr="006D2A19">
        <w:t xml:space="preserve">construing Art 12(4), </w:t>
      </w:r>
      <w:r w:rsidR="00672CFD" w:rsidRPr="006D2A19">
        <w:t xml:space="preserve">it is important to consider how </w:t>
      </w:r>
      <w:r w:rsidR="00030BB0" w:rsidRPr="006D2A19">
        <w:t>Art</w:t>
      </w:r>
      <w:r w:rsidR="00672CFD" w:rsidRPr="006D2A19">
        <w:t xml:space="preserve"> 7 and </w:t>
      </w:r>
      <w:r w:rsidR="00030BB0" w:rsidRPr="006D2A19">
        <w:t xml:space="preserve">Art </w:t>
      </w:r>
      <w:r w:rsidR="00672CFD" w:rsidRPr="006D2A19">
        <w:t xml:space="preserve">12 interact. </w:t>
      </w:r>
    </w:p>
    <w:p w:rsidR="00672CFD" w:rsidRPr="006D2A19" w:rsidRDefault="00672CFD" w:rsidP="00672CFD">
      <w:pPr>
        <w:pStyle w:val="ParaNumbering"/>
      </w:pPr>
      <w:r w:rsidRPr="006D2A19">
        <w:t>Art 7 allocates taxing rights in respect of business profits</w:t>
      </w:r>
      <w:r w:rsidR="009C38E3" w:rsidRPr="006D2A19">
        <w:t xml:space="preserve">.  </w:t>
      </w:r>
      <w:r w:rsidRPr="006D2A19">
        <w:t>Subject to Art 7(7), the right to tax business profits is allocated to the enterprise’s country of residence unless the enterprise carries on business through a permanent establishment in the other state</w:t>
      </w:r>
      <w:r w:rsidR="009C38E3" w:rsidRPr="006D2A19">
        <w:t xml:space="preserve">.  </w:t>
      </w:r>
      <w:r w:rsidRPr="006D2A19">
        <w:t>If there is a permanent establishment in the other state, that other state is allocated the right to tax the profits of the enterprise that are “attributable to” the permanent establishment: Art 7(1</w:t>
      </w:r>
      <w:proofErr w:type="gramStart"/>
      <w:r w:rsidRPr="006D2A19">
        <w:t>)(</w:t>
      </w:r>
      <w:proofErr w:type="gramEnd"/>
      <w:r w:rsidRPr="006D2A19">
        <w:t>a)</w:t>
      </w:r>
      <w:r w:rsidR="009C38E3" w:rsidRPr="006D2A19">
        <w:t xml:space="preserve">.  </w:t>
      </w:r>
    </w:p>
    <w:p w:rsidR="00672CFD" w:rsidRPr="006D2A19" w:rsidRDefault="00672CFD" w:rsidP="00672CFD">
      <w:pPr>
        <w:pStyle w:val="ParaNumbering"/>
      </w:pPr>
      <w:r w:rsidRPr="006D2A19">
        <w:t xml:space="preserve">The application of Art 7 is subject to Article 7(7) which provides that: </w:t>
      </w:r>
    </w:p>
    <w:p w:rsidR="00672CFD" w:rsidRPr="006D2A19" w:rsidRDefault="00672CFD" w:rsidP="00672CFD">
      <w:pPr>
        <w:pStyle w:val="Quote1"/>
      </w:pPr>
      <w:r w:rsidRPr="006D2A19">
        <w:t xml:space="preserve">Where profits include items of income which are dealt with separately under other Articles of this Agreement, </w:t>
      </w:r>
      <w:r w:rsidRPr="006D2A19">
        <w:rPr>
          <w:iCs/>
        </w:rPr>
        <w:t>then the provisions of those Articles</w:t>
      </w:r>
      <w:r w:rsidRPr="006D2A19">
        <w:t xml:space="preserve"> shall not be affected by th</w:t>
      </w:r>
      <w:r w:rsidR="009C38E3" w:rsidRPr="006D2A19">
        <w:t xml:space="preserve">e provisions of this Article.  </w:t>
      </w:r>
    </w:p>
    <w:p w:rsidR="00295A85" w:rsidRDefault="005B4DA5" w:rsidP="00380112">
      <w:pPr>
        <w:pStyle w:val="ParaNumbering"/>
      </w:pPr>
      <w:r w:rsidRPr="006D2A19">
        <w:t xml:space="preserve">The </w:t>
      </w:r>
      <w:proofErr w:type="gramStart"/>
      <w:r w:rsidRPr="006D2A19">
        <w:t>allocation</w:t>
      </w:r>
      <w:proofErr w:type="gramEnd"/>
      <w:r w:rsidRPr="006D2A19">
        <w:t xml:space="preserve"> of taxing rights with respect to particular</w:t>
      </w:r>
      <w:r w:rsidR="004F7BE8" w:rsidRPr="006D2A19">
        <w:t xml:space="preserve"> items of income, </w:t>
      </w:r>
      <w:r w:rsidRPr="006D2A19">
        <w:t xml:space="preserve">which include </w:t>
      </w:r>
      <w:r w:rsidR="004F7BE8" w:rsidRPr="006D2A19">
        <w:t xml:space="preserve">royalties, are dealt with </w:t>
      </w:r>
      <w:r w:rsidRPr="006D2A19">
        <w:t>under other Articles</w:t>
      </w:r>
      <w:r w:rsidR="009C38E3" w:rsidRPr="006D2A19">
        <w:t xml:space="preserve">.  </w:t>
      </w:r>
      <w:r w:rsidR="00750988" w:rsidRPr="006D2A19">
        <w:t>Art 7(7) expressly contemplates that business profits will include items of income dealt with under other specific Articles</w:t>
      </w:r>
      <w:r w:rsidR="009C38E3" w:rsidRPr="006D2A19">
        <w:t xml:space="preserve">.  </w:t>
      </w:r>
      <w:r w:rsidR="00373D10" w:rsidRPr="006D2A19">
        <w:t xml:space="preserve">Article 12 deals with </w:t>
      </w:r>
      <w:r w:rsidR="00E618B9" w:rsidRPr="006D2A19">
        <w:t xml:space="preserve">the </w:t>
      </w:r>
      <w:r w:rsidR="00373D10" w:rsidRPr="006D2A19">
        <w:t>allocation of taxing rights in respect of amounts that constitute royalties as defined in Article 12(3)</w:t>
      </w:r>
      <w:r w:rsidR="009C38E3" w:rsidRPr="006D2A19">
        <w:t xml:space="preserve">.  </w:t>
      </w:r>
      <w:r w:rsidR="00295A85" w:rsidRPr="006D2A19">
        <w:t>Under Art 12, if an item of income</w:t>
      </w:r>
      <w:r w:rsidR="00295A85">
        <w:t xml:space="preserve"> constitute</w:t>
      </w:r>
      <w:r w:rsidR="0049152B">
        <w:t>s a “royalty” as defined in Art </w:t>
      </w:r>
      <w:r w:rsidR="00295A85">
        <w:t xml:space="preserve">12(3), both the country of residence and the state </w:t>
      </w:r>
      <w:r w:rsidR="003D22B9">
        <w:t xml:space="preserve">of source </w:t>
      </w:r>
      <w:r w:rsidR="00295A85">
        <w:t>where the royalties arise have the right to tax the</w:t>
      </w:r>
      <w:r w:rsidR="003D22B9">
        <w:t xml:space="preserve"> royalties: Art 12(1) and (2)</w:t>
      </w:r>
      <w:r w:rsidR="009C38E3">
        <w:t xml:space="preserve">.  </w:t>
      </w:r>
      <w:r w:rsidR="003D22B9">
        <w:t xml:space="preserve">Under Art 12(2), the source </w:t>
      </w:r>
      <w:r w:rsidR="0088482A">
        <w:t>S</w:t>
      </w:r>
      <w:r w:rsidR="00295A85">
        <w:t xml:space="preserve">tate </w:t>
      </w:r>
      <w:r w:rsidR="003D22B9">
        <w:t xml:space="preserve">has the right to </w:t>
      </w:r>
      <w:r w:rsidR="00295A85">
        <w:t xml:space="preserve">tax such royalties whether or not attributable to a permanent establishment in that state. </w:t>
      </w:r>
    </w:p>
    <w:p w:rsidR="00295A85" w:rsidRDefault="003D22B9" w:rsidP="00295A85">
      <w:pPr>
        <w:pStyle w:val="ParaNumbering"/>
      </w:pPr>
      <w:r>
        <w:t xml:space="preserve">The application of </w:t>
      </w:r>
      <w:r w:rsidR="00295A85">
        <w:t>Art 12</w:t>
      </w:r>
      <w:r>
        <w:t xml:space="preserve">(1) and (2) </w:t>
      </w:r>
      <w:r w:rsidR="00295A85">
        <w:t xml:space="preserve"> </w:t>
      </w:r>
      <w:r>
        <w:t xml:space="preserve">is </w:t>
      </w:r>
      <w:r w:rsidR="00295A85">
        <w:t>subject to Art 12(4), which provides that:</w:t>
      </w:r>
    </w:p>
    <w:p w:rsidR="00295A85" w:rsidRDefault="00295A85" w:rsidP="00295A85">
      <w:pPr>
        <w:pStyle w:val="Quote1"/>
      </w:pPr>
      <w:r w:rsidRPr="00C60B59">
        <w:t xml:space="preserve">The provisions of paragraphs (1) and (2) </w:t>
      </w:r>
      <w:r>
        <w:t xml:space="preserve">[of Art 12] </w:t>
      </w:r>
      <w:r w:rsidRPr="00C60B59">
        <w:t xml:space="preserve">shall not apply if the person beneficially entitled to the royalties, being a resident of one of the Contracting States, carries on business in the other Contracting State, in which the royalties arise, through a permanent establishment situated therein, or performs in that other State independent of personal services from a fixed base situated therein, and the property, right or services in respect of which the royalties are paid or credited are </w:t>
      </w:r>
      <w:r w:rsidRPr="003D22B9">
        <w:rPr>
          <w:bCs/>
          <w:iCs/>
        </w:rPr>
        <w:t xml:space="preserve">effectively </w:t>
      </w:r>
      <w:r w:rsidRPr="003D22B9">
        <w:rPr>
          <w:bCs/>
          <w:iCs/>
        </w:rPr>
        <w:lastRenderedPageBreak/>
        <w:t>connected with</w:t>
      </w:r>
      <w:r w:rsidRPr="005E37AC">
        <w:t xml:space="preserve"> </w:t>
      </w:r>
      <w:r w:rsidRPr="00C60B59">
        <w:t>such permanent establishment or fixed base.  In such a case, the provisions of Article 7 … shall apply.</w:t>
      </w:r>
    </w:p>
    <w:p w:rsidR="00B73625" w:rsidRDefault="005E37AC" w:rsidP="00B62C3E">
      <w:pPr>
        <w:pStyle w:val="ParaNumbering"/>
      </w:pPr>
      <w:r>
        <w:t xml:space="preserve">Therefore there is circularity: </w:t>
      </w:r>
      <w:r w:rsidR="005941E9">
        <w:t xml:space="preserve">the application of the business profits rule in Art 7(1) is subject to Art 7(7); </w:t>
      </w:r>
      <w:r>
        <w:t>where business profits include “royalties”, Art 7(7) is subject to Art 12(4)</w:t>
      </w:r>
      <w:r w:rsidR="005B4DA5">
        <w:t xml:space="preserve"> which has the effect that Art 7, not Art 12, will be applicable</w:t>
      </w:r>
      <w:r w:rsidR="009C38E3">
        <w:t xml:space="preserve">.  </w:t>
      </w:r>
      <w:r>
        <w:t>It is evident that Art 7 is to apply to</w:t>
      </w:r>
      <w:r w:rsidR="00B73625">
        <w:t>:</w:t>
      </w:r>
      <w:r>
        <w:t xml:space="preserve"> </w:t>
      </w:r>
    </w:p>
    <w:p w:rsidR="00B73625" w:rsidRDefault="005E37AC" w:rsidP="00B73625">
      <w:pPr>
        <w:pStyle w:val="ListNo1"/>
      </w:pPr>
      <w:r>
        <w:t>business profits of an enterprise not covered by Art 12 that are attributable to a permanent e</w:t>
      </w:r>
      <w:r w:rsidR="00B73625">
        <w:t>stablishment; and</w:t>
      </w:r>
    </w:p>
    <w:p w:rsidR="00B73625" w:rsidRPr="00CF5832" w:rsidRDefault="00B73625" w:rsidP="00B73625">
      <w:pPr>
        <w:pStyle w:val="ListNo1"/>
      </w:pPr>
      <w:proofErr w:type="gramStart"/>
      <w:r>
        <w:t>by</w:t>
      </w:r>
      <w:proofErr w:type="gramEnd"/>
      <w:r>
        <w:t xml:space="preserve"> Art </w:t>
      </w:r>
      <w:r w:rsidRPr="00CF5832">
        <w:t>12(4), also</w:t>
      </w:r>
      <w:r w:rsidR="005E37AC" w:rsidRPr="00CF5832">
        <w:t xml:space="preserve"> to </w:t>
      </w:r>
      <w:r w:rsidR="005B4DA5" w:rsidRPr="00CF5832">
        <w:t xml:space="preserve">such of the business profits that are </w:t>
      </w:r>
      <w:r w:rsidR="005E37AC" w:rsidRPr="00CF5832">
        <w:t>royalties</w:t>
      </w:r>
      <w:r w:rsidR="005B4DA5" w:rsidRPr="00CF5832">
        <w:t xml:space="preserve"> </w:t>
      </w:r>
      <w:r w:rsidRPr="00CF5832">
        <w:t>where “the property, right</w:t>
      </w:r>
      <w:r w:rsidR="005E37AC" w:rsidRPr="00CF5832">
        <w:t xml:space="preserve"> or services in respect of which the royalties are paid or credited are effectively connected with” that permanent establishment</w:t>
      </w:r>
      <w:r w:rsidR="009C38E3" w:rsidRPr="00CF5832">
        <w:t xml:space="preserve">.  </w:t>
      </w:r>
    </w:p>
    <w:p w:rsidR="003D22B9" w:rsidRPr="009D09FD" w:rsidRDefault="0002534B" w:rsidP="00B73625">
      <w:pPr>
        <w:pStyle w:val="NoNum"/>
      </w:pPr>
      <w:r w:rsidRPr="00CF5832">
        <w:t>As a matter of con</w:t>
      </w:r>
      <w:r w:rsidR="0058579E" w:rsidRPr="00CF5832">
        <w:t>struction, the “property, right</w:t>
      </w:r>
      <w:r w:rsidRPr="00CF5832">
        <w:t xml:space="preserve"> or services in respect of which the royalties are paid or credited” referred to in Art 12(4) must</w:t>
      </w:r>
      <w:r>
        <w:t xml:space="preserve"> be a reference to the property, rights and services listed in Art 12(3)</w:t>
      </w:r>
      <w:r w:rsidR="009C38E3">
        <w:t xml:space="preserve">.  </w:t>
      </w:r>
      <w:r w:rsidR="005E37AC">
        <w:t xml:space="preserve">Otherwise </w:t>
      </w:r>
      <w:r w:rsidR="00C969AD">
        <w:t xml:space="preserve">such </w:t>
      </w:r>
      <w:r w:rsidR="00C969AD" w:rsidRPr="009D09FD">
        <w:t xml:space="preserve">royalties are </w:t>
      </w:r>
      <w:r w:rsidR="004075D4" w:rsidRPr="009D09FD">
        <w:t xml:space="preserve">to be </w:t>
      </w:r>
      <w:r w:rsidR="00C969AD" w:rsidRPr="009D09FD">
        <w:t>dealt</w:t>
      </w:r>
      <w:r w:rsidR="00E72D2A" w:rsidRPr="009D09FD">
        <w:t xml:space="preserve"> with</w:t>
      </w:r>
      <w:r w:rsidR="005E37AC" w:rsidRPr="009D09FD">
        <w:t xml:space="preserve"> </w:t>
      </w:r>
      <w:r w:rsidR="00C969AD" w:rsidRPr="009D09FD">
        <w:t>under Art 12</w:t>
      </w:r>
      <w:r w:rsidR="009C38E3" w:rsidRPr="009D09FD">
        <w:t xml:space="preserve">.  </w:t>
      </w:r>
      <w:r w:rsidR="005B4DA5" w:rsidRPr="009D09FD">
        <w:t>R</w:t>
      </w:r>
      <w:r w:rsidR="00C969AD" w:rsidRPr="009D09FD">
        <w:t xml:space="preserve">oyalties </w:t>
      </w:r>
      <w:r w:rsidR="005B4DA5" w:rsidRPr="009D09FD">
        <w:t xml:space="preserve">thus are able to </w:t>
      </w:r>
      <w:r w:rsidR="00C969AD" w:rsidRPr="009D09FD">
        <w:t xml:space="preserve">be </w:t>
      </w:r>
      <w:r w:rsidR="005B4DA5" w:rsidRPr="009D09FD">
        <w:t>taxed</w:t>
      </w:r>
      <w:r w:rsidR="00C969AD" w:rsidRPr="009D09FD">
        <w:t xml:space="preserve"> by the </w:t>
      </w:r>
      <w:r w:rsidR="00E618B9" w:rsidRPr="009D09FD">
        <w:t>source State</w:t>
      </w:r>
      <w:r w:rsidR="00C969AD" w:rsidRPr="009D09FD">
        <w:t xml:space="preserve"> either as part of business profits under Art 7</w:t>
      </w:r>
      <w:r w:rsidR="004075D4" w:rsidRPr="009D09FD">
        <w:t>,</w:t>
      </w:r>
      <w:r w:rsidR="00C969AD" w:rsidRPr="009D09FD">
        <w:t xml:space="preserve"> where such royalties are attributable to a permanent establishment in that state</w:t>
      </w:r>
      <w:r w:rsidR="004075D4" w:rsidRPr="009D09FD">
        <w:t>,</w:t>
      </w:r>
      <w:r w:rsidR="00C969AD" w:rsidRPr="009D09FD">
        <w:t xml:space="preserve"> or separately under Art 12</w:t>
      </w:r>
      <w:r w:rsidR="009C38E3" w:rsidRPr="009D09FD">
        <w:t xml:space="preserve">.  </w:t>
      </w:r>
    </w:p>
    <w:p w:rsidR="005941E9" w:rsidRPr="009D09FD" w:rsidRDefault="003D22B9" w:rsidP="003D22B9">
      <w:pPr>
        <w:pStyle w:val="ParaNumbering"/>
      </w:pPr>
      <w:r w:rsidRPr="009D09FD">
        <w:t>In the case of the Indian Treaty, it does matter which Article applies as t</w:t>
      </w:r>
      <w:r w:rsidR="00440105" w:rsidRPr="009D09FD">
        <w:t>here is a difference in tax treatment depending on whether Art 7 or Art 12</w:t>
      </w:r>
      <w:r w:rsidRPr="009D09FD">
        <w:t xml:space="preserve"> is applicable</w:t>
      </w:r>
      <w:r w:rsidR="009C38E3" w:rsidRPr="009D09FD">
        <w:t xml:space="preserve">.  </w:t>
      </w:r>
      <w:r w:rsidR="00440105" w:rsidRPr="009D09FD">
        <w:t>Under Art 7, in calculating the profits of the permanent establishment which may be taxed by the</w:t>
      </w:r>
      <w:r w:rsidR="00C91854" w:rsidRPr="009D09FD">
        <w:t xml:space="preserve"> </w:t>
      </w:r>
      <w:r w:rsidR="004075D4" w:rsidRPr="009D09FD">
        <w:t xml:space="preserve">state in </w:t>
      </w:r>
      <w:r w:rsidR="00C91854" w:rsidRPr="009D09FD">
        <w:t xml:space="preserve">which the </w:t>
      </w:r>
      <w:r w:rsidRPr="009D09FD">
        <w:t xml:space="preserve">enterprise has the </w:t>
      </w:r>
      <w:r w:rsidR="00C91854" w:rsidRPr="009D09FD">
        <w:t xml:space="preserve">permanent establishment, </w:t>
      </w:r>
      <w:r w:rsidR="00440105" w:rsidRPr="009D09FD">
        <w:t>a deduction is allowable for expenses that were incurred for the purposes of the permanent establishment, whether incurred in the Contracting State where the permanent establishment is situated or elsewhere: Art 7(3)</w:t>
      </w:r>
      <w:r w:rsidR="009C38E3" w:rsidRPr="009D09FD">
        <w:t xml:space="preserve">.  </w:t>
      </w:r>
      <w:r w:rsidR="004075D4" w:rsidRPr="009D09FD">
        <w:t xml:space="preserve">Under Art 12, </w:t>
      </w:r>
      <w:r w:rsidR="00A15F6F" w:rsidRPr="009D09FD">
        <w:t>a limit</w:t>
      </w:r>
      <w:r w:rsidR="004075D4" w:rsidRPr="009D09FD">
        <w:t xml:space="preserve"> is</w:t>
      </w:r>
      <w:r w:rsidR="00A15F6F" w:rsidRPr="009D09FD">
        <w:t xml:space="preserve"> placed on the amount of tax tha</w:t>
      </w:r>
      <w:r w:rsidR="00CC5960" w:rsidRPr="009D09FD">
        <w:t>t may be charged by the source S</w:t>
      </w:r>
      <w:r w:rsidR="00A15F6F" w:rsidRPr="009D09FD">
        <w:t>tate, which is capped at a specified percentage of the gross amount of the royalties (Art 12(2))</w:t>
      </w:r>
      <w:r w:rsidR="009C38E3" w:rsidRPr="009D09FD">
        <w:t xml:space="preserve">.  </w:t>
      </w:r>
    </w:p>
    <w:p w:rsidR="004F7BE8" w:rsidRPr="008B21A9" w:rsidRDefault="006A7855" w:rsidP="00142617">
      <w:pPr>
        <w:pStyle w:val="ParaNumbering"/>
      </w:pPr>
      <w:r w:rsidRPr="009D09FD">
        <w:t>Article 12(4) is to be construed in the context that</w:t>
      </w:r>
      <w:r w:rsidR="0065061C" w:rsidRPr="009D09FD">
        <w:t xml:space="preserve"> </w:t>
      </w:r>
      <w:r w:rsidR="00142617" w:rsidRPr="009D09FD">
        <w:t xml:space="preserve">Art </w:t>
      </w:r>
      <w:r w:rsidR="0065061C" w:rsidRPr="009D09FD">
        <w:t>7(7)</w:t>
      </w:r>
      <w:r w:rsidR="00142617" w:rsidRPr="009D09FD">
        <w:t xml:space="preserve"> gives priority to Art 12 over Art 7</w:t>
      </w:r>
      <w:r w:rsidR="009C38E3" w:rsidRPr="009D09FD">
        <w:t xml:space="preserve">.  </w:t>
      </w:r>
      <w:r w:rsidR="00827A34" w:rsidRPr="009D09FD">
        <w:t>Without Article 12(4), royalties forming part of the business profits of an enterprise attributable to a permane</w:t>
      </w:r>
      <w:r w:rsidR="00CC5960" w:rsidRPr="009D09FD">
        <w:t>nt establishment in the source S</w:t>
      </w:r>
      <w:r w:rsidR="00827A34" w:rsidRPr="009D09FD">
        <w:t xml:space="preserve">tate </w:t>
      </w:r>
      <w:r w:rsidR="0088482A" w:rsidRPr="009D09FD">
        <w:t>would be taxable by the source S</w:t>
      </w:r>
      <w:r w:rsidR="00827A34" w:rsidRPr="009D09FD">
        <w:t xml:space="preserve">tate but subject to </w:t>
      </w:r>
      <w:r w:rsidR="00982855" w:rsidRPr="009D09FD">
        <w:t xml:space="preserve">a limit on the amount of tax that may be charged. </w:t>
      </w:r>
      <w:r w:rsidR="00827A34" w:rsidRPr="009D09FD">
        <w:t xml:space="preserve"> </w:t>
      </w:r>
      <w:r w:rsidR="00DB3F68" w:rsidRPr="009D09FD">
        <w:t>N</w:t>
      </w:r>
      <w:r w:rsidRPr="009D09FD">
        <w:t xml:space="preserve">o evident </w:t>
      </w:r>
      <w:r w:rsidR="00827A34" w:rsidRPr="009D09FD">
        <w:t xml:space="preserve">object or </w:t>
      </w:r>
      <w:r w:rsidRPr="009D09FD">
        <w:t>purpose is indicated,</w:t>
      </w:r>
      <w:r w:rsidR="00CC5960" w:rsidRPr="009D09FD">
        <w:t xml:space="preserve"> and none was suggested by the A</w:t>
      </w:r>
      <w:r w:rsidRPr="009D09FD">
        <w:t xml:space="preserve">ppellant, </w:t>
      </w:r>
      <w:r w:rsidR="00DB3F68" w:rsidRPr="009D09FD">
        <w:t xml:space="preserve">for construing Art 12(4) in a way that would </w:t>
      </w:r>
      <w:r w:rsidR="00982855" w:rsidRPr="009D09FD">
        <w:t xml:space="preserve">disentitle </w:t>
      </w:r>
      <w:r w:rsidR="00DB3F68" w:rsidRPr="009D09FD">
        <w:t xml:space="preserve">the source </w:t>
      </w:r>
      <w:r w:rsidR="00CC5960" w:rsidRPr="009D09FD">
        <w:t>State</w:t>
      </w:r>
      <w:r w:rsidR="00DB3F68" w:rsidRPr="009D09FD">
        <w:t xml:space="preserve"> </w:t>
      </w:r>
      <w:r w:rsidR="00982855" w:rsidRPr="009D09FD">
        <w:t>from</w:t>
      </w:r>
      <w:r w:rsidR="00982855">
        <w:t xml:space="preserve"> the </w:t>
      </w:r>
      <w:r w:rsidR="00DB3F68">
        <w:t xml:space="preserve">right </w:t>
      </w:r>
      <w:r w:rsidR="00982855">
        <w:t xml:space="preserve">at all </w:t>
      </w:r>
      <w:r w:rsidR="00DB3F68">
        <w:t xml:space="preserve">to tax a payment </w:t>
      </w:r>
      <w:r w:rsidR="00982855">
        <w:t xml:space="preserve">otherwise within the scope of </w:t>
      </w:r>
      <w:r w:rsidR="00DB3F68">
        <w:t xml:space="preserve">Art </w:t>
      </w:r>
      <w:r w:rsidR="00DB3F68" w:rsidRPr="00173145">
        <w:t>12(2)</w:t>
      </w:r>
      <w:r w:rsidR="00827A34" w:rsidRPr="00173145">
        <w:t xml:space="preserve"> </w:t>
      </w:r>
      <w:r w:rsidR="00982855" w:rsidRPr="00173145">
        <w:t xml:space="preserve">but outside </w:t>
      </w:r>
      <w:r w:rsidR="00142617" w:rsidRPr="00173145">
        <w:t>the scope of Art 7</w:t>
      </w:r>
      <w:r w:rsidR="009C38E3" w:rsidRPr="00173145">
        <w:t xml:space="preserve">.  </w:t>
      </w:r>
      <w:r w:rsidR="00142617" w:rsidRPr="00173145">
        <w:t xml:space="preserve">To the contrary, the evident purpose of </w:t>
      </w:r>
      <w:r w:rsidR="0057449F" w:rsidRPr="00173145">
        <w:t xml:space="preserve">Art </w:t>
      </w:r>
      <w:r w:rsidR="00CC5960" w:rsidRPr="00173145">
        <w:t>12(4) is to relieve the source S</w:t>
      </w:r>
      <w:r w:rsidR="0057449F" w:rsidRPr="00173145">
        <w:t>tate from</w:t>
      </w:r>
      <w:r w:rsidR="0057449F">
        <w:t xml:space="preserve"> the limitation on taxing rights </w:t>
      </w:r>
      <w:r w:rsidR="0057449F">
        <w:lastRenderedPageBreak/>
        <w:t xml:space="preserve">imposed </w:t>
      </w:r>
      <w:r w:rsidR="0057449F" w:rsidRPr="008B21A9">
        <w:t xml:space="preserve">under Art 12 </w:t>
      </w:r>
      <w:r w:rsidR="00E15940" w:rsidRPr="008B21A9">
        <w:t xml:space="preserve">by </w:t>
      </w:r>
      <w:r w:rsidR="004F1B08" w:rsidRPr="008B21A9">
        <w:t>taxing such royalties under Art </w:t>
      </w:r>
      <w:r w:rsidR="00E15940" w:rsidRPr="008B21A9">
        <w:t xml:space="preserve">7, not to disentitle the source </w:t>
      </w:r>
      <w:r w:rsidR="00CC5960" w:rsidRPr="008B21A9">
        <w:t xml:space="preserve">State </w:t>
      </w:r>
      <w:r w:rsidR="00E15940" w:rsidRPr="008B21A9">
        <w:t>from any taxing rights where otherwise Art 7 would not give such taxing rights</w:t>
      </w:r>
      <w:r w:rsidR="009C38E3" w:rsidRPr="008B21A9">
        <w:t xml:space="preserve">.  </w:t>
      </w:r>
      <w:r w:rsidR="00EE45F7" w:rsidRPr="008B21A9">
        <w:t xml:space="preserve">Such a construction gives effect to the language of </w:t>
      </w:r>
      <w:r w:rsidR="00750988" w:rsidRPr="008B21A9">
        <w:t>Art 12</w:t>
      </w:r>
      <w:r w:rsidR="00EE45F7" w:rsidRPr="008B21A9">
        <w:t xml:space="preserve">(4) and is consistent with the extrinsic materials. </w:t>
      </w:r>
    </w:p>
    <w:p w:rsidR="00E15940" w:rsidRPr="008B21A9" w:rsidRDefault="00EE45F7" w:rsidP="004075D4">
      <w:pPr>
        <w:pStyle w:val="ParaNumbering"/>
      </w:pPr>
      <w:r w:rsidRPr="008B21A9">
        <w:t xml:space="preserve">In the </w:t>
      </w:r>
      <w:r w:rsidR="00A15F6F" w:rsidRPr="008B21A9">
        <w:t xml:space="preserve">Explanatory Memorandum </w:t>
      </w:r>
      <w:r w:rsidR="00E15940" w:rsidRPr="008B21A9">
        <w:t xml:space="preserve">to the </w:t>
      </w:r>
      <w:r w:rsidR="00E15940" w:rsidRPr="008B21A9">
        <w:rPr>
          <w:i/>
        </w:rPr>
        <w:t>Income Tax (International Agreements) Amendment Bill (No 2) 1991</w:t>
      </w:r>
      <w:r w:rsidR="00E15940" w:rsidRPr="008B21A9">
        <w:t xml:space="preserve"> </w:t>
      </w:r>
      <w:r w:rsidR="000961E0" w:rsidRPr="008B21A9">
        <w:t xml:space="preserve">(Cth) </w:t>
      </w:r>
      <w:r w:rsidR="00E15940" w:rsidRPr="008B21A9">
        <w:t xml:space="preserve">to give force </w:t>
      </w:r>
      <w:r w:rsidR="0050456E" w:rsidRPr="008B21A9">
        <w:t>in</w:t>
      </w:r>
      <w:r w:rsidR="00E15940" w:rsidRPr="008B21A9">
        <w:t xml:space="preserve"> the law of Australia to the Indian Treaty</w:t>
      </w:r>
      <w:r w:rsidRPr="008B21A9">
        <w:t>, it was stated a</w:t>
      </w:r>
      <w:r w:rsidR="00E15940" w:rsidRPr="008B21A9">
        <w:t>t p</w:t>
      </w:r>
      <w:r w:rsidRPr="008B21A9">
        <w:t xml:space="preserve"> 16</w:t>
      </w:r>
      <w:r w:rsidR="00E15940" w:rsidRPr="008B21A9">
        <w:t xml:space="preserve"> in relation to Art 7(7) that:</w:t>
      </w:r>
    </w:p>
    <w:p w:rsidR="00E15940" w:rsidRPr="008B21A9" w:rsidRDefault="00E15940" w:rsidP="00E15940">
      <w:pPr>
        <w:pStyle w:val="Quote1"/>
      </w:pPr>
      <w:r w:rsidRPr="008B21A9">
        <w:t>Paragraph 7 effectively provides that where income is otherwise specifically dealt with under other articles of the agreement the operational effect of those particular articles is not overridden by Article 7</w:t>
      </w:r>
      <w:r w:rsidR="009C38E3" w:rsidRPr="008B21A9">
        <w:t xml:space="preserve">.  </w:t>
      </w:r>
      <w:r w:rsidRPr="008B21A9">
        <w:t>The paragraph thus specifies a general rule of interpretation to the effect that the reference to profits in Article 7 may include categories of income that are the subject of other articles of the agreement</w:t>
      </w:r>
      <w:r w:rsidR="009C38E3" w:rsidRPr="008B21A9">
        <w:t xml:space="preserve">.  </w:t>
      </w:r>
      <w:r w:rsidRPr="008B21A9">
        <w:t xml:space="preserve">It also specifies that such categories of income are to be </w:t>
      </w:r>
      <w:r w:rsidRPr="008B21A9">
        <w:rPr>
          <w:b/>
        </w:rPr>
        <w:t xml:space="preserve">treated in accordance with the terms of those articles and as outside the scope of Article 7, except where otherwise provided, </w:t>
      </w:r>
      <w:proofErr w:type="spellStart"/>
      <w:r w:rsidRPr="008B21A9">
        <w:rPr>
          <w:b/>
        </w:rPr>
        <w:t>eg</w:t>
      </w:r>
      <w:proofErr w:type="spellEnd"/>
      <w:r w:rsidRPr="008B21A9">
        <w:rPr>
          <w:b/>
        </w:rPr>
        <w:t xml:space="preserve"> by paragraph 4 of Article 10</w:t>
      </w:r>
      <w:r w:rsidR="009C38E3" w:rsidRPr="008B21A9">
        <w:t xml:space="preserve">.  </w:t>
      </w:r>
      <w:r w:rsidR="00236809" w:rsidRPr="008B21A9">
        <w:t>(</w:t>
      </w:r>
      <w:proofErr w:type="gramStart"/>
      <w:r w:rsidR="00236809" w:rsidRPr="008B21A9">
        <w:t>emphasis</w:t>
      </w:r>
      <w:proofErr w:type="gramEnd"/>
      <w:r w:rsidR="00236809" w:rsidRPr="008B21A9">
        <w:t xml:space="preserve"> added)</w:t>
      </w:r>
    </w:p>
    <w:p w:rsidR="00CF2FE7" w:rsidRPr="008B21A9" w:rsidRDefault="00E15940" w:rsidP="00F153CD">
      <w:pPr>
        <w:pStyle w:val="NoNum"/>
      </w:pPr>
      <w:r w:rsidRPr="008B21A9">
        <w:t>Paragraph 4 of Article 10 is expressed in similar terms to Art 12(4) in relation to dividends.</w:t>
      </w:r>
      <w:r w:rsidR="00CF2FE7" w:rsidRPr="008B21A9">
        <w:t xml:space="preserve"> </w:t>
      </w:r>
    </w:p>
    <w:p w:rsidR="00E15940" w:rsidRPr="008B21A9" w:rsidRDefault="002232E0" w:rsidP="00CF2FE7">
      <w:pPr>
        <w:pStyle w:val="ParaNumbering"/>
      </w:pPr>
      <w:r w:rsidRPr="008B21A9">
        <w:t>At p 18 it is stated in relation to Art 10(4) that:</w:t>
      </w:r>
    </w:p>
    <w:p w:rsidR="002232E0" w:rsidRDefault="002232E0" w:rsidP="002232E0">
      <w:pPr>
        <w:pStyle w:val="Quote1"/>
      </w:pPr>
      <w:r>
        <w:t>Paragraph 4 effectively provides that the 15 per cent source country tax rate limit is not to apply to dividends derived by a resident of the other country who has a permanent establishment or fixed base in the country from which the dividends are derived, if the holding giving rise to the dividends is effectively connected with that permanent establishment or fixed base</w:t>
      </w:r>
      <w:r w:rsidR="009C38E3">
        <w:t xml:space="preserve">.  </w:t>
      </w:r>
      <w:r w:rsidRPr="00750988">
        <w:rPr>
          <w:b/>
        </w:rPr>
        <w:t>Where dividends are so effectively connected, they will be treated as “business profits” or “income from independent personal services” and subject to the source country’s tax in accordance with the provisions of Article 7 (Business Profits)</w:t>
      </w:r>
      <w:r>
        <w:t xml:space="preserve"> or Article 14 (Independent Personal Services), as the case may be.</w:t>
      </w:r>
      <w:r w:rsidR="00750988">
        <w:t xml:space="preserve">  (</w:t>
      </w:r>
      <w:proofErr w:type="gramStart"/>
      <w:r w:rsidR="00750988">
        <w:t>emphasis</w:t>
      </w:r>
      <w:proofErr w:type="gramEnd"/>
      <w:r w:rsidR="00750988">
        <w:t xml:space="preserve"> added)</w:t>
      </w:r>
    </w:p>
    <w:p w:rsidR="00A15F6F" w:rsidRDefault="002232E0" w:rsidP="004075D4">
      <w:pPr>
        <w:pStyle w:val="ParaNumbering"/>
      </w:pPr>
      <w:r>
        <w:t xml:space="preserve">At p 24 in relation to Art 12(4), it is stated </w:t>
      </w:r>
      <w:r w:rsidR="00A15F6F">
        <w:t>that:</w:t>
      </w:r>
    </w:p>
    <w:p w:rsidR="00A15F6F" w:rsidRPr="008B21A9" w:rsidRDefault="00A15F6F" w:rsidP="00A15F6F">
      <w:pPr>
        <w:pStyle w:val="Quote1"/>
      </w:pPr>
      <w:r>
        <w:t xml:space="preserve">As in the case of dividends and interest, it is specified in paragraph 4 of Article 12 that </w:t>
      </w:r>
      <w:r w:rsidRPr="008B21A9">
        <w:t>the 10/15/20 percent limitation of tax in the country of origin is not to apply to royalties (as defined in paragraph 3) effectively connected with a permanent establishment or fixed base in that country.  Such royalties are to be subject t</w:t>
      </w:r>
      <w:r w:rsidR="00052D08" w:rsidRPr="008B21A9">
        <w:t>o the provisions of Article 7 (B</w:t>
      </w:r>
      <w:r w:rsidRPr="008B21A9">
        <w:t>usi</w:t>
      </w:r>
      <w:r w:rsidR="00052D08" w:rsidRPr="008B21A9">
        <w:t>ness Profits) or Article 14 (Independent Personal S</w:t>
      </w:r>
      <w:r w:rsidRPr="008B21A9">
        <w:t xml:space="preserve">ervices) as appropriate.  </w:t>
      </w:r>
    </w:p>
    <w:p w:rsidR="00B84436" w:rsidRDefault="00185CB2" w:rsidP="00046F3F">
      <w:pPr>
        <w:pStyle w:val="ParaNumbering"/>
      </w:pPr>
      <w:r w:rsidRPr="008B21A9">
        <w:t xml:space="preserve">The </w:t>
      </w:r>
      <w:r w:rsidR="00A15F6F" w:rsidRPr="008B21A9">
        <w:t xml:space="preserve">language </w:t>
      </w:r>
      <w:r w:rsidRPr="008B21A9">
        <w:t xml:space="preserve">is somewhat loose </w:t>
      </w:r>
      <w:r w:rsidR="00596D36" w:rsidRPr="008B21A9">
        <w:t xml:space="preserve">in that it </w:t>
      </w:r>
      <w:r w:rsidR="00A15F6F" w:rsidRPr="008B21A9">
        <w:t xml:space="preserve">is not the royalties that must be effectively connected but the </w:t>
      </w:r>
      <w:r w:rsidR="00354DDC" w:rsidRPr="008B21A9">
        <w:t>property right</w:t>
      </w:r>
      <w:r w:rsidR="00445BAA" w:rsidRPr="008B21A9">
        <w:t xml:space="preserve"> or </w:t>
      </w:r>
      <w:r w:rsidR="00A15F6F" w:rsidRPr="008B21A9">
        <w:t>services</w:t>
      </w:r>
      <w:r w:rsidR="00445BAA" w:rsidRPr="008B21A9">
        <w:t xml:space="preserve"> in respect of which the payment or c</w:t>
      </w:r>
      <w:r w:rsidR="00596D36" w:rsidRPr="008B21A9">
        <w:t xml:space="preserve">redit in question is made </w:t>
      </w:r>
      <w:r w:rsidR="00445BAA" w:rsidRPr="008B21A9">
        <w:t>as consideration</w:t>
      </w:r>
      <w:r w:rsidR="00A15F6F" w:rsidRPr="008B21A9">
        <w:t xml:space="preserve">.  </w:t>
      </w:r>
      <w:r w:rsidR="00445BAA" w:rsidRPr="008B21A9">
        <w:t xml:space="preserve">Nonetheless, </w:t>
      </w:r>
      <w:r w:rsidR="00855259" w:rsidRPr="008B21A9">
        <w:t>the explanatory memorandum is confirmatory that the function of Art 12(4) is to remove the limitation on taxing rights</w:t>
      </w:r>
      <w:r w:rsidR="00855259">
        <w:t xml:space="preserve"> under Art 12, not to remove the source country’s right to tax </w:t>
      </w:r>
      <w:r w:rsidR="00445BAA">
        <w:t>such royalties</w:t>
      </w:r>
      <w:r w:rsidR="00855259">
        <w:t xml:space="preserve"> unless otherwise the source country has right to tax</w:t>
      </w:r>
      <w:r w:rsidR="00855259" w:rsidRPr="00855259">
        <w:t xml:space="preserve"> </w:t>
      </w:r>
      <w:r w:rsidR="00855259">
        <w:t xml:space="preserve">such royalties under Art 7. </w:t>
      </w:r>
    </w:p>
    <w:p w:rsidR="00A15F6F" w:rsidRPr="00771A7D" w:rsidRDefault="00B84436" w:rsidP="00B84436">
      <w:pPr>
        <w:pStyle w:val="ParaNumbering"/>
      </w:pPr>
      <w:r>
        <w:lastRenderedPageBreak/>
        <w:t xml:space="preserve">To </w:t>
      </w:r>
      <w:r w:rsidRPr="00771A7D">
        <w:t xml:space="preserve">like effect, </w:t>
      </w:r>
      <w:r w:rsidR="00A15F6F" w:rsidRPr="00771A7D">
        <w:t>the commentary that a</w:t>
      </w:r>
      <w:r w:rsidRPr="00771A7D">
        <w:t xml:space="preserve">ccompanied the </w:t>
      </w:r>
      <w:r w:rsidR="00354DDC" w:rsidRPr="00771A7D">
        <w:rPr>
          <w:i/>
        </w:rPr>
        <w:t>United Nations Model Double Taxation Convention Between Developed and Developing Countries</w:t>
      </w:r>
      <w:r w:rsidRPr="00771A7D">
        <w:t xml:space="preserve"> in 1980 stated with </w:t>
      </w:r>
      <w:r w:rsidR="00502A8F" w:rsidRPr="00771A7D">
        <w:t>respect</w:t>
      </w:r>
      <w:r w:rsidRPr="00771A7D">
        <w:t xml:space="preserve"> to the equivalent Article: </w:t>
      </w:r>
    </w:p>
    <w:p w:rsidR="00A15F6F" w:rsidRPr="00771A7D" w:rsidRDefault="00B84436" w:rsidP="00B84436">
      <w:pPr>
        <w:pStyle w:val="Quote1"/>
      </w:pPr>
      <w:r w:rsidRPr="00771A7D">
        <w:t>The</w:t>
      </w:r>
      <w:r w:rsidR="00A15F6F" w:rsidRPr="00771A7D">
        <w:t xml:space="preserve"> paragraph </w:t>
      </w:r>
      <w:r w:rsidRPr="00771A7D">
        <w:t>merely provides that in the Stat</w:t>
      </w:r>
      <w:r w:rsidR="00EB2E31" w:rsidRPr="00771A7D">
        <w:t>e</w:t>
      </w:r>
      <w:r w:rsidRPr="00771A7D">
        <w:t xml:space="preserve"> of source the </w:t>
      </w:r>
      <w:r w:rsidR="00502A8F" w:rsidRPr="00771A7D">
        <w:t>royalties</w:t>
      </w:r>
      <w:r w:rsidRPr="00771A7D">
        <w:t xml:space="preserve"> are taxable as part of the profits </w:t>
      </w:r>
      <w:r w:rsidR="00EB2E31" w:rsidRPr="00771A7D">
        <w:t>of</w:t>
      </w:r>
      <w:r w:rsidRPr="00771A7D">
        <w:t xml:space="preserve"> the </w:t>
      </w:r>
      <w:r w:rsidR="00502A8F" w:rsidRPr="00771A7D">
        <w:t>permanent</w:t>
      </w:r>
      <w:r w:rsidRPr="00771A7D">
        <w:t xml:space="preserve"> </w:t>
      </w:r>
      <w:r w:rsidR="00502A8F" w:rsidRPr="00771A7D">
        <w:t>establishment</w:t>
      </w:r>
      <w:r w:rsidRPr="00771A7D">
        <w:t xml:space="preserve"> </w:t>
      </w:r>
      <w:r w:rsidR="00EB2E31" w:rsidRPr="00771A7D">
        <w:t xml:space="preserve">there owned by the beneficiary which is a resident of the other State, if they are paid in respect of rights or property </w:t>
      </w:r>
      <w:r w:rsidRPr="00771A7D">
        <w:t xml:space="preserve">forming part of the assets of the permanent </w:t>
      </w:r>
      <w:r w:rsidR="00502A8F" w:rsidRPr="00771A7D">
        <w:t>establishment</w:t>
      </w:r>
      <w:r w:rsidRPr="00771A7D">
        <w:t xml:space="preserve"> or otherwise </w:t>
      </w:r>
      <w:r w:rsidR="00502A8F" w:rsidRPr="00771A7D">
        <w:t>effectively</w:t>
      </w:r>
      <w:r w:rsidRPr="00771A7D">
        <w:t xml:space="preserve"> connected with that establishment</w:t>
      </w:r>
      <w:r w:rsidR="009C38E3" w:rsidRPr="00771A7D">
        <w:t xml:space="preserve">.  </w:t>
      </w:r>
      <w:r w:rsidR="00502A8F" w:rsidRPr="00771A7D">
        <w:t xml:space="preserve">In that case, </w:t>
      </w:r>
      <w:r w:rsidR="00502A8F" w:rsidRPr="00771A7D">
        <w:rPr>
          <w:b/>
        </w:rPr>
        <w:t>paragraph</w:t>
      </w:r>
      <w:r w:rsidRPr="00771A7D">
        <w:rPr>
          <w:b/>
        </w:rPr>
        <w:t xml:space="preserve"> 3 </w:t>
      </w:r>
      <w:r w:rsidR="00502A8F" w:rsidRPr="00771A7D">
        <w:rPr>
          <w:b/>
        </w:rPr>
        <w:t>relieves</w:t>
      </w:r>
      <w:r w:rsidRPr="00771A7D">
        <w:rPr>
          <w:b/>
        </w:rPr>
        <w:t xml:space="preserve"> the State of source of the </w:t>
      </w:r>
      <w:r w:rsidR="00502A8F" w:rsidRPr="00771A7D">
        <w:rPr>
          <w:b/>
        </w:rPr>
        <w:t>royalties</w:t>
      </w:r>
      <w:r w:rsidR="00827A34" w:rsidRPr="00771A7D">
        <w:rPr>
          <w:b/>
        </w:rPr>
        <w:t xml:space="preserve"> from any limitations </w:t>
      </w:r>
      <w:r w:rsidRPr="00771A7D">
        <w:rPr>
          <w:b/>
        </w:rPr>
        <w:t>under the Article</w:t>
      </w:r>
      <w:r w:rsidR="009C38E3" w:rsidRPr="00771A7D">
        <w:t xml:space="preserve">.  </w:t>
      </w:r>
      <w:r w:rsidRPr="00771A7D">
        <w:t xml:space="preserve">The </w:t>
      </w:r>
      <w:r w:rsidR="00502A8F" w:rsidRPr="00771A7D">
        <w:t>foregoing</w:t>
      </w:r>
      <w:r w:rsidRPr="00771A7D">
        <w:t xml:space="preserve"> explanations accord with those in the commentary on Article 7</w:t>
      </w:r>
      <w:r w:rsidR="00665C6C" w:rsidRPr="00771A7D">
        <w:t>…</w:t>
      </w:r>
      <w:r w:rsidR="00750988" w:rsidRPr="00771A7D">
        <w:t xml:space="preserve"> (</w:t>
      </w:r>
      <w:proofErr w:type="gramStart"/>
      <w:r w:rsidR="00750988" w:rsidRPr="00771A7D">
        <w:t>emphasis</w:t>
      </w:r>
      <w:proofErr w:type="gramEnd"/>
      <w:r w:rsidR="00750988" w:rsidRPr="00771A7D">
        <w:t xml:space="preserve"> added)</w:t>
      </w:r>
    </w:p>
    <w:p w:rsidR="00D112B3" w:rsidRPr="00771A7D" w:rsidRDefault="00236809" w:rsidP="00236809">
      <w:pPr>
        <w:pStyle w:val="ParaNumbering"/>
      </w:pPr>
      <w:r w:rsidRPr="00771A7D">
        <w:t xml:space="preserve">It is sufficiently clear that </w:t>
      </w:r>
      <w:r w:rsidR="00DC4E64" w:rsidRPr="00771A7D">
        <w:t xml:space="preserve">Art 7 and Art 12(4) have a coextensive operation, in that Art 7(7) contemplates that the business profits of an enterprise may include income covered by Art 12 as a royalty.  Those royalties that may be taxed under Art 7 are the payments in respect of property, rights or services “effectively connected with” the permanent establishment </w:t>
      </w:r>
      <w:r w:rsidR="00EC5257" w:rsidRPr="00771A7D">
        <w:t>of an enterprise in the source S</w:t>
      </w:r>
      <w:r w:rsidR="00DC4E64" w:rsidRPr="00771A7D">
        <w:t>tate and under Art 7(1)(a), profits that are “attributable to” that permanent establish</w:t>
      </w:r>
      <w:r w:rsidR="00EC5257" w:rsidRPr="00771A7D">
        <w:t>ment are taxable by the source S</w:t>
      </w:r>
      <w:r w:rsidR="00DC4E64" w:rsidRPr="00771A7D">
        <w:t>tate.  This is not to base the construction of Art 12(4) upon an assumption that the purpose of Article 12(4) is to remove royalti</w:t>
      </w:r>
      <w:r w:rsidR="0088482A" w:rsidRPr="00771A7D">
        <w:t>es from Article 12 only if the s</w:t>
      </w:r>
      <w:r w:rsidR="00DC4E64" w:rsidRPr="00771A7D">
        <w:t xml:space="preserve">ource State has the right to tax such royalties pursuant to </w:t>
      </w:r>
      <w:r w:rsidR="00AE384D" w:rsidRPr="00771A7D">
        <w:t>Art</w:t>
      </w:r>
      <w:r w:rsidR="00DC4E64" w:rsidRPr="00771A7D">
        <w:t xml:space="preserve"> 7(1</w:t>
      </w:r>
      <w:proofErr w:type="gramStart"/>
      <w:r w:rsidR="00DC4E64" w:rsidRPr="00771A7D">
        <w:t>)(</w:t>
      </w:r>
      <w:proofErr w:type="gramEnd"/>
      <w:r w:rsidR="00DC4E64" w:rsidRPr="00771A7D">
        <w:t>a) but to give effect to the coextensive operation of the Articles.</w:t>
      </w:r>
      <w:r w:rsidR="006350FB" w:rsidRPr="00771A7D">
        <w:t xml:space="preserve"> </w:t>
      </w:r>
    </w:p>
    <w:p w:rsidR="00840524" w:rsidRDefault="00236809" w:rsidP="00236809">
      <w:pPr>
        <w:pStyle w:val="ParaNumbering"/>
      </w:pPr>
      <w:r>
        <w:t xml:space="preserve">The </w:t>
      </w:r>
      <w:r w:rsidR="00760BFA">
        <w:t>Commissioner’s construction gives a coherent structure to the Indian Treaty</w:t>
      </w:r>
      <w:r>
        <w:t xml:space="preserve"> and should be accepted.</w:t>
      </w:r>
    </w:p>
    <w:p w:rsidR="006E5252" w:rsidRPr="00771A7D" w:rsidRDefault="00185CB2" w:rsidP="00380112">
      <w:pPr>
        <w:pStyle w:val="ParaNumbering"/>
      </w:pPr>
      <w:r>
        <w:t xml:space="preserve">Furthermore, </w:t>
      </w:r>
      <w:r w:rsidR="00D112B3">
        <w:t>the co-extensive operation of Art 12 and Art 7 give content and meaning to the phrase “effectively connected with” in Art 12(4)</w:t>
      </w:r>
      <w:r w:rsidR="009C38E3">
        <w:t xml:space="preserve">.  </w:t>
      </w:r>
      <w:r w:rsidR="00D112B3">
        <w:t xml:space="preserve">The primary judge was correct to hold that the </w:t>
      </w:r>
      <w:r w:rsidR="00443BD9">
        <w:t xml:space="preserve">phrase </w:t>
      </w:r>
      <w:r w:rsidR="00D112B3">
        <w:t>“effectively connected with the permanent establishment</w:t>
      </w:r>
      <w:r w:rsidR="00443BD9">
        <w:t>”</w:t>
      </w:r>
      <w:r w:rsidR="00D112B3">
        <w:t xml:space="preserve"> </w:t>
      </w:r>
      <w:r w:rsidR="00443BD9">
        <w:t xml:space="preserve">is </w:t>
      </w:r>
      <w:r w:rsidR="00D112B3">
        <w:t>intended to encapsulate the test of connection under Art 7(1)(a)</w:t>
      </w:r>
      <w:r w:rsidR="00443BD9">
        <w:t>,</w:t>
      </w:r>
      <w:r w:rsidR="00D112B3">
        <w:t xml:space="preserve"> </w:t>
      </w:r>
      <w:r w:rsidR="00EF6573" w:rsidRPr="00771A7D">
        <w:t xml:space="preserve">which justifies the allocation of taxing rights to a Contracting State in respect of the business profits of a non-resident </w:t>
      </w:r>
      <w:r w:rsidR="00443BD9" w:rsidRPr="00771A7D">
        <w:t xml:space="preserve">that are </w:t>
      </w:r>
      <w:r w:rsidR="00EF6573" w:rsidRPr="00771A7D">
        <w:t>attributable to the permanent establishment in that Contracting State</w:t>
      </w:r>
      <w:r w:rsidR="009C38E3" w:rsidRPr="00771A7D">
        <w:t xml:space="preserve">.  </w:t>
      </w:r>
      <w:r w:rsidR="00380112" w:rsidRPr="00771A7D">
        <w:t xml:space="preserve">Art 12(4) is engaged where the royalties in question are </w:t>
      </w:r>
      <w:r w:rsidR="00D340AF" w:rsidRPr="00771A7D">
        <w:t>able to be taxed by the source S</w:t>
      </w:r>
      <w:r w:rsidR="00380112" w:rsidRPr="00771A7D">
        <w:t xml:space="preserve">tate under Art 7(1)(a) as part of business profits attributable to a permanent establishment in that state.  In the present case </w:t>
      </w:r>
      <w:r w:rsidRPr="00771A7D">
        <w:t xml:space="preserve">it was common ground that the payments referrable to the provision of those services were </w:t>
      </w:r>
      <w:r w:rsidR="00B92422" w:rsidRPr="00771A7D">
        <w:t xml:space="preserve">not </w:t>
      </w:r>
      <w:r w:rsidR="005E4E7F" w:rsidRPr="00771A7D">
        <w:t>attributable to the A</w:t>
      </w:r>
      <w:r w:rsidRPr="00771A7D">
        <w:t xml:space="preserve">ppellant’s permanent establishment in Australia. </w:t>
      </w:r>
    </w:p>
    <w:p w:rsidR="003E3DAE" w:rsidRDefault="003E3DAE" w:rsidP="00380112">
      <w:pPr>
        <w:pStyle w:val="ParaNumbering"/>
      </w:pPr>
      <w:r w:rsidRPr="00771A7D">
        <w:t>Something a</w:t>
      </w:r>
      <w:r w:rsidR="005E4E7F" w:rsidRPr="00771A7D">
        <w:t>lso needs to be said about the A</w:t>
      </w:r>
      <w:r w:rsidRPr="00771A7D">
        <w:t xml:space="preserve">ppellant’s argument that Art 12(4) was engaged on the facts in this case because in its ordinary meaning “effectively connected” connotes a connection which serves to effect the purposes of the </w:t>
      </w:r>
      <w:r w:rsidR="009664A1" w:rsidRPr="00771A7D">
        <w:t>business of the enterprise carried</w:t>
      </w:r>
      <w:r w:rsidR="009664A1">
        <w:t xml:space="preserve"> on </w:t>
      </w:r>
      <w:r w:rsidR="009664A1">
        <w:lastRenderedPageBreak/>
        <w:t xml:space="preserve">through the </w:t>
      </w:r>
      <w:r>
        <w:t>permanent establishment</w:t>
      </w:r>
      <w:r w:rsidR="009C38E3">
        <w:t xml:space="preserve">.  </w:t>
      </w:r>
      <w:r>
        <w:t xml:space="preserve">This argument was based on the dictionary definition of the word “effective”: </w:t>
      </w:r>
    </w:p>
    <w:p w:rsidR="009664A1" w:rsidRDefault="003E3DAE" w:rsidP="009664A1">
      <w:pPr>
        <w:pStyle w:val="Quote1"/>
      </w:pPr>
      <w:r>
        <w:t xml:space="preserve">Adjective: serving to </w:t>
      </w:r>
      <w:proofErr w:type="gramStart"/>
      <w:r>
        <w:t>effect</w:t>
      </w:r>
      <w:proofErr w:type="gramEnd"/>
      <w:r>
        <w:t xml:space="preserve"> the purpose; producing the intended or expected result; effective measures: effective steps towards peace… </w:t>
      </w:r>
    </w:p>
    <w:p w:rsidR="004643BA" w:rsidRDefault="009664A1" w:rsidP="00523D9A">
      <w:pPr>
        <w:pStyle w:val="ParaNumbering"/>
      </w:pPr>
      <w:r>
        <w:t>It was said that the test in Art 12(4) was satisfied because</w:t>
      </w:r>
      <w:r w:rsidR="001C630E">
        <w:t>,</w:t>
      </w:r>
      <w:r>
        <w:t xml:space="preserve"> as the primary judge stated at </w:t>
      </w:r>
      <w:r w:rsidR="00CD0B0B">
        <w:t>[72], the A</w:t>
      </w:r>
      <w:r w:rsidR="003E3DAE">
        <w:t xml:space="preserve">ppellant had </w:t>
      </w:r>
      <w:r>
        <w:t>“</w:t>
      </w:r>
      <w:r w:rsidR="003E3DAE">
        <w:t xml:space="preserve">rightly </w:t>
      </w:r>
      <w:r>
        <w:t>contend[ed] that the evidence showed the interweaving of services performed in Australia and in India in furtherance of particular projects”</w:t>
      </w:r>
      <w:r w:rsidR="009C38E3">
        <w:t xml:space="preserve">.  </w:t>
      </w:r>
      <w:r>
        <w:t xml:space="preserve">It was submitted that </w:t>
      </w:r>
      <w:r w:rsidR="00F05FCA">
        <w:t>here the services in respect of which the royalties were paid discharged contractual obligatio</w:t>
      </w:r>
      <w:r w:rsidR="00CD0B0B">
        <w:t>ns that were undertaken by the A</w:t>
      </w:r>
      <w:r w:rsidR="00F05FCA">
        <w:t xml:space="preserve">ppellant through the permanent establishment and thus served to effect the purposes of the permanent establishment. </w:t>
      </w:r>
    </w:p>
    <w:p w:rsidR="001A24A8" w:rsidRDefault="00463FAA" w:rsidP="00523D9A">
      <w:pPr>
        <w:pStyle w:val="ParaNumbering"/>
      </w:pPr>
      <w:r>
        <w:t>The text requires</w:t>
      </w:r>
      <w:r w:rsidR="00E232F6">
        <w:t xml:space="preserve"> a </w:t>
      </w:r>
      <w:r w:rsidR="004643BA">
        <w:t xml:space="preserve">connection </w:t>
      </w:r>
      <w:r w:rsidR="00E232F6">
        <w:t xml:space="preserve">between </w:t>
      </w:r>
      <w:r w:rsidR="00E6114F">
        <w:t xml:space="preserve">the permanent establishment </w:t>
      </w:r>
      <w:r w:rsidR="00E232F6">
        <w:t xml:space="preserve">and </w:t>
      </w:r>
      <w:r w:rsidR="00E6114F">
        <w:t xml:space="preserve">the particular </w:t>
      </w:r>
      <w:r w:rsidR="004643BA">
        <w:t>property, rights or services “in respect of which the royaltie</w:t>
      </w:r>
      <w:r w:rsidR="00E6114F">
        <w:t>s are paid”</w:t>
      </w:r>
      <w:r w:rsidR="009C38E3">
        <w:t xml:space="preserve">.  </w:t>
      </w:r>
      <w:r w:rsidR="00E232F6">
        <w:t xml:space="preserve">To constitute a “royalty” the payment or credit, as the case </w:t>
      </w:r>
      <w:r w:rsidR="00E232F6" w:rsidRPr="002716A4">
        <w:t>may be, must be made “as consideration for” the us</w:t>
      </w:r>
      <w:r w:rsidR="001A24A8" w:rsidRPr="002716A4">
        <w:t>e</w:t>
      </w:r>
      <w:r w:rsidR="00E232F6" w:rsidRPr="002716A4">
        <w:t xml:space="preserve"> of, other right to use, </w:t>
      </w:r>
      <w:r w:rsidR="005E4E7F" w:rsidRPr="002716A4">
        <w:t xml:space="preserve">supply of, </w:t>
      </w:r>
      <w:r w:rsidR="00E232F6" w:rsidRPr="002716A4">
        <w:t>or forbearance in respect of the use</w:t>
      </w:r>
      <w:r w:rsidR="002716A4" w:rsidRPr="002716A4">
        <w:t xml:space="preserve"> or supply of</w:t>
      </w:r>
      <w:r w:rsidR="00E232F6" w:rsidRPr="002716A4">
        <w:t>,</w:t>
      </w:r>
      <w:r w:rsidR="00E232F6">
        <w:t xml:space="preserve"> the proper</w:t>
      </w:r>
      <w:r w:rsidR="003B73E4">
        <w:t xml:space="preserve">ty or </w:t>
      </w:r>
      <w:r w:rsidR="003B73E4" w:rsidRPr="002716A4">
        <w:t>rights referred to in Art </w:t>
      </w:r>
      <w:r w:rsidR="00E232F6" w:rsidRPr="002716A4">
        <w:t>12(3</w:t>
      </w:r>
      <w:proofErr w:type="gramStart"/>
      <w:r w:rsidR="00E232F6" w:rsidRPr="002716A4">
        <w:t>)(</w:t>
      </w:r>
      <w:proofErr w:type="gramEnd"/>
      <w:r w:rsidR="00E232F6" w:rsidRPr="002716A4">
        <w:t>a)-(f), or for the rendering of, or for, the services referred to in Ar</w:t>
      </w:r>
      <w:r w:rsidR="00804717" w:rsidRPr="002716A4">
        <w:t>t 12</w:t>
      </w:r>
      <w:r w:rsidR="00E232F6" w:rsidRPr="002716A4">
        <w:t>(3)(g)-(l)</w:t>
      </w:r>
      <w:r w:rsidR="009C38E3" w:rsidRPr="002716A4">
        <w:t xml:space="preserve">.  </w:t>
      </w:r>
      <w:r w:rsidR="00E232F6" w:rsidRPr="002716A4">
        <w:t>Hence</w:t>
      </w:r>
      <w:r w:rsidR="00E232F6">
        <w:t xml:space="preserve"> it is necessary first to identify that property</w:t>
      </w:r>
      <w:r w:rsidR="001A24A8">
        <w:t>,</w:t>
      </w:r>
      <w:r w:rsidR="00E232F6">
        <w:t xml:space="preserve"> or those rights or services</w:t>
      </w:r>
      <w:r w:rsidR="001A24A8">
        <w:t>,</w:t>
      </w:r>
      <w:r w:rsidR="00E232F6">
        <w:t xml:space="preserve"> in respect of which the payments </w:t>
      </w:r>
      <w:r w:rsidR="001A24A8">
        <w:t xml:space="preserve">(or credits) </w:t>
      </w:r>
      <w:r w:rsidR="00E232F6">
        <w:t>are made</w:t>
      </w:r>
      <w:r w:rsidR="001A24A8">
        <w:t>,</w:t>
      </w:r>
      <w:r w:rsidR="00E232F6">
        <w:t xml:space="preserve"> which give the payments (or credits) in question the character of “royalties” as defined for the purposes of Art 12</w:t>
      </w:r>
      <w:r w:rsidR="009C38E3">
        <w:t xml:space="preserve">.  </w:t>
      </w:r>
      <w:r w:rsidR="001A24A8">
        <w:t>In the present case, the payments in question were held to be royalties because they were made as consideration for the services of the kind in Art 12(3)(g), namely:</w:t>
      </w:r>
    </w:p>
    <w:p w:rsidR="001A24A8" w:rsidRDefault="001A24A8" w:rsidP="001A24A8">
      <w:pPr>
        <w:pStyle w:val="Quote1"/>
      </w:pPr>
      <w:r>
        <w:t xml:space="preserve">The rendering of any services (including those of technical or other personnel) which make available technical knowledge, experience, skill, knowhow or processes or consist of the development and transfer of a technical plan or design. </w:t>
      </w:r>
    </w:p>
    <w:p w:rsidR="001D4180" w:rsidRDefault="00EA7DB7" w:rsidP="001D4180">
      <w:pPr>
        <w:pStyle w:val="ParaNumbering"/>
      </w:pPr>
      <w:r>
        <w:t>Thus, the</w:t>
      </w:r>
      <w:r w:rsidR="001A24A8">
        <w:t xml:space="preserve"> question </w:t>
      </w:r>
      <w:r>
        <w:t xml:space="preserve">in the present case is </w:t>
      </w:r>
      <w:r w:rsidR="00211F8B">
        <w:t xml:space="preserve">whether </w:t>
      </w:r>
      <w:r>
        <w:t>the services of the</w:t>
      </w:r>
      <w:r w:rsidR="003B73E4">
        <w:t xml:space="preserve"> kind in Art 12(3</w:t>
      </w:r>
      <w:proofErr w:type="gramStart"/>
      <w:r w:rsidR="003B73E4">
        <w:t>)(</w:t>
      </w:r>
      <w:proofErr w:type="gramEnd"/>
      <w:r w:rsidR="003B73E4">
        <w:t>g) that the A</w:t>
      </w:r>
      <w:r>
        <w:t>ppellant</w:t>
      </w:r>
      <w:r w:rsidRPr="00EA7DB7">
        <w:t xml:space="preserve"> </w:t>
      </w:r>
      <w:r>
        <w:t>rendered in India</w:t>
      </w:r>
      <w:r w:rsidRPr="00EA7DB7">
        <w:t xml:space="preserve"> </w:t>
      </w:r>
      <w:r>
        <w:t xml:space="preserve">for its Australian customers </w:t>
      </w:r>
      <w:r w:rsidR="001A24A8">
        <w:t xml:space="preserve">were “effectively connected with” </w:t>
      </w:r>
      <w:r>
        <w:t xml:space="preserve">its </w:t>
      </w:r>
      <w:r w:rsidR="001A24A8">
        <w:t xml:space="preserve">permanent establishment </w:t>
      </w:r>
      <w:r w:rsidR="00E71E56">
        <w:t>in Australia</w:t>
      </w:r>
      <w:r w:rsidR="009C38E3">
        <w:t xml:space="preserve">.  </w:t>
      </w:r>
      <w:r w:rsidR="00CD34DB">
        <w:t xml:space="preserve">The word “effectively” </w:t>
      </w:r>
      <w:r w:rsidR="002134A4">
        <w:t xml:space="preserve">in this context qualifies the degree of </w:t>
      </w:r>
      <w:r w:rsidR="00CD34DB">
        <w:t xml:space="preserve">connection </w:t>
      </w:r>
      <w:r w:rsidR="002134A4">
        <w:t xml:space="preserve">that is </w:t>
      </w:r>
      <w:r w:rsidR="00CD34DB">
        <w:t>required</w:t>
      </w:r>
      <w:r w:rsidR="002134A4" w:rsidRPr="002134A4">
        <w:t xml:space="preserve"> </w:t>
      </w:r>
      <w:r w:rsidR="002134A4">
        <w:t>between those services and the permanent establishment</w:t>
      </w:r>
      <w:r w:rsidR="00CD34DB">
        <w:t xml:space="preserve"> to trigger the Article</w:t>
      </w:r>
      <w:r w:rsidR="009C38E3">
        <w:t xml:space="preserve">.  </w:t>
      </w:r>
      <w:r w:rsidR="002134A4">
        <w:t>In ordinary meaning, the word “effective” means “actual” or “existing in fact”</w:t>
      </w:r>
      <w:r w:rsidR="009C38E3">
        <w:t xml:space="preserve">.  </w:t>
      </w:r>
      <w:r w:rsidR="002134A4">
        <w:t>Used as an adverb in conjunction with “connected”, “effectively connected with” should be understood to mean having a real or actual connection with the activities carried on through the permanent establishment</w:t>
      </w:r>
      <w:r w:rsidR="009C38E3">
        <w:t xml:space="preserve">.  </w:t>
      </w:r>
      <w:r w:rsidR="001D4180">
        <w:t xml:space="preserve">Whether </w:t>
      </w:r>
      <w:r w:rsidR="00937A04">
        <w:t xml:space="preserve">or not such a connection exists is not answered merely on the basis that the property, rights or services provided “serve to </w:t>
      </w:r>
      <w:proofErr w:type="gramStart"/>
      <w:r w:rsidR="00937A04">
        <w:t>effect</w:t>
      </w:r>
      <w:proofErr w:type="gramEnd"/>
      <w:r w:rsidR="00937A04">
        <w:t xml:space="preserve"> the purposes of the permanent establishment”. </w:t>
      </w:r>
    </w:p>
    <w:p w:rsidR="00DD0EAB" w:rsidRPr="006876F3" w:rsidRDefault="00387ADE" w:rsidP="006876F3">
      <w:pPr>
        <w:pStyle w:val="ParaNumbering"/>
      </w:pPr>
      <w:r>
        <w:lastRenderedPageBreak/>
        <w:t>The appeal should accordingly be dismissed</w:t>
      </w:r>
      <w:r w:rsidR="00641B3A">
        <w:t>, with costs</w:t>
      </w:r>
      <w:r>
        <w:t xml:space="preserve">. </w:t>
      </w:r>
    </w:p>
    <w:p w:rsidR="006876F3" w:rsidRDefault="006876F3" w:rsidP="00815065">
      <w:pPr>
        <w:pStyle w:val="BodyText"/>
      </w:pPr>
      <w:bookmarkStart w:id="18" w:name="Certification"/>
    </w:p>
    <w:tbl>
      <w:tblPr>
        <w:tblW w:w="0" w:type="auto"/>
        <w:tblLook w:val="04A0" w:firstRow="1" w:lastRow="0" w:firstColumn="1" w:lastColumn="0" w:noHBand="0" w:noVBand="1"/>
      </w:tblPr>
      <w:tblGrid>
        <w:gridCol w:w="3794"/>
      </w:tblGrid>
      <w:tr w:rsidR="006876F3" w:rsidRPr="006876F3">
        <w:tc>
          <w:tcPr>
            <w:tcW w:w="3794" w:type="dxa"/>
            <w:shd w:val="clear" w:color="auto" w:fill="auto"/>
          </w:tcPr>
          <w:p w:rsidR="006876F3" w:rsidRPr="006876F3" w:rsidRDefault="006876F3" w:rsidP="00006D56">
            <w:pPr>
              <w:pStyle w:val="Normal1linespace"/>
            </w:pPr>
            <w:r w:rsidRPr="006876F3">
              <w:t xml:space="preserve">I certify that the preceding </w:t>
            </w:r>
            <w:bookmarkStart w:id="19" w:name="NumberWord"/>
            <w:r w:rsidR="00B6547C">
              <w:t>forty-four</w:t>
            </w:r>
            <w:bookmarkEnd w:id="19"/>
            <w:r w:rsidRPr="006876F3">
              <w:t xml:space="preserve"> (</w:t>
            </w:r>
            <w:bookmarkStart w:id="20" w:name="NumberNumeral"/>
            <w:r w:rsidR="00B6547C">
              <w:t>44</w:t>
            </w:r>
            <w:bookmarkEnd w:id="20"/>
            <w:r w:rsidRPr="006876F3">
              <w:t xml:space="preserve">) numbered </w:t>
            </w:r>
            <w:bookmarkStart w:id="21" w:name="CertPara"/>
            <w:r w:rsidR="00B6547C">
              <w:t>paragraphs are</w:t>
            </w:r>
            <w:bookmarkEnd w:id="21"/>
            <w:r w:rsidRPr="006876F3">
              <w:t xml:space="preserve"> a true copy of the Reasons for Judgment herein of the Honourable </w:t>
            </w:r>
            <w:bookmarkStart w:id="22" w:name="Justice"/>
            <w:r>
              <w:t>Justices Robertson, Davies and Wigney</w:t>
            </w:r>
            <w:bookmarkEnd w:id="22"/>
            <w:r w:rsidRPr="006876F3">
              <w:t>.</w:t>
            </w:r>
          </w:p>
        </w:tc>
      </w:tr>
    </w:tbl>
    <w:p w:rsidR="006876F3" w:rsidRDefault="006876F3" w:rsidP="00815065">
      <w:pPr>
        <w:pStyle w:val="BodyText"/>
      </w:pPr>
      <w:bookmarkStart w:id="23" w:name="_GoBack"/>
      <w:bookmarkEnd w:id="23"/>
    </w:p>
    <w:p w:rsidR="006876F3" w:rsidRDefault="006876F3" w:rsidP="00815065">
      <w:pPr>
        <w:pStyle w:val="BodyText"/>
      </w:pPr>
    </w:p>
    <w:p w:rsidR="006876F3" w:rsidRDefault="006876F3" w:rsidP="00815065">
      <w:pPr>
        <w:pStyle w:val="BodyText"/>
      </w:pPr>
      <w:r>
        <w:t>Associate:</w:t>
      </w:r>
      <w:r w:rsidR="00B6547C">
        <w:t xml:space="preserve"> </w:t>
      </w:r>
    </w:p>
    <w:p w:rsidR="006876F3" w:rsidRDefault="006876F3" w:rsidP="00815065">
      <w:pPr>
        <w:pStyle w:val="BodyText"/>
      </w:pPr>
    </w:p>
    <w:p w:rsidR="006876F3" w:rsidRDefault="006876F3" w:rsidP="00815065">
      <w:pPr>
        <w:pStyle w:val="BodyText"/>
        <w:tabs>
          <w:tab w:val="left" w:pos="1134"/>
        </w:tabs>
      </w:pPr>
      <w:r>
        <w:t>Dated:</w:t>
      </w:r>
      <w:r>
        <w:tab/>
      </w:r>
      <w:bookmarkStart w:id="24" w:name="CertifyDated"/>
      <w:r w:rsidR="00B6547C" w:rsidRPr="0066214C">
        <w:t>22 September 2016</w:t>
      </w:r>
      <w:bookmarkEnd w:id="24"/>
    </w:p>
    <w:p w:rsidR="006876F3" w:rsidRDefault="006876F3" w:rsidP="00815065">
      <w:pPr>
        <w:pStyle w:val="BodyText"/>
      </w:pPr>
    </w:p>
    <w:bookmarkEnd w:id="18"/>
    <w:p w:rsidR="006876F3" w:rsidRDefault="006876F3" w:rsidP="006876F3">
      <w:pPr>
        <w:pStyle w:val="BodyText"/>
      </w:pPr>
    </w:p>
    <w:sectPr w:rsidR="006876F3">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AA" w:rsidRDefault="007911AA">
      <w:pPr>
        <w:spacing w:line="20" w:lineRule="exact"/>
      </w:pPr>
    </w:p>
    <w:p w:rsidR="007911AA" w:rsidRDefault="007911AA"/>
    <w:p w:rsidR="007911AA" w:rsidRDefault="007911AA"/>
  </w:endnote>
  <w:endnote w:type="continuationSeparator" w:id="0">
    <w:p w:rsidR="007911AA" w:rsidRDefault="007911AA">
      <w:r>
        <w:t xml:space="preserve"> </w:t>
      </w:r>
    </w:p>
    <w:p w:rsidR="007911AA" w:rsidRDefault="007911AA"/>
    <w:p w:rsidR="007911AA" w:rsidRDefault="007911AA"/>
  </w:endnote>
  <w:endnote w:type="continuationNotice" w:id="1">
    <w:p w:rsidR="007911AA" w:rsidRDefault="007911AA">
      <w:r>
        <w:t xml:space="preserve"> </w:t>
      </w:r>
    </w:p>
    <w:p w:rsidR="007911AA" w:rsidRDefault="007911AA"/>
    <w:p w:rsidR="007911AA" w:rsidRDefault="00791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DD" w:rsidRDefault="008115DD">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DD" w:rsidRPr="00624520" w:rsidRDefault="008115DD"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DD" w:rsidRDefault="008115DD"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AA" w:rsidRDefault="007911AA"/>
    <w:p w:rsidR="007911AA" w:rsidRDefault="007911AA"/>
    <w:p w:rsidR="007911AA" w:rsidRDefault="007911AA"/>
  </w:footnote>
  <w:footnote w:type="continuationSeparator" w:id="0">
    <w:p w:rsidR="007911AA" w:rsidRDefault="007911AA">
      <w:r>
        <w:continuationSeparator/>
      </w:r>
    </w:p>
    <w:p w:rsidR="007911AA" w:rsidRDefault="007911AA"/>
    <w:p w:rsidR="007911AA" w:rsidRDefault="00791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DD" w:rsidRDefault="008115DD">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DD" w:rsidRDefault="008115DD">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DD" w:rsidRDefault="008115D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DD" w:rsidRDefault="008115DD">
    <w:pPr>
      <w:tabs>
        <w:tab w:val="center" w:pos="4512"/>
      </w:tabs>
      <w:suppressAutoHyphens/>
    </w:pPr>
    <w:r>
      <w:tab/>
      <w:t xml:space="preserve">- </w:t>
    </w:r>
    <w:r>
      <w:fldChar w:fldCharType="begin"/>
    </w:r>
    <w:r>
      <w:instrText>page \* arabic</w:instrText>
    </w:r>
    <w:r>
      <w:fldChar w:fldCharType="separate"/>
    </w:r>
    <w:r w:rsidR="00056742">
      <w:rPr>
        <w:noProof/>
      </w:rPr>
      <w:t>12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DD" w:rsidRDefault="008115DD">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3"/>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TECH MAHINDRA LIMITED"/>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699 of 2015"/>
    <w:docVar w:name="HearingDate" w:val="9 August 2016"/>
    <w:docVar w:name="Initiators" w:val="(and another named in the Schedule)"/>
    <w:docVar w:name="Judgdate" w:val="###"/>
    <w:docVar w:name="Judge" w:val="JUSTICE ROBERTSON, JUSTICE DAVIES and JUSTICE WIGNEY"/>
    <w:docVar w:name="Justices" w:val="Justices"/>
    <w:docVar w:name="lstEntryList" w:val="-1"/>
    <w:docVar w:name="myEntryList" w:val="Counsel for the Appellant=B J Sullivan with M Heraghty and R Clark|Counsel for the Respondent=J Hmelnitsky SC with P Afshar"/>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COMMISSIONER OF TAXATION"/>
    <w:docVar w:name="ResState" w:val="New South Wales"/>
    <w:docVar w:name="SubArea" w:val="[none]"/>
  </w:docVars>
  <w:rsids>
    <w:rsidRoot w:val="00A57E3E"/>
    <w:rsid w:val="00006D56"/>
    <w:rsid w:val="000119F8"/>
    <w:rsid w:val="0001469E"/>
    <w:rsid w:val="00015993"/>
    <w:rsid w:val="00022289"/>
    <w:rsid w:val="0002534B"/>
    <w:rsid w:val="00030BB0"/>
    <w:rsid w:val="00032F9F"/>
    <w:rsid w:val="0003412C"/>
    <w:rsid w:val="00040EE6"/>
    <w:rsid w:val="00041C07"/>
    <w:rsid w:val="00045BB7"/>
    <w:rsid w:val="00046F3F"/>
    <w:rsid w:val="00052D08"/>
    <w:rsid w:val="000542BC"/>
    <w:rsid w:val="00055719"/>
    <w:rsid w:val="0005641B"/>
    <w:rsid w:val="00056742"/>
    <w:rsid w:val="00067633"/>
    <w:rsid w:val="00081116"/>
    <w:rsid w:val="00081497"/>
    <w:rsid w:val="000961E0"/>
    <w:rsid w:val="000A14A5"/>
    <w:rsid w:val="000A2E76"/>
    <w:rsid w:val="000A4807"/>
    <w:rsid w:val="000A4BE4"/>
    <w:rsid w:val="000B23D2"/>
    <w:rsid w:val="000B46DB"/>
    <w:rsid w:val="000C023E"/>
    <w:rsid w:val="000C3BAC"/>
    <w:rsid w:val="000C5195"/>
    <w:rsid w:val="000C62EF"/>
    <w:rsid w:val="000C7341"/>
    <w:rsid w:val="000D2137"/>
    <w:rsid w:val="000D3FD2"/>
    <w:rsid w:val="000D4F4B"/>
    <w:rsid w:val="000E0AD5"/>
    <w:rsid w:val="000E26A4"/>
    <w:rsid w:val="000E3D00"/>
    <w:rsid w:val="000E7BAE"/>
    <w:rsid w:val="000F133D"/>
    <w:rsid w:val="001027D4"/>
    <w:rsid w:val="0010536B"/>
    <w:rsid w:val="001079EB"/>
    <w:rsid w:val="0011111A"/>
    <w:rsid w:val="0011145C"/>
    <w:rsid w:val="001128BD"/>
    <w:rsid w:val="0011419D"/>
    <w:rsid w:val="0012257C"/>
    <w:rsid w:val="00124775"/>
    <w:rsid w:val="00132054"/>
    <w:rsid w:val="00135929"/>
    <w:rsid w:val="00142617"/>
    <w:rsid w:val="00142F2D"/>
    <w:rsid w:val="00154137"/>
    <w:rsid w:val="001611F8"/>
    <w:rsid w:val="00165863"/>
    <w:rsid w:val="00170A76"/>
    <w:rsid w:val="001713E3"/>
    <w:rsid w:val="00171BD1"/>
    <w:rsid w:val="001727A4"/>
    <w:rsid w:val="00173145"/>
    <w:rsid w:val="0017376C"/>
    <w:rsid w:val="001738AB"/>
    <w:rsid w:val="00174953"/>
    <w:rsid w:val="001765E0"/>
    <w:rsid w:val="00177759"/>
    <w:rsid w:val="00184924"/>
    <w:rsid w:val="00185CB2"/>
    <w:rsid w:val="00185E6B"/>
    <w:rsid w:val="00187BBC"/>
    <w:rsid w:val="001932F3"/>
    <w:rsid w:val="001933FE"/>
    <w:rsid w:val="001A2219"/>
    <w:rsid w:val="001A24A8"/>
    <w:rsid w:val="001A2B4B"/>
    <w:rsid w:val="001A4309"/>
    <w:rsid w:val="001B1053"/>
    <w:rsid w:val="001B14AC"/>
    <w:rsid w:val="001B7940"/>
    <w:rsid w:val="001C37CA"/>
    <w:rsid w:val="001C630E"/>
    <w:rsid w:val="001D4180"/>
    <w:rsid w:val="001D4303"/>
    <w:rsid w:val="001D5574"/>
    <w:rsid w:val="001D6746"/>
    <w:rsid w:val="001D6C30"/>
    <w:rsid w:val="001E3B49"/>
    <w:rsid w:val="001E7388"/>
    <w:rsid w:val="001F13DD"/>
    <w:rsid w:val="001F2DBC"/>
    <w:rsid w:val="0020262C"/>
    <w:rsid w:val="00204986"/>
    <w:rsid w:val="00211F8B"/>
    <w:rsid w:val="002134A4"/>
    <w:rsid w:val="00217B9C"/>
    <w:rsid w:val="002232E0"/>
    <w:rsid w:val="0022424A"/>
    <w:rsid w:val="00224537"/>
    <w:rsid w:val="002250ED"/>
    <w:rsid w:val="00231EBE"/>
    <w:rsid w:val="00233744"/>
    <w:rsid w:val="00235956"/>
    <w:rsid w:val="00236809"/>
    <w:rsid w:val="00247C9A"/>
    <w:rsid w:val="0025160C"/>
    <w:rsid w:val="002535D0"/>
    <w:rsid w:val="002539B3"/>
    <w:rsid w:val="00257C3E"/>
    <w:rsid w:val="002602C2"/>
    <w:rsid w:val="002666C9"/>
    <w:rsid w:val="00270136"/>
    <w:rsid w:val="002716A4"/>
    <w:rsid w:val="00274F5B"/>
    <w:rsid w:val="00280836"/>
    <w:rsid w:val="00282428"/>
    <w:rsid w:val="00282E1A"/>
    <w:rsid w:val="0028330B"/>
    <w:rsid w:val="0029113B"/>
    <w:rsid w:val="002934C0"/>
    <w:rsid w:val="00295A85"/>
    <w:rsid w:val="002A147B"/>
    <w:rsid w:val="002A1B50"/>
    <w:rsid w:val="002B0E91"/>
    <w:rsid w:val="002B5296"/>
    <w:rsid w:val="002B6779"/>
    <w:rsid w:val="002B71C0"/>
    <w:rsid w:val="002B7A34"/>
    <w:rsid w:val="002C2577"/>
    <w:rsid w:val="002C31AD"/>
    <w:rsid w:val="002C5433"/>
    <w:rsid w:val="002C5B16"/>
    <w:rsid w:val="002C7385"/>
    <w:rsid w:val="002D2DBB"/>
    <w:rsid w:val="002D54A6"/>
    <w:rsid w:val="002E6A7A"/>
    <w:rsid w:val="002F02BD"/>
    <w:rsid w:val="002F1E49"/>
    <w:rsid w:val="002F4E9C"/>
    <w:rsid w:val="002F6870"/>
    <w:rsid w:val="002F7C58"/>
    <w:rsid w:val="00303938"/>
    <w:rsid w:val="0031256C"/>
    <w:rsid w:val="00314D6C"/>
    <w:rsid w:val="00315F67"/>
    <w:rsid w:val="00316D2A"/>
    <w:rsid w:val="00322A7C"/>
    <w:rsid w:val="003402D3"/>
    <w:rsid w:val="003405DB"/>
    <w:rsid w:val="00340C42"/>
    <w:rsid w:val="00341EA9"/>
    <w:rsid w:val="00343ABC"/>
    <w:rsid w:val="003463FE"/>
    <w:rsid w:val="00354DDC"/>
    <w:rsid w:val="003554B3"/>
    <w:rsid w:val="00356632"/>
    <w:rsid w:val="00357A58"/>
    <w:rsid w:val="00364E54"/>
    <w:rsid w:val="00366757"/>
    <w:rsid w:val="00373D10"/>
    <w:rsid w:val="00375C2B"/>
    <w:rsid w:val="00380112"/>
    <w:rsid w:val="003836FB"/>
    <w:rsid w:val="003845A9"/>
    <w:rsid w:val="00386BA0"/>
    <w:rsid w:val="00387ADE"/>
    <w:rsid w:val="00390883"/>
    <w:rsid w:val="003922F8"/>
    <w:rsid w:val="00395B24"/>
    <w:rsid w:val="003974DF"/>
    <w:rsid w:val="003A2D38"/>
    <w:rsid w:val="003A7ECC"/>
    <w:rsid w:val="003B2C72"/>
    <w:rsid w:val="003B73E4"/>
    <w:rsid w:val="003C1333"/>
    <w:rsid w:val="003C20FF"/>
    <w:rsid w:val="003D1943"/>
    <w:rsid w:val="003D22B9"/>
    <w:rsid w:val="003D2650"/>
    <w:rsid w:val="003D488D"/>
    <w:rsid w:val="003D508C"/>
    <w:rsid w:val="003D560C"/>
    <w:rsid w:val="003E3DAE"/>
    <w:rsid w:val="003E5874"/>
    <w:rsid w:val="003F193E"/>
    <w:rsid w:val="003F34F1"/>
    <w:rsid w:val="003F526A"/>
    <w:rsid w:val="003F5549"/>
    <w:rsid w:val="003F6C70"/>
    <w:rsid w:val="00401347"/>
    <w:rsid w:val="00404E96"/>
    <w:rsid w:val="004075D4"/>
    <w:rsid w:val="00410AEB"/>
    <w:rsid w:val="00411AE8"/>
    <w:rsid w:val="00413B74"/>
    <w:rsid w:val="00427706"/>
    <w:rsid w:val="004317F1"/>
    <w:rsid w:val="00435C5F"/>
    <w:rsid w:val="00440105"/>
    <w:rsid w:val="0044094E"/>
    <w:rsid w:val="00441E44"/>
    <w:rsid w:val="00441E98"/>
    <w:rsid w:val="00443BD9"/>
    <w:rsid w:val="00445BAA"/>
    <w:rsid w:val="004532F7"/>
    <w:rsid w:val="00460254"/>
    <w:rsid w:val="0046091D"/>
    <w:rsid w:val="00463FAA"/>
    <w:rsid w:val="004643BA"/>
    <w:rsid w:val="00471456"/>
    <w:rsid w:val="00472027"/>
    <w:rsid w:val="00475C39"/>
    <w:rsid w:val="00475DEC"/>
    <w:rsid w:val="004804CF"/>
    <w:rsid w:val="00483CA3"/>
    <w:rsid w:val="0048482C"/>
    <w:rsid w:val="00484962"/>
    <w:rsid w:val="00484F6D"/>
    <w:rsid w:val="0049152B"/>
    <w:rsid w:val="0049338A"/>
    <w:rsid w:val="0049417F"/>
    <w:rsid w:val="004B3EFA"/>
    <w:rsid w:val="004C2A87"/>
    <w:rsid w:val="004C4ED3"/>
    <w:rsid w:val="004D2EA5"/>
    <w:rsid w:val="004D32A6"/>
    <w:rsid w:val="004D53E5"/>
    <w:rsid w:val="004E3C8D"/>
    <w:rsid w:val="004F1B08"/>
    <w:rsid w:val="004F7BE8"/>
    <w:rsid w:val="00501512"/>
    <w:rsid w:val="00501A12"/>
    <w:rsid w:val="00502A8F"/>
    <w:rsid w:val="0050456E"/>
    <w:rsid w:val="0051346D"/>
    <w:rsid w:val="00513EAE"/>
    <w:rsid w:val="00516806"/>
    <w:rsid w:val="00520A4A"/>
    <w:rsid w:val="00523D9A"/>
    <w:rsid w:val="00524817"/>
    <w:rsid w:val="00525A49"/>
    <w:rsid w:val="0052722A"/>
    <w:rsid w:val="00535613"/>
    <w:rsid w:val="005359EB"/>
    <w:rsid w:val="0054254A"/>
    <w:rsid w:val="005466B5"/>
    <w:rsid w:val="00561420"/>
    <w:rsid w:val="005629B3"/>
    <w:rsid w:val="00572819"/>
    <w:rsid w:val="00573AC4"/>
    <w:rsid w:val="0057449F"/>
    <w:rsid w:val="00576003"/>
    <w:rsid w:val="005801FC"/>
    <w:rsid w:val="0058579E"/>
    <w:rsid w:val="005941E9"/>
    <w:rsid w:val="00595016"/>
    <w:rsid w:val="00596D36"/>
    <w:rsid w:val="00597AAE"/>
    <w:rsid w:val="005A222C"/>
    <w:rsid w:val="005A4DF8"/>
    <w:rsid w:val="005B1426"/>
    <w:rsid w:val="005B4DA5"/>
    <w:rsid w:val="005B5E8D"/>
    <w:rsid w:val="005C0A8E"/>
    <w:rsid w:val="005C1767"/>
    <w:rsid w:val="005C42EF"/>
    <w:rsid w:val="005D2B24"/>
    <w:rsid w:val="005E02F5"/>
    <w:rsid w:val="005E0510"/>
    <w:rsid w:val="005E176E"/>
    <w:rsid w:val="005E218E"/>
    <w:rsid w:val="005E35A0"/>
    <w:rsid w:val="005E362D"/>
    <w:rsid w:val="005E37AC"/>
    <w:rsid w:val="005E4E7F"/>
    <w:rsid w:val="005F0D1B"/>
    <w:rsid w:val="005F1865"/>
    <w:rsid w:val="005F6851"/>
    <w:rsid w:val="006007BD"/>
    <w:rsid w:val="006013C8"/>
    <w:rsid w:val="006018CF"/>
    <w:rsid w:val="0060270D"/>
    <w:rsid w:val="00604611"/>
    <w:rsid w:val="006050C8"/>
    <w:rsid w:val="00607F1D"/>
    <w:rsid w:val="006107FF"/>
    <w:rsid w:val="00611586"/>
    <w:rsid w:val="00613298"/>
    <w:rsid w:val="00621887"/>
    <w:rsid w:val="00624520"/>
    <w:rsid w:val="00630FA4"/>
    <w:rsid w:val="00631F75"/>
    <w:rsid w:val="00632BB7"/>
    <w:rsid w:val="00633A22"/>
    <w:rsid w:val="006350FB"/>
    <w:rsid w:val="00635B36"/>
    <w:rsid w:val="00636871"/>
    <w:rsid w:val="00640F4E"/>
    <w:rsid w:val="00641B3A"/>
    <w:rsid w:val="00643DE0"/>
    <w:rsid w:val="0064429C"/>
    <w:rsid w:val="00644E85"/>
    <w:rsid w:val="0065061C"/>
    <w:rsid w:val="006520EE"/>
    <w:rsid w:val="0066063F"/>
    <w:rsid w:val="0066214C"/>
    <w:rsid w:val="00662BB0"/>
    <w:rsid w:val="00663878"/>
    <w:rsid w:val="00665C6C"/>
    <w:rsid w:val="00667773"/>
    <w:rsid w:val="00670743"/>
    <w:rsid w:val="00672CFD"/>
    <w:rsid w:val="00675589"/>
    <w:rsid w:val="006759AB"/>
    <w:rsid w:val="006808DE"/>
    <w:rsid w:val="006855B5"/>
    <w:rsid w:val="006876F3"/>
    <w:rsid w:val="00690EE2"/>
    <w:rsid w:val="006A0E20"/>
    <w:rsid w:val="006A1D71"/>
    <w:rsid w:val="006A5695"/>
    <w:rsid w:val="006A7855"/>
    <w:rsid w:val="006B3904"/>
    <w:rsid w:val="006B51D5"/>
    <w:rsid w:val="006B5B7D"/>
    <w:rsid w:val="006C4040"/>
    <w:rsid w:val="006D0ECF"/>
    <w:rsid w:val="006D1150"/>
    <w:rsid w:val="006D2A19"/>
    <w:rsid w:val="006D4C92"/>
    <w:rsid w:val="006D4EB6"/>
    <w:rsid w:val="006E35BF"/>
    <w:rsid w:val="006E5252"/>
    <w:rsid w:val="006E7850"/>
    <w:rsid w:val="006F2B97"/>
    <w:rsid w:val="007028D9"/>
    <w:rsid w:val="00707218"/>
    <w:rsid w:val="00712B1D"/>
    <w:rsid w:val="00721FB4"/>
    <w:rsid w:val="0072221B"/>
    <w:rsid w:val="00732379"/>
    <w:rsid w:val="007325D9"/>
    <w:rsid w:val="007360CA"/>
    <w:rsid w:val="00740CEB"/>
    <w:rsid w:val="00750988"/>
    <w:rsid w:val="00757977"/>
    <w:rsid w:val="00760BFA"/>
    <w:rsid w:val="00761300"/>
    <w:rsid w:val="0076199E"/>
    <w:rsid w:val="0076273C"/>
    <w:rsid w:val="00764B77"/>
    <w:rsid w:val="00771A7D"/>
    <w:rsid w:val="0078003A"/>
    <w:rsid w:val="00780771"/>
    <w:rsid w:val="007911AA"/>
    <w:rsid w:val="007929CF"/>
    <w:rsid w:val="007A0282"/>
    <w:rsid w:val="007A2872"/>
    <w:rsid w:val="007A4216"/>
    <w:rsid w:val="007A49C6"/>
    <w:rsid w:val="007A6F28"/>
    <w:rsid w:val="007B03C6"/>
    <w:rsid w:val="007B0DB1"/>
    <w:rsid w:val="007B2B72"/>
    <w:rsid w:val="007C0E72"/>
    <w:rsid w:val="007C139C"/>
    <w:rsid w:val="007C299F"/>
    <w:rsid w:val="007C3058"/>
    <w:rsid w:val="007C5EB2"/>
    <w:rsid w:val="007D2EF8"/>
    <w:rsid w:val="007D44D5"/>
    <w:rsid w:val="007D4CD9"/>
    <w:rsid w:val="007D561F"/>
    <w:rsid w:val="007D7FD2"/>
    <w:rsid w:val="007E13D9"/>
    <w:rsid w:val="007E468C"/>
    <w:rsid w:val="007E4AD4"/>
    <w:rsid w:val="007E4DB6"/>
    <w:rsid w:val="007E7032"/>
    <w:rsid w:val="007E7CD4"/>
    <w:rsid w:val="007F016A"/>
    <w:rsid w:val="007F37AD"/>
    <w:rsid w:val="00801800"/>
    <w:rsid w:val="00801B5B"/>
    <w:rsid w:val="00804717"/>
    <w:rsid w:val="008115DD"/>
    <w:rsid w:val="008276B4"/>
    <w:rsid w:val="00827A34"/>
    <w:rsid w:val="00831927"/>
    <w:rsid w:val="00833F7F"/>
    <w:rsid w:val="008362AE"/>
    <w:rsid w:val="008368CE"/>
    <w:rsid w:val="00840524"/>
    <w:rsid w:val="008409C1"/>
    <w:rsid w:val="00840C0A"/>
    <w:rsid w:val="00841BD3"/>
    <w:rsid w:val="0084273D"/>
    <w:rsid w:val="00844E3F"/>
    <w:rsid w:val="00845A83"/>
    <w:rsid w:val="00851855"/>
    <w:rsid w:val="00855259"/>
    <w:rsid w:val="008648D1"/>
    <w:rsid w:val="0086691B"/>
    <w:rsid w:val="008712BB"/>
    <w:rsid w:val="0087135C"/>
    <w:rsid w:val="00877FCE"/>
    <w:rsid w:val="0088482A"/>
    <w:rsid w:val="00885741"/>
    <w:rsid w:val="00887205"/>
    <w:rsid w:val="008A2484"/>
    <w:rsid w:val="008A306B"/>
    <w:rsid w:val="008A3CBD"/>
    <w:rsid w:val="008B0695"/>
    <w:rsid w:val="008B21A9"/>
    <w:rsid w:val="008C26D9"/>
    <w:rsid w:val="008C342F"/>
    <w:rsid w:val="008C6D50"/>
    <w:rsid w:val="008C7167"/>
    <w:rsid w:val="008C7503"/>
    <w:rsid w:val="008D12C9"/>
    <w:rsid w:val="008D1617"/>
    <w:rsid w:val="008D32ED"/>
    <w:rsid w:val="008E247A"/>
    <w:rsid w:val="008E24D6"/>
    <w:rsid w:val="008E4214"/>
    <w:rsid w:val="008E6315"/>
    <w:rsid w:val="008E7958"/>
    <w:rsid w:val="008F11E0"/>
    <w:rsid w:val="008F529E"/>
    <w:rsid w:val="008F78BC"/>
    <w:rsid w:val="008F7B63"/>
    <w:rsid w:val="008F7D6A"/>
    <w:rsid w:val="00905253"/>
    <w:rsid w:val="009054CB"/>
    <w:rsid w:val="00912F94"/>
    <w:rsid w:val="00913E8E"/>
    <w:rsid w:val="00916D85"/>
    <w:rsid w:val="0092590B"/>
    <w:rsid w:val="00925E60"/>
    <w:rsid w:val="009264B3"/>
    <w:rsid w:val="00932DF0"/>
    <w:rsid w:val="00935AE0"/>
    <w:rsid w:val="00937A04"/>
    <w:rsid w:val="009421CE"/>
    <w:rsid w:val="0094260C"/>
    <w:rsid w:val="00942BA2"/>
    <w:rsid w:val="009446C4"/>
    <w:rsid w:val="00944C86"/>
    <w:rsid w:val="0095769F"/>
    <w:rsid w:val="00957DE8"/>
    <w:rsid w:val="00960ECB"/>
    <w:rsid w:val="009611DB"/>
    <w:rsid w:val="009615D6"/>
    <w:rsid w:val="009664A1"/>
    <w:rsid w:val="00967855"/>
    <w:rsid w:val="00980736"/>
    <w:rsid w:val="00981A39"/>
    <w:rsid w:val="00982855"/>
    <w:rsid w:val="00984BA6"/>
    <w:rsid w:val="00987097"/>
    <w:rsid w:val="00987C05"/>
    <w:rsid w:val="009A1E3A"/>
    <w:rsid w:val="009B046C"/>
    <w:rsid w:val="009B13FA"/>
    <w:rsid w:val="009B1E2D"/>
    <w:rsid w:val="009C0D1D"/>
    <w:rsid w:val="009C38E3"/>
    <w:rsid w:val="009C59FB"/>
    <w:rsid w:val="009C6F3B"/>
    <w:rsid w:val="009C7B69"/>
    <w:rsid w:val="009D09FD"/>
    <w:rsid w:val="009E2819"/>
    <w:rsid w:val="009E4FA6"/>
    <w:rsid w:val="009E7D93"/>
    <w:rsid w:val="009F006A"/>
    <w:rsid w:val="009F12BF"/>
    <w:rsid w:val="009F3C51"/>
    <w:rsid w:val="009F5C33"/>
    <w:rsid w:val="00A03EAC"/>
    <w:rsid w:val="00A044FD"/>
    <w:rsid w:val="00A11CA6"/>
    <w:rsid w:val="00A15F6F"/>
    <w:rsid w:val="00A16504"/>
    <w:rsid w:val="00A20C49"/>
    <w:rsid w:val="00A269CA"/>
    <w:rsid w:val="00A359AC"/>
    <w:rsid w:val="00A413A5"/>
    <w:rsid w:val="00A41413"/>
    <w:rsid w:val="00A45FB1"/>
    <w:rsid w:val="00A46CCC"/>
    <w:rsid w:val="00A47591"/>
    <w:rsid w:val="00A51CFE"/>
    <w:rsid w:val="00A576E6"/>
    <w:rsid w:val="00A57E3E"/>
    <w:rsid w:val="00A64ECC"/>
    <w:rsid w:val="00A70DC2"/>
    <w:rsid w:val="00A76C13"/>
    <w:rsid w:val="00A87F82"/>
    <w:rsid w:val="00A92E79"/>
    <w:rsid w:val="00A93031"/>
    <w:rsid w:val="00A950B6"/>
    <w:rsid w:val="00AA6DB4"/>
    <w:rsid w:val="00AB41C1"/>
    <w:rsid w:val="00AB4E45"/>
    <w:rsid w:val="00AB7D7A"/>
    <w:rsid w:val="00AD01BA"/>
    <w:rsid w:val="00AD12A8"/>
    <w:rsid w:val="00AE384D"/>
    <w:rsid w:val="00AE4437"/>
    <w:rsid w:val="00AF3577"/>
    <w:rsid w:val="00AF35F9"/>
    <w:rsid w:val="00AF4DAF"/>
    <w:rsid w:val="00B05C7D"/>
    <w:rsid w:val="00B109C5"/>
    <w:rsid w:val="00B22C2C"/>
    <w:rsid w:val="00B2649D"/>
    <w:rsid w:val="00B26B11"/>
    <w:rsid w:val="00B343A2"/>
    <w:rsid w:val="00B346C3"/>
    <w:rsid w:val="00B426DC"/>
    <w:rsid w:val="00B4471C"/>
    <w:rsid w:val="00B451A6"/>
    <w:rsid w:val="00B5149C"/>
    <w:rsid w:val="00B54FAF"/>
    <w:rsid w:val="00B62C3E"/>
    <w:rsid w:val="00B6547C"/>
    <w:rsid w:val="00B713B6"/>
    <w:rsid w:val="00B722DE"/>
    <w:rsid w:val="00B73625"/>
    <w:rsid w:val="00B74E45"/>
    <w:rsid w:val="00B76C44"/>
    <w:rsid w:val="00B83F87"/>
    <w:rsid w:val="00B84436"/>
    <w:rsid w:val="00B92422"/>
    <w:rsid w:val="00BA2EFA"/>
    <w:rsid w:val="00BA3DBC"/>
    <w:rsid w:val="00BA7582"/>
    <w:rsid w:val="00BB2DA2"/>
    <w:rsid w:val="00BB3061"/>
    <w:rsid w:val="00BB56DC"/>
    <w:rsid w:val="00BE1702"/>
    <w:rsid w:val="00BE183D"/>
    <w:rsid w:val="00BE3EFB"/>
    <w:rsid w:val="00BE6C1C"/>
    <w:rsid w:val="00BF03FE"/>
    <w:rsid w:val="00BF5D7A"/>
    <w:rsid w:val="00C00DCC"/>
    <w:rsid w:val="00C10B53"/>
    <w:rsid w:val="00C141A3"/>
    <w:rsid w:val="00C2393D"/>
    <w:rsid w:val="00C31730"/>
    <w:rsid w:val="00C36442"/>
    <w:rsid w:val="00C400CE"/>
    <w:rsid w:val="00C410FD"/>
    <w:rsid w:val="00C41410"/>
    <w:rsid w:val="00C4735B"/>
    <w:rsid w:val="00C509B5"/>
    <w:rsid w:val="00C52824"/>
    <w:rsid w:val="00C539FB"/>
    <w:rsid w:val="00C60B59"/>
    <w:rsid w:val="00C62D14"/>
    <w:rsid w:val="00C67B62"/>
    <w:rsid w:val="00C83E4E"/>
    <w:rsid w:val="00C846D8"/>
    <w:rsid w:val="00C91854"/>
    <w:rsid w:val="00C9393A"/>
    <w:rsid w:val="00C969AD"/>
    <w:rsid w:val="00CA246D"/>
    <w:rsid w:val="00CA2EE1"/>
    <w:rsid w:val="00CA5650"/>
    <w:rsid w:val="00CB5636"/>
    <w:rsid w:val="00CC1BE0"/>
    <w:rsid w:val="00CC5960"/>
    <w:rsid w:val="00CD0B0B"/>
    <w:rsid w:val="00CD34DB"/>
    <w:rsid w:val="00CE2C9F"/>
    <w:rsid w:val="00CE5A71"/>
    <w:rsid w:val="00CE6EE6"/>
    <w:rsid w:val="00CF0423"/>
    <w:rsid w:val="00CF2FE7"/>
    <w:rsid w:val="00CF4798"/>
    <w:rsid w:val="00CF5832"/>
    <w:rsid w:val="00D00799"/>
    <w:rsid w:val="00D06885"/>
    <w:rsid w:val="00D10F21"/>
    <w:rsid w:val="00D112B3"/>
    <w:rsid w:val="00D12FB0"/>
    <w:rsid w:val="00D13E36"/>
    <w:rsid w:val="00D15E5C"/>
    <w:rsid w:val="00D34040"/>
    <w:rsid w:val="00D340AF"/>
    <w:rsid w:val="00D34E69"/>
    <w:rsid w:val="00D364E4"/>
    <w:rsid w:val="00D375EE"/>
    <w:rsid w:val="00D5524C"/>
    <w:rsid w:val="00D62699"/>
    <w:rsid w:val="00D628B0"/>
    <w:rsid w:val="00D76F6C"/>
    <w:rsid w:val="00D82620"/>
    <w:rsid w:val="00D8507B"/>
    <w:rsid w:val="00D90DDE"/>
    <w:rsid w:val="00D9725F"/>
    <w:rsid w:val="00DA01B1"/>
    <w:rsid w:val="00DA11A2"/>
    <w:rsid w:val="00DA14ED"/>
    <w:rsid w:val="00DB233A"/>
    <w:rsid w:val="00DB2EF1"/>
    <w:rsid w:val="00DB3DE1"/>
    <w:rsid w:val="00DB3F68"/>
    <w:rsid w:val="00DB4380"/>
    <w:rsid w:val="00DB5DA0"/>
    <w:rsid w:val="00DB716C"/>
    <w:rsid w:val="00DC3FE7"/>
    <w:rsid w:val="00DC4E64"/>
    <w:rsid w:val="00DC5C85"/>
    <w:rsid w:val="00DD0EAB"/>
    <w:rsid w:val="00DD4236"/>
    <w:rsid w:val="00DD44F1"/>
    <w:rsid w:val="00DD6BB9"/>
    <w:rsid w:val="00DE3067"/>
    <w:rsid w:val="00DE4B43"/>
    <w:rsid w:val="00DE5068"/>
    <w:rsid w:val="00DF3BFB"/>
    <w:rsid w:val="00E027BC"/>
    <w:rsid w:val="00E072A2"/>
    <w:rsid w:val="00E14EA5"/>
    <w:rsid w:val="00E15272"/>
    <w:rsid w:val="00E15940"/>
    <w:rsid w:val="00E21133"/>
    <w:rsid w:val="00E2327E"/>
    <w:rsid w:val="00E232F6"/>
    <w:rsid w:val="00E266EF"/>
    <w:rsid w:val="00E31EB6"/>
    <w:rsid w:val="00E3259F"/>
    <w:rsid w:val="00E33915"/>
    <w:rsid w:val="00E36FAF"/>
    <w:rsid w:val="00E47428"/>
    <w:rsid w:val="00E50104"/>
    <w:rsid w:val="00E51579"/>
    <w:rsid w:val="00E57ACE"/>
    <w:rsid w:val="00E6114F"/>
    <w:rsid w:val="00E618B9"/>
    <w:rsid w:val="00E6660B"/>
    <w:rsid w:val="00E66B9F"/>
    <w:rsid w:val="00E710D6"/>
    <w:rsid w:val="00E71E56"/>
    <w:rsid w:val="00E72D2A"/>
    <w:rsid w:val="00E76E45"/>
    <w:rsid w:val="00E777C9"/>
    <w:rsid w:val="00E81DA6"/>
    <w:rsid w:val="00E84212"/>
    <w:rsid w:val="00E87828"/>
    <w:rsid w:val="00E8786D"/>
    <w:rsid w:val="00E9086C"/>
    <w:rsid w:val="00E91A0F"/>
    <w:rsid w:val="00E94A71"/>
    <w:rsid w:val="00E95AC5"/>
    <w:rsid w:val="00EA03CE"/>
    <w:rsid w:val="00EA0960"/>
    <w:rsid w:val="00EA23E5"/>
    <w:rsid w:val="00EA4E2E"/>
    <w:rsid w:val="00EA7DB7"/>
    <w:rsid w:val="00EB2CCB"/>
    <w:rsid w:val="00EB2E31"/>
    <w:rsid w:val="00EC5257"/>
    <w:rsid w:val="00EC57A7"/>
    <w:rsid w:val="00ED0817"/>
    <w:rsid w:val="00ED7DD9"/>
    <w:rsid w:val="00EE023B"/>
    <w:rsid w:val="00EE1B11"/>
    <w:rsid w:val="00EE2B61"/>
    <w:rsid w:val="00EE45F7"/>
    <w:rsid w:val="00EF21F4"/>
    <w:rsid w:val="00EF3113"/>
    <w:rsid w:val="00EF3F84"/>
    <w:rsid w:val="00EF6573"/>
    <w:rsid w:val="00F04B3B"/>
    <w:rsid w:val="00F05FCA"/>
    <w:rsid w:val="00F071E3"/>
    <w:rsid w:val="00F11370"/>
    <w:rsid w:val="00F12832"/>
    <w:rsid w:val="00F128E6"/>
    <w:rsid w:val="00F153CD"/>
    <w:rsid w:val="00F176AC"/>
    <w:rsid w:val="00F238F5"/>
    <w:rsid w:val="00F248B7"/>
    <w:rsid w:val="00F27714"/>
    <w:rsid w:val="00F3276E"/>
    <w:rsid w:val="00F33A4B"/>
    <w:rsid w:val="00F33D3C"/>
    <w:rsid w:val="00F342EA"/>
    <w:rsid w:val="00F36933"/>
    <w:rsid w:val="00F37A91"/>
    <w:rsid w:val="00F43099"/>
    <w:rsid w:val="00F44EA1"/>
    <w:rsid w:val="00F45114"/>
    <w:rsid w:val="00F45CF5"/>
    <w:rsid w:val="00F45D6B"/>
    <w:rsid w:val="00F47DB0"/>
    <w:rsid w:val="00F50E34"/>
    <w:rsid w:val="00F53EF7"/>
    <w:rsid w:val="00F54BF2"/>
    <w:rsid w:val="00F61C73"/>
    <w:rsid w:val="00F749AE"/>
    <w:rsid w:val="00F8171E"/>
    <w:rsid w:val="00F85C60"/>
    <w:rsid w:val="00F86EA3"/>
    <w:rsid w:val="00F92355"/>
    <w:rsid w:val="00F93963"/>
    <w:rsid w:val="00F94291"/>
    <w:rsid w:val="00F977CB"/>
    <w:rsid w:val="00FA118E"/>
    <w:rsid w:val="00FA1CCE"/>
    <w:rsid w:val="00FA71F6"/>
    <w:rsid w:val="00FB7982"/>
    <w:rsid w:val="00FC0734"/>
    <w:rsid w:val="00FC0FC5"/>
    <w:rsid w:val="00FC588F"/>
    <w:rsid w:val="00FD34F3"/>
    <w:rsid w:val="00FD4551"/>
    <w:rsid w:val="00FD5C84"/>
    <w:rsid w:val="00FE1B30"/>
    <w:rsid w:val="00FE2D36"/>
    <w:rsid w:val="00FE642D"/>
    <w:rsid w:val="00FE7B44"/>
    <w:rsid w:val="00FF0421"/>
    <w:rsid w:val="00FF6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6776">
      <w:bodyDiv w:val="1"/>
      <w:marLeft w:val="0"/>
      <w:marRight w:val="0"/>
      <w:marTop w:val="0"/>
      <w:marBottom w:val="0"/>
      <w:divBdr>
        <w:top w:val="none" w:sz="0" w:space="0" w:color="auto"/>
        <w:left w:val="none" w:sz="0" w:space="0" w:color="auto"/>
        <w:bottom w:val="none" w:sz="0" w:space="0" w:color="auto"/>
        <w:right w:val="none" w:sz="0" w:space="0" w:color="auto"/>
      </w:divBdr>
    </w:div>
    <w:div w:id="648485931">
      <w:bodyDiv w:val="1"/>
      <w:marLeft w:val="0"/>
      <w:marRight w:val="0"/>
      <w:marTop w:val="0"/>
      <w:marBottom w:val="0"/>
      <w:divBdr>
        <w:top w:val="none" w:sz="0" w:space="0" w:color="auto"/>
        <w:left w:val="none" w:sz="0" w:space="0" w:color="auto"/>
        <w:bottom w:val="none" w:sz="0" w:space="0" w:color="auto"/>
        <w:right w:val="none" w:sz="0" w:space="0" w:color="auto"/>
      </w:divBdr>
      <w:divsChild>
        <w:div w:id="676618353">
          <w:marLeft w:val="562"/>
          <w:marRight w:val="0"/>
          <w:marTop w:val="0"/>
          <w:marBottom w:val="120"/>
          <w:divBdr>
            <w:top w:val="none" w:sz="0" w:space="0" w:color="auto"/>
            <w:left w:val="none" w:sz="0" w:space="0" w:color="auto"/>
            <w:bottom w:val="none" w:sz="0" w:space="0" w:color="auto"/>
            <w:right w:val="none" w:sz="0" w:space="0" w:color="auto"/>
          </w:divBdr>
        </w:div>
        <w:div w:id="1235166423">
          <w:marLeft w:val="2261"/>
          <w:marRight w:val="0"/>
          <w:marTop w:val="0"/>
          <w:marBottom w:val="120"/>
          <w:divBdr>
            <w:top w:val="none" w:sz="0" w:space="0" w:color="auto"/>
            <w:left w:val="none" w:sz="0" w:space="0" w:color="auto"/>
            <w:bottom w:val="none" w:sz="0" w:space="0" w:color="auto"/>
            <w:right w:val="none" w:sz="0" w:space="0" w:color="auto"/>
          </w:divBdr>
        </w:div>
        <w:div w:id="1981496442">
          <w:marLeft w:val="2261"/>
          <w:marRight w:val="0"/>
          <w:marTop w:val="0"/>
          <w:marBottom w:val="120"/>
          <w:divBdr>
            <w:top w:val="none" w:sz="0" w:space="0" w:color="auto"/>
            <w:left w:val="none" w:sz="0" w:space="0" w:color="auto"/>
            <w:bottom w:val="none" w:sz="0" w:space="0" w:color="auto"/>
            <w:right w:val="none" w:sz="0" w:space="0" w:color="auto"/>
          </w:divBdr>
        </w:div>
      </w:divsChild>
    </w:div>
    <w:div w:id="662010783">
      <w:bodyDiv w:val="1"/>
      <w:marLeft w:val="0"/>
      <w:marRight w:val="0"/>
      <w:marTop w:val="0"/>
      <w:marBottom w:val="0"/>
      <w:divBdr>
        <w:top w:val="none" w:sz="0" w:space="0" w:color="auto"/>
        <w:left w:val="none" w:sz="0" w:space="0" w:color="auto"/>
        <w:bottom w:val="none" w:sz="0" w:space="0" w:color="auto"/>
        <w:right w:val="none" w:sz="0" w:space="0" w:color="auto"/>
      </w:divBdr>
      <w:divsChild>
        <w:div w:id="615646833">
          <w:marLeft w:val="562"/>
          <w:marRight w:val="0"/>
          <w:marTop w:val="0"/>
          <w:marBottom w:val="120"/>
          <w:divBdr>
            <w:top w:val="none" w:sz="0" w:space="0" w:color="auto"/>
            <w:left w:val="none" w:sz="0" w:space="0" w:color="auto"/>
            <w:bottom w:val="none" w:sz="0" w:space="0" w:color="auto"/>
            <w:right w:val="none" w:sz="0" w:space="0" w:color="auto"/>
          </w:divBdr>
        </w:div>
      </w:divsChild>
    </w:div>
    <w:div w:id="1725372603">
      <w:bodyDiv w:val="1"/>
      <w:marLeft w:val="0"/>
      <w:marRight w:val="0"/>
      <w:marTop w:val="0"/>
      <w:marBottom w:val="0"/>
      <w:divBdr>
        <w:top w:val="none" w:sz="0" w:space="0" w:color="auto"/>
        <w:left w:val="none" w:sz="0" w:space="0" w:color="auto"/>
        <w:bottom w:val="none" w:sz="0" w:space="0" w:color="auto"/>
        <w:right w:val="none" w:sz="0" w:space="0" w:color="auto"/>
      </w:divBdr>
    </w:div>
    <w:div w:id="1733964699">
      <w:bodyDiv w:val="1"/>
      <w:marLeft w:val="0"/>
      <w:marRight w:val="0"/>
      <w:marTop w:val="0"/>
      <w:marBottom w:val="0"/>
      <w:divBdr>
        <w:top w:val="none" w:sz="0" w:space="0" w:color="auto"/>
        <w:left w:val="none" w:sz="0" w:space="0" w:color="auto"/>
        <w:bottom w:val="none" w:sz="0" w:space="0" w:color="auto"/>
        <w:right w:val="none" w:sz="0" w:space="0" w:color="auto"/>
      </w:divBdr>
      <w:divsChild>
        <w:div w:id="128086197">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EA3B-EF87-4CE0-82EB-C8303260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15</Pages>
  <Words>5126</Words>
  <Characters>26160</Characters>
  <Application>Microsoft Office Word</Application>
  <DocSecurity>0</DocSecurity>
  <Lines>523</Lines>
  <Paragraphs>177</Paragraphs>
  <ScaleCrop>false</ScaleCrop>
  <HeadingPairs>
    <vt:vector size="2" baseType="variant">
      <vt:variant>
        <vt:lpstr>Title</vt:lpstr>
      </vt:variant>
      <vt:variant>
        <vt:i4>1</vt:i4>
      </vt:variant>
    </vt:vector>
  </HeadingPairs>
  <TitlesOfParts>
    <vt:vector size="1" baseType="lpstr">
      <vt:lpstr>Tech Mahindra Limited v Commissioner of Taxation [2016] FCAFC 130</vt:lpstr>
    </vt:vector>
  </TitlesOfParts>
  <Company>Federal Court of Australia</Company>
  <LinksUpToDate>false</LinksUpToDate>
  <CharactersWithSpaces>31109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Mahindra Limited v Commissioner of Taxation [2016] FCAFC 130</dc:title>
  <dc:creator>Wendy Hawkless</dc:creator>
  <cp:lastModifiedBy>Anna Masters</cp:lastModifiedBy>
  <cp:revision>5</cp:revision>
  <cp:lastPrinted>2016-09-01T01:06:00Z</cp:lastPrinted>
  <dcterms:created xsi:type="dcterms:W3CDTF">2016-09-21T22:57:00Z</dcterms:created>
  <dcterms:modified xsi:type="dcterms:W3CDTF">2016-09-21T23:09:00Z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DAVIES AND WIGNEY JJ</vt:lpwstr>
  </property>
  <property fmtid="{D5CDD505-2E9C-101B-9397-08002B2CF9AE}" pid="4" name="Judgment_dated" linkTarget="Judgment_dated">
    <vt:lpwstr>22 SEPTEMBER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