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AF" w:rsidRDefault="00FE43F8">
      <w:pPr>
        <w:pStyle w:val="NormalHeadings"/>
        <w:jc w:val="center"/>
        <w:rPr>
          <w:sz w:val="32"/>
        </w:rPr>
      </w:pPr>
      <w:bookmarkStart w:id="0" w:name="_GoBack"/>
      <w:bookmarkEnd w:id="0"/>
      <w:r>
        <w:rPr>
          <w:sz w:val="32"/>
        </w:rPr>
        <w:t>FEDERAL COURT OF AUSTRALIA</w:t>
      </w:r>
    </w:p>
    <w:p w:rsidR="00B226AF" w:rsidRDefault="00B226AF">
      <w:pPr>
        <w:pStyle w:val="NormalHeadings"/>
        <w:jc w:val="center"/>
        <w:rPr>
          <w:sz w:val="32"/>
        </w:rPr>
      </w:pPr>
    </w:p>
    <w:p w:rsidR="00B226AF" w:rsidRDefault="004710B0">
      <w:pPr>
        <w:pStyle w:val="MediaNeutralStyle"/>
      </w:pPr>
      <w:bookmarkStart w:id="1" w:name="MNC"/>
      <w:r>
        <w:t xml:space="preserve">Reinhardt v Mill Estate </w:t>
      </w:r>
      <w:r w:rsidR="00664E6A">
        <w:t xml:space="preserve">Holdings Pty Ltd </w:t>
      </w:r>
      <w:r w:rsidR="00664E6A">
        <w:br/>
        <w:t xml:space="preserve">[2014] </w:t>
      </w:r>
      <w:proofErr w:type="spellStart"/>
      <w:r w:rsidR="00664E6A">
        <w:t>FCA</w:t>
      </w:r>
      <w:proofErr w:type="spellEnd"/>
      <w:r w:rsidR="00664E6A">
        <w:t xml:space="preserve"> 1056</w:t>
      </w:r>
      <w:r>
        <w:t xml:space="preserve"> </w:t>
      </w:r>
      <w:bookmarkEnd w:id="1"/>
    </w:p>
    <w:p w:rsidR="00B226AF" w:rsidRDefault="00B226AF">
      <w:pPr>
        <w:pStyle w:val="Normal1linespace"/>
      </w:pPr>
    </w:p>
    <w:tbl>
      <w:tblPr>
        <w:tblW w:w="0" w:type="auto"/>
        <w:tblLook w:val="01E0" w:firstRow="1" w:lastRow="1" w:firstColumn="1" w:lastColumn="1" w:noHBand="0" w:noVBand="0"/>
      </w:tblPr>
      <w:tblGrid>
        <w:gridCol w:w="3085"/>
        <w:gridCol w:w="5954"/>
        <w:gridCol w:w="25"/>
      </w:tblGrid>
      <w:tr w:rsidR="00B226AF">
        <w:trPr>
          <w:gridAfter w:val="1"/>
          <w:wAfter w:w="25" w:type="dxa"/>
        </w:trPr>
        <w:tc>
          <w:tcPr>
            <w:tcW w:w="3085" w:type="dxa"/>
            <w:shd w:val="clear" w:color="auto" w:fill="auto"/>
          </w:tcPr>
          <w:p w:rsidR="00B226AF" w:rsidRDefault="00FE43F8">
            <w:pPr>
              <w:pStyle w:val="Normal1linespace"/>
              <w:widowControl w:val="0"/>
            </w:pPr>
            <w:r>
              <w:t>Citation:</w:t>
            </w:r>
          </w:p>
        </w:tc>
        <w:tc>
          <w:tcPr>
            <w:tcW w:w="5954" w:type="dxa"/>
            <w:shd w:val="clear" w:color="auto" w:fill="auto"/>
          </w:tcPr>
          <w:p w:rsidR="00B226AF" w:rsidRDefault="004710B0">
            <w:pPr>
              <w:pStyle w:val="Normal1linespace"/>
              <w:widowControl w:val="0"/>
              <w:jc w:val="left"/>
            </w:pPr>
            <w:r>
              <w:t>Reinhardt v Mill Estate</w:t>
            </w:r>
            <w:r w:rsidR="00664E6A">
              <w:t xml:space="preserve"> Holdings Pty Ltd [2014] </w:t>
            </w:r>
            <w:proofErr w:type="spellStart"/>
            <w:r w:rsidR="00664E6A">
              <w:t>FCA</w:t>
            </w:r>
            <w:proofErr w:type="spellEnd"/>
            <w:r w:rsidR="00664E6A">
              <w:t xml:space="preserve"> 1056</w:t>
            </w:r>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F95F37">
        <w:trPr>
          <w:gridAfter w:val="1"/>
          <w:wAfter w:w="25" w:type="dxa"/>
        </w:trPr>
        <w:tc>
          <w:tcPr>
            <w:tcW w:w="3085" w:type="dxa"/>
            <w:shd w:val="clear" w:color="auto" w:fill="auto"/>
          </w:tcPr>
          <w:p w:rsidR="00F95F37" w:rsidRDefault="00F95F37">
            <w:pPr>
              <w:pStyle w:val="Normal1linespace"/>
              <w:widowControl w:val="0"/>
            </w:pPr>
            <w:r>
              <w:t>Appeal from:</w:t>
            </w:r>
          </w:p>
        </w:tc>
        <w:tc>
          <w:tcPr>
            <w:tcW w:w="5954" w:type="dxa"/>
            <w:shd w:val="clear" w:color="auto" w:fill="auto"/>
          </w:tcPr>
          <w:p w:rsidR="00F95F37" w:rsidRPr="00F95F37" w:rsidRDefault="00F95F37">
            <w:pPr>
              <w:pStyle w:val="Normal1linespace"/>
              <w:widowControl w:val="0"/>
              <w:jc w:val="left"/>
            </w:pPr>
            <w:r>
              <w:t xml:space="preserve">Mill Estate Holdings Pty Ltd v Reinhardt [2014] </w:t>
            </w:r>
            <w:proofErr w:type="spellStart"/>
            <w:r>
              <w:t>FCCA</w:t>
            </w:r>
            <w:proofErr w:type="spellEnd"/>
            <w:r>
              <w:t xml:space="preserve"> 906</w:t>
            </w:r>
          </w:p>
        </w:tc>
      </w:tr>
      <w:tr w:rsidR="00F95F37">
        <w:trPr>
          <w:gridAfter w:val="1"/>
          <w:wAfter w:w="25" w:type="dxa"/>
        </w:trPr>
        <w:tc>
          <w:tcPr>
            <w:tcW w:w="3085" w:type="dxa"/>
            <w:shd w:val="clear" w:color="auto" w:fill="auto"/>
          </w:tcPr>
          <w:p w:rsidR="00F95F37" w:rsidRDefault="00F95F37">
            <w:pPr>
              <w:pStyle w:val="Normal1linespace"/>
              <w:widowControl w:val="0"/>
            </w:pPr>
          </w:p>
        </w:tc>
        <w:tc>
          <w:tcPr>
            <w:tcW w:w="5954" w:type="dxa"/>
            <w:shd w:val="clear" w:color="auto" w:fill="auto"/>
          </w:tcPr>
          <w:p w:rsidR="00F95F37" w:rsidRDefault="00F95F37">
            <w:pPr>
              <w:pStyle w:val="Normal1linespace"/>
              <w:widowControl w:val="0"/>
              <w:jc w:val="left"/>
            </w:pPr>
          </w:p>
        </w:tc>
      </w:tr>
      <w:tr w:rsidR="00B226AF">
        <w:trPr>
          <w:gridAfter w:val="1"/>
          <w:wAfter w:w="25" w:type="dxa"/>
        </w:trPr>
        <w:tc>
          <w:tcPr>
            <w:tcW w:w="3085" w:type="dxa"/>
            <w:shd w:val="clear" w:color="auto" w:fill="auto"/>
          </w:tcPr>
          <w:p w:rsidR="00B226AF" w:rsidRDefault="00FE43F8">
            <w:pPr>
              <w:pStyle w:val="Normal1linespace"/>
              <w:widowControl w:val="0"/>
            </w:pPr>
            <w:r>
              <w:t>Parties:</w:t>
            </w:r>
          </w:p>
        </w:tc>
        <w:tc>
          <w:tcPr>
            <w:tcW w:w="5954" w:type="dxa"/>
            <w:shd w:val="clear" w:color="auto" w:fill="auto"/>
          </w:tcPr>
          <w:p w:rsidR="00B226AF" w:rsidRDefault="00D711D8">
            <w:pPr>
              <w:pStyle w:val="Normal1linespace"/>
              <w:widowControl w:val="0"/>
              <w:jc w:val="left"/>
              <w:rPr>
                <w:b/>
              </w:rPr>
            </w:pPr>
            <w:bookmarkStart w:id="2" w:name="JudgmentFP"/>
            <w:r>
              <w:rPr>
                <w:b/>
              </w:rPr>
              <w:t xml:space="preserve">BRYAN REINHARDT and REINHARDT PTY LTD </w:t>
            </w:r>
            <w:proofErr w:type="spellStart"/>
            <w:r>
              <w:rPr>
                <w:b/>
              </w:rPr>
              <w:t>ACN</w:t>
            </w:r>
            <w:proofErr w:type="spellEnd"/>
            <w:r>
              <w:rPr>
                <w:b/>
              </w:rPr>
              <w:t xml:space="preserve"> 096 681 060 AS TRUSTEE FOR THE REINHARDT FAMILY TRUST v MILL ESTATE HOLDINGS PTY LTD </w:t>
            </w:r>
            <w:proofErr w:type="spellStart"/>
            <w:r>
              <w:rPr>
                <w:b/>
              </w:rPr>
              <w:t>ACN</w:t>
            </w:r>
            <w:proofErr w:type="spellEnd"/>
            <w:r>
              <w:rPr>
                <w:b/>
              </w:rPr>
              <w:t xml:space="preserve"> 119 975 505</w:t>
            </w:r>
            <w:bookmarkEnd w:id="2"/>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B226AF">
        <w:trPr>
          <w:gridAfter w:val="1"/>
          <w:wAfter w:w="25" w:type="dxa"/>
        </w:trPr>
        <w:tc>
          <w:tcPr>
            <w:tcW w:w="3085" w:type="dxa"/>
            <w:shd w:val="clear" w:color="auto" w:fill="auto"/>
          </w:tcPr>
          <w:p w:rsidR="00B226AF" w:rsidRDefault="00D711D8">
            <w:pPr>
              <w:pStyle w:val="Normal1linespace"/>
              <w:widowControl w:val="0"/>
            </w:pPr>
            <w:r>
              <w:t>File number</w:t>
            </w:r>
            <w:r w:rsidR="00FE43F8">
              <w:t>:</w:t>
            </w:r>
          </w:p>
        </w:tc>
        <w:tc>
          <w:tcPr>
            <w:tcW w:w="5954" w:type="dxa"/>
            <w:shd w:val="clear" w:color="auto" w:fill="auto"/>
          </w:tcPr>
          <w:p w:rsidR="00B226AF" w:rsidRDefault="00FE43F8">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D711D8">
              <w:rPr>
                <w:szCs w:val="24"/>
              </w:rPr>
              <w:t>QUD</w:t>
            </w:r>
            <w:proofErr w:type="spellEnd"/>
            <w:r w:rsidR="00D711D8">
              <w:rPr>
                <w:szCs w:val="24"/>
              </w:rPr>
              <w:t xml:space="preserve"> 266 of 2014</w:t>
            </w:r>
            <w:r>
              <w:rPr>
                <w:szCs w:val="24"/>
              </w:rPr>
              <w:fldChar w:fldCharType="end"/>
            </w:r>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B226AF">
        <w:trPr>
          <w:gridAfter w:val="1"/>
          <w:wAfter w:w="25" w:type="dxa"/>
        </w:trPr>
        <w:tc>
          <w:tcPr>
            <w:tcW w:w="3085" w:type="dxa"/>
            <w:shd w:val="clear" w:color="auto" w:fill="auto"/>
          </w:tcPr>
          <w:p w:rsidR="00B226AF" w:rsidRDefault="00D711D8">
            <w:pPr>
              <w:pStyle w:val="Normal1linespace"/>
              <w:widowControl w:val="0"/>
            </w:pPr>
            <w:r>
              <w:t>Judge</w:t>
            </w:r>
            <w:r w:rsidR="00FE43F8">
              <w:t>:</w:t>
            </w:r>
          </w:p>
        </w:tc>
        <w:tc>
          <w:tcPr>
            <w:tcW w:w="5954" w:type="dxa"/>
            <w:shd w:val="clear" w:color="auto" w:fill="auto"/>
          </w:tcPr>
          <w:p w:rsidR="00B226AF" w:rsidRDefault="00FE43F8">
            <w:pPr>
              <w:pStyle w:val="Normal1linespace"/>
              <w:widowControl w:val="0"/>
              <w:jc w:val="left"/>
              <w:rPr>
                <w:b/>
              </w:rPr>
            </w:pPr>
            <w:r w:rsidRPr="00D711D8">
              <w:rPr>
                <w:b/>
              </w:rPr>
              <w:fldChar w:fldCharType="begin" w:fldLock="1"/>
            </w:r>
            <w:r w:rsidRPr="00D711D8">
              <w:rPr>
                <w:b/>
              </w:rPr>
              <w:instrText xml:space="preserve"> REF  Judge  \* MERGEFORMAT </w:instrText>
            </w:r>
            <w:r w:rsidRPr="00D711D8">
              <w:rPr>
                <w:b/>
              </w:rPr>
              <w:fldChar w:fldCharType="separate"/>
            </w:r>
            <w:r w:rsidR="00D711D8" w:rsidRPr="00D711D8">
              <w:rPr>
                <w:b/>
                <w:caps/>
                <w:szCs w:val="24"/>
              </w:rPr>
              <w:t>RARES J</w:t>
            </w:r>
            <w:r w:rsidRPr="00D711D8">
              <w:rPr>
                <w:b/>
              </w:rPr>
              <w:fldChar w:fldCharType="end"/>
            </w:r>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B226AF">
        <w:trPr>
          <w:gridAfter w:val="1"/>
          <w:wAfter w:w="25" w:type="dxa"/>
        </w:trPr>
        <w:tc>
          <w:tcPr>
            <w:tcW w:w="3085" w:type="dxa"/>
            <w:shd w:val="clear" w:color="auto" w:fill="auto"/>
          </w:tcPr>
          <w:p w:rsidR="00B226AF" w:rsidRDefault="00FE43F8">
            <w:pPr>
              <w:pStyle w:val="Normal1linespace"/>
              <w:widowControl w:val="0"/>
            </w:pPr>
            <w:r>
              <w:t>Date of judgment:</w:t>
            </w:r>
          </w:p>
        </w:tc>
        <w:tc>
          <w:tcPr>
            <w:tcW w:w="5954" w:type="dxa"/>
            <w:shd w:val="clear" w:color="auto" w:fill="auto"/>
          </w:tcPr>
          <w:p w:rsidR="00B226AF" w:rsidRDefault="00D711D8">
            <w:pPr>
              <w:pStyle w:val="Normal1linespace"/>
              <w:widowControl w:val="0"/>
              <w:jc w:val="left"/>
            </w:pPr>
            <w:bookmarkStart w:id="3" w:name="JudgmentDate"/>
            <w:r>
              <w:t>19 August 2014</w:t>
            </w:r>
            <w:bookmarkEnd w:id="3"/>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B226AF">
        <w:trPr>
          <w:gridAfter w:val="1"/>
          <w:wAfter w:w="25" w:type="dxa"/>
        </w:trPr>
        <w:tc>
          <w:tcPr>
            <w:tcW w:w="3085" w:type="dxa"/>
            <w:shd w:val="clear" w:color="auto" w:fill="auto"/>
          </w:tcPr>
          <w:p w:rsidR="00B226AF" w:rsidRDefault="00FE43F8">
            <w:pPr>
              <w:pStyle w:val="Normal1linespace"/>
              <w:widowControl w:val="0"/>
            </w:pPr>
            <w:r>
              <w:t>Catchwords:</w:t>
            </w:r>
          </w:p>
        </w:tc>
        <w:tc>
          <w:tcPr>
            <w:tcW w:w="5954" w:type="dxa"/>
            <w:shd w:val="clear" w:color="auto" w:fill="auto"/>
          </w:tcPr>
          <w:p w:rsidR="00B226AF" w:rsidRDefault="00F95F37">
            <w:pPr>
              <w:pStyle w:val="Normal1linespace"/>
              <w:widowControl w:val="0"/>
              <w:jc w:val="left"/>
            </w:pPr>
            <w:bookmarkStart w:id="4" w:name="Catchwords"/>
            <w:r w:rsidRPr="00F95F37">
              <w:rPr>
                <w:b/>
              </w:rPr>
              <w:t>CONTRACTS – MISLEADING OR DECEPTIVE CONDUCT</w:t>
            </w:r>
            <w:r w:rsidRPr="00F95F37">
              <w:t xml:space="preserve"> – whether misleading or deceptive representations made to induce sale of business – alleged representation that principal of vendor would remain in employ of purchaser for term of two years – whether any reliance – failure of trial judge to take into account context of transaction including express terms of contracts – where business sale contract contemplated potential for principal of vendor to not commence or remain in purchaser’s employment and provided for restraints of trade on principal – where no reference to two year term of employment discussed after business sale contract entered into – where employment contract entered into after completion of sale contract permitted termination or resignation of vendor’s principal with one week’s notice – meaning of commercial documents determined by what reasonable person in position of parties would have understood them to mean – need for representation to be assessed with respect to particular individual rather than a class having regard to all of the circumstances</w:t>
            </w:r>
            <w:r w:rsidR="00FE43F8">
              <w:t xml:space="preserve"> </w:t>
            </w:r>
            <w:bookmarkEnd w:id="4"/>
          </w:p>
        </w:tc>
      </w:tr>
      <w:tr w:rsidR="00B226AF">
        <w:trPr>
          <w:gridAfter w:val="1"/>
          <w:wAfter w:w="25" w:type="dxa"/>
        </w:trPr>
        <w:tc>
          <w:tcPr>
            <w:tcW w:w="3085" w:type="dxa"/>
            <w:shd w:val="clear" w:color="auto" w:fill="auto"/>
          </w:tcPr>
          <w:p w:rsidR="00B226AF" w:rsidRDefault="00B226AF">
            <w:pPr>
              <w:pStyle w:val="Normal1linespace"/>
              <w:widowControl w:val="0"/>
            </w:pPr>
          </w:p>
        </w:tc>
        <w:tc>
          <w:tcPr>
            <w:tcW w:w="5954" w:type="dxa"/>
            <w:shd w:val="clear" w:color="auto" w:fill="auto"/>
          </w:tcPr>
          <w:p w:rsidR="00B226AF" w:rsidRDefault="00B226AF">
            <w:pPr>
              <w:pStyle w:val="Normal1linespace"/>
              <w:widowControl w:val="0"/>
              <w:jc w:val="left"/>
            </w:pPr>
          </w:p>
        </w:tc>
      </w:tr>
      <w:tr w:rsidR="00B226AF">
        <w:trPr>
          <w:gridAfter w:val="1"/>
          <w:wAfter w:w="25" w:type="dxa"/>
        </w:trPr>
        <w:tc>
          <w:tcPr>
            <w:tcW w:w="3085" w:type="dxa"/>
            <w:shd w:val="clear" w:color="auto" w:fill="auto"/>
          </w:tcPr>
          <w:p w:rsidR="00B226AF" w:rsidRDefault="00FE43F8">
            <w:pPr>
              <w:pStyle w:val="Normal1linespace"/>
              <w:widowControl w:val="0"/>
            </w:pPr>
            <w:r>
              <w:t>Cases cited:</w:t>
            </w:r>
          </w:p>
        </w:tc>
        <w:tc>
          <w:tcPr>
            <w:tcW w:w="5954" w:type="dxa"/>
            <w:shd w:val="clear" w:color="auto" w:fill="auto"/>
          </w:tcPr>
          <w:p w:rsidR="007F1F78" w:rsidRDefault="007F1F78" w:rsidP="007F1F78">
            <w:pPr>
              <w:pStyle w:val="Normal1linespace"/>
              <w:widowControl w:val="0"/>
              <w:jc w:val="left"/>
            </w:pPr>
            <w:bookmarkStart w:id="5" w:name="Cases_Cited"/>
            <w:r>
              <w:rPr>
                <w:i/>
              </w:rPr>
              <w:t xml:space="preserve">Pacific Carriers Ltd v </w:t>
            </w:r>
            <w:proofErr w:type="spellStart"/>
            <w:r>
              <w:rPr>
                <w:i/>
              </w:rPr>
              <w:t>BNP</w:t>
            </w:r>
            <w:proofErr w:type="spellEnd"/>
            <w:r>
              <w:rPr>
                <w:i/>
              </w:rPr>
              <w:t xml:space="preserve"> Paribas</w:t>
            </w:r>
            <w:r>
              <w:t xml:space="preserve"> (2004) 218 </w:t>
            </w:r>
            <w:proofErr w:type="spellStart"/>
            <w:r>
              <w:t>CLR</w:t>
            </w:r>
            <w:proofErr w:type="spellEnd"/>
            <w:r>
              <w:t xml:space="preserve"> 451 applied</w:t>
            </w:r>
          </w:p>
          <w:p w:rsidR="007F1F78" w:rsidRDefault="007F1F78" w:rsidP="007F1F78">
            <w:pPr>
              <w:pStyle w:val="Normal1linespace"/>
              <w:widowControl w:val="0"/>
              <w:jc w:val="left"/>
            </w:pPr>
            <w:proofErr w:type="spellStart"/>
            <w:r>
              <w:rPr>
                <w:i/>
              </w:rPr>
              <w:t>Campomar</w:t>
            </w:r>
            <w:proofErr w:type="spellEnd"/>
            <w:r>
              <w:rPr>
                <w:i/>
              </w:rPr>
              <w:t xml:space="preserve"> </w:t>
            </w:r>
            <w:proofErr w:type="spellStart"/>
            <w:r>
              <w:rPr>
                <w:i/>
              </w:rPr>
              <w:t>Sociedad</w:t>
            </w:r>
            <w:proofErr w:type="spellEnd"/>
            <w:r>
              <w:rPr>
                <w:i/>
              </w:rPr>
              <w:t xml:space="preserve">, </w:t>
            </w:r>
            <w:proofErr w:type="spellStart"/>
            <w:r>
              <w:rPr>
                <w:i/>
              </w:rPr>
              <w:t>Limitada</w:t>
            </w:r>
            <w:proofErr w:type="spellEnd"/>
            <w:r>
              <w:rPr>
                <w:i/>
              </w:rPr>
              <w:t xml:space="preserve"> v Nike International Ltd</w:t>
            </w:r>
            <w:r>
              <w:t xml:space="preserve"> (2000) 202 </w:t>
            </w:r>
            <w:proofErr w:type="spellStart"/>
            <w:r>
              <w:t>CLR</w:t>
            </w:r>
            <w:proofErr w:type="spellEnd"/>
            <w:r>
              <w:t xml:space="preserve"> 45 applied</w:t>
            </w:r>
          </w:p>
          <w:p w:rsidR="007F1F78" w:rsidRDefault="007F1F78" w:rsidP="007F1F78">
            <w:pPr>
              <w:pStyle w:val="Normal1linespace"/>
              <w:widowControl w:val="0"/>
              <w:jc w:val="left"/>
            </w:pPr>
            <w:r>
              <w:rPr>
                <w:i/>
              </w:rPr>
              <w:t>Butcher v Lachlan Elder Realty Pty Ltd</w:t>
            </w:r>
            <w:r>
              <w:t xml:space="preserve"> (2004) 218 </w:t>
            </w:r>
            <w:proofErr w:type="spellStart"/>
            <w:r>
              <w:t>CLR</w:t>
            </w:r>
            <w:proofErr w:type="spellEnd"/>
            <w:r>
              <w:t xml:space="preserve"> 592 applied</w:t>
            </w:r>
          </w:p>
          <w:p w:rsidR="007F1F78" w:rsidRDefault="007F1F78" w:rsidP="007F1F78">
            <w:pPr>
              <w:pStyle w:val="Normal1linespace"/>
              <w:widowControl w:val="0"/>
              <w:jc w:val="left"/>
            </w:pPr>
            <w:r>
              <w:rPr>
                <w:i/>
              </w:rPr>
              <w:lastRenderedPageBreak/>
              <w:t>Miller &amp; Associates Insurance Broking Pty Ltd v BMW Australia Finance Ltd</w:t>
            </w:r>
            <w:r>
              <w:t xml:space="preserve"> (2010) 241 </w:t>
            </w:r>
            <w:proofErr w:type="spellStart"/>
            <w:r>
              <w:t>CLR</w:t>
            </w:r>
            <w:proofErr w:type="spellEnd"/>
            <w:r>
              <w:t xml:space="preserve"> 357 applied</w:t>
            </w:r>
          </w:p>
          <w:p w:rsidR="007A3927" w:rsidRDefault="007F1F78" w:rsidP="007F1F78">
            <w:pPr>
              <w:pStyle w:val="Normal1linespace"/>
              <w:widowControl w:val="0"/>
              <w:jc w:val="left"/>
            </w:pPr>
            <w:r>
              <w:rPr>
                <w:i/>
              </w:rPr>
              <w:t xml:space="preserve">Parkdale Custom Built Furniture Pty Ltd v </w:t>
            </w:r>
            <w:proofErr w:type="spellStart"/>
            <w:r>
              <w:rPr>
                <w:i/>
              </w:rPr>
              <w:t>Puxu</w:t>
            </w:r>
            <w:proofErr w:type="spellEnd"/>
            <w:r>
              <w:rPr>
                <w:i/>
              </w:rPr>
              <w:t xml:space="preserve"> Pty Ltd</w:t>
            </w:r>
            <w:r>
              <w:t xml:space="preserve"> (1982) 149 </w:t>
            </w:r>
            <w:proofErr w:type="spellStart"/>
            <w:r>
              <w:t>CLR</w:t>
            </w:r>
            <w:proofErr w:type="spellEnd"/>
            <w:r>
              <w:t xml:space="preserve"> 191 </w:t>
            </w:r>
            <w:r w:rsidR="007A3927">
              <w:t>applied</w:t>
            </w:r>
          </w:p>
          <w:p w:rsidR="007A3927" w:rsidRDefault="007F1F78" w:rsidP="007F1F78">
            <w:pPr>
              <w:pStyle w:val="Normal1linespace"/>
              <w:widowControl w:val="0"/>
              <w:jc w:val="left"/>
            </w:pPr>
            <w:r>
              <w:rPr>
                <w:i/>
              </w:rPr>
              <w:t>Gates v The City Mutual Life Assurance Society Limited</w:t>
            </w:r>
            <w:r>
              <w:t xml:space="preserve"> (1986) 160 </w:t>
            </w:r>
            <w:proofErr w:type="spellStart"/>
            <w:r>
              <w:t>CLR</w:t>
            </w:r>
            <w:proofErr w:type="spellEnd"/>
            <w:r>
              <w:t xml:space="preserve"> 1 </w:t>
            </w:r>
            <w:r w:rsidR="007A3927">
              <w:t>applied</w:t>
            </w:r>
          </w:p>
          <w:p w:rsidR="007A3927" w:rsidRDefault="007F1F78" w:rsidP="007F1F78">
            <w:pPr>
              <w:pStyle w:val="Normal1linespace"/>
              <w:widowControl w:val="0"/>
              <w:jc w:val="left"/>
            </w:pPr>
            <w:r>
              <w:rPr>
                <w:i/>
              </w:rPr>
              <w:t>Catalano v Managing Australia Destinations Pty Ltd</w:t>
            </w:r>
            <w:r>
              <w:t xml:space="preserve"> [2014] </w:t>
            </w:r>
            <w:proofErr w:type="spellStart"/>
            <w:r>
              <w:t>FCAFC</w:t>
            </w:r>
            <w:proofErr w:type="spellEnd"/>
            <w:r>
              <w:t xml:space="preserve"> 55 </w:t>
            </w:r>
            <w:r w:rsidR="007A3927">
              <w:t>referred to</w:t>
            </w:r>
          </w:p>
          <w:p w:rsidR="00B226AF" w:rsidRDefault="007F1F78" w:rsidP="007F1F78">
            <w:pPr>
              <w:pStyle w:val="Normal1linespace"/>
              <w:widowControl w:val="0"/>
              <w:jc w:val="left"/>
            </w:pPr>
            <w:r>
              <w:rPr>
                <w:i/>
              </w:rPr>
              <w:t>Baltic Shipping Company v Dillon</w:t>
            </w:r>
            <w:r>
              <w:t xml:space="preserve"> (1993) 176 </w:t>
            </w:r>
            <w:proofErr w:type="spellStart"/>
            <w:r>
              <w:t>CLR</w:t>
            </w:r>
            <w:proofErr w:type="spellEnd"/>
            <w:r>
              <w:t xml:space="preserve"> 344</w:t>
            </w:r>
            <w:r w:rsidR="007A3927">
              <w:t xml:space="preserve"> applied</w:t>
            </w:r>
            <w:r>
              <w:t xml:space="preserve"> </w:t>
            </w:r>
            <w:bookmarkEnd w:id="5"/>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bookmarkStart w:id="6" w:name="CounselDate"/>
            <w:r>
              <w:t>Date of hearing:</w:t>
            </w:r>
          </w:p>
        </w:tc>
        <w:tc>
          <w:tcPr>
            <w:tcW w:w="5979" w:type="dxa"/>
            <w:gridSpan w:val="2"/>
            <w:shd w:val="clear" w:color="auto" w:fill="auto"/>
          </w:tcPr>
          <w:p w:rsidR="004C5470" w:rsidRDefault="004C5470" w:rsidP="004C5470">
            <w:pPr>
              <w:pStyle w:val="Normal1linespace"/>
              <w:jc w:val="left"/>
            </w:pPr>
            <w:bookmarkStart w:id="7" w:name="HearingDate"/>
            <w:r>
              <w:t>19 August 2014</w:t>
            </w:r>
            <w:bookmarkEnd w:id="7"/>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bookmarkEnd w:id="6"/>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Place:</w:t>
            </w:r>
          </w:p>
        </w:tc>
        <w:tc>
          <w:tcPr>
            <w:tcW w:w="5979" w:type="dxa"/>
            <w:gridSpan w:val="2"/>
            <w:shd w:val="clear" w:color="auto" w:fill="auto"/>
          </w:tcPr>
          <w:p w:rsidR="004C5470" w:rsidRDefault="00035418" w:rsidP="004C5470">
            <w:pPr>
              <w:pStyle w:val="Normal1linespace"/>
              <w:jc w:val="left"/>
            </w:pPr>
            <w:r>
              <w:fldChar w:fldCharType="begin"/>
            </w:r>
            <w:r>
              <w:instrText xml:space="preserve"> DOCVARIABLE  Place_SentenceCase  \* MERGEFORMAT </w:instrText>
            </w:r>
            <w:r>
              <w:fldChar w:fldCharType="separate"/>
            </w:r>
            <w:r w:rsidR="004C5470">
              <w:t>Brisbane</w:t>
            </w:r>
            <w:r>
              <w:fldChar w:fldCharType="end"/>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Division:</w:t>
            </w:r>
          </w:p>
        </w:tc>
        <w:tc>
          <w:tcPr>
            <w:tcW w:w="5979" w:type="dxa"/>
            <w:gridSpan w:val="2"/>
            <w:shd w:val="clear" w:color="auto" w:fill="auto"/>
          </w:tcPr>
          <w:p w:rsidR="004C5470" w:rsidRDefault="00035418" w:rsidP="004C5470">
            <w:pPr>
              <w:pStyle w:val="Normal1linespace"/>
              <w:jc w:val="left"/>
            </w:pPr>
            <w:r>
              <w:fldChar w:fldCharType="begin"/>
            </w:r>
            <w:r>
              <w:instrText xml:space="preserve"> REF  Division  \* MERGEFORMAT </w:instrText>
            </w:r>
            <w:r>
              <w:fldChar w:fldCharType="separate"/>
            </w:r>
            <w:r w:rsidR="00DD572F" w:rsidRPr="00DD572F">
              <w:t>GENERAL</w:t>
            </w:r>
            <w:r w:rsidR="00DD572F">
              <w:rPr>
                <w:caps/>
                <w:szCs w:val="24"/>
              </w:rPr>
              <w:t xml:space="preserve"> DIVISION</w:t>
            </w:r>
            <w:r>
              <w:rPr>
                <w:caps/>
                <w:szCs w:val="24"/>
              </w:rPr>
              <w:fldChar w:fldCharType="end"/>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Category:</w:t>
            </w:r>
          </w:p>
        </w:tc>
        <w:tc>
          <w:tcPr>
            <w:tcW w:w="5979" w:type="dxa"/>
            <w:gridSpan w:val="2"/>
            <w:shd w:val="clear" w:color="auto" w:fill="auto"/>
          </w:tcPr>
          <w:p w:rsidR="004C5470" w:rsidRDefault="00F95F37" w:rsidP="004C5470">
            <w:pPr>
              <w:pStyle w:val="Normal1linespace"/>
              <w:jc w:val="left"/>
            </w:pPr>
            <w:r>
              <w:t>Catchwords</w:t>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Number of paragraphs:</w:t>
            </w:r>
          </w:p>
        </w:tc>
        <w:tc>
          <w:tcPr>
            <w:tcW w:w="5979" w:type="dxa"/>
            <w:gridSpan w:val="2"/>
            <w:shd w:val="clear" w:color="auto" w:fill="auto"/>
          </w:tcPr>
          <w:p w:rsidR="004C5470" w:rsidRDefault="00F4595F" w:rsidP="004C5470">
            <w:pPr>
              <w:pStyle w:val="Normal1linespace"/>
              <w:jc w:val="left"/>
            </w:pPr>
            <w:bookmarkStart w:id="8" w:name="PlaceCategoryParagraphs"/>
            <w:r>
              <w:t>53</w:t>
            </w:r>
            <w:bookmarkEnd w:id="8"/>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bookmarkStart w:id="9" w:name="Counsel"/>
            <w:r>
              <w:t>Counsel for the Appellants:</w:t>
            </w:r>
          </w:p>
        </w:tc>
        <w:tc>
          <w:tcPr>
            <w:tcW w:w="5979" w:type="dxa"/>
            <w:gridSpan w:val="2"/>
            <w:shd w:val="clear" w:color="auto" w:fill="auto"/>
          </w:tcPr>
          <w:p w:rsidR="004C5470" w:rsidRDefault="00423896" w:rsidP="004C5470">
            <w:pPr>
              <w:pStyle w:val="Normal1linespace"/>
              <w:jc w:val="left"/>
            </w:pPr>
            <w:bookmarkStart w:id="10" w:name="AppCounsel"/>
            <w:bookmarkEnd w:id="10"/>
            <w:r>
              <w:t>Mr A Reilly</w:t>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Solicitor for the Appellants:</w:t>
            </w:r>
          </w:p>
        </w:tc>
        <w:tc>
          <w:tcPr>
            <w:tcW w:w="5979" w:type="dxa"/>
            <w:gridSpan w:val="2"/>
            <w:shd w:val="clear" w:color="auto" w:fill="auto"/>
          </w:tcPr>
          <w:p w:rsidR="004C5470" w:rsidRDefault="00423896" w:rsidP="004C5470">
            <w:pPr>
              <w:pStyle w:val="Normal1linespace"/>
              <w:jc w:val="left"/>
            </w:pPr>
            <w:r>
              <w:t>Harding Richards Lawyers</w:t>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Counsel for the Respondent:</w:t>
            </w:r>
          </w:p>
        </w:tc>
        <w:tc>
          <w:tcPr>
            <w:tcW w:w="5979" w:type="dxa"/>
            <w:gridSpan w:val="2"/>
            <w:shd w:val="clear" w:color="auto" w:fill="auto"/>
          </w:tcPr>
          <w:p w:rsidR="004C5470" w:rsidRDefault="00423896" w:rsidP="004C5470">
            <w:pPr>
              <w:pStyle w:val="Normal1linespace"/>
              <w:jc w:val="left"/>
            </w:pPr>
            <w:r>
              <w:t>Mr M Jones</w:t>
            </w: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p>
        </w:tc>
        <w:tc>
          <w:tcPr>
            <w:tcW w:w="5979" w:type="dxa"/>
            <w:gridSpan w:val="2"/>
            <w:shd w:val="clear" w:color="auto" w:fill="auto"/>
          </w:tcPr>
          <w:p w:rsidR="004C5470" w:rsidRDefault="004C5470" w:rsidP="004C5470">
            <w:pPr>
              <w:pStyle w:val="Normal1linespace"/>
              <w:jc w:val="left"/>
            </w:pPr>
          </w:p>
        </w:tc>
      </w:tr>
      <w:tr w:rsidR="004C5470" w:rsidRPr="001D7816" w:rsidTr="00423896">
        <w:tblPrEx>
          <w:tblCellSpacing w:w="8" w:type="dxa"/>
        </w:tblPrEx>
        <w:trPr>
          <w:tblCellSpacing w:w="8" w:type="dxa"/>
        </w:trPr>
        <w:tc>
          <w:tcPr>
            <w:tcW w:w="3085" w:type="dxa"/>
            <w:shd w:val="clear" w:color="auto" w:fill="auto"/>
          </w:tcPr>
          <w:p w:rsidR="004C5470" w:rsidRDefault="004C5470" w:rsidP="004C5470">
            <w:pPr>
              <w:pStyle w:val="Normal1linespace"/>
              <w:jc w:val="left"/>
            </w:pPr>
            <w:r>
              <w:t>Solicitor for the Respondent:</w:t>
            </w:r>
          </w:p>
        </w:tc>
        <w:tc>
          <w:tcPr>
            <w:tcW w:w="5979" w:type="dxa"/>
            <w:gridSpan w:val="2"/>
            <w:shd w:val="clear" w:color="auto" w:fill="auto"/>
          </w:tcPr>
          <w:p w:rsidR="004C5470" w:rsidRDefault="00423896" w:rsidP="004C5470">
            <w:pPr>
              <w:pStyle w:val="Normal1linespace"/>
              <w:jc w:val="left"/>
            </w:pPr>
            <w:proofErr w:type="spellStart"/>
            <w:r>
              <w:t>Toogoods</w:t>
            </w:r>
            <w:proofErr w:type="spellEnd"/>
            <w:r>
              <w:t xml:space="preserve"> Lawyers</w:t>
            </w:r>
          </w:p>
        </w:tc>
      </w:tr>
      <w:bookmarkEnd w:id="9"/>
    </w:tbl>
    <w:p w:rsidR="00B226AF" w:rsidRDefault="00B226AF">
      <w:pPr>
        <w:pStyle w:val="Normal1linespace"/>
      </w:pPr>
    </w:p>
    <w:p w:rsidR="00B226AF" w:rsidRDefault="00B226AF">
      <w:pPr>
        <w:pStyle w:val="Normal1linespace"/>
      </w:pPr>
    </w:p>
    <w:p w:rsidR="00B226AF" w:rsidRDefault="00B226AF">
      <w:pPr>
        <w:pStyle w:val="Normal1linespace"/>
        <w:sectPr w:rsidR="00B226AF">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226AF">
        <w:tc>
          <w:tcPr>
            <w:tcW w:w="6771" w:type="dxa"/>
          </w:tcPr>
          <w:p w:rsidR="00B226AF" w:rsidRDefault="00FE43F8">
            <w:pPr>
              <w:pStyle w:val="NormalHeadings"/>
              <w:spacing w:after="120"/>
              <w:jc w:val="left"/>
              <w:rPr>
                <w:caps/>
                <w:szCs w:val="24"/>
              </w:rPr>
            </w:pPr>
            <w:r>
              <w:rPr>
                <w:caps/>
                <w:szCs w:val="24"/>
              </w:rPr>
              <w:lastRenderedPageBreak/>
              <w:t>IN THE FEDERAL COURT OF AUSTRALIA</w:t>
            </w:r>
          </w:p>
        </w:tc>
        <w:tc>
          <w:tcPr>
            <w:tcW w:w="2471" w:type="dxa"/>
          </w:tcPr>
          <w:p w:rsidR="00B226AF" w:rsidRDefault="00B226AF">
            <w:pPr>
              <w:pStyle w:val="NormalHeadings"/>
              <w:jc w:val="left"/>
              <w:rPr>
                <w:caps/>
                <w:szCs w:val="24"/>
              </w:rPr>
            </w:pPr>
          </w:p>
        </w:tc>
      </w:tr>
      <w:tr w:rsidR="00B226AF">
        <w:tc>
          <w:tcPr>
            <w:tcW w:w="6771" w:type="dxa"/>
          </w:tcPr>
          <w:p w:rsidR="00B226AF" w:rsidRDefault="00D711D8">
            <w:pPr>
              <w:pStyle w:val="NormalHeadings"/>
              <w:spacing w:after="120"/>
              <w:jc w:val="left"/>
              <w:rPr>
                <w:caps/>
                <w:szCs w:val="24"/>
              </w:rPr>
            </w:pPr>
            <w:bookmarkStart w:id="11" w:name="State"/>
            <w:r>
              <w:rPr>
                <w:caps/>
                <w:szCs w:val="24"/>
              </w:rPr>
              <w:t>QUEENSLAND</w:t>
            </w:r>
            <w:bookmarkEnd w:id="11"/>
            <w:r w:rsidR="00FE43F8">
              <w:rPr>
                <w:caps/>
                <w:szCs w:val="24"/>
              </w:rPr>
              <w:t xml:space="preserve"> DISTRICT REGISTRY</w:t>
            </w:r>
          </w:p>
        </w:tc>
        <w:tc>
          <w:tcPr>
            <w:tcW w:w="2471" w:type="dxa"/>
          </w:tcPr>
          <w:p w:rsidR="00B226AF" w:rsidRDefault="00B226AF">
            <w:pPr>
              <w:pStyle w:val="NormalHeadings"/>
              <w:tabs>
                <w:tab w:val="right" w:pos="3609"/>
              </w:tabs>
              <w:jc w:val="right"/>
              <w:rPr>
                <w:szCs w:val="24"/>
              </w:rPr>
            </w:pPr>
          </w:p>
        </w:tc>
      </w:tr>
      <w:tr w:rsidR="00B226AF">
        <w:tc>
          <w:tcPr>
            <w:tcW w:w="6771" w:type="dxa"/>
          </w:tcPr>
          <w:p w:rsidR="00B226AF" w:rsidRDefault="00D711D8">
            <w:pPr>
              <w:pStyle w:val="NormalHeadings"/>
              <w:spacing w:after="120"/>
              <w:jc w:val="left"/>
              <w:rPr>
                <w:caps/>
                <w:szCs w:val="24"/>
              </w:rPr>
            </w:pPr>
            <w:bookmarkStart w:id="12" w:name="Division"/>
            <w:r>
              <w:rPr>
                <w:caps/>
                <w:szCs w:val="24"/>
              </w:rPr>
              <w:t>GENERAL DIVISION</w:t>
            </w:r>
            <w:bookmarkEnd w:id="12"/>
          </w:p>
        </w:tc>
        <w:tc>
          <w:tcPr>
            <w:tcW w:w="2471" w:type="dxa"/>
          </w:tcPr>
          <w:p w:rsidR="00B226AF" w:rsidRDefault="00D711D8">
            <w:pPr>
              <w:pStyle w:val="NormalHeadings"/>
              <w:tabs>
                <w:tab w:val="right" w:pos="3609"/>
              </w:tabs>
              <w:jc w:val="right"/>
              <w:rPr>
                <w:szCs w:val="24"/>
              </w:rPr>
            </w:pPr>
            <w:bookmarkStart w:id="13" w:name="Num"/>
            <w:proofErr w:type="spellStart"/>
            <w:r>
              <w:rPr>
                <w:szCs w:val="24"/>
              </w:rPr>
              <w:t>QUD</w:t>
            </w:r>
            <w:proofErr w:type="spellEnd"/>
            <w:r>
              <w:rPr>
                <w:szCs w:val="24"/>
              </w:rPr>
              <w:t xml:space="preserve"> 266 of 2014</w:t>
            </w:r>
            <w:bookmarkEnd w:id="13"/>
          </w:p>
        </w:tc>
      </w:tr>
    </w:tbl>
    <w:p w:rsidR="00B226AF" w:rsidRDefault="00B226AF">
      <w:pPr>
        <w:pStyle w:val="AppealTable"/>
        <w:rPr>
          <w:sz w:val="24"/>
        </w:rPr>
      </w:pPr>
    </w:p>
    <w:tbl>
      <w:tblPr>
        <w:tblW w:w="0" w:type="auto"/>
        <w:tblLook w:val="01E0" w:firstRow="1" w:lastRow="1" w:firstColumn="1" w:lastColumn="1" w:noHBand="0" w:noVBand="0"/>
      </w:tblPr>
      <w:tblGrid>
        <w:gridCol w:w="9243"/>
      </w:tblGrid>
      <w:tr w:rsidR="00D711D8" w:rsidRPr="00D711D8">
        <w:tc>
          <w:tcPr>
            <w:tcW w:w="9243" w:type="dxa"/>
            <w:shd w:val="clear" w:color="auto" w:fill="auto"/>
          </w:tcPr>
          <w:p w:rsidR="00D711D8" w:rsidRPr="00D711D8" w:rsidRDefault="00D711D8">
            <w:pPr>
              <w:pStyle w:val="AppealTable"/>
              <w:widowControl w:val="0"/>
              <w:spacing w:line="360" w:lineRule="auto"/>
              <w:jc w:val="both"/>
              <w:rPr>
                <w:caps w:val="0"/>
                <w:sz w:val="24"/>
                <w:szCs w:val="20"/>
                <w:lang w:eastAsia="en-AU"/>
              </w:rPr>
            </w:pPr>
            <w:bookmarkStart w:id="14" w:name="Appeal"/>
            <w:bookmarkStart w:id="15" w:name="AppealTable"/>
            <w:r w:rsidRPr="00D711D8">
              <w:rPr>
                <w:caps w:val="0"/>
                <w:sz w:val="24"/>
                <w:szCs w:val="20"/>
                <w:lang w:eastAsia="en-AU"/>
              </w:rPr>
              <w:t>ON APPEAL FROM THE FEDERAL CIRCUIT COURT OF AUSTRALIA</w:t>
            </w:r>
            <w:bookmarkEnd w:id="14"/>
          </w:p>
        </w:tc>
      </w:tr>
      <w:bookmarkEnd w:id="15"/>
    </w:tbl>
    <w:p w:rsidR="00D711D8" w:rsidRPr="00FE43F8" w:rsidRDefault="00D711D8">
      <w:pPr>
        <w:pStyle w:val="AppealTable"/>
        <w:rPr>
          <w:sz w:val="24"/>
        </w:rPr>
      </w:pPr>
    </w:p>
    <w:tbl>
      <w:tblPr>
        <w:tblW w:w="0" w:type="auto"/>
        <w:tblLayout w:type="fixed"/>
        <w:tblLook w:val="0000" w:firstRow="0" w:lastRow="0" w:firstColumn="0" w:lastColumn="0" w:noHBand="0" w:noVBand="0"/>
      </w:tblPr>
      <w:tblGrid>
        <w:gridCol w:w="2376"/>
        <w:gridCol w:w="6866"/>
      </w:tblGrid>
      <w:tr w:rsidR="00B226AF">
        <w:trPr>
          <w:trHeight w:val="386"/>
        </w:trPr>
        <w:tc>
          <w:tcPr>
            <w:tcW w:w="2376" w:type="dxa"/>
          </w:tcPr>
          <w:p w:rsidR="00B226AF" w:rsidRDefault="00FE43F8">
            <w:pPr>
              <w:pStyle w:val="NormalHeadings"/>
              <w:jc w:val="left"/>
              <w:rPr>
                <w:caps/>
                <w:szCs w:val="24"/>
              </w:rPr>
            </w:pPr>
            <w:bookmarkStart w:id="16" w:name="Parties"/>
            <w:r>
              <w:rPr>
                <w:caps/>
                <w:szCs w:val="24"/>
              </w:rPr>
              <w:t>BETWEEN:</w:t>
            </w:r>
          </w:p>
        </w:tc>
        <w:tc>
          <w:tcPr>
            <w:tcW w:w="6866" w:type="dxa"/>
          </w:tcPr>
          <w:p w:rsidR="00D711D8" w:rsidRDefault="00D711D8">
            <w:pPr>
              <w:pStyle w:val="NormalHeadings"/>
              <w:jc w:val="left"/>
              <w:rPr>
                <w:szCs w:val="24"/>
              </w:rPr>
            </w:pPr>
            <w:bookmarkStart w:id="17" w:name="Applicant"/>
            <w:r>
              <w:rPr>
                <w:szCs w:val="24"/>
              </w:rPr>
              <w:t>BRYAN REINHARDT</w:t>
            </w:r>
          </w:p>
          <w:p w:rsidR="00D711D8" w:rsidRDefault="00D711D8">
            <w:pPr>
              <w:pStyle w:val="NormalHeadings"/>
              <w:jc w:val="left"/>
              <w:rPr>
                <w:szCs w:val="24"/>
              </w:rPr>
            </w:pPr>
            <w:r>
              <w:rPr>
                <w:szCs w:val="24"/>
              </w:rPr>
              <w:t>First Appellant</w:t>
            </w:r>
          </w:p>
          <w:p w:rsidR="00D711D8" w:rsidRDefault="00D711D8">
            <w:pPr>
              <w:pStyle w:val="NormalHeadings"/>
              <w:jc w:val="left"/>
              <w:rPr>
                <w:szCs w:val="24"/>
              </w:rPr>
            </w:pPr>
          </w:p>
          <w:p w:rsidR="00D711D8" w:rsidRDefault="00D711D8">
            <w:pPr>
              <w:pStyle w:val="NormalHeadings"/>
              <w:jc w:val="left"/>
              <w:rPr>
                <w:szCs w:val="24"/>
              </w:rPr>
            </w:pPr>
            <w:r>
              <w:rPr>
                <w:szCs w:val="24"/>
              </w:rPr>
              <w:t xml:space="preserve">REINHARDT PTY LTD </w:t>
            </w:r>
            <w:proofErr w:type="spellStart"/>
            <w:r>
              <w:rPr>
                <w:szCs w:val="24"/>
              </w:rPr>
              <w:t>ACN</w:t>
            </w:r>
            <w:proofErr w:type="spellEnd"/>
            <w:r>
              <w:rPr>
                <w:szCs w:val="24"/>
              </w:rPr>
              <w:t xml:space="preserve"> 096 681 060 AS TRUSTEE FOR THE REINHARDT FAMILY TRUST</w:t>
            </w:r>
          </w:p>
          <w:p w:rsidR="00D711D8" w:rsidRDefault="00D711D8">
            <w:pPr>
              <w:pStyle w:val="NormalHeadings"/>
              <w:jc w:val="left"/>
              <w:rPr>
                <w:szCs w:val="24"/>
              </w:rPr>
            </w:pPr>
            <w:r>
              <w:rPr>
                <w:szCs w:val="24"/>
              </w:rPr>
              <w:t>Second Appellant</w:t>
            </w:r>
          </w:p>
          <w:bookmarkEnd w:id="17"/>
          <w:p w:rsidR="00B226AF" w:rsidRDefault="00B226AF">
            <w:pPr>
              <w:pStyle w:val="NormalHeadings"/>
              <w:jc w:val="left"/>
              <w:rPr>
                <w:szCs w:val="24"/>
              </w:rPr>
            </w:pPr>
          </w:p>
        </w:tc>
      </w:tr>
      <w:tr w:rsidR="00B226AF">
        <w:trPr>
          <w:trHeight w:val="386"/>
        </w:trPr>
        <w:tc>
          <w:tcPr>
            <w:tcW w:w="2376" w:type="dxa"/>
          </w:tcPr>
          <w:p w:rsidR="00B226AF" w:rsidRDefault="00FE43F8">
            <w:pPr>
              <w:pStyle w:val="NormalHeadings"/>
              <w:jc w:val="left"/>
              <w:rPr>
                <w:caps/>
                <w:szCs w:val="24"/>
              </w:rPr>
            </w:pPr>
            <w:r>
              <w:rPr>
                <w:caps/>
                <w:szCs w:val="24"/>
              </w:rPr>
              <w:t>AND:</w:t>
            </w:r>
          </w:p>
        </w:tc>
        <w:tc>
          <w:tcPr>
            <w:tcW w:w="6866" w:type="dxa"/>
          </w:tcPr>
          <w:p w:rsidR="00D711D8" w:rsidRDefault="00D711D8">
            <w:pPr>
              <w:pStyle w:val="NormalHeadings"/>
              <w:jc w:val="left"/>
              <w:rPr>
                <w:szCs w:val="24"/>
              </w:rPr>
            </w:pPr>
            <w:bookmarkStart w:id="18" w:name="Respondent"/>
            <w:r>
              <w:rPr>
                <w:szCs w:val="24"/>
              </w:rPr>
              <w:t xml:space="preserve">MILL ESTATE HOLDINGS PTY LTD </w:t>
            </w:r>
            <w:proofErr w:type="spellStart"/>
            <w:r>
              <w:rPr>
                <w:szCs w:val="24"/>
              </w:rPr>
              <w:t>ACN</w:t>
            </w:r>
            <w:proofErr w:type="spellEnd"/>
            <w:r>
              <w:rPr>
                <w:szCs w:val="24"/>
              </w:rPr>
              <w:t xml:space="preserve"> 119 975 505</w:t>
            </w:r>
          </w:p>
          <w:p w:rsidR="00D711D8" w:rsidRDefault="00D711D8">
            <w:pPr>
              <w:pStyle w:val="NormalHeadings"/>
              <w:jc w:val="left"/>
              <w:rPr>
                <w:szCs w:val="24"/>
              </w:rPr>
            </w:pPr>
            <w:r>
              <w:rPr>
                <w:szCs w:val="24"/>
              </w:rPr>
              <w:t>Respondent</w:t>
            </w:r>
          </w:p>
          <w:bookmarkEnd w:id="18"/>
          <w:p w:rsidR="00B226AF" w:rsidRDefault="00B226AF">
            <w:pPr>
              <w:pStyle w:val="NormalHeadings"/>
              <w:jc w:val="left"/>
              <w:rPr>
                <w:szCs w:val="24"/>
              </w:rPr>
            </w:pPr>
          </w:p>
        </w:tc>
      </w:tr>
      <w:bookmarkEnd w:id="16"/>
    </w:tbl>
    <w:p w:rsidR="00B226AF" w:rsidRDefault="00B226AF">
      <w:pPr>
        <w:pStyle w:val="NormalHeadings"/>
      </w:pPr>
    </w:p>
    <w:tbl>
      <w:tblPr>
        <w:tblW w:w="0" w:type="auto"/>
        <w:tblLayout w:type="fixed"/>
        <w:tblLook w:val="0000" w:firstRow="0" w:lastRow="0" w:firstColumn="0" w:lastColumn="0" w:noHBand="0" w:noVBand="0"/>
      </w:tblPr>
      <w:tblGrid>
        <w:gridCol w:w="2376"/>
        <w:gridCol w:w="6866"/>
      </w:tblGrid>
      <w:tr w:rsidR="00B226AF">
        <w:tc>
          <w:tcPr>
            <w:tcW w:w="2376" w:type="dxa"/>
          </w:tcPr>
          <w:p w:rsidR="00B226AF" w:rsidRDefault="00D711D8">
            <w:pPr>
              <w:pStyle w:val="NormalHeadings"/>
              <w:spacing w:after="120"/>
              <w:jc w:val="left"/>
              <w:rPr>
                <w:caps/>
                <w:szCs w:val="24"/>
              </w:rPr>
            </w:pPr>
            <w:bookmarkStart w:id="19" w:name="JudgeText"/>
            <w:r>
              <w:rPr>
                <w:caps/>
                <w:szCs w:val="24"/>
              </w:rPr>
              <w:t>JUDGE</w:t>
            </w:r>
            <w:bookmarkEnd w:id="19"/>
            <w:r w:rsidR="00FE43F8">
              <w:rPr>
                <w:caps/>
                <w:szCs w:val="24"/>
              </w:rPr>
              <w:t>:</w:t>
            </w:r>
          </w:p>
        </w:tc>
        <w:tc>
          <w:tcPr>
            <w:tcW w:w="6866" w:type="dxa"/>
          </w:tcPr>
          <w:p w:rsidR="00B226AF" w:rsidRDefault="004C5470">
            <w:pPr>
              <w:pStyle w:val="NormalHeadings"/>
              <w:jc w:val="left"/>
              <w:rPr>
                <w:caps/>
                <w:szCs w:val="24"/>
              </w:rPr>
            </w:pPr>
            <w:bookmarkStart w:id="20" w:name="Judge"/>
            <w:r>
              <w:rPr>
                <w:caps/>
                <w:szCs w:val="24"/>
              </w:rPr>
              <w:t>RARES J</w:t>
            </w:r>
            <w:bookmarkEnd w:id="20"/>
          </w:p>
        </w:tc>
      </w:tr>
      <w:tr w:rsidR="00B226AF">
        <w:tc>
          <w:tcPr>
            <w:tcW w:w="2376" w:type="dxa"/>
          </w:tcPr>
          <w:p w:rsidR="00B226AF" w:rsidRDefault="00FE43F8">
            <w:pPr>
              <w:pStyle w:val="NormalHeadings"/>
              <w:spacing w:after="120"/>
              <w:jc w:val="left"/>
              <w:rPr>
                <w:caps/>
                <w:szCs w:val="24"/>
              </w:rPr>
            </w:pPr>
            <w:r>
              <w:rPr>
                <w:caps/>
                <w:szCs w:val="24"/>
              </w:rPr>
              <w:t>DATE OF ORDER:</w:t>
            </w:r>
          </w:p>
        </w:tc>
        <w:tc>
          <w:tcPr>
            <w:tcW w:w="6866" w:type="dxa"/>
          </w:tcPr>
          <w:p w:rsidR="00B226AF" w:rsidRDefault="00D711D8">
            <w:pPr>
              <w:pStyle w:val="NormalHeadings"/>
              <w:jc w:val="left"/>
              <w:rPr>
                <w:caps/>
                <w:szCs w:val="24"/>
              </w:rPr>
            </w:pPr>
            <w:bookmarkStart w:id="21" w:name="Judgment_Dated"/>
            <w:r>
              <w:rPr>
                <w:caps/>
                <w:szCs w:val="24"/>
              </w:rPr>
              <w:t>19 AUGUST 2014</w:t>
            </w:r>
            <w:bookmarkEnd w:id="21"/>
          </w:p>
        </w:tc>
      </w:tr>
      <w:tr w:rsidR="00B226AF">
        <w:tc>
          <w:tcPr>
            <w:tcW w:w="2376" w:type="dxa"/>
          </w:tcPr>
          <w:p w:rsidR="00B226AF" w:rsidRDefault="00FE43F8">
            <w:pPr>
              <w:pStyle w:val="NormalHeadings"/>
              <w:spacing w:after="120"/>
              <w:jc w:val="left"/>
              <w:rPr>
                <w:caps/>
                <w:szCs w:val="24"/>
              </w:rPr>
            </w:pPr>
            <w:r>
              <w:rPr>
                <w:caps/>
                <w:szCs w:val="24"/>
              </w:rPr>
              <w:t>WHERE MADE:</w:t>
            </w:r>
          </w:p>
        </w:tc>
        <w:tc>
          <w:tcPr>
            <w:tcW w:w="6866" w:type="dxa"/>
          </w:tcPr>
          <w:p w:rsidR="00B226AF" w:rsidRDefault="00D711D8">
            <w:pPr>
              <w:pStyle w:val="NormalHeadings"/>
              <w:jc w:val="left"/>
              <w:rPr>
                <w:caps/>
                <w:szCs w:val="24"/>
              </w:rPr>
            </w:pPr>
            <w:bookmarkStart w:id="22" w:name="Place"/>
            <w:r>
              <w:rPr>
                <w:caps/>
                <w:szCs w:val="24"/>
              </w:rPr>
              <w:t>BRISBANE</w:t>
            </w:r>
            <w:bookmarkEnd w:id="22"/>
          </w:p>
        </w:tc>
      </w:tr>
    </w:tbl>
    <w:p w:rsidR="00B226AF" w:rsidRDefault="00B226AF">
      <w:pPr>
        <w:pStyle w:val="NormalHeadings"/>
        <w:rPr>
          <w:b w:val="0"/>
        </w:rPr>
      </w:pPr>
    </w:p>
    <w:p w:rsidR="00B226AF" w:rsidRDefault="00FE43F8">
      <w:pPr>
        <w:pStyle w:val="NormalHeadings"/>
      </w:pPr>
      <w:r>
        <w:t>THE COURT ORDERS THAT:</w:t>
      </w:r>
    </w:p>
    <w:p w:rsidR="00B226AF" w:rsidRDefault="00B226AF">
      <w:pPr>
        <w:pStyle w:val="NormalHeadings"/>
      </w:pPr>
    </w:p>
    <w:p w:rsidR="009F7EB0" w:rsidRDefault="009F7EB0" w:rsidP="009F7EB0">
      <w:pPr>
        <w:numPr>
          <w:ilvl w:val="0"/>
          <w:numId w:val="2"/>
        </w:numPr>
        <w:spacing w:before="60" w:after="60"/>
      </w:pPr>
      <w:bookmarkStart w:id="23" w:name="Order_Start_Text"/>
      <w:r>
        <w:t>The appeal be allowed.</w:t>
      </w:r>
    </w:p>
    <w:p w:rsidR="009F7EB0" w:rsidRDefault="009F7EB0" w:rsidP="009F7EB0">
      <w:pPr>
        <w:numPr>
          <w:ilvl w:val="0"/>
          <w:numId w:val="2"/>
        </w:numPr>
        <w:spacing w:before="60" w:after="60"/>
      </w:pPr>
      <w:r>
        <w:t>Orders 1 and 3 made by the Federal Circuit Court of Australia on 21 May 2014 be set aside, and in lieu thereof it be ordered that:</w:t>
      </w:r>
    </w:p>
    <w:p w:rsidR="009F7EB0" w:rsidRDefault="009F7EB0" w:rsidP="009F7EB0">
      <w:pPr>
        <w:spacing w:before="60" w:after="60"/>
        <w:ind w:left="709" w:firstLine="11"/>
      </w:pPr>
      <w:r>
        <w:t>1.</w:t>
      </w:r>
      <w:r>
        <w:tab/>
        <w:t>the respondents pay the applicant $2065;</w:t>
      </w:r>
    </w:p>
    <w:p w:rsidR="009F7EB0" w:rsidRDefault="009F7EB0" w:rsidP="009F7EB0">
      <w:pPr>
        <w:spacing w:before="60" w:after="60"/>
        <w:ind w:left="720"/>
      </w:pPr>
      <w:r>
        <w:t>2.</w:t>
      </w:r>
      <w:r>
        <w:tab/>
        <w:t>there be no order as to costs.</w:t>
      </w:r>
    </w:p>
    <w:p w:rsidR="009F7EB0" w:rsidRDefault="009F7EB0" w:rsidP="009F7EB0">
      <w:pPr>
        <w:numPr>
          <w:ilvl w:val="0"/>
          <w:numId w:val="2"/>
        </w:numPr>
        <w:spacing w:before="60" w:after="60"/>
      </w:pPr>
      <w:r>
        <w:t>There be no order as to costs of the appeal.</w:t>
      </w:r>
    </w:p>
    <w:bookmarkEnd w:id="23"/>
    <w:p w:rsidR="00B226AF" w:rsidRDefault="00B226AF" w:rsidP="009F7EB0">
      <w:pPr>
        <w:spacing w:before="60" w:after="60"/>
      </w:pPr>
    </w:p>
    <w:p w:rsidR="00B226AF" w:rsidRDefault="00B226AF">
      <w:pPr>
        <w:spacing w:before="60" w:after="60"/>
      </w:pPr>
    </w:p>
    <w:p w:rsidR="00B226AF" w:rsidRDefault="00B226AF">
      <w:pPr>
        <w:spacing w:before="60" w:after="60"/>
      </w:pPr>
    </w:p>
    <w:p w:rsidR="00D711D8" w:rsidRDefault="00D711D8">
      <w:pPr>
        <w:spacing w:before="60" w:after="60"/>
      </w:pPr>
    </w:p>
    <w:p w:rsidR="00D711D8" w:rsidRDefault="00D711D8">
      <w:pPr>
        <w:spacing w:before="60" w:after="60"/>
      </w:pPr>
    </w:p>
    <w:p w:rsidR="00D711D8" w:rsidRDefault="00D711D8">
      <w:pPr>
        <w:spacing w:before="60" w:after="60"/>
      </w:pPr>
    </w:p>
    <w:p w:rsidR="00B226AF" w:rsidRDefault="00FE43F8">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B226AF" w:rsidRDefault="00B226AF"/>
    <w:p w:rsidR="00B226AF" w:rsidRDefault="00B226AF">
      <w:pPr>
        <w:pStyle w:val="NormalHeadings"/>
        <w:spacing w:before="240" w:after="120"/>
        <w:rPr>
          <w:b w:val="0"/>
        </w:rPr>
        <w:sectPr w:rsidR="00B226AF">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B226AF">
        <w:tc>
          <w:tcPr>
            <w:tcW w:w="6771" w:type="dxa"/>
          </w:tcPr>
          <w:p w:rsidR="00B226AF" w:rsidRDefault="00FE43F8">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B226AF" w:rsidRDefault="00B226AF">
            <w:pPr>
              <w:pStyle w:val="NormalHeadings"/>
            </w:pPr>
          </w:p>
        </w:tc>
      </w:tr>
      <w:tr w:rsidR="00B226AF">
        <w:tc>
          <w:tcPr>
            <w:tcW w:w="6771" w:type="dxa"/>
          </w:tcPr>
          <w:p w:rsidR="00B226AF" w:rsidRDefault="00FE43F8">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D711D8">
              <w:rPr>
                <w:caps/>
                <w:szCs w:val="24"/>
              </w:rPr>
              <w:t>QUEENSLAND</w:t>
            </w:r>
            <w:r>
              <w:rPr>
                <w:caps/>
                <w:szCs w:val="24"/>
              </w:rPr>
              <w:fldChar w:fldCharType="end"/>
            </w:r>
            <w:r>
              <w:rPr>
                <w:caps/>
                <w:szCs w:val="24"/>
              </w:rPr>
              <w:t xml:space="preserve"> DISTRICT REGISTRY</w:t>
            </w:r>
          </w:p>
        </w:tc>
        <w:tc>
          <w:tcPr>
            <w:tcW w:w="2471" w:type="dxa"/>
          </w:tcPr>
          <w:p w:rsidR="00B226AF" w:rsidRDefault="00B226AF">
            <w:pPr>
              <w:pStyle w:val="NormalHeadings"/>
              <w:tabs>
                <w:tab w:val="right" w:pos="3609"/>
              </w:tabs>
              <w:jc w:val="right"/>
              <w:rPr>
                <w:caps/>
                <w:szCs w:val="24"/>
              </w:rPr>
            </w:pPr>
          </w:p>
        </w:tc>
      </w:tr>
      <w:tr w:rsidR="00B226AF">
        <w:tc>
          <w:tcPr>
            <w:tcW w:w="6771" w:type="dxa"/>
          </w:tcPr>
          <w:p w:rsidR="00B226AF" w:rsidRDefault="00FE43F8">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D711D8">
              <w:rPr>
                <w:caps/>
                <w:szCs w:val="24"/>
              </w:rPr>
              <w:t>GENERAL DIVISION</w:t>
            </w:r>
            <w:r>
              <w:rPr>
                <w:caps/>
                <w:szCs w:val="24"/>
              </w:rPr>
              <w:fldChar w:fldCharType="end"/>
            </w:r>
          </w:p>
        </w:tc>
        <w:tc>
          <w:tcPr>
            <w:tcW w:w="2471" w:type="dxa"/>
          </w:tcPr>
          <w:p w:rsidR="00B226AF" w:rsidRDefault="00FE43F8">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D711D8" w:rsidRPr="00D711D8">
              <w:rPr>
                <w:caps/>
                <w:szCs w:val="24"/>
              </w:rPr>
              <w:t>QUD</w:t>
            </w:r>
            <w:proofErr w:type="spellEnd"/>
            <w:r w:rsidR="00D711D8">
              <w:rPr>
                <w:szCs w:val="24"/>
              </w:rPr>
              <w:t xml:space="preserve"> 266 of 2014</w:t>
            </w:r>
            <w:r>
              <w:rPr>
                <w:caps/>
                <w:szCs w:val="24"/>
              </w:rPr>
              <w:fldChar w:fldCharType="end"/>
            </w:r>
          </w:p>
        </w:tc>
      </w:tr>
    </w:tbl>
    <w:p w:rsidR="00D711D8" w:rsidRPr="00D711D8" w:rsidRDefault="00670EC4">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D711D8" w:rsidRPr="00D711D8">
        <w:tc>
          <w:tcPr>
            <w:tcW w:w="9243" w:type="dxa"/>
            <w:shd w:val="clear" w:color="auto" w:fill="auto"/>
          </w:tcPr>
          <w:p w:rsidR="00D711D8" w:rsidRPr="00D711D8" w:rsidRDefault="00D711D8">
            <w:pPr>
              <w:pStyle w:val="AppealTable"/>
              <w:widowControl w:val="0"/>
              <w:spacing w:line="360" w:lineRule="auto"/>
              <w:jc w:val="both"/>
              <w:rPr>
                <w:caps w:val="0"/>
                <w:sz w:val="24"/>
                <w:szCs w:val="20"/>
                <w:lang w:eastAsia="en-AU"/>
              </w:rPr>
            </w:pPr>
            <w:r w:rsidRPr="00D711D8">
              <w:rPr>
                <w:caps w:val="0"/>
                <w:sz w:val="24"/>
                <w:szCs w:val="20"/>
                <w:lang w:eastAsia="en-AU"/>
              </w:rPr>
              <w:t>ON APPEAL FROM THE FEDERAL CIRCUIT COURT OF AUSTRALIA</w:t>
            </w:r>
          </w:p>
        </w:tc>
      </w:tr>
    </w:tbl>
    <w:p w:rsidR="00B226AF" w:rsidRDefault="00670EC4">
      <w:pPr>
        <w:pStyle w:val="AppealTable"/>
      </w:pPr>
      <w:r>
        <w:rPr>
          <w:sz w:val="24"/>
        </w:rPr>
        <w:fldChar w:fldCharType="end"/>
      </w:r>
    </w:p>
    <w:tbl>
      <w:tblPr>
        <w:tblW w:w="0" w:type="auto"/>
        <w:tblLayout w:type="fixed"/>
        <w:tblLook w:val="0000" w:firstRow="0" w:lastRow="0" w:firstColumn="0" w:lastColumn="0" w:noHBand="0" w:noVBand="0"/>
      </w:tblPr>
      <w:tblGrid>
        <w:gridCol w:w="2376"/>
        <w:gridCol w:w="6866"/>
      </w:tblGrid>
      <w:tr w:rsidR="00B226AF">
        <w:trPr>
          <w:trHeight w:val="386"/>
        </w:trPr>
        <w:tc>
          <w:tcPr>
            <w:tcW w:w="2376" w:type="dxa"/>
          </w:tcPr>
          <w:p w:rsidR="00B226AF" w:rsidRDefault="00FE43F8">
            <w:pPr>
              <w:pStyle w:val="NormalHeadings"/>
              <w:jc w:val="left"/>
              <w:rPr>
                <w:caps/>
                <w:szCs w:val="24"/>
              </w:rPr>
            </w:pPr>
            <w:r>
              <w:rPr>
                <w:caps/>
                <w:szCs w:val="24"/>
              </w:rPr>
              <w:t>BETWEEN:</w:t>
            </w:r>
          </w:p>
        </w:tc>
        <w:tc>
          <w:tcPr>
            <w:tcW w:w="6866" w:type="dxa"/>
          </w:tcPr>
          <w:p w:rsidR="00D711D8" w:rsidRDefault="00FE43F8">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D711D8" w:rsidRPr="00D711D8">
              <w:rPr>
                <w:caps/>
                <w:szCs w:val="24"/>
              </w:rPr>
              <w:t>BRYAN</w:t>
            </w:r>
            <w:r w:rsidR="00D711D8">
              <w:rPr>
                <w:szCs w:val="24"/>
              </w:rPr>
              <w:t xml:space="preserve"> REINHARDT</w:t>
            </w:r>
          </w:p>
          <w:p w:rsidR="00D711D8" w:rsidRDefault="00D711D8">
            <w:pPr>
              <w:pStyle w:val="NormalHeadings"/>
              <w:jc w:val="left"/>
              <w:rPr>
                <w:szCs w:val="24"/>
              </w:rPr>
            </w:pPr>
            <w:r>
              <w:rPr>
                <w:szCs w:val="24"/>
              </w:rPr>
              <w:t>First Appellant</w:t>
            </w:r>
          </w:p>
          <w:p w:rsidR="00D711D8" w:rsidRDefault="00D711D8">
            <w:pPr>
              <w:pStyle w:val="NormalHeadings"/>
              <w:jc w:val="left"/>
              <w:rPr>
                <w:szCs w:val="24"/>
              </w:rPr>
            </w:pPr>
          </w:p>
          <w:p w:rsidR="00D711D8" w:rsidRDefault="00D711D8">
            <w:pPr>
              <w:pStyle w:val="NormalHeadings"/>
              <w:jc w:val="left"/>
              <w:rPr>
                <w:szCs w:val="24"/>
              </w:rPr>
            </w:pPr>
            <w:r>
              <w:rPr>
                <w:szCs w:val="24"/>
              </w:rPr>
              <w:t xml:space="preserve">REINHARDT PTY LTD </w:t>
            </w:r>
            <w:proofErr w:type="spellStart"/>
            <w:r>
              <w:rPr>
                <w:szCs w:val="24"/>
              </w:rPr>
              <w:t>ACN</w:t>
            </w:r>
            <w:proofErr w:type="spellEnd"/>
            <w:r>
              <w:rPr>
                <w:szCs w:val="24"/>
              </w:rPr>
              <w:t xml:space="preserve"> 096 681 060 AS TRUSTEE FOR THE REINHARDT FAMILY TRUST</w:t>
            </w:r>
          </w:p>
          <w:p w:rsidR="00D711D8" w:rsidRDefault="00D711D8">
            <w:pPr>
              <w:pStyle w:val="NormalHeadings"/>
              <w:jc w:val="left"/>
              <w:rPr>
                <w:szCs w:val="24"/>
              </w:rPr>
            </w:pPr>
            <w:r>
              <w:rPr>
                <w:szCs w:val="24"/>
              </w:rPr>
              <w:t>Second Appellant</w:t>
            </w:r>
          </w:p>
          <w:p w:rsidR="00B226AF" w:rsidRDefault="00FE43F8">
            <w:pPr>
              <w:pStyle w:val="NormalHeadings"/>
              <w:jc w:val="left"/>
              <w:rPr>
                <w:caps/>
                <w:szCs w:val="24"/>
              </w:rPr>
            </w:pPr>
            <w:r>
              <w:rPr>
                <w:caps/>
                <w:szCs w:val="24"/>
              </w:rPr>
              <w:fldChar w:fldCharType="end"/>
            </w:r>
          </w:p>
        </w:tc>
      </w:tr>
      <w:tr w:rsidR="00B226AF">
        <w:trPr>
          <w:trHeight w:val="386"/>
        </w:trPr>
        <w:tc>
          <w:tcPr>
            <w:tcW w:w="2376" w:type="dxa"/>
          </w:tcPr>
          <w:p w:rsidR="00B226AF" w:rsidRDefault="00FE43F8">
            <w:pPr>
              <w:pStyle w:val="NormalHeadings"/>
              <w:jc w:val="left"/>
              <w:rPr>
                <w:caps/>
                <w:szCs w:val="24"/>
              </w:rPr>
            </w:pPr>
            <w:r>
              <w:rPr>
                <w:caps/>
                <w:szCs w:val="24"/>
              </w:rPr>
              <w:t>AND:</w:t>
            </w:r>
          </w:p>
        </w:tc>
        <w:tc>
          <w:tcPr>
            <w:tcW w:w="6866" w:type="dxa"/>
          </w:tcPr>
          <w:p w:rsidR="00D711D8" w:rsidRDefault="00FE43F8">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D711D8" w:rsidRPr="00D711D8">
              <w:rPr>
                <w:caps/>
                <w:szCs w:val="24"/>
              </w:rPr>
              <w:t>MILL</w:t>
            </w:r>
            <w:r w:rsidR="00D711D8">
              <w:rPr>
                <w:szCs w:val="24"/>
              </w:rPr>
              <w:t xml:space="preserve"> ESTATE HOLDINGS PTY LTD </w:t>
            </w:r>
            <w:proofErr w:type="spellStart"/>
            <w:r w:rsidR="00D711D8">
              <w:rPr>
                <w:szCs w:val="24"/>
              </w:rPr>
              <w:t>ACN</w:t>
            </w:r>
            <w:proofErr w:type="spellEnd"/>
            <w:r w:rsidR="00D711D8">
              <w:rPr>
                <w:szCs w:val="24"/>
              </w:rPr>
              <w:t xml:space="preserve"> 119 975 505</w:t>
            </w:r>
          </w:p>
          <w:p w:rsidR="00D711D8" w:rsidRDefault="00D711D8">
            <w:pPr>
              <w:pStyle w:val="NormalHeadings"/>
              <w:jc w:val="left"/>
              <w:rPr>
                <w:szCs w:val="24"/>
              </w:rPr>
            </w:pPr>
            <w:r>
              <w:rPr>
                <w:szCs w:val="24"/>
              </w:rPr>
              <w:t>Respondent</w:t>
            </w:r>
          </w:p>
          <w:p w:rsidR="00B226AF" w:rsidRDefault="00FE43F8">
            <w:pPr>
              <w:pStyle w:val="NormalHeadings"/>
              <w:jc w:val="left"/>
              <w:rPr>
                <w:caps/>
                <w:szCs w:val="24"/>
              </w:rPr>
            </w:pPr>
            <w:r>
              <w:rPr>
                <w:caps/>
                <w:szCs w:val="24"/>
              </w:rPr>
              <w:fldChar w:fldCharType="end"/>
            </w:r>
          </w:p>
        </w:tc>
      </w:tr>
    </w:tbl>
    <w:p w:rsidR="00B226AF" w:rsidRDefault="00B226AF">
      <w:pPr>
        <w:pStyle w:val="NormalHeadings"/>
      </w:pPr>
    </w:p>
    <w:tbl>
      <w:tblPr>
        <w:tblW w:w="0" w:type="auto"/>
        <w:tblLayout w:type="fixed"/>
        <w:tblLook w:val="0000" w:firstRow="0" w:lastRow="0" w:firstColumn="0" w:lastColumn="0" w:noHBand="0" w:noVBand="0"/>
      </w:tblPr>
      <w:tblGrid>
        <w:gridCol w:w="2376"/>
        <w:gridCol w:w="6866"/>
      </w:tblGrid>
      <w:tr w:rsidR="00B226AF">
        <w:tc>
          <w:tcPr>
            <w:tcW w:w="2376" w:type="dxa"/>
          </w:tcPr>
          <w:p w:rsidR="00B226AF" w:rsidRDefault="00FE43F8">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D711D8">
              <w:rPr>
                <w:caps/>
                <w:szCs w:val="24"/>
              </w:rPr>
              <w:t>JUDGE</w:t>
            </w:r>
            <w:r>
              <w:rPr>
                <w:caps/>
                <w:szCs w:val="24"/>
              </w:rPr>
              <w:fldChar w:fldCharType="end"/>
            </w:r>
            <w:r>
              <w:rPr>
                <w:caps/>
                <w:szCs w:val="24"/>
              </w:rPr>
              <w:t>:</w:t>
            </w:r>
          </w:p>
        </w:tc>
        <w:tc>
          <w:tcPr>
            <w:tcW w:w="6866" w:type="dxa"/>
          </w:tcPr>
          <w:p w:rsidR="00B226AF" w:rsidRDefault="00FE43F8">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D711D8">
              <w:rPr>
                <w:caps/>
                <w:szCs w:val="24"/>
              </w:rPr>
              <w:t>RARES J</w:t>
            </w:r>
            <w:r>
              <w:rPr>
                <w:caps/>
                <w:szCs w:val="24"/>
              </w:rPr>
              <w:fldChar w:fldCharType="end"/>
            </w:r>
          </w:p>
        </w:tc>
      </w:tr>
      <w:tr w:rsidR="00B226AF">
        <w:tc>
          <w:tcPr>
            <w:tcW w:w="2376" w:type="dxa"/>
          </w:tcPr>
          <w:p w:rsidR="00B226AF" w:rsidRDefault="00FE43F8">
            <w:pPr>
              <w:pStyle w:val="NormalHeadings"/>
              <w:spacing w:after="120"/>
              <w:jc w:val="left"/>
              <w:rPr>
                <w:caps/>
                <w:szCs w:val="24"/>
              </w:rPr>
            </w:pPr>
            <w:r>
              <w:rPr>
                <w:caps/>
                <w:szCs w:val="24"/>
              </w:rPr>
              <w:t>DATE:</w:t>
            </w:r>
          </w:p>
        </w:tc>
        <w:tc>
          <w:tcPr>
            <w:tcW w:w="6866" w:type="dxa"/>
          </w:tcPr>
          <w:p w:rsidR="00B226AF" w:rsidRDefault="00FE43F8">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D711D8">
              <w:rPr>
                <w:caps/>
                <w:szCs w:val="24"/>
              </w:rPr>
              <w:t>19 AUGUST 2014</w:t>
            </w:r>
            <w:r>
              <w:rPr>
                <w:caps/>
                <w:szCs w:val="24"/>
              </w:rPr>
              <w:fldChar w:fldCharType="end"/>
            </w:r>
          </w:p>
        </w:tc>
      </w:tr>
      <w:tr w:rsidR="00B226AF">
        <w:tc>
          <w:tcPr>
            <w:tcW w:w="2376" w:type="dxa"/>
          </w:tcPr>
          <w:p w:rsidR="00B226AF" w:rsidRDefault="00FE43F8">
            <w:pPr>
              <w:pStyle w:val="NormalHeadings"/>
              <w:spacing w:after="120"/>
              <w:jc w:val="left"/>
              <w:rPr>
                <w:caps/>
                <w:szCs w:val="24"/>
              </w:rPr>
            </w:pPr>
            <w:r>
              <w:rPr>
                <w:caps/>
                <w:szCs w:val="24"/>
              </w:rPr>
              <w:t>PLACE:</w:t>
            </w:r>
          </w:p>
        </w:tc>
        <w:tc>
          <w:tcPr>
            <w:tcW w:w="6866" w:type="dxa"/>
          </w:tcPr>
          <w:p w:rsidR="00B226AF" w:rsidRDefault="00FE43F8">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D711D8">
              <w:rPr>
                <w:caps/>
                <w:szCs w:val="24"/>
              </w:rPr>
              <w:t>BRISBANE</w:t>
            </w:r>
            <w:r>
              <w:rPr>
                <w:caps/>
                <w:szCs w:val="24"/>
              </w:rPr>
              <w:fldChar w:fldCharType="end"/>
            </w:r>
          </w:p>
        </w:tc>
      </w:tr>
    </w:tbl>
    <w:p w:rsidR="00B226AF" w:rsidRDefault="00B226AF"/>
    <w:p w:rsidR="00B226AF" w:rsidRDefault="00FE43F8">
      <w:pPr>
        <w:pStyle w:val="StyleBold"/>
        <w:jc w:val="center"/>
        <w:rPr>
          <w:b/>
        </w:rPr>
      </w:pPr>
      <w:r>
        <w:rPr>
          <w:b/>
        </w:rPr>
        <w:t>REASONS FOR JUDGMENT</w:t>
      </w:r>
    </w:p>
    <w:p w:rsidR="00FE43F8" w:rsidRDefault="00B369BA" w:rsidP="00B369BA">
      <w:pPr>
        <w:pStyle w:val="StyleBold"/>
        <w:jc w:val="center"/>
        <w:rPr>
          <w:b/>
        </w:rPr>
      </w:pPr>
      <w:r w:rsidRPr="00B369BA">
        <w:rPr>
          <w:b/>
        </w:rPr>
        <w:t>(REVISED FROM THE TRANSCRIPT)</w:t>
      </w:r>
    </w:p>
    <w:p w:rsidR="00D711D8" w:rsidRDefault="004710B0" w:rsidP="004710B0">
      <w:pPr>
        <w:pStyle w:val="ParaNumbering"/>
      </w:pPr>
      <w:r>
        <w:t>This is an appeal from a decision of the Federal Circuit Court</w:t>
      </w:r>
      <w:r w:rsidR="00D711D8">
        <w:t>.  The trial judge found</w:t>
      </w:r>
      <w:r>
        <w:t xml:space="preserve"> that the </w:t>
      </w:r>
      <w:r w:rsidR="00423896">
        <w:t>appellants, Reinhardt Pty Lt</w:t>
      </w:r>
      <w:r w:rsidR="00D711D8">
        <w:t xml:space="preserve">d, as trustee of the Reinhardt Family </w:t>
      </w:r>
      <w:r w:rsidR="00D711D8" w:rsidRPr="00D711D8">
        <w:rPr>
          <w:b/>
        </w:rPr>
        <w:t>Trust</w:t>
      </w:r>
      <w:r w:rsidR="00D711D8">
        <w:t xml:space="preserve">, and its principal Bryan </w:t>
      </w:r>
      <w:r w:rsidR="00D711D8" w:rsidRPr="001344D7">
        <w:rPr>
          <w:b/>
        </w:rPr>
        <w:t>Reinhardt</w:t>
      </w:r>
      <w:r w:rsidR="00423896">
        <w:t>,</w:t>
      </w:r>
      <w:r w:rsidR="00D711D8">
        <w:t xml:space="preserve"> in the sale </w:t>
      </w:r>
      <w:r w:rsidR="001344D7">
        <w:t xml:space="preserve">of a real estate business to another real estate business </w:t>
      </w:r>
      <w:r w:rsidR="00D711D8">
        <w:t>acted in breach of contract and made representations that were misleading or deceptive in inducing the sale</w:t>
      </w:r>
      <w:r>
        <w:t>.  The purchaser of the business</w:t>
      </w:r>
      <w:r w:rsidR="00D711D8">
        <w:t xml:space="preserve"> was </w:t>
      </w:r>
      <w:r w:rsidRPr="00D711D8">
        <w:rPr>
          <w:b/>
        </w:rPr>
        <w:t>Mill Estate</w:t>
      </w:r>
      <w:r w:rsidR="00423896">
        <w:t xml:space="preserve"> Holdings Pty Lt</w:t>
      </w:r>
      <w:r>
        <w:t xml:space="preserve">d, whose principal was Martin </w:t>
      </w:r>
      <w:r w:rsidRPr="00D711D8">
        <w:rPr>
          <w:b/>
        </w:rPr>
        <w:t>Millard</w:t>
      </w:r>
      <w:r w:rsidR="00D711D8">
        <w:t xml:space="preserve">.  </w:t>
      </w:r>
      <w:r w:rsidRPr="00D711D8">
        <w:t>Both</w:t>
      </w:r>
      <w:r>
        <w:t xml:space="preserve"> Mr Millard and Mr Reinhardt were experienced real estate agents who</w:t>
      </w:r>
      <w:r w:rsidR="00D711D8">
        <w:t>se</w:t>
      </w:r>
      <w:r>
        <w:t xml:space="preserve"> </w:t>
      </w:r>
      <w:r w:rsidR="00D711D8">
        <w:t xml:space="preserve">businesses </w:t>
      </w:r>
      <w:r>
        <w:t>were trad</w:t>
      </w:r>
      <w:r w:rsidR="00D711D8">
        <w:t>ing in areas in close proximity in suburbs of Brisbane.</w:t>
      </w:r>
    </w:p>
    <w:p w:rsidR="00D711D8" w:rsidRDefault="00D711D8" w:rsidP="00D711D8">
      <w:pPr>
        <w:pStyle w:val="Heading2"/>
      </w:pPr>
      <w:r>
        <w:t xml:space="preserve">Background </w:t>
      </w:r>
    </w:p>
    <w:p w:rsidR="00520BDE" w:rsidRDefault="00D711D8" w:rsidP="004710B0">
      <w:pPr>
        <w:pStyle w:val="ParaNumbering"/>
      </w:pPr>
      <w:r>
        <w:t>T</w:t>
      </w:r>
      <w:r w:rsidR="004710B0">
        <w:t xml:space="preserve">he parties entered into </w:t>
      </w:r>
      <w:r>
        <w:t xml:space="preserve">an </w:t>
      </w:r>
      <w:r w:rsidR="004710B0">
        <w:t xml:space="preserve">agreement </w:t>
      </w:r>
      <w:r>
        <w:t xml:space="preserve">dated 17 November 2006 </w:t>
      </w:r>
      <w:r w:rsidR="004710B0">
        <w:t xml:space="preserve">in the standard form contract for </w:t>
      </w:r>
      <w:r>
        <w:t>b</w:t>
      </w:r>
      <w:r w:rsidR="004710B0">
        <w:t xml:space="preserve">usiness </w:t>
      </w:r>
      <w:r>
        <w:t>s</w:t>
      </w:r>
      <w:r w:rsidR="004710B0">
        <w:t>ale (</w:t>
      </w:r>
      <w:r>
        <w:t>s</w:t>
      </w:r>
      <w:r w:rsidR="004710B0">
        <w:t xml:space="preserve">econd </w:t>
      </w:r>
      <w:r>
        <w:t>e</w:t>
      </w:r>
      <w:r w:rsidR="004710B0">
        <w:t>dition) incorporating the standa</w:t>
      </w:r>
      <w:r w:rsidR="00520BDE">
        <w:t xml:space="preserve">rd conditions of business </w:t>
      </w:r>
      <w:r w:rsidR="004710B0">
        <w:t>sale</w:t>
      </w:r>
      <w:r w:rsidR="00520BDE">
        <w:t>,</w:t>
      </w:r>
      <w:r w:rsidR="004710B0">
        <w:t xml:space="preserve"> adopted by the Real Estate Institute of Queensland Limited with special conditions drafted by the solicitors who acted for each of t</w:t>
      </w:r>
      <w:r w:rsidR="00520BDE">
        <w:t>he parties on the transaction.</w:t>
      </w:r>
      <w:r w:rsidR="00C5255E">
        <w:t xml:space="preserve">  The base </w:t>
      </w:r>
      <w:r w:rsidR="00C5255E">
        <w:lastRenderedPageBreak/>
        <w:t>purchase price of $40,000 was payable by Mill Estate, on the date of completion, that</w:t>
      </w:r>
      <w:r w:rsidR="00423896">
        <w:t xml:space="preserve"> was to occur on 4 December 2006</w:t>
      </w:r>
      <w:r w:rsidR="00C5255E">
        <w:t xml:space="preserve"> (special condition 3.1), but actually occurred on the next day.</w:t>
      </w:r>
    </w:p>
    <w:p w:rsidR="00520BDE" w:rsidRDefault="004710B0" w:rsidP="004710B0">
      <w:pPr>
        <w:pStyle w:val="ParaNumbering"/>
      </w:pPr>
      <w:r>
        <w:t xml:space="preserve">Contrary to the trial judge’s finding that the consideration for the business was </w:t>
      </w:r>
      <w:r w:rsidR="00C5255E">
        <w:t xml:space="preserve">only </w:t>
      </w:r>
      <w:r>
        <w:t>$40,000</w:t>
      </w:r>
      <w:r w:rsidR="00C5255E">
        <w:t>,</w:t>
      </w:r>
      <w:r>
        <w:t xml:space="preserve"> the </w:t>
      </w:r>
      <w:r w:rsidR="00C5255E">
        <w:t xml:space="preserve">sale </w:t>
      </w:r>
      <w:r>
        <w:t xml:space="preserve">agreement on its face made clear that the consideration was $40,000 together with the adjustment to the purchase price provided in </w:t>
      </w:r>
      <w:r w:rsidR="00C5255E">
        <w:t xml:space="preserve">special conditions 4 and </w:t>
      </w:r>
      <w:r>
        <w:t>5</w:t>
      </w:r>
      <w:r w:rsidR="00C5255E">
        <w:t xml:space="preserve">.  Those provisions </w:t>
      </w:r>
      <w:r>
        <w:t xml:space="preserve">obliged the purchaser, Mill Estate, </w:t>
      </w:r>
      <w:r w:rsidR="00C5255E">
        <w:t xml:space="preserve">to pay to the trustee any sum necessary, in addition to the $40,000 that it had to pay under cl 4.1, so that the trustee would receive a total of $420,000 from Mill Estate and a third party, </w:t>
      </w:r>
      <w:r w:rsidR="00C5255E" w:rsidRPr="00C5255E">
        <w:rPr>
          <w:b/>
        </w:rPr>
        <w:t>Your Property Solutions</w:t>
      </w:r>
      <w:r w:rsidR="00423896">
        <w:t xml:space="preserve"> Pty Lt</w:t>
      </w:r>
      <w:r w:rsidR="00C5255E">
        <w:t>d under a separate contract for the sale of the trustee’s rent roll business (</w:t>
      </w:r>
      <w:r w:rsidR="00C5255E">
        <w:rPr>
          <w:b/>
        </w:rPr>
        <w:t>the rent roll contract</w:t>
      </w:r>
      <w:r w:rsidR="00C5255E">
        <w:t>).  The rent roll contract had an adjustment mechanism that reduced what Your Property Solutions had to pay in certain circumstances.  In addition, special condition</w:t>
      </w:r>
      <w:r w:rsidR="00423896">
        <w:t>s 5.1 and</w:t>
      </w:r>
      <w:r w:rsidR="00C5255E">
        <w:t xml:space="preserve"> 5.2 provided that even if the rent roll contract did not complete, Mill Estate remained liable to pay the adjusted purchase price 60 days after 22 December 2006.</w:t>
      </w:r>
    </w:p>
    <w:p w:rsidR="001344D7" w:rsidRDefault="00522488" w:rsidP="001344D7">
      <w:pPr>
        <w:pStyle w:val="ParaNumbering"/>
      </w:pPr>
      <w:r>
        <w:t>I</w:t>
      </w:r>
      <w:r w:rsidR="004710B0">
        <w:t>n the event</w:t>
      </w:r>
      <w:r w:rsidR="00423896">
        <w:t>,</w:t>
      </w:r>
      <w:r w:rsidR="004710B0">
        <w:t xml:space="preserve"> </w:t>
      </w:r>
      <w:r>
        <w:t xml:space="preserve">the sale to Your Property Solutions completed but Mill Estate had to pay an adjustment </w:t>
      </w:r>
      <w:r w:rsidR="004710B0">
        <w:t>of $44,725</w:t>
      </w:r>
      <w:r>
        <w:t xml:space="preserve"> to the trustee.  </w:t>
      </w:r>
      <w:r w:rsidR="004710B0">
        <w:t>Thus</w:t>
      </w:r>
      <w:r>
        <w:t>,</w:t>
      </w:r>
      <w:r w:rsidR="004710B0">
        <w:t xml:space="preserve"> the </w:t>
      </w:r>
      <w:r>
        <w:t xml:space="preserve">actual </w:t>
      </w:r>
      <w:r w:rsidR="004710B0">
        <w:t>contractual purchase price</w:t>
      </w:r>
      <w:r>
        <w:t xml:space="preserve"> paid by Mill Estate</w:t>
      </w:r>
      <w:r w:rsidR="004710B0">
        <w:t xml:space="preserve"> was $84,725.  Mill Estate paid that money to the trustee in accordance with the</w:t>
      </w:r>
      <w:r>
        <w:t xml:space="preserve"> sale agreement</w:t>
      </w:r>
      <w:r w:rsidR="001344D7">
        <w:t>.</w:t>
      </w:r>
    </w:p>
    <w:p w:rsidR="00522488" w:rsidRPr="00522488" w:rsidRDefault="004710B0" w:rsidP="001344D7">
      <w:pPr>
        <w:pStyle w:val="ParaNumbering"/>
      </w:pPr>
      <w:r>
        <w:t>The</w:t>
      </w:r>
      <w:r w:rsidR="00522488">
        <w:t>re</w:t>
      </w:r>
      <w:r>
        <w:t xml:space="preserve"> is no substantive challenge to the findings </w:t>
      </w:r>
      <w:r w:rsidR="00522488">
        <w:t xml:space="preserve">of the trial judge </w:t>
      </w:r>
      <w:r>
        <w:t>that</w:t>
      </w:r>
      <w:r w:rsidR="00522488">
        <w:t>,</w:t>
      </w:r>
      <w:r>
        <w:t xml:space="preserve"> having seen and heard the witnesses</w:t>
      </w:r>
      <w:r w:rsidR="00522488">
        <w:t>,</w:t>
      </w:r>
      <w:r>
        <w:t xml:space="preserve"> he accepted that </w:t>
      </w:r>
      <w:r w:rsidR="00522488">
        <w:t xml:space="preserve">the trustee and </w:t>
      </w:r>
      <w:r>
        <w:t xml:space="preserve">Mr Reinhardt had made </w:t>
      </w:r>
      <w:r w:rsidR="00522488">
        <w:t xml:space="preserve">two </w:t>
      </w:r>
      <w:r>
        <w:t xml:space="preserve">representations to Mr Millard prior to the entry </w:t>
      </w:r>
      <w:r w:rsidR="00522488">
        <w:t>of the Mill Estate agreement that, in the event</w:t>
      </w:r>
      <w:r w:rsidR="00423896">
        <w:t>,</w:t>
      </w:r>
      <w:r w:rsidR="00522488">
        <w:t xml:space="preserve"> were found to be false.  Those representations were that, </w:t>
      </w:r>
      <w:r w:rsidR="00522488" w:rsidRPr="00522488">
        <w:rPr>
          <w:i/>
        </w:rPr>
        <w:t>first</w:t>
      </w:r>
      <w:r w:rsidR="00522488">
        <w:t>,</w:t>
      </w:r>
      <w:r>
        <w:t xml:space="preserve"> Mr Reinhardt would work for a minimum of two years</w:t>
      </w:r>
      <w:r w:rsidR="001344D7">
        <w:t>,</w:t>
      </w:r>
      <w:r>
        <w:t xml:space="preserve"> and possibly longer</w:t>
      </w:r>
      <w:r w:rsidR="001344D7">
        <w:t>,</w:t>
      </w:r>
      <w:r>
        <w:t xml:space="preserve"> as an employee of Mill Estate</w:t>
      </w:r>
      <w:r w:rsidR="00522488">
        <w:t>, if it p</w:t>
      </w:r>
      <w:r w:rsidR="00423896">
        <w:t>urchased the trustee’s business</w:t>
      </w:r>
      <w:r w:rsidR="00522488">
        <w:t xml:space="preserve"> (</w:t>
      </w:r>
      <w:r w:rsidR="00522488" w:rsidRPr="001344D7">
        <w:rPr>
          <w:b/>
        </w:rPr>
        <w:t>the two year employment representation</w:t>
      </w:r>
      <w:r w:rsidR="00522488">
        <w:t>)</w:t>
      </w:r>
      <w:r w:rsidR="00423896">
        <w:t>,</w:t>
      </w:r>
      <w:r w:rsidR="00522488">
        <w:t xml:space="preserve"> and</w:t>
      </w:r>
      <w:r w:rsidR="00423896">
        <w:t xml:space="preserve">, </w:t>
      </w:r>
      <w:r w:rsidR="00423896">
        <w:rPr>
          <w:i/>
        </w:rPr>
        <w:t>secondly</w:t>
      </w:r>
      <w:r w:rsidR="00423896">
        <w:t>,</w:t>
      </w:r>
      <w:r w:rsidR="00522488">
        <w:t xml:space="preserve"> the trustee had commercially favourable chattel leases for its photocopiers leased from Toshiba (</w:t>
      </w:r>
      <w:r w:rsidR="00522488">
        <w:rPr>
          <w:b/>
        </w:rPr>
        <w:t>the Toshiba representation</w:t>
      </w:r>
      <w:r w:rsidR="00522488">
        <w:t>).</w:t>
      </w:r>
    </w:p>
    <w:p w:rsidR="004710B0" w:rsidRDefault="00D35549" w:rsidP="004710B0">
      <w:pPr>
        <w:pStyle w:val="ParaNumbering"/>
      </w:pPr>
      <w:r>
        <w:t xml:space="preserve">Importantly, the trial judge found that the two year employment representation was made </w:t>
      </w:r>
      <w:r w:rsidR="004710B0">
        <w:t>in circumstances where, as his Honour found:</w:t>
      </w:r>
    </w:p>
    <w:p w:rsidR="004710B0" w:rsidRDefault="00D35549" w:rsidP="00D35549">
      <w:pPr>
        <w:pStyle w:val="Quote1"/>
      </w:pPr>
      <w:r>
        <w:t>“p</w:t>
      </w:r>
      <w:r w:rsidR="00423896">
        <w:t xml:space="preserve">lainly any long </w:t>
      </w:r>
      <w:r w:rsidR="004710B0">
        <w:t>term arrangement would always be subject to a proviso that the parties’ work relationship was amicable.</w:t>
      </w:r>
      <w:r>
        <w:t>”</w:t>
      </w:r>
    </w:p>
    <w:p w:rsidR="00D35549" w:rsidRDefault="00D35549" w:rsidP="00D35549">
      <w:pPr>
        <w:pStyle w:val="Quote1"/>
      </w:pPr>
    </w:p>
    <w:p w:rsidR="00D35549" w:rsidRDefault="00D35549" w:rsidP="00D35549">
      <w:pPr>
        <w:pStyle w:val="ParaNumbering"/>
      </w:pPr>
      <w:r>
        <w:t>As I will explain in more detail shortly, on 21 March 2007, Mill Estate entered into a w</w:t>
      </w:r>
      <w:r w:rsidR="00124D75">
        <w:t xml:space="preserve">ritten employment contract in a standard form Real Estate Industry Individual Workplace </w:t>
      </w:r>
      <w:r w:rsidR="00124D75">
        <w:lastRenderedPageBreak/>
        <w:t xml:space="preserve">Agreement or </w:t>
      </w:r>
      <w:proofErr w:type="spellStart"/>
      <w:r w:rsidR="00124D75" w:rsidRPr="001344D7">
        <w:rPr>
          <w:b/>
        </w:rPr>
        <w:t>IWA</w:t>
      </w:r>
      <w:proofErr w:type="spellEnd"/>
      <w:r w:rsidR="00124D75">
        <w:t xml:space="preserve"> with Mr Reinhardt that provided that it was terminable at will by either party on one week’s notice.</w:t>
      </w:r>
    </w:p>
    <w:p w:rsidR="00124D75" w:rsidRDefault="00124D75" w:rsidP="00124D75">
      <w:pPr>
        <w:pStyle w:val="ParaNumbering"/>
      </w:pPr>
      <w:r>
        <w:t xml:space="preserve">Mill Estate also alleged that </w:t>
      </w:r>
      <w:r w:rsidR="004710B0">
        <w:t xml:space="preserve">Mr Reinhardt had represented </w:t>
      </w:r>
      <w:r>
        <w:t xml:space="preserve">to Mr Millard </w:t>
      </w:r>
      <w:r w:rsidR="004710B0">
        <w:t xml:space="preserve">that </w:t>
      </w:r>
      <w:r>
        <w:t xml:space="preserve">the trustee’s </w:t>
      </w:r>
      <w:r w:rsidR="004710B0">
        <w:t>contacts list of about 7</w:t>
      </w:r>
      <w:r>
        <w:t>,</w:t>
      </w:r>
      <w:r w:rsidR="004710B0">
        <w:t xml:space="preserve">000 names would pass </w:t>
      </w:r>
      <w:r w:rsidR="001344D7">
        <w:t xml:space="preserve">on completion </w:t>
      </w:r>
      <w:r w:rsidR="004710B0">
        <w:t>to Mill Estate from the trustee’s business</w:t>
      </w:r>
      <w:r>
        <w:t xml:space="preserve">. </w:t>
      </w:r>
      <w:r w:rsidR="004710B0">
        <w:t xml:space="preserve"> </w:t>
      </w:r>
      <w:r>
        <w:t>H</w:t>
      </w:r>
      <w:r w:rsidR="004710B0">
        <w:t xml:space="preserve">is Honour </w:t>
      </w:r>
      <w:r>
        <w:t xml:space="preserve">did not accept </w:t>
      </w:r>
      <w:r w:rsidR="004710B0">
        <w:t xml:space="preserve">Mr Millard’s evidence that that </w:t>
      </w:r>
      <w:r>
        <w:t>representation had not been honoured</w:t>
      </w:r>
      <w:r w:rsidR="004710B0">
        <w:t xml:space="preserve">.  </w:t>
      </w:r>
      <w:r>
        <w:t>A</w:t>
      </w:r>
      <w:r w:rsidR="004710B0">
        <w:t xml:space="preserve">lthough his Honour found </w:t>
      </w:r>
      <w:r>
        <w:t>that the Toshiba representation was misleading</w:t>
      </w:r>
      <w:r w:rsidR="001344D7">
        <w:t>,</w:t>
      </w:r>
      <w:r>
        <w:t xml:space="preserve"> he also found that </w:t>
      </w:r>
      <w:r w:rsidR="00423896">
        <w:t xml:space="preserve">that </w:t>
      </w:r>
      <w:r w:rsidR="004710B0">
        <w:t>did not gi</w:t>
      </w:r>
      <w:r>
        <w:t>ve rise to any loss or damage.</w:t>
      </w:r>
    </w:p>
    <w:p w:rsidR="00124D75" w:rsidRDefault="004710B0" w:rsidP="004710B0">
      <w:pPr>
        <w:pStyle w:val="ParaNumbering"/>
      </w:pPr>
      <w:r>
        <w:t>His Honour dealt at considerable length with the circumstances in which he said the representations were made</w:t>
      </w:r>
      <w:r w:rsidR="00124D75">
        <w:t>,</w:t>
      </w:r>
      <w:r>
        <w:t xml:space="preserve"> paying cursory attention to the terms of the </w:t>
      </w:r>
      <w:r w:rsidR="00124D75">
        <w:t xml:space="preserve">two written agreements </w:t>
      </w:r>
      <w:r>
        <w:t>that the parties executed</w:t>
      </w:r>
      <w:r w:rsidR="00124D75">
        <w:t xml:space="preserve">.  His reasons did not explain </w:t>
      </w:r>
      <w:r>
        <w:t xml:space="preserve">the lack of reconciliation between the terms of those </w:t>
      </w:r>
      <w:r w:rsidR="00124D75">
        <w:t xml:space="preserve">agreements </w:t>
      </w:r>
      <w:r>
        <w:t xml:space="preserve">and the </w:t>
      </w:r>
      <w:r w:rsidR="00124D75">
        <w:t xml:space="preserve">two </w:t>
      </w:r>
      <w:r>
        <w:t>representations that he found were conveyed, being the two year employment and the Toshiba representations.</w:t>
      </w:r>
      <w:r w:rsidR="00124D75">
        <w:t xml:space="preserve"> </w:t>
      </w:r>
      <w:r>
        <w:t xml:space="preserve"> That is the more remarkable given that the parties had solicitors acting for them at the time </w:t>
      </w:r>
      <w:r w:rsidR="00124D75">
        <w:t xml:space="preserve">each of </w:t>
      </w:r>
      <w:r>
        <w:t>the contracts w</w:t>
      </w:r>
      <w:r w:rsidR="00124D75">
        <w:t>as made</w:t>
      </w:r>
      <w:r>
        <w:t xml:space="preserve">.  That </w:t>
      </w:r>
      <w:r w:rsidR="00124D75">
        <w:t xml:space="preserve">position </w:t>
      </w:r>
      <w:r>
        <w:t xml:space="preserve">gives rise to considerable difficulty in dealing with his Honour’s findings of fact.  His Honour generally preferred the evidence of Mr Millard to that of Mr Reinhardt and </w:t>
      </w:r>
      <w:r w:rsidR="00124D75">
        <w:t xml:space="preserve">there is </w:t>
      </w:r>
      <w:r>
        <w:t>no reason</w:t>
      </w:r>
      <w:r w:rsidR="00124D75">
        <w:t>,</w:t>
      </w:r>
      <w:r>
        <w:t xml:space="preserve"> where the evidence of the two conflicts</w:t>
      </w:r>
      <w:r w:rsidR="00124D75">
        <w:t>,</w:t>
      </w:r>
      <w:r>
        <w:t xml:space="preserve"> </w:t>
      </w:r>
      <w:r w:rsidR="00124D75">
        <w:t>to depart from those findings.</w:t>
      </w:r>
    </w:p>
    <w:p w:rsidR="000F4E68" w:rsidRDefault="00124D75" w:rsidP="004710B0">
      <w:pPr>
        <w:pStyle w:val="ParaNumbering"/>
      </w:pPr>
      <w:r>
        <w:t>As I have mentioned, t</w:t>
      </w:r>
      <w:r w:rsidR="004710B0">
        <w:t>he trial judge found that</w:t>
      </w:r>
      <w:r w:rsidR="00423896">
        <w:t>,</w:t>
      </w:r>
      <w:r w:rsidR="004710B0">
        <w:t xml:space="preserve"> during the negotiations leading up to the entry </w:t>
      </w:r>
      <w:r>
        <w:t xml:space="preserve">into </w:t>
      </w:r>
      <w:r w:rsidR="004710B0">
        <w:t xml:space="preserve">the </w:t>
      </w:r>
      <w:r>
        <w:t xml:space="preserve">sale agreement, </w:t>
      </w:r>
      <w:r w:rsidR="004710B0">
        <w:t>Mr Reinhardt represented to Mr Millard that he would commit to at least two years</w:t>
      </w:r>
      <w:r w:rsidR="00423896">
        <w:t>’</w:t>
      </w:r>
      <w:r w:rsidR="004710B0">
        <w:t xml:space="preserve"> employment with Mill Estate</w:t>
      </w:r>
      <w:r w:rsidR="001344D7">
        <w:t>,</w:t>
      </w:r>
      <w:r w:rsidR="004710B0">
        <w:t xml:space="preserve"> if it agreed to purchase the trustee’s business and that that was done in the circumstances of the proviso that any </w:t>
      </w:r>
      <w:r>
        <w:t xml:space="preserve">such </w:t>
      </w:r>
      <w:r w:rsidR="004710B0">
        <w:t xml:space="preserve">long-term arrangement would always be subject to the parties’ work relationship continuing to be amicable.  However, when the </w:t>
      </w:r>
      <w:r>
        <w:t xml:space="preserve">sale agreement </w:t>
      </w:r>
      <w:r w:rsidR="004710B0">
        <w:t>was prepared by the parties’ solicitors</w:t>
      </w:r>
      <w:r>
        <w:t>,</w:t>
      </w:r>
      <w:r w:rsidR="004710B0">
        <w:t xml:space="preserve"> it </w:t>
      </w:r>
      <w:r w:rsidR="000F4E68">
        <w:t xml:space="preserve">did not </w:t>
      </w:r>
      <w:r w:rsidR="004710B0">
        <w:t>contain a</w:t>
      </w:r>
      <w:r w:rsidR="000F4E68">
        <w:t>ny</w:t>
      </w:r>
      <w:r w:rsidR="004710B0">
        <w:t xml:space="preserve"> promise reflect</w:t>
      </w:r>
      <w:r w:rsidR="000F4E68">
        <w:t>ing</w:t>
      </w:r>
      <w:r w:rsidR="004710B0">
        <w:t xml:space="preserve"> any representation that Mr Reinhardt would </w:t>
      </w:r>
      <w:r w:rsidR="000F4E68">
        <w:t xml:space="preserve">be, or </w:t>
      </w:r>
      <w:r w:rsidR="004710B0">
        <w:t>remain</w:t>
      </w:r>
      <w:r w:rsidR="001344D7">
        <w:t>,</w:t>
      </w:r>
      <w:r w:rsidR="004710B0">
        <w:t xml:space="preserve"> an employee of Mill Estate for any time period at all.  </w:t>
      </w:r>
      <w:r w:rsidR="000F4E68" w:rsidRPr="000F4E68">
        <w:rPr>
          <w:i/>
        </w:rPr>
        <w:t>First</w:t>
      </w:r>
      <w:r w:rsidR="000F4E68">
        <w:t xml:space="preserve">, special condition 1.3, set out below, was an entire agreement clause that </w:t>
      </w:r>
      <w:r w:rsidR="001344D7">
        <w:t>could affect a finding</w:t>
      </w:r>
      <w:r w:rsidR="000F4E68">
        <w:t xml:space="preserve"> </w:t>
      </w:r>
      <w:r w:rsidR="00423896">
        <w:t xml:space="preserve">as to </w:t>
      </w:r>
      <w:r w:rsidR="000F4E68">
        <w:t>whether any such representation could have continued to affect the parties:</w:t>
      </w:r>
    </w:p>
    <w:p w:rsidR="000F4E68" w:rsidRDefault="000F4E68" w:rsidP="000F4E68">
      <w:pPr>
        <w:pStyle w:val="Quote1"/>
        <w:ind w:left="1440" w:hanging="703"/>
      </w:pPr>
      <w:r>
        <w:t>“1.3</w:t>
      </w:r>
      <w:r>
        <w:tab/>
      </w:r>
      <w:r w:rsidRPr="000F4E68">
        <w:rPr>
          <w:b/>
        </w:rPr>
        <w:t>This Contract supersedes all prior representations, arrangements, understandings</w:t>
      </w:r>
      <w:r>
        <w:t xml:space="preserve"> and agreements (whether written and/or verbal) </w:t>
      </w:r>
      <w:r w:rsidRPr="000F4E68">
        <w:rPr>
          <w:b/>
        </w:rPr>
        <w:t>between the parties relating to the subject matter of this contract and contains entire agreement and understanding</w:t>
      </w:r>
      <w:r>
        <w:t xml:space="preserve"> between the parties relating to the subject matter of this Contract”  (emphasis added)</w:t>
      </w:r>
    </w:p>
    <w:p w:rsidR="000F4E68" w:rsidRDefault="000F4E68" w:rsidP="000F4E68">
      <w:pPr>
        <w:pStyle w:val="Quote1"/>
        <w:ind w:left="1440" w:hanging="703"/>
      </w:pPr>
    </w:p>
    <w:p w:rsidR="00901688" w:rsidRDefault="000F4E68" w:rsidP="000F4E68">
      <w:pPr>
        <w:pStyle w:val="ParaNumbering"/>
      </w:pPr>
      <w:r>
        <w:lastRenderedPageBreak/>
        <w:t>Moreover</w:t>
      </w:r>
      <w:r w:rsidR="004710B0">
        <w:t xml:space="preserve">, </w:t>
      </w:r>
      <w:r>
        <w:rPr>
          <w:i/>
        </w:rPr>
        <w:t>secondly</w:t>
      </w:r>
      <w:r>
        <w:t>,</w:t>
      </w:r>
      <w:r>
        <w:rPr>
          <w:i/>
        </w:rPr>
        <w:t xml:space="preserve"> </w:t>
      </w:r>
      <w:r w:rsidR="004710B0">
        <w:t>special condition 1.5</w:t>
      </w:r>
      <w:r w:rsidR="00901688">
        <w:t>,</w:t>
      </w:r>
      <w:r w:rsidR="004710B0">
        <w:t xml:space="preserve"> as originally drafted</w:t>
      </w:r>
      <w:r w:rsidR="00901688">
        <w:t>,</w:t>
      </w:r>
      <w:r w:rsidR="004710B0">
        <w:t xml:space="preserve"> refer</w:t>
      </w:r>
      <w:r w:rsidR="00901688">
        <w:t>red</w:t>
      </w:r>
      <w:r w:rsidR="004710B0">
        <w:t xml:space="preserve"> to a draft employment contract that was intended to be annexed to the sale agreement</w:t>
      </w:r>
      <w:r w:rsidR="00901688">
        <w:t xml:space="preserve">. </w:t>
      </w:r>
      <w:r w:rsidR="004710B0">
        <w:t xml:space="preserve"> </w:t>
      </w:r>
      <w:r w:rsidR="00901688">
        <w:t>B</w:t>
      </w:r>
      <w:r w:rsidR="004710B0">
        <w:t xml:space="preserve">ut the parties </w:t>
      </w:r>
      <w:r w:rsidR="00901688">
        <w:t xml:space="preserve">made handwritten amendments that </w:t>
      </w:r>
      <w:r w:rsidR="004710B0">
        <w:t xml:space="preserve">deleted </w:t>
      </w:r>
      <w:r w:rsidR="00901688">
        <w:t xml:space="preserve">the </w:t>
      </w:r>
      <w:r w:rsidR="004710B0">
        <w:t xml:space="preserve">reference to that draft </w:t>
      </w:r>
      <w:r w:rsidR="00901688">
        <w:t xml:space="preserve">employment contract so that </w:t>
      </w:r>
      <w:r w:rsidR="004710B0">
        <w:t>it read instead as follows</w:t>
      </w:r>
      <w:r w:rsidR="00901688">
        <w:t>:</w:t>
      </w:r>
    </w:p>
    <w:p w:rsidR="00901688" w:rsidRPr="00901688" w:rsidRDefault="00901688" w:rsidP="00901688">
      <w:pPr>
        <w:pStyle w:val="Quote1"/>
        <w:ind w:left="1440" w:hanging="703"/>
      </w:pPr>
      <w:r>
        <w:t>“1.5</w:t>
      </w:r>
      <w:r>
        <w:tab/>
        <w:t xml:space="preserve">The completion of this Contract is subject to and conditional upon the signing of </w:t>
      </w:r>
      <w:r>
        <w:rPr>
          <w:strike/>
        </w:rPr>
        <w:t>the</w:t>
      </w:r>
      <w:r>
        <w:t xml:space="preserve"> an employment agreement between the principal of the Seller, Mr Bryan Reinhardt (</w:t>
      </w:r>
      <w:r>
        <w:rPr>
          <w:b/>
        </w:rPr>
        <w:t>Reinhardt</w:t>
      </w:r>
      <w:r>
        <w:t xml:space="preserve">) as employee and the Buyer as employer for the employment of Reinhardt in the business sold pursuant to this Contract, </w:t>
      </w:r>
      <w:r>
        <w:rPr>
          <w:strike/>
        </w:rPr>
        <w:t>which employment commences on and from the date this Contract completes a copy of which is annexed as annexure “A” to these Special Conditions</w:t>
      </w:r>
      <w:r>
        <w:t xml:space="preserve"> (</w:t>
      </w:r>
      <w:r>
        <w:rPr>
          <w:b/>
        </w:rPr>
        <w:t>the Employment Contract</w:t>
      </w:r>
      <w:r>
        <w:t>).  If the Employment Contract is not signed by Reinhardt on or before the completion of this Contract, then, at the election of the Buyer prior to the Date of Completion the Buyer may terminate this Contract and this Contract shall be at an end and neither party shall have a claim against the other party in relation to any matter arising out of this Contract.  Upon such termination, all monies will be returned to the Buyer.”</w:t>
      </w:r>
    </w:p>
    <w:p w:rsidR="00901688" w:rsidRDefault="00901688" w:rsidP="00901688">
      <w:pPr>
        <w:pStyle w:val="Quote1"/>
      </w:pPr>
    </w:p>
    <w:p w:rsidR="00F22E63" w:rsidRDefault="00901688" w:rsidP="004710B0">
      <w:pPr>
        <w:pStyle w:val="ParaNumbering"/>
      </w:pPr>
      <w:r>
        <w:t>T</w:t>
      </w:r>
      <w:r w:rsidR="004710B0">
        <w:t>he trial judge did not refer to this or any other relevant term of the sale</w:t>
      </w:r>
      <w:r>
        <w:t xml:space="preserve"> agreement</w:t>
      </w:r>
      <w:r w:rsidR="004710B0">
        <w:t xml:space="preserve">.  </w:t>
      </w:r>
      <w:r>
        <w:t>I</w:t>
      </w:r>
      <w:r w:rsidR="004710B0">
        <w:t xml:space="preserve">n my opinion, </w:t>
      </w:r>
      <w:r w:rsidR="00423896">
        <w:t>that is</w:t>
      </w:r>
      <w:r>
        <w:t xml:space="preserve"> </w:t>
      </w:r>
      <w:r w:rsidR="004710B0">
        <w:t xml:space="preserve">a significant omission in </w:t>
      </w:r>
      <w:r w:rsidR="00F22E63">
        <w:t xml:space="preserve">his Honour’s </w:t>
      </w:r>
      <w:r w:rsidR="004710B0">
        <w:t>reasoning process.  Th</w:t>
      </w:r>
      <w:r w:rsidR="00F22E63">
        <w:t>at is because</w:t>
      </w:r>
      <w:r w:rsidR="004710B0">
        <w:t xml:space="preserve"> special condition 1.5 </w:t>
      </w:r>
      <w:r w:rsidR="00F22E63">
        <w:t xml:space="preserve">acknowledged </w:t>
      </w:r>
      <w:r w:rsidR="004710B0">
        <w:t>that</w:t>
      </w:r>
      <w:r w:rsidR="00F22E63">
        <w:t>,</w:t>
      </w:r>
      <w:r w:rsidR="004710B0">
        <w:t xml:space="preserve"> when Mr Millard caused Mill Estate to enter into the sale agreement</w:t>
      </w:r>
      <w:r w:rsidR="00F22E63">
        <w:t>,</w:t>
      </w:r>
      <w:r w:rsidR="004710B0">
        <w:t xml:space="preserve"> there was no concluded agreem</w:t>
      </w:r>
      <w:r w:rsidR="00F22E63">
        <w:t>ent as to the terms on which Mr </w:t>
      </w:r>
      <w:r w:rsidR="004710B0">
        <w:t>Reinhardt would be employed</w:t>
      </w:r>
      <w:r w:rsidR="00F22E63">
        <w:t xml:space="preserve">.  Moreover, that condition provided </w:t>
      </w:r>
      <w:r w:rsidR="001344D7">
        <w:t xml:space="preserve">that if the parties could not agree </w:t>
      </w:r>
      <w:r w:rsidR="004710B0">
        <w:t>as to those terms by the date of completion</w:t>
      </w:r>
      <w:r w:rsidR="00F22E63">
        <w:t xml:space="preserve">, </w:t>
      </w:r>
      <w:r w:rsidR="004710B0">
        <w:t xml:space="preserve">Mill Estate </w:t>
      </w:r>
      <w:r w:rsidR="00F22E63">
        <w:t xml:space="preserve">had the right </w:t>
      </w:r>
      <w:r w:rsidR="004710B0">
        <w:t xml:space="preserve">to terminate the sale agreement with </w:t>
      </w:r>
      <w:r w:rsidR="00F22E63">
        <w:t xml:space="preserve">the consequence that </w:t>
      </w:r>
      <w:r w:rsidR="004710B0">
        <w:t xml:space="preserve">both contracting parties </w:t>
      </w:r>
      <w:r w:rsidR="00F22E63">
        <w:t xml:space="preserve">would then be </w:t>
      </w:r>
      <w:r w:rsidR="004710B0">
        <w:t>restored to</w:t>
      </w:r>
      <w:r w:rsidR="00F22E63">
        <w:t xml:space="preserve"> their pre-contract</w:t>
      </w:r>
      <w:r w:rsidR="00423896">
        <w:t>ual</w:t>
      </w:r>
      <w:r w:rsidR="00F22E63">
        <w:t xml:space="preserve"> positions.</w:t>
      </w:r>
    </w:p>
    <w:p w:rsidR="00F22E63" w:rsidRDefault="004710B0" w:rsidP="004710B0">
      <w:pPr>
        <w:pStyle w:val="ParaNumbering"/>
      </w:pPr>
      <w:r>
        <w:t>In</w:t>
      </w:r>
      <w:r w:rsidR="00F22E63">
        <w:t xml:space="preserve"> the event</w:t>
      </w:r>
      <w:r>
        <w:t xml:space="preserve">, </w:t>
      </w:r>
      <w:r w:rsidR="00F22E63">
        <w:t xml:space="preserve">the parties did not </w:t>
      </w:r>
      <w:r>
        <w:t>agree as to the terms on which Mr Reinhardt would be employed until, as admitted on the pleadings, early February 2007</w:t>
      </w:r>
      <w:r w:rsidR="00F22E63">
        <w:t>.  A</w:t>
      </w:r>
      <w:r>
        <w:t>nd</w:t>
      </w:r>
      <w:r w:rsidR="00F22E63">
        <w:t>,</w:t>
      </w:r>
      <w:r>
        <w:t xml:space="preserve"> even then</w:t>
      </w:r>
      <w:r w:rsidR="00F22E63">
        <w:t>,</w:t>
      </w:r>
      <w:r>
        <w:t xml:space="preserve"> no final </w:t>
      </w:r>
      <w:r w:rsidR="00F22E63">
        <w:t xml:space="preserve">terms of an </w:t>
      </w:r>
      <w:r>
        <w:t xml:space="preserve">employment </w:t>
      </w:r>
      <w:r w:rsidR="00F22E63">
        <w:t xml:space="preserve">contract were agreed </w:t>
      </w:r>
      <w:r>
        <w:t xml:space="preserve">until </w:t>
      </w:r>
      <w:r w:rsidR="00F22E63">
        <w:t>21 March 2007</w:t>
      </w:r>
      <w:r>
        <w:t xml:space="preserve">, as I will explain.  </w:t>
      </w:r>
    </w:p>
    <w:p w:rsidR="00F22E63" w:rsidRDefault="003626F9" w:rsidP="004710B0">
      <w:pPr>
        <w:pStyle w:val="ParaNumbering"/>
      </w:pPr>
      <w:r>
        <w:t>In addition, special condition 9 provided for a rest</w:t>
      </w:r>
      <w:r w:rsidR="00423896">
        <w:t>raint of trade in respect of Mr </w:t>
      </w:r>
      <w:r>
        <w:t>Reinhardt.  It applied from the date of completion if Mr Reinhardt were not an employee or consultant of Mill Estate.  The restraint prohibited him from working, or being interested, in any competing business for periods of two years</w:t>
      </w:r>
      <w:r w:rsidR="00423896">
        <w:t>,</w:t>
      </w:r>
      <w:r>
        <w:t xml:space="preserve"> one year or six months from the date of completion, in areas ranging from five kilometres from the Mill Estate’s business premises to down to 500 metres.  Mr Reinhardt signed and handed over at comple</w:t>
      </w:r>
      <w:r w:rsidR="00423896">
        <w:t>tion on 5 December 2006 a comple</w:t>
      </w:r>
      <w:r>
        <w:t>mentary personal</w:t>
      </w:r>
      <w:r w:rsidR="00423896">
        <w:t xml:space="preserve"> covenant</w:t>
      </w:r>
      <w:r>
        <w:t>, as the director and shareholder of the vendor trustee</w:t>
      </w:r>
      <w:r w:rsidR="00423896">
        <w:t>,</w:t>
      </w:r>
      <w:r>
        <w:t xml:space="preserve"> agreeing to be bound in the same terms.  Thus, if Mr Reinhardt </w:t>
      </w:r>
      <w:r w:rsidR="001344D7">
        <w:t xml:space="preserve">never became or </w:t>
      </w:r>
      <w:r>
        <w:lastRenderedPageBreak/>
        <w:t xml:space="preserve">ceased to be an employee of Mill Estate, he would be prohibited from competing so long as the restraint was in place and enforceable.  </w:t>
      </w:r>
    </w:p>
    <w:p w:rsidR="004710B0" w:rsidRDefault="004710B0" w:rsidP="004710B0">
      <w:pPr>
        <w:pStyle w:val="ParaNumbering"/>
      </w:pPr>
      <w:r>
        <w:t>Mr Millard gave some affidavit evidence that</w:t>
      </w:r>
      <w:r w:rsidR="007B6B57">
        <w:t>,</w:t>
      </w:r>
      <w:r>
        <w:t xml:space="preserve"> at the time of completion</w:t>
      </w:r>
      <w:r w:rsidR="007B6B57">
        <w:t>,</w:t>
      </w:r>
      <w:r w:rsidR="001344D7">
        <w:t xml:space="preserve"> Mr </w:t>
      </w:r>
      <w:r>
        <w:t>Reinhardt was out of town and:</w:t>
      </w:r>
    </w:p>
    <w:p w:rsidR="004710B0" w:rsidRDefault="007B6B57" w:rsidP="007B6B57">
      <w:pPr>
        <w:pStyle w:val="Quote1"/>
      </w:pPr>
      <w:r>
        <w:t>“</w:t>
      </w:r>
      <w:r w:rsidR="00423896">
        <w:t>… b</w:t>
      </w:r>
      <w:r w:rsidR="004710B0">
        <w:t>ecause of the inconvenience created by Mr Reinhardt being away at completion and because of my confidence based on his statements to me that he would work for Mill Estate for a minimum of two years</w:t>
      </w:r>
      <w:r>
        <w:t>,</w:t>
      </w:r>
      <w:r w:rsidR="004710B0">
        <w:t xml:space="preserve"> I did not insist on a written employment contract being signed prior to completion of the business sale </w:t>
      </w:r>
      <w:r w:rsidR="00423896">
        <w:t>contract.  I trusted Mr </w:t>
      </w:r>
      <w:r w:rsidR="004710B0">
        <w:t>Reinhardt</w:t>
      </w:r>
      <w:r w:rsidR="00423896">
        <w:t>,</w:t>
      </w:r>
      <w:r w:rsidR="004710B0">
        <w:t xml:space="preserve"> and by settlement we were already in the process of moving his furniture to the new office</w:t>
      </w:r>
      <w:r w:rsidR="00423896">
        <w:t>,</w:t>
      </w:r>
      <w:r w:rsidR="004710B0">
        <w:t xml:space="preserve"> so there was absolutely no doubt in my mind</w:t>
      </w:r>
      <w:r w:rsidR="00423896">
        <w:t>,</w:t>
      </w:r>
      <w:r w:rsidR="004710B0">
        <w:t xml:space="preserve"> after my conversations with him</w:t>
      </w:r>
      <w:r w:rsidR="00423896">
        <w:t>,</w:t>
      </w:r>
      <w:r w:rsidR="004710B0">
        <w:t xml:space="preserve"> that Mr Reinhardt was coming a</w:t>
      </w:r>
      <w:r w:rsidR="00423896">
        <w:t>cross to Mill Estate as a sales</w:t>
      </w:r>
      <w:r w:rsidR="004710B0">
        <w:t>person.</w:t>
      </w:r>
      <w:r>
        <w:t xml:space="preserve">” </w:t>
      </w:r>
    </w:p>
    <w:p w:rsidR="007B6B57" w:rsidRDefault="007B6B57" w:rsidP="007B6B57">
      <w:pPr>
        <w:pStyle w:val="Quote1"/>
      </w:pPr>
    </w:p>
    <w:p w:rsidR="001344D7" w:rsidRDefault="004710B0" w:rsidP="00407893">
      <w:pPr>
        <w:pStyle w:val="ParaNumbering"/>
      </w:pPr>
      <w:r>
        <w:t xml:space="preserve">The trial judge made no express finding </w:t>
      </w:r>
      <w:r w:rsidR="00C90300">
        <w:t xml:space="preserve">about </w:t>
      </w:r>
      <w:r>
        <w:t xml:space="preserve">that evidence.  </w:t>
      </w:r>
      <w:r w:rsidR="007B6B57">
        <w:t>As admitted on the pleadings at trial,</w:t>
      </w:r>
      <w:r w:rsidR="001344D7">
        <w:t xml:space="preserve"> i</w:t>
      </w:r>
      <w:r w:rsidR="007B6B57">
        <w:t>n early February 2007,</w:t>
      </w:r>
      <w:r w:rsidR="00C90300">
        <w:t xml:space="preserve"> </w:t>
      </w:r>
      <w:r>
        <w:t xml:space="preserve">Mill Estate’s solicitor, Andrew </w:t>
      </w:r>
      <w:r w:rsidRPr="001344D7">
        <w:rPr>
          <w:b/>
        </w:rPr>
        <w:t>Taylor</w:t>
      </w:r>
      <w:r>
        <w:t xml:space="preserve">, who had acted </w:t>
      </w:r>
      <w:r w:rsidR="00C90300">
        <w:t xml:space="preserve">for it </w:t>
      </w:r>
      <w:r>
        <w:t>on the contact, discussed the form of an employment contract in a conference with Mr and Mrs Reinhardt and Mr Millard</w:t>
      </w:r>
      <w:r w:rsidR="001344D7">
        <w:t>.  Mr Taylor</w:t>
      </w:r>
      <w:r w:rsidR="00C90300">
        <w:t xml:space="preserve"> took minutes of the meeting</w:t>
      </w:r>
      <w:r>
        <w:t xml:space="preserve">.  </w:t>
      </w:r>
      <w:r w:rsidR="00C90300">
        <w:t xml:space="preserve">Counsel for </w:t>
      </w:r>
      <w:r w:rsidR="00407893">
        <w:t>Mr </w:t>
      </w:r>
      <w:r>
        <w:t xml:space="preserve">Reinhardt and the trustee attempted </w:t>
      </w:r>
      <w:r w:rsidR="001344D7">
        <w:t xml:space="preserve">at the trial </w:t>
      </w:r>
      <w:r>
        <w:t>to tender Mr Taylor’s file note</w:t>
      </w:r>
      <w:r w:rsidR="001344D7">
        <w:t>, however,</w:t>
      </w:r>
      <w:r w:rsidR="00C90300">
        <w:t xml:space="preserve"> </w:t>
      </w:r>
      <w:r>
        <w:t>for some reason an objection was taken and the tender was not pressed</w:t>
      </w:r>
      <w:r w:rsidR="00C90300">
        <w:t>.</w:t>
      </w:r>
      <w:r w:rsidR="00407893">
        <w:t xml:space="preserve">  </w:t>
      </w:r>
      <w:r w:rsidR="00C90300">
        <w:t xml:space="preserve">The admitted </w:t>
      </w:r>
      <w:r>
        <w:t xml:space="preserve">purpose </w:t>
      </w:r>
      <w:r w:rsidR="00C90300">
        <w:t xml:space="preserve">of the meeting </w:t>
      </w:r>
      <w:r>
        <w:t>was to discuss Mr Reinhardt’s employment with Mill Estate</w:t>
      </w:r>
      <w:r w:rsidR="00C90300">
        <w:t>,</w:t>
      </w:r>
      <w:r>
        <w:t xml:space="preserve"> following the settlement of the </w:t>
      </w:r>
      <w:r w:rsidR="00C90300">
        <w:t xml:space="preserve">sale agreement.  Thus, on the pleadings, it was common ground </w:t>
      </w:r>
      <w:r>
        <w:t xml:space="preserve">that the terms of </w:t>
      </w:r>
      <w:r w:rsidR="00C90300">
        <w:t>Mr Reinhardt’s e</w:t>
      </w:r>
      <w:r>
        <w:t>mployment had not been resolved by that time</w:t>
      </w:r>
      <w:r w:rsidR="00C90300">
        <w:t>.  A</w:t>
      </w:r>
      <w:r>
        <w:t>t the meeting</w:t>
      </w:r>
      <w:r w:rsidR="00C90300">
        <w:t>,</w:t>
      </w:r>
      <w:r>
        <w:t xml:space="preserve"> Mr Reinhardt and Mill Estate agreed that Mr Reinhardt would be employed as a real estate sales agent and would be paid commission payments totalling 68</w:t>
      </w:r>
      <w:r w:rsidR="00C90300">
        <w:t>%</w:t>
      </w:r>
      <w:r>
        <w:t xml:space="preserve"> of the net commission to Mill Estate on each sale </w:t>
      </w:r>
      <w:r w:rsidR="00C90300">
        <w:t xml:space="preserve">made by </w:t>
      </w:r>
      <w:r>
        <w:t>Mr Reinhardt following a deduction for the franchi</w:t>
      </w:r>
      <w:r w:rsidR="001344D7">
        <w:t>sor’s marketing campaign fees.</w:t>
      </w:r>
    </w:p>
    <w:p w:rsidR="00407893" w:rsidRDefault="004710B0" w:rsidP="00407893">
      <w:pPr>
        <w:pStyle w:val="ParaNumbering"/>
      </w:pPr>
      <w:r>
        <w:t xml:space="preserve">Significantly, </w:t>
      </w:r>
      <w:r w:rsidR="00C90300">
        <w:t xml:space="preserve">at </w:t>
      </w:r>
      <w:r>
        <w:t xml:space="preserve">no </w:t>
      </w:r>
      <w:r w:rsidR="00C90300">
        <w:t>time after the entry into the sale agreement on 17 November 2006 or at any subsequent time</w:t>
      </w:r>
      <w:r w:rsidR="001344D7">
        <w:t>,</w:t>
      </w:r>
      <w:r w:rsidR="00C90300">
        <w:t xml:space="preserve"> including the February 2007 meeting with Mr Taylor</w:t>
      </w:r>
      <w:r w:rsidR="001344D7">
        <w:t>,</w:t>
      </w:r>
      <w:r w:rsidR="00C90300">
        <w:t xml:space="preserve"> was any </w:t>
      </w:r>
      <w:r>
        <w:t xml:space="preserve">reference made to any </w:t>
      </w:r>
      <w:r w:rsidR="00C90300">
        <w:t xml:space="preserve">term </w:t>
      </w:r>
      <w:r>
        <w:t xml:space="preserve">of </w:t>
      </w:r>
      <w:r w:rsidR="00C90300">
        <w:t xml:space="preserve">Mr Reinhardt’s </w:t>
      </w:r>
      <w:r>
        <w:t>employment for any time</w:t>
      </w:r>
      <w:r w:rsidR="00C90300">
        <w:t>,</w:t>
      </w:r>
      <w:r>
        <w:t xml:space="preserve"> let alone a minimum of two years.  Mill Estate </w:t>
      </w:r>
      <w:r w:rsidR="00C90300">
        <w:t xml:space="preserve">accepted </w:t>
      </w:r>
      <w:r>
        <w:t xml:space="preserve">that at no time after the </w:t>
      </w:r>
      <w:r w:rsidR="00C90300">
        <w:t xml:space="preserve">agreement </w:t>
      </w:r>
      <w:r>
        <w:t>sale was si</w:t>
      </w:r>
      <w:r w:rsidR="00423896">
        <w:t>gned on 17 </w:t>
      </w:r>
      <w:r w:rsidR="00C90300">
        <w:t>November 2006 did Mr </w:t>
      </w:r>
      <w:r>
        <w:t>Millard raise any assertion that Mr Reinhardt was to be employed for a minimum of two years</w:t>
      </w:r>
      <w:r w:rsidR="00C90300">
        <w:t>.  He only did so</w:t>
      </w:r>
      <w:r>
        <w:t xml:space="preserve"> after the relationship of the parties broke down in circumstances </w:t>
      </w:r>
      <w:r w:rsidR="00407893">
        <w:t>that I will describe later.</w:t>
      </w:r>
    </w:p>
    <w:p w:rsidR="00407893" w:rsidRDefault="004710B0" w:rsidP="004710B0">
      <w:pPr>
        <w:pStyle w:val="ParaNumbering"/>
      </w:pPr>
      <w:r>
        <w:t xml:space="preserve">Mr Reinhardt and Mill Estate ultimately signed </w:t>
      </w:r>
      <w:r w:rsidR="00407893">
        <w:t xml:space="preserve">the </w:t>
      </w:r>
      <w:proofErr w:type="spellStart"/>
      <w:r w:rsidR="00407893">
        <w:t>IWA</w:t>
      </w:r>
      <w:proofErr w:type="spellEnd"/>
      <w:r w:rsidR="00407893">
        <w:t xml:space="preserve"> </w:t>
      </w:r>
      <w:r>
        <w:t>on 21 March 2007.  Th</w:t>
      </w:r>
      <w:r w:rsidR="00407893">
        <w:t xml:space="preserve">e </w:t>
      </w:r>
      <w:proofErr w:type="spellStart"/>
      <w:r w:rsidR="00407893">
        <w:t>IWA</w:t>
      </w:r>
      <w:proofErr w:type="spellEnd"/>
      <w:r>
        <w:t xml:space="preserve"> provided that</w:t>
      </w:r>
      <w:r w:rsidR="00423896">
        <w:t>,</w:t>
      </w:r>
      <w:r>
        <w:t xml:space="preserve"> unless otherwise stated, it constituted a complete agreement that operated </w:t>
      </w:r>
      <w:r>
        <w:lastRenderedPageBreak/>
        <w:t>in conjunction with any written or verbal offers of employment t</w:t>
      </w:r>
      <w:r w:rsidR="00407893">
        <w:t xml:space="preserve">hat acknowledged the </w:t>
      </w:r>
      <w:proofErr w:type="spellStart"/>
      <w:r w:rsidR="00407893">
        <w:t>IWA</w:t>
      </w:r>
      <w:proofErr w:type="spellEnd"/>
      <w:r w:rsidR="00407893">
        <w:t xml:space="preserve"> and could</w:t>
      </w:r>
      <w:r>
        <w:t xml:space="preserve"> be enforced separately.</w:t>
      </w:r>
      <w:r w:rsidR="00407893">
        <w:t xml:space="preserve">  </w:t>
      </w:r>
      <w:r>
        <w:t xml:space="preserve">Importantly, the </w:t>
      </w:r>
      <w:proofErr w:type="spellStart"/>
      <w:r>
        <w:t>IWA</w:t>
      </w:r>
      <w:proofErr w:type="spellEnd"/>
      <w:r>
        <w:t xml:space="preserve"> provided in cl 7</w:t>
      </w:r>
      <w:r w:rsidR="00407893">
        <w:t>(a)</w:t>
      </w:r>
      <w:r>
        <w:t>:</w:t>
      </w:r>
    </w:p>
    <w:p w:rsidR="004710B0" w:rsidRDefault="004710B0" w:rsidP="00407893">
      <w:pPr>
        <w:pStyle w:val="Quote1"/>
        <w:widowControl/>
      </w:pPr>
      <w:r>
        <w:t xml:space="preserve">“Although </w:t>
      </w:r>
      <w:r w:rsidRPr="00407893">
        <w:rPr>
          <w:b/>
        </w:rPr>
        <w:t>you are designated a regular casual</w:t>
      </w:r>
      <w:r>
        <w:t>, unless alternate written arrangements are agr</w:t>
      </w:r>
      <w:r w:rsidR="00423896">
        <w:t>eed</w:t>
      </w:r>
      <w:r>
        <w:t xml:space="preserve"> </w:t>
      </w:r>
      <w:r w:rsidRPr="00407893">
        <w:rPr>
          <w:b/>
        </w:rPr>
        <w:t>you may be ter</w:t>
      </w:r>
      <w:r w:rsidR="00423896">
        <w:rPr>
          <w:b/>
        </w:rPr>
        <w:t xml:space="preserve">minated or resign with one </w:t>
      </w:r>
      <w:proofErr w:type="spellStart"/>
      <w:r w:rsidR="00423896">
        <w:rPr>
          <w:b/>
        </w:rPr>
        <w:t>week</w:t>
      </w:r>
      <w:r w:rsidRPr="00407893">
        <w:rPr>
          <w:b/>
        </w:rPr>
        <w:t>s notice</w:t>
      </w:r>
      <w:proofErr w:type="spellEnd"/>
      <w:r>
        <w:t xml:space="preserve">.” </w:t>
      </w:r>
      <w:r w:rsidR="00423896">
        <w:t xml:space="preserve"> [sic]</w:t>
      </w:r>
      <w:r>
        <w:t xml:space="preserve"> </w:t>
      </w:r>
      <w:r w:rsidR="00407893">
        <w:t>(emphasis added)</w:t>
      </w:r>
    </w:p>
    <w:p w:rsidR="00423896" w:rsidRDefault="00423896" w:rsidP="00407893">
      <w:pPr>
        <w:pStyle w:val="Quote1"/>
        <w:widowControl/>
      </w:pPr>
    </w:p>
    <w:p w:rsidR="00407893" w:rsidRDefault="004710B0" w:rsidP="00407893">
      <w:pPr>
        <w:pStyle w:val="ParaNumbering"/>
      </w:pPr>
      <w:r>
        <w:t xml:space="preserve">Mr Millard’s explanation </w:t>
      </w:r>
      <w:r w:rsidR="00407893">
        <w:t xml:space="preserve">in cross-examination </w:t>
      </w:r>
      <w:r>
        <w:t xml:space="preserve">of </w:t>
      </w:r>
      <w:r w:rsidR="00407893">
        <w:t xml:space="preserve">how </w:t>
      </w:r>
      <w:r w:rsidR="00423896">
        <w:t xml:space="preserve">the </w:t>
      </w:r>
      <w:proofErr w:type="spellStart"/>
      <w:r w:rsidR="00407893">
        <w:t>IWA</w:t>
      </w:r>
      <w:proofErr w:type="spellEnd"/>
      <w:r w:rsidR="00407893">
        <w:t xml:space="preserve"> came to contain </w:t>
      </w:r>
      <w:r>
        <w:t>that term was as follows</w:t>
      </w:r>
      <w:r w:rsidR="00407893">
        <w:t>:</w:t>
      </w:r>
    </w:p>
    <w:p w:rsidR="004710B0" w:rsidRDefault="004710B0" w:rsidP="00407893">
      <w:pPr>
        <w:pStyle w:val="Quote1"/>
      </w:pPr>
      <w:r>
        <w:t>“Now, if it was so important to you that Mr Reinhardt worked for two years</w:t>
      </w:r>
      <w:r w:rsidR="00423896">
        <w:t xml:space="preserve"> …</w:t>
      </w:r>
      <w:r w:rsidR="00407893">
        <w:t xml:space="preserve"> f</w:t>
      </w:r>
      <w:r>
        <w:t>or your business or for the agency</w:t>
      </w:r>
      <w:r w:rsidR="00407893">
        <w:t xml:space="preserve">, </w:t>
      </w:r>
      <w:r w:rsidR="00423896">
        <w:t xml:space="preserve">the – </w:t>
      </w:r>
      <w:r>
        <w:t xml:space="preserve">why is there </w:t>
      </w:r>
      <w:r w:rsidRPr="00407893">
        <w:rPr>
          <w:b/>
        </w:rPr>
        <w:t>no reference</w:t>
      </w:r>
      <w:r>
        <w:t xml:space="preserve"> to </w:t>
      </w:r>
      <w:r w:rsidR="006E4733">
        <w:t xml:space="preserve">– to </w:t>
      </w:r>
      <w:r>
        <w:t>that</w:t>
      </w:r>
      <w:r w:rsidR="00407893">
        <w:t xml:space="preserve"> </w:t>
      </w:r>
      <w:r>
        <w:t>in the individual workplace agreement</w:t>
      </w:r>
      <w:r w:rsidR="00407893">
        <w:t xml:space="preserve">? </w:t>
      </w:r>
      <w:r w:rsidR="001344D7" w:rsidRPr="001344D7">
        <w:rPr>
          <w:b/>
        </w:rPr>
        <w:t>---</w:t>
      </w:r>
      <w:r w:rsidR="00407893">
        <w:t xml:space="preserve"> </w:t>
      </w:r>
      <w:r w:rsidRPr="00407893">
        <w:rPr>
          <w:b/>
        </w:rPr>
        <w:t>Because we were trying to get Mr Reinhardt to si</w:t>
      </w:r>
      <w:r w:rsidR="006E4733">
        <w:rPr>
          <w:b/>
        </w:rPr>
        <w:t xml:space="preserve">gn one and he wouldn’t sign one. </w:t>
      </w:r>
      <w:r w:rsidRPr="00407893">
        <w:rPr>
          <w:b/>
        </w:rPr>
        <w:t xml:space="preserve"> </w:t>
      </w:r>
      <w:r w:rsidR="006E4733" w:rsidRPr="00407893">
        <w:rPr>
          <w:b/>
        </w:rPr>
        <w:t>T</w:t>
      </w:r>
      <w:r w:rsidRPr="00407893">
        <w:rPr>
          <w:b/>
        </w:rPr>
        <w:t>hat’s why we had the meeting with Mr Taylor to try and sort these issues out</w:t>
      </w:r>
      <w:r w:rsidR="006E4733">
        <w:rPr>
          <w:b/>
        </w:rPr>
        <w:t>,</w:t>
      </w:r>
      <w:r w:rsidRPr="00407893">
        <w:rPr>
          <w:b/>
        </w:rPr>
        <w:t xml:space="preserve"> and there was nothing signed after that, nothing agreed to.</w:t>
      </w:r>
      <w:r>
        <w:t xml:space="preserve">  We couldn’t move forward.  All there was </w:t>
      </w:r>
      <w:proofErr w:type="spellStart"/>
      <w:r>
        <w:t>was</w:t>
      </w:r>
      <w:proofErr w:type="spellEnd"/>
      <w:r>
        <w:t xml:space="preserve"> a dramatic deterioration and dishonest behaviour over the next period of time.”</w:t>
      </w:r>
      <w:r w:rsidR="00407893">
        <w:t xml:space="preserve">  (emphasis added)</w:t>
      </w:r>
    </w:p>
    <w:p w:rsidR="00407893" w:rsidRDefault="00407893" w:rsidP="00407893">
      <w:pPr>
        <w:pStyle w:val="Quote1"/>
      </w:pPr>
    </w:p>
    <w:p w:rsidR="001344D7" w:rsidRDefault="001344D7" w:rsidP="001344D7">
      <w:pPr>
        <w:pStyle w:val="Heading2"/>
      </w:pPr>
      <w:r>
        <w:t>Consideration</w:t>
      </w:r>
    </w:p>
    <w:p w:rsidR="004710B0" w:rsidRDefault="00407893" w:rsidP="004710B0">
      <w:pPr>
        <w:pStyle w:val="ParaNumbering"/>
      </w:pPr>
      <w:r>
        <w:t>In my opinion, that evidence demonstrated</w:t>
      </w:r>
      <w:r w:rsidR="004710B0">
        <w:t xml:space="preserve"> that at no time did Mr Millard act reasonably or, indeed, at all, in reliance on an</w:t>
      </w:r>
      <w:r>
        <w:t xml:space="preserve">y representation or </w:t>
      </w:r>
      <w:r w:rsidR="004710B0">
        <w:t xml:space="preserve">assertion that Mr Reinhardt </w:t>
      </w:r>
      <w:r>
        <w:t xml:space="preserve">intended </w:t>
      </w:r>
      <w:r w:rsidR="004710B0">
        <w:t xml:space="preserve">to </w:t>
      </w:r>
      <w:r>
        <w:t xml:space="preserve">or would </w:t>
      </w:r>
      <w:r w:rsidR="004710B0">
        <w:t xml:space="preserve">remain employed, come what may, for two years after the </w:t>
      </w:r>
      <w:r>
        <w:t xml:space="preserve">sale </w:t>
      </w:r>
      <w:r w:rsidR="004710B0">
        <w:t>agreement was entered into</w:t>
      </w:r>
      <w:r>
        <w:t xml:space="preserve"> or completed</w:t>
      </w:r>
      <w:r w:rsidR="004710B0">
        <w:t>.</w:t>
      </w:r>
      <w:r w:rsidR="00670EC4">
        <w:t xml:space="preserve">  </w:t>
      </w:r>
      <w:r w:rsidR="004710B0">
        <w:t xml:space="preserve">Indeed, </w:t>
      </w:r>
      <w:r w:rsidR="00670EC4">
        <w:t>special condition 1.3</w:t>
      </w:r>
      <w:r w:rsidR="004710B0">
        <w:t xml:space="preserve"> of the sale agreement was an entire agreement </w:t>
      </w:r>
      <w:r w:rsidR="00670EC4">
        <w:t xml:space="preserve">clause designed to record that the sale agreement </w:t>
      </w:r>
      <w:r w:rsidR="004710B0">
        <w:t>represented the complete understanding of the parties relating to its subject matter</w:t>
      </w:r>
      <w:r w:rsidR="00670EC4">
        <w:t xml:space="preserve">.  That agreement </w:t>
      </w:r>
      <w:r w:rsidR="004710B0">
        <w:t xml:space="preserve">also contained </w:t>
      </w:r>
      <w:r w:rsidR="00670EC4">
        <w:t>the</w:t>
      </w:r>
      <w:r w:rsidR="004710B0">
        <w:t xml:space="preserve"> restraint of trade </w:t>
      </w:r>
      <w:r w:rsidR="00670EC4">
        <w:t xml:space="preserve">provision in special condition 9 </w:t>
      </w:r>
      <w:r w:rsidR="004710B0">
        <w:t xml:space="preserve">with cascading periods </w:t>
      </w:r>
      <w:r w:rsidR="001344D7">
        <w:t xml:space="preserve">and areas </w:t>
      </w:r>
      <w:r w:rsidR="004710B0">
        <w:t>of enforceability.  At no time did Mill Estate seek to enforce the restraint.</w:t>
      </w:r>
    </w:p>
    <w:p w:rsidR="004710B0" w:rsidRDefault="00670EC4" w:rsidP="00670EC4">
      <w:pPr>
        <w:pStyle w:val="ParaNumbering"/>
      </w:pPr>
      <w:r>
        <w:t>It is obvious that</w:t>
      </w:r>
      <w:r w:rsidR="006E4733">
        <w:t>,</w:t>
      </w:r>
      <w:r>
        <w:t xml:space="preserve"> o</w:t>
      </w:r>
      <w:r w:rsidR="004710B0">
        <w:t>nce completion occurred</w:t>
      </w:r>
      <w:r>
        <w:t>,</w:t>
      </w:r>
      <w:r w:rsidR="004710B0">
        <w:t xml:space="preserve"> without any employment contract </w:t>
      </w:r>
      <w:r>
        <w:t xml:space="preserve">of Mr Reinhardt </w:t>
      </w:r>
      <w:r w:rsidR="004710B0">
        <w:t xml:space="preserve">being signed, Mr Millard, on behalf of Mill Estate, </w:t>
      </w:r>
      <w:r>
        <w:t>took the risk that Mr </w:t>
      </w:r>
      <w:r w:rsidR="004710B0">
        <w:t xml:space="preserve">Reinhardt, </w:t>
      </w:r>
      <w:r>
        <w:t xml:space="preserve">ultimately, might </w:t>
      </w:r>
      <w:r w:rsidR="004710B0">
        <w:t>not agree to any acceptable employment contract wi</w:t>
      </w:r>
      <w:r>
        <w:t xml:space="preserve">th Mill Estate.  After all, their discussions to that time </w:t>
      </w:r>
      <w:r w:rsidR="004710B0">
        <w:t xml:space="preserve">had not even </w:t>
      </w:r>
      <w:r>
        <w:t xml:space="preserve">reached </w:t>
      </w:r>
      <w:r w:rsidR="004710B0">
        <w:t>the point of an understanding or agreement</w:t>
      </w:r>
      <w:r>
        <w:t xml:space="preserve"> about </w:t>
      </w:r>
      <w:r w:rsidR="004710B0">
        <w:t xml:space="preserve">what Mr Reinhardt’s commission arrangements were to be </w:t>
      </w:r>
      <w:r>
        <w:t>for sales that he negotiated.  They only reached that point at the meeting in February 2007 with Mr Taylor</w:t>
      </w:r>
      <w:r w:rsidR="004710B0">
        <w:t>.</w:t>
      </w:r>
    </w:p>
    <w:p w:rsidR="00670EC4" w:rsidRDefault="00670EC4" w:rsidP="00670EC4">
      <w:pPr>
        <w:pStyle w:val="ParaNumbering"/>
      </w:pPr>
      <w:r>
        <w:t xml:space="preserve">It follows that Mr Millard </w:t>
      </w:r>
      <w:r w:rsidR="004710B0">
        <w:t xml:space="preserve">could </w:t>
      </w:r>
      <w:r>
        <w:t xml:space="preserve">not </w:t>
      </w:r>
      <w:r w:rsidR="004710B0">
        <w:t xml:space="preserve">have </w:t>
      </w:r>
      <w:r>
        <w:t xml:space="preserve">relied </w:t>
      </w:r>
      <w:r w:rsidR="004710B0">
        <w:t>on Mr Reinhardt remaining an employee of Mill Estate</w:t>
      </w:r>
      <w:r>
        <w:t>,</w:t>
      </w:r>
      <w:r w:rsidR="004710B0">
        <w:t xml:space="preserve"> i</w:t>
      </w:r>
      <w:r>
        <w:t>n circumstances where the basic</w:t>
      </w:r>
      <w:r w:rsidR="004710B0">
        <w:t xml:space="preserve"> requirements of a contract</w:t>
      </w:r>
      <w:r>
        <w:t xml:space="preserve"> of employment</w:t>
      </w:r>
      <w:r w:rsidR="006E4733">
        <w:t>, such as</w:t>
      </w:r>
      <w:r w:rsidR="004710B0">
        <w:t xml:space="preserve"> agreement for </w:t>
      </w:r>
      <w:r>
        <w:t xml:space="preserve">remuneration </w:t>
      </w:r>
      <w:r w:rsidR="004710B0">
        <w:t xml:space="preserve">of the employee, had not been finalised.  </w:t>
      </w:r>
      <w:r w:rsidR="00707BFC">
        <w:t xml:space="preserve">I </w:t>
      </w:r>
      <w:r w:rsidR="00707BFC">
        <w:lastRenderedPageBreak/>
        <w:t>am of opinion that no person in the position of Mr Millard or Mill Estate, with the knowledge that they had when they proceeded with completion of the sale agreement on 5 December 2006, could have relied</w:t>
      </w:r>
      <w:r w:rsidR="001344D7">
        <w:t>, reasonably,</w:t>
      </w:r>
      <w:r w:rsidR="00707BFC">
        <w:t xml:space="preserve"> on any earlier representation by Mr Reinhardt or the trustee that Mr Reinhardt would be an employee of Mill Estate for two years or at all.  Such a representation in is the teeth of, </w:t>
      </w:r>
      <w:r w:rsidR="00707BFC">
        <w:rPr>
          <w:i/>
        </w:rPr>
        <w:t>first</w:t>
      </w:r>
      <w:r w:rsidR="00707BFC">
        <w:t xml:space="preserve">, the express right of termination in special condition 1.5 at the time of completion if no such employment contract then existed, </w:t>
      </w:r>
      <w:r w:rsidR="00707BFC">
        <w:rPr>
          <w:i/>
        </w:rPr>
        <w:t>secondly</w:t>
      </w:r>
      <w:r w:rsidR="00707BFC">
        <w:t xml:space="preserve">, the deletion from that provision of reference to a draft employment contract, </w:t>
      </w:r>
      <w:r w:rsidR="00707BFC">
        <w:rPr>
          <w:i/>
        </w:rPr>
        <w:t>thirdly</w:t>
      </w:r>
      <w:r w:rsidR="00707BFC">
        <w:t xml:space="preserve">, the absence of any in principle agreement as to the terms of Mr Reinhardt’s employment, and </w:t>
      </w:r>
      <w:r w:rsidR="00707BFC">
        <w:rPr>
          <w:i/>
        </w:rPr>
        <w:t>fourthly</w:t>
      </w:r>
      <w:r w:rsidR="00707BFC">
        <w:t xml:space="preserve">, the existence of the restraint of trade in special condition 9 that provided directly for the situation that Mr Reinhardt </w:t>
      </w:r>
      <w:r w:rsidR="001344D7">
        <w:t xml:space="preserve">not only </w:t>
      </w:r>
      <w:r w:rsidR="00707BFC">
        <w:t>was not an employee of Mill Estate</w:t>
      </w:r>
      <w:r w:rsidR="001344D7">
        <w:t>, but also never became one</w:t>
      </w:r>
      <w:r w:rsidR="00707BFC">
        <w:t>.</w:t>
      </w:r>
    </w:p>
    <w:p w:rsidR="004710B0" w:rsidRDefault="00707BFC" w:rsidP="00670EC4">
      <w:pPr>
        <w:pStyle w:val="ParaNumbering"/>
      </w:pPr>
      <w:r>
        <w:t xml:space="preserve">It is not credible that Mr Millard could have placed </w:t>
      </w:r>
      <w:r w:rsidR="004710B0">
        <w:t xml:space="preserve">any reliance </w:t>
      </w:r>
      <w:r>
        <w:t xml:space="preserve">entering or in completing the sale agreement </w:t>
      </w:r>
      <w:r w:rsidR="004710B0">
        <w:t>on a</w:t>
      </w:r>
      <w:r>
        <w:t>n earlier</w:t>
      </w:r>
      <w:r w:rsidR="004710B0">
        <w:t xml:space="preserve"> proposition that </w:t>
      </w:r>
      <w:r>
        <w:t xml:space="preserve">Mr Reinhardt </w:t>
      </w:r>
      <w:r w:rsidR="004710B0">
        <w:t xml:space="preserve">would work for </w:t>
      </w:r>
      <w:r>
        <w:t xml:space="preserve">his business </w:t>
      </w:r>
      <w:r w:rsidR="004710B0">
        <w:t xml:space="preserve">for a minimum period of two years when </w:t>
      </w:r>
      <w:r>
        <w:t xml:space="preserve">at those times </w:t>
      </w:r>
      <w:r w:rsidR="006E4733">
        <w:t>t</w:t>
      </w:r>
      <w:r>
        <w:t>he</w:t>
      </w:r>
      <w:r w:rsidR="006E4733">
        <w:t>y</w:t>
      </w:r>
      <w:r>
        <w:t xml:space="preserve"> had not reached anything resembling a </w:t>
      </w:r>
      <w:r w:rsidR="004710B0">
        <w:t>deal for the terms on which that employment would occur.</w:t>
      </w:r>
    </w:p>
    <w:p w:rsidR="001344D7" w:rsidRDefault="004710B0" w:rsidP="004710B0">
      <w:pPr>
        <w:pStyle w:val="ParaNumbering"/>
      </w:pPr>
      <w:r>
        <w:t>The objective circumstances</w:t>
      </w:r>
      <w:r w:rsidR="00707BFC">
        <w:t>,</w:t>
      </w:r>
      <w:r>
        <w:t xml:space="preserve"> including </w:t>
      </w:r>
      <w:r w:rsidR="00707BFC">
        <w:t>the</w:t>
      </w:r>
      <w:r>
        <w:t xml:space="preserve"> long period after</w:t>
      </w:r>
      <w:r w:rsidR="00707BFC">
        <w:t xml:space="preserve"> Mill Estate </w:t>
      </w:r>
      <w:r w:rsidR="00707BFC">
        <w:rPr>
          <w:i/>
        </w:rPr>
        <w:t>first</w:t>
      </w:r>
      <w:r w:rsidR="00707BFC">
        <w:t xml:space="preserve">, entered into, </w:t>
      </w:r>
      <w:r w:rsidR="00707BFC">
        <w:rPr>
          <w:i/>
        </w:rPr>
        <w:t>secondly</w:t>
      </w:r>
      <w:r w:rsidR="00707BFC">
        <w:t>,</w:t>
      </w:r>
      <w:r>
        <w:t xml:space="preserve"> waived</w:t>
      </w:r>
      <w:r w:rsidR="00707BFC">
        <w:t>,</w:t>
      </w:r>
      <w:r>
        <w:t xml:space="preserve"> by completion of the sale agreement</w:t>
      </w:r>
      <w:r w:rsidR="001344D7">
        <w:t>,</w:t>
      </w:r>
      <w:r>
        <w:t xml:space="preserve"> </w:t>
      </w:r>
      <w:r w:rsidR="00707BFC">
        <w:t>the condition precedent to completion</w:t>
      </w:r>
      <w:r w:rsidR="001344D7">
        <w:t>, in special condition 1.5</w:t>
      </w:r>
      <w:r w:rsidR="006E4733">
        <w:t>,</w:t>
      </w:r>
      <w:r w:rsidR="001344D7">
        <w:t xml:space="preserve"> </w:t>
      </w:r>
      <w:r w:rsidR="00707BFC">
        <w:t>that there be an employment contract</w:t>
      </w:r>
      <w:r w:rsidR="006E4733">
        <w:t xml:space="preserve"> </w:t>
      </w:r>
      <w:r>
        <w:t>and</w:t>
      </w:r>
      <w:r w:rsidR="00707BFC">
        <w:t xml:space="preserve">, </w:t>
      </w:r>
      <w:r w:rsidR="00707BFC">
        <w:rPr>
          <w:i/>
        </w:rPr>
        <w:t>thirdly</w:t>
      </w:r>
      <w:r w:rsidR="00707BFC">
        <w:t xml:space="preserve">, </w:t>
      </w:r>
      <w:r>
        <w:t xml:space="preserve">the entry into the </w:t>
      </w:r>
      <w:proofErr w:type="spellStart"/>
      <w:r>
        <w:t>IWA</w:t>
      </w:r>
      <w:proofErr w:type="spellEnd"/>
      <w:r>
        <w:t xml:space="preserve"> </w:t>
      </w:r>
      <w:r w:rsidR="001344D7">
        <w:t xml:space="preserve">on </w:t>
      </w:r>
      <w:r w:rsidR="00707BFC">
        <w:t>21 March 2007</w:t>
      </w:r>
      <w:r w:rsidR="006E4733">
        <w:t>,</w:t>
      </w:r>
      <w:r w:rsidR="00707BFC">
        <w:t xml:space="preserve"> </w:t>
      </w:r>
      <w:r>
        <w:t>demonstrate that Mill Estate</w:t>
      </w:r>
      <w:r w:rsidR="00707BFC">
        <w:t xml:space="preserve"> had not relied</w:t>
      </w:r>
      <w:r>
        <w:t xml:space="preserve"> on any representation or contractual offer that Mr Reinhardt would remain employed </w:t>
      </w:r>
      <w:r w:rsidR="00673757">
        <w:t>by it for two years on terms that had</w:t>
      </w:r>
      <w:r>
        <w:t xml:space="preserve"> not been agreed by either </w:t>
      </w:r>
      <w:r w:rsidR="00673757">
        <w:t xml:space="preserve">the </w:t>
      </w:r>
      <w:r>
        <w:t>time</w:t>
      </w:r>
      <w:r w:rsidR="00673757">
        <w:t>s of making or completing the sale agreement</w:t>
      </w:r>
      <w:r w:rsidR="001344D7">
        <w:t>.</w:t>
      </w:r>
    </w:p>
    <w:p w:rsidR="004710B0" w:rsidRDefault="004710B0" w:rsidP="004710B0">
      <w:pPr>
        <w:pStyle w:val="ParaNumbering"/>
      </w:pPr>
      <w:r w:rsidRPr="00673757">
        <w:rPr>
          <w:i/>
        </w:rPr>
        <w:t>First</w:t>
      </w:r>
      <w:r>
        <w:t>, no written contractual term reflected that such a fundamental matter of the employment term</w:t>
      </w:r>
      <w:r w:rsidR="00673757">
        <w:t>s</w:t>
      </w:r>
      <w:r>
        <w:t xml:space="preserve"> had been agreed</w:t>
      </w:r>
      <w:r w:rsidR="001344D7">
        <w:t>,</w:t>
      </w:r>
      <w:r>
        <w:t xml:space="preserve"> despite ample opportunity for it to be documented.  </w:t>
      </w:r>
      <w:r w:rsidRPr="00673757">
        <w:rPr>
          <w:i/>
        </w:rPr>
        <w:t>Secondly</w:t>
      </w:r>
      <w:r>
        <w:t xml:space="preserve">, there is no indication that the period of two years as a minimum term of employment was ever mentioned by Mill Estate or Mr Millard after entry into the sale </w:t>
      </w:r>
      <w:r w:rsidR="00673757">
        <w:t xml:space="preserve">agreement </w:t>
      </w:r>
      <w:r>
        <w:t>on 1</w:t>
      </w:r>
      <w:r w:rsidR="00673757">
        <w:t>7</w:t>
      </w:r>
      <w:r>
        <w:t xml:space="preserve"> November 2006.  </w:t>
      </w:r>
      <w:r w:rsidR="00673757">
        <w:t>I</w:t>
      </w:r>
      <w:r>
        <w:t xml:space="preserve">n particular, there is no suggestion that </w:t>
      </w:r>
      <w:r w:rsidR="00673757">
        <w:t xml:space="preserve">the two year term </w:t>
      </w:r>
      <w:r>
        <w:t xml:space="preserve">was mentioned in the meeting with Mr Taylor in early February 2007 when the </w:t>
      </w:r>
      <w:r w:rsidR="00673757">
        <w:t xml:space="preserve">principal </w:t>
      </w:r>
      <w:r>
        <w:t xml:space="preserve">terms of </w:t>
      </w:r>
      <w:r w:rsidR="00673757">
        <w:t xml:space="preserve">Mr Reinhardt’s </w:t>
      </w:r>
      <w:r>
        <w:t xml:space="preserve">employment contract were discussed.  </w:t>
      </w:r>
      <w:r w:rsidR="00673757" w:rsidRPr="00673757">
        <w:rPr>
          <w:i/>
        </w:rPr>
        <w:t>T</w:t>
      </w:r>
      <w:r w:rsidRPr="00673757">
        <w:rPr>
          <w:i/>
        </w:rPr>
        <w:t>hirdly</w:t>
      </w:r>
      <w:r>
        <w:t>, a term of two years</w:t>
      </w:r>
      <w:r w:rsidR="006E4733">
        <w:t>’</w:t>
      </w:r>
      <w:r>
        <w:t xml:space="preserve"> employment is radically different from the relationship designated </w:t>
      </w:r>
      <w:r w:rsidR="00673757">
        <w:t xml:space="preserve">as </w:t>
      </w:r>
      <w:r>
        <w:t xml:space="preserve">regular casual employment terminable by either party without cause on one week’s notice </w:t>
      </w:r>
      <w:r w:rsidR="00673757">
        <w:t>that was expressly provided in cl</w:t>
      </w:r>
      <w:r>
        <w:t xml:space="preserve"> 7</w:t>
      </w:r>
      <w:r w:rsidR="00673757">
        <w:t>(a)</w:t>
      </w:r>
      <w:r>
        <w:t xml:space="preserve"> of the </w:t>
      </w:r>
      <w:proofErr w:type="spellStart"/>
      <w:r>
        <w:t>IWA</w:t>
      </w:r>
      <w:proofErr w:type="spellEnd"/>
      <w:r>
        <w:t xml:space="preserve">, that the parties entered into as reflecting the terms on which Mr Reinhardt </w:t>
      </w:r>
      <w:r w:rsidR="00673757">
        <w:t xml:space="preserve"> actually agreed with</w:t>
      </w:r>
      <w:r>
        <w:t xml:space="preserve"> Mill Estate.</w:t>
      </w:r>
      <w:r w:rsidR="00673757">
        <w:t xml:space="preserve">  </w:t>
      </w:r>
      <w:r w:rsidRPr="00673757">
        <w:rPr>
          <w:i/>
        </w:rPr>
        <w:t>Fourthly</w:t>
      </w:r>
      <w:r>
        <w:t xml:space="preserve">, as the trial judge found, </w:t>
      </w:r>
      <w:r>
        <w:lastRenderedPageBreak/>
        <w:t xml:space="preserve">for the </w:t>
      </w:r>
      <w:r w:rsidR="00673757">
        <w:t xml:space="preserve">parties’ </w:t>
      </w:r>
      <w:r>
        <w:t>employment relationship to continue at all, the</w:t>
      </w:r>
      <w:r w:rsidR="00673757">
        <w:t>y</w:t>
      </w:r>
      <w:r>
        <w:t xml:space="preserve"> had </w:t>
      </w:r>
      <w:r w:rsidR="00673757">
        <w:t xml:space="preserve">to </w:t>
      </w:r>
      <w:r>
        <w:t xml:space="preserve">remain in an amicable relationship.  </w:t>
      </w:r>
      <w:r w:rsidR="00673757" w:rsidRPr="00673757">
        <w:rPr>
          <w:i/>
        </w:rPr>
        <w:t>F</w:t>
      </w:r>
      <w:r w:rsidRPr="00673757">
        <w:rPr>
          <w:i/>
        </w:rPr>
        <w:t>ifthly</w:t>
      </w:r>
      <w:r>
        <w:t xml:space="preserve">, the sale agreement itself contained a significant commercial restraint of trade that would also apply to Mr Reinhardt </w:t>
      </w:r>
      <w:r w:rsidR="00673757">
        <w:t xml:space="preserve">if </w:t>
      </w:r>
      <w:r>
        <w:t xml:space="preserve">he </w:t>
      </w:r>
      <w:r w:rsidR="00673757">
        <w:t xml:space="preserve">signed an employment agreement subsequent to completion </w:t>
      </w:r>
      <w:r>
        <w:t xml:space="preserve">but </w:t>
      </w:r>
      <w:r w:rsidR="00673757">
        <w:t xml:space="preserve">thereafter </w:t>
      </w:r>
      <w:r>
        <w:t>ceased to be employed.</w:t>
      </w:r>
    </w:p>
    <w:p w:rsidR="00673757" w:rsidRDefault="004710B0" w:rsidP="004710B0">
      <w:pPr>
        <w:pStyle w:val="ParaNumbering"/>
      </w:pPr>
      <w:r>
        <w:t xml:space="preserve">The meaning of commercial documents must be determined objectively as conveying what a reasonable person </w:t>
      </w:r>
      <w:r w:rsidR="00673757">
        <w:t xml:space="preserve">in </w:t>
      </w:r>
      <w:r>
        <w:t>the position of the parties wou</w:t>
      </w:r>
      <w:r w:rsidR="006E4733">
        <w:t xml:space="preserve">ld have understood them to mean: </w:t>
      </w:r>
      <w:r>
        <w:t xml:space="preserve"> </w:t>
      </w:r>
      <w:r w:rsidRPr="00673757">
        <w:rPr>
          <w:i/>
        </w:rPr>
        <w:t xml:space="preserve">Pacific Carriers Ltd v </w:t>
      </w:r>
      <w:proofErr w:type="spellStart"/>
      <w:r w:rsidRPr="00673757">
        <w:rPr>
          <w:i/>
        </w:rPr>
        <w:t>BNP</w:t>
      </w:r>
      <w:proofErr w:type="spellEnd"/>
      <w:r w:rsidRPr="00673757">
        <w:rPr>
          <w:i/>
        </w:rPr>
        <w:t xml:space="preserve"> Paribas</w:t>
      </w:r>
      <w:r w:rsidR="00673757">
        <w:t xml:space="preserve"> (2004) 218 </w:t>
      </w:r>
      <w:proofErr w:type="spellStart"/>
      <w:r w:rsidR="00673757">
        <w:t>CLR</w:t>
      </w:r>
      <w:proofErr w:type="spellEnd"/>
      <w:r w:rsidR="00673757">
        <w:t xml:space="preserve"> 451 at</w:t>
      </w:r>
      <w:r>
        <w:t xml:space="preserve"> 461</w:t>
      </w:r>
      <w:r w:rsidR="00673757">
        <w:t>-</w:t>
      </w:r>
      <w:r>
        <w:t xml:space="preserve">462 [22] per Gleeson CJ, </w:t>
      </w:r>
      <w:proofErr w:type="spellStart"/>
      <w:r>
        <w:t>Gummow</w:t>
      </w:r>
      <w:proofErr w:type="spellEnd"/>
      <w:r>
        <w:t xml:space="preserve">, Hayne, </w:t>
      </w:r>
      <w:proofErr w:type="spellStart"/>
      <w:r>
        <w:t>Callinan</w:t>
      </w:r>
      <w:proofErr w:type="spellEnd"/>
      <w:r>
        <w:t xml:space="preserve"> and </w:t>
      </w:r>
      <w:proofErr w:type="spellStart"/>
      <w:r>
        <w:t>Heydon</w:t>
      </w:r>
      <w:proofErr w:type="spellEnd"/>
      <w:r>
        <w:t xml:space="preserve"> </w:t>
      </w:r>
      <w:proofErr w:type="spellStart"/>
      <w:r>
        <w:t>JJ</w:t>
      </w:r>
      <w:proofErr w:type="spellEnd"/>
      <w:r>
        <w:t>.</w:t>
      </w:r>
      <w:r w:rsidR="00673757">
        <w:t xml:space="preserve">  </w:t>
      </w:r>
      <w:r>
        <w:t xml:space="preserve">That requires </w:t>
      </w:r>
      <w:r w:rsidR="00673757">
        <w:t>the C</w:t>
      </w:r>
      <w:r w:rsidR="006E4733">
        <w:t>ourt to consider, not only</w:t>
      </w:r>
      <w:r>
        <w:t xml:space="preserve"> the text </w:t>
      </w:r>
      <w:r w:rsidR="001344D7">
        <w:t>of the contract</w:t>
      </w:r>
      <w:r w:rsidR="006E4733">
        <w:t>,</w:t>
      </w:r>
      <w:r w:rsidR="001344D7">
        <w:t xml:space="preserve"> </w:t>
      </w:r>
      <w:r>
        <w:t>but also the surrounding circumstances known to all of the parties to the transaction and the purpose and object of the transaction.</w:t>
      </w:r>
    </w:p>
    <w:p w:rsidR="004710B0" w:rsidRDefault="004710B0" w:rsidP="004710B0">
      <w:pPr>
        <w:pStyle w:val="ParaNumbering"/>
      </w:pPr>
      <w:r>
        <w:t xml:space="preserve"> The collateral contract that the trial judge found appeared to have only one term, namely, that </w:t>
      </w:r>
      <w:r w:rsidR="00673757">
        <w:t xml:space="preserve">if </w:t>
      </w:r>
      <w:r>
        <w:t>Mr Reinhardt would remain an employee of Mill Estate for two years subject to the work relationship remaining amicable, then Mill Estate would complete the sale agreement.</w:t>
      </w:r>
      <w:r w:rsidR="00673757">
        <w:t xml:space="preserve">  However, </w:t>
      </w:r>
      <w:r>
        <w:t>that term could not have continued to govern</w:t>
      </w:r>
      <w:r w:rsidR="00016FBC">
        <w:t>,</w:t>
      </w:r>
      <w:r>
        <w:t xml:space="preserve"> or to apply to</w:t>
      </w:r>
      <w:r w:rsidR="00016FBC">
        <w:t>, the partie</w:t>
      </w:r>
      <w:r>
        <w:t>s</w:t>
      </w:r>
      <w:r w:rsidR="00016FBC">
        <w:t>’</w:t>
      </w:r>
      <w:r>
        <w:t xml:space="preserve"> relationship at the time of entry into the sale agreement </w:t>
      </w:r>
      <w:r w:rsidR="00016FBC">
        <w:t xml:space="preserve">because that expressly recognised </w:t>
      </w:r>
      <w:r>
        <w:t xml:space="preserve">that </w:t>
      </w:r>
      <w:r w:rsidR="00016FBC">
        <w:t xml:space="preserve">no </w:t>
      </w:r>
      <w:r>
        <w:t xml:space="preserve">terms of an employment contract had </w:t>
      </w:r>
      <w:r w:rsidR="006E4733">
        <w:t xml:space="preserve">yet been </w:t>
      </w:r>
      <w:r>
        <w:t xml:space="preserve">agreed and </w:t>
      </w:r>
      <w:r w:rsidR="007B186E">
        <w:t xml:space="preserve">still </w:t>
      </w:r>
      <w:r>
        <w:t xml:space="preserve">needed to be negotiated in the future to the satisfaction of all of the parties.  </w:t>
      </w:r>
      <w:r w:rsidR="007B186E">
        <w:t xml:space="preserve">Moreover, the supposed collateral contract was flatly contradicted by the </w:t>
      </w:r>
      <w:proofErr w:type="spellStart"/>
      <w:r w:rsidR="007B186E">
        <w:t>IWA</w:t>
      </w:r>
      <w:proofErr w:type="spellEnd"/>
      <w:r w:rsidR="007B186E">
        <w:t xml:space="preserve"> that ran, not for two years, but </w:t>
      </w:r>
      <w:r>
        <w:t xml:space="preserve">an indeterminate </w:t>
      </w:r>
      <w:r w:rsidR="007B186E">
        <w:t xml:space="preserve">period </w:t>
      </w:r>
      <w:r>
        <w:t>terminable on notice of not greater than one week</w:t>
      </w:r>
      <w:r w:rsidR="006E4733">
        <w:t xml:space="preserve"> </w:t>
      </w:r>
      <w:r>
        <w:t>given by either party</w:t>
      </w:r>
      <w:r w:rsidR="007B186E">
        <w:t xml:space="preserve"> without cause</w:t>
      </w:r>
      <w:r>
        <w:t>.</w:t>
      </w:r>
    </w:p>
    <w:p w:rsidR="004710B0" w:rsidRDefault="004710B0" w:rsidP="00C54A5B">
      <w:pPr>
        <w:pStyle w:val="ParaNumbering"/>
      </w:pPr>
      <w:r>
        <w:t>I</w:t>
      </w:r>
      <w:r w:rsidR="00C54A5B">
        <w:t xml:space="preserve"> a</w:t>
      </w:r>
      <w:r>
        <w:t>m of opinion that the objective circumstances demonstrate that</w:t>
      </w:r>
      <w:r w:rsidR="006E4733">
        <w:t>, not only were</w:t>
      </w:r>
      <w:r>
        <w:t xml:space="preserve"> there no collateral or other contractual terms for Mr Reinhardt to remain an employee of Mill Estate for two years, but </w:t>
      </w:r>
      <w:r w:rsidR="00C54A5B">
        <w:t xml:space="preserve">also </w:t>
      </w:r>
      <w:r>
        <w:t xml:space="preserve">Mill Estate did not rely on any representation </w:t>
      </w:r>
      <w:r w:rsidR="00C54A5B">
        <w:t>to</w:t>
      </w:r>
      <w:r>
        <w:t xml:space="preserve"> that effect when it entered into the sale agreement, supplemented as it was by the terms of special condition</w:t>
      </w:r>
      <w:r w:rsidR="00C54A5B">
        <w:t xml:space="preserve">s 1.3, </w:t>
      </w:r>
      <w:r>
        <w:t xml:space="preserve">1.5 </w:t>
      </w:r>
      <w:r w:rsidR="00C54A5B">
        <w:t xml:space="preserve">and 9 </w:t>
      </w:r>
      <w:r>
        <w:t xml:space="preserve">or by signing the </w:t>
      </w:r>
      <w:proofErr w:type="spellStart"/>
      <w:r>
        <w:t>IWA</w:t>
      </w:r>
      <w:proofErr w:type="spellEnd"/>
      <w:r>
        <w:t xml:space="preserve">.  </w:t>
      </w:r>
    </w:p>
    <w:p w:rsidR="001344D7" w:rsidRDefault="00C54A5B" w:rsidP="004710B0">
      <w:pPr>
        <w:pStyle w:val="ParaNumbering"/>
      </w:pPr>
      <w:r>
        <w:t>T</w:t>
      </w:r>
      <w:r w:rsidR="004710B0">
        <w:t xml:space="preserve">he </w:t>
      </w:r>
      <w:proofErr w:type="spellStart"/>
      <w:r w:rsidR="004710B0">
        <w:t>IWA</w:t>
      </w:r>
      <w:proofErr w:type="spellEnd"/>
      <w:r w:rsidR="004710B0">
        <w:t xml:space="preserve"> constituted the only contractual or promissory statement by Mr Reinhardt </w:t>
      </w:r>
      <w:r>
        <w:t xml:space="preserve">in the parties’ relationship </w:t>
      </w:r>
      <w:r w:rsidR="004710B0">
        <w:t xml:space="preserve">that had contractual or representational force </w:t>
      </w:r>
      <w:r>
        <w:t xml:space="preserve">in respect of </w:t>
      </w:r>
      <w:r w:rsidR="004710B0">
        <w:t xml:space="preserve">the terms of his employment.  To the extent that the </w:t>
      </w:r>
      <w:r>
        <w:t xml:space="preserve">trial </w:t>
      </w:r>
      <w:r w:rsidR="004710B0">
        <w:t xml:space="preserve">judge found that </w:t>
      </w:r>
      <w:r>
        <w:t xml:space="preserve">Mr Reinhardt and the trustee had made a </w:t>
      </w:r>
      <w:r w:rsidR="004710B0">
        <w:t xml:space="preserve">representation </w:t>
      </w:r>
      <w:r>
        <w:t xml:space="preserve">or promise that he would be employed for </w:t>
      </w:r>
      <w:r w:rsidR="004710B0">
        <w:t>a minimum two year term</w:t>
      </w:r>
      <w:r>
        <w:t>,</w:t>
      </w:r>
      <w:r w:rsidR="004710B0">
        <w:t xml:space="preserve"> it ceased to have </w:t>
      </w:r>
      <w:r>
        <w:t xml:space="preserve">any </w:t>
      </w:r>
      <w:r w:rsidR="004710B0">
        <w:t xml:space="preserve">effect by </w:t>
      </w:r>
      <w:r>
        <w:t xml:space="preserve">reason of the contrary terms of the sale agreement and certainly </w:t>
      </w:r>
      <w:r w:rsidR="004710B0">
        <w:t xml:space="preserve">because it was inconsistent with and subsumed by the terms of the </w:t>
      </w:r>
      <w:proofErr w:type="spellStart"/>
      <w:r w:rsidR="004710B0">
        <w:t>IWA</w:t>
      </w:r>
      <w:proofErr w:type="spellEnd"/>
      <w:r w:rsidR="004710B0">
        <w:t xml:space="preserve">.  It would be very odd, indeed, if one party agreed to work for another for a minimum term of two years </w:t>
      </w:r>
      <w:r w:rsidR="004710B0">
        <w:lastRenderedPageBreak/>
        <w:t xml:space="preserve">and entered an </w:t>
      </w:r>
      <w:proofErr w:type="spellStart"/>
      <w:r w:rsidR="004710B0">
        <w:t>IWA</w:t>
      </w:r>
      <w:proofErr w:type="spellEnd"/>
      <w:r w:rsidR="004710B0">
        <w:t xml:space="preserve"> that provided that his employer could terminate </w:t>
      </w:r>
      <w:r>
        <w:t xml:space="preserve">that employment </w:t>
      </w:r>
      <w:r w:rsidR="004710B0">
        <w:t>without cause after one week</w:t>
      </w:r>
      <w:r>
        <w:t xml:space="preserve"> as could he</w:t>
      </w:r>
      <w:r w:rsidR="004710B0">
        <w:t>.</w:t>
      </w:r>
      <w:r>
        <w:t xml:space="preserve">  </w:t>
      </w:r>
      <w:r w:rsidR="004710B0">
        <w:t>Plainly,</w:t>
      </w:r>
      <w:r>
        <w:t xml:space="preserve"> the two suggested contracts could </w:t>
      </w:r>
      <w:r w:rsidR="004710B0">
        <w:t>not stand</w:t>
      </w:r>
      <w:r>
        <w:t xml:space="preserve"> together</w:t>
      </w:r>
      <w:r w:rsidR="001344D7">
        <w:t>.</w:t>
      </w:r>
    </w:p>
    <w:p w:rsidR="001344D7" w:rsidRDefault="00C54A5B" w:rsidP="004710B0">
      <w:pPr>
        <w:pStyle w:val="ParaNumbering"/>
      </w:pPr>
      <w:r>
        <w:t>In the circumstances, the p</w:t>
      </w:r>
      <w:r w:rsidR="004710B0">
        <w:t xml:space="preserve">arties </w:t>
      </w:r>
      <w:r>
        <w:t xml:space="preserve">objectively </w:t>
      </w:r>
      <w:r w:rsidR="004710B0">
        <w:t xml:space="preserve">must be taken to have entered into the terms of </w:t>
      </w:r>
      <w:r>
        <w:t xml:space="preserve">the sale agreement and the </w:t>
      </w:r>
      <w:proofErr w:type="spellStart"/>
      <w:r>
        <w:t>IWA</w:t>
      </w:r>
      <w:proofErr w:type="spellEnd"/>
      <w:r>
        <w:t xml:space="preserve"> that </w:t>
      </w:r>
      <w:r w:rsidR="004710B0">
        <w:t>they signed as recording formally, and so to place beyond dispute, the nature of th</w:t>
      </w:r>
      <w:r w:rsidR="001344D7">
        <w:t>eir contractual arrangements.</w:t>
      </w:r>
    </w:p>
    <w:p w:rsidR="004710B0" w:rsidRDefault="001344D7" w:rsidP="004710B0">
      <w:pPr>
        <w:pStyle w:val="ParaNumbering"/>
      </w:pPr>
      <w:r>
        <w:t>Additionally, i</w:t>
      </w:r>
      <w:r w:rsidR="004710B0">
        <w:t>n analysing whether Mr Millard, as the principal of Mill Estate, was induced to cause his company to enter into the sale agreement, the trial judge applied an incorrect principle.  He referred to Mr Millard as being a member of a class to whom representations had been directed and test</w:t>
      </w:r>
      <w:r w:rsidR="007C2D17">
        <w:t>ed Mr Millard’s</w:t>
      </w:r>
      <w:r w:rsidR="004710B0">
        <w:t xml:space="preserve"> position by reference to ordinary and reasonable members of the class.  That was contrary to both the facts </w:t>
      </w:r>
      <w:r w:rsidR="007C2D17">
        <w:t xml:space="preserve">in this case (where any representation had to be assessed as made to Mr Millard as an individual) </w:t>
      </w:r>
      <w:r w:rsidR="004710B0">
        <w:t xml:space="preserve">and the law as identified in cases such as </w:t>
      </w:r>
      <w:proofErr w:type="spellStart"/>
      <w:r w:rsidR="004710B0" w:rsidRPr="007C2D17">
        <w:rPr>
          <w:i/>
        </w:rPr>
        <w:t>Campomar</w:t>
      </w:r>
      <w:proofErr w:type="spellEnd"/>
      <w:r w:rsidR="004710B0" w:rsidRPr="007C2D17">
        <w:rPr>
          <w:i/>
        </w:rPr>
        <w:t xml:space="preserve"> </w:t>
      </w:r>
      <w:proofErr w:type="spellStart"/>
      <w:r w:rsidR="004710B0" w:rsidRPr="007C2D17">
        <w:rPr>
          <w:i/>
        </w:rPr>
        <w:t>Sociedad</w:t>
      </w:r>
      <w:proofErr w:type="spellEnd"/>
      <w:r w:rsidR="006E4733">
        <w:rPr>
          <w:i/>
        </w:rPr>
        <w:t>,</w:t>
      </w:r>
      <w:r w:rsidR="004710B0" w:rsidRPr="007C2D17">
        <w:rPr>
          <w:i/>
        </w:rPr>
        <w:t xml:space="preserve"> </w:t>
      </w:r>
      <w:proofErr w:type="spellStart"/>
      <w:r w:rsidR="004710B0" w:rsidRPr="007C2D17">
        <w:rPr>
          <w:i/>
        </w:rPr>
        <w:t>Limitada</w:t>
      </w:r>
      <w:proofErr w:type="spellEnd"/>
      <w:r w:rsidR="004710B0" w:rsidRPr="007C2D17">
        <w:rPr>
          <w:i/>
        </w:rPr>
        <w:t xml:space="preserve"> v Nike International Ltd</w:t>
      </w:r>
      <w:r w:rsidR="004710B0">
        <w:t xml:space="preserve"> </w:t>
      </w:r>
      <w:r w:rsidR="007C2D17">
        <w:t>(2000)</w:t>
      </w:r>
      <w:r w:rsidR="004710B0">
        <w:t xml:space="preserve"> 202 </w:t>
      </w:r>
      <w:proofErr w:type="spellStart"/>
      <w:r w:rsidR="004710B0">
        <w:t>CLR</w:t>
      </w:r>
      <w:proofErr w:type="spellEnd"/>
      <w:r w:rsidR="004710B0">
        <w:t xml:space="preserve"> 45 at 85 </w:t>
      </w:r>
      <w:r w:rsidR="007C2D17">
        <w:t>[</w:t>
      </w:r>
      <w:r w:rsidR="004710B0">
        <w:t>103</w:t>
      </w:r>
      <w:r w:rsidR="007C2D17">
        <w:t>]</w:t>
      </w:r>
      <w:r w:rsidR="004710B0">
        <w:t xml:space="preserve"> per Gleeson CJ, </w:t>
      </w:r>
      <w:proofErr w:type="spellStart"/>
      <w:r w:rsidR="004710B0">
        <w:t>Gaudron</w:t>
      </w:r>
      <w:proofErr w:type="spellEnd"/>
      <w:r w:rsidR="004710B0">
        <w:t>, McHugh</w:t>
      </w:r>
      <w:r w:rsidR="007C2D17">
        <w:t xml:space="preserve">, </w:t>
      </w:r>
      <w:proofErr w:type="spellStart"/>
      <w:r w:rsidR="007C2D17">
        <w:t>Gummow</w:t>
      </w:r>
      <w:proofErr w:type="spellEnd"/>
      <w:r w:rsidR="007C2D17">
        <w:t xml:space="preserve">, Kirby, Hayne and </w:t>
      </w:r>
      <w:proofErr w:type="spellStart"/>
      <w:r w:rsidR="007C2D17">
        <w:t>Callinan</w:t>
      </w:r>
      <w:proofErr w:type="spellEnd"/>
      <w:r w:rsidR="007C2D17">
        <w:t xml:space="preserve"> </w:t>
      </w:r>
      <w:proofErr w:type="spellStart"/>
      <w:r w:rsidR="007C2D17">
        <w:t>JJ</w:t>
      </w:r>
      <w:proofErr w:type="spellEnd"/>
      <w:r w:rsidR="007C2D17">
        <w:t xml:space="preserve">; </w:t>
      </w:r>
      <w:r w:rsidR="004710B0">
        <w:t xml:space="preserve"> </w:t>
      </w:r>
      <w:r w:rsidR="004710B0" w:rsidRPr="007C2D17">
        <w:rPr>
          <w:i/>
        </w:rPr>
        <w:t>Butcher v Lachlan Elder Realty Pty Ltd</w:t>
      </w:r>
      <w:r w:rsidR="004710B0">
        <w:t xml:space="preserve"> </w:t>
      </w:r>
      <w:r w:rsidR="007C2D17">
        <w:t xml:space="preserve">(2004) 218 </w:t>
      </w:r>
      <w:proofErr w:type="spellStart"/>
      <w:r w:rsidR="007C2D17">
        <w:t>CLR</w:t>
      </w:r>
      <w:proofErr w:type="spellEnd"/>
      <w:r w:rsidR="007C2D17">
        <w:t xml:space="preserve"> 592 at 604-</w:t>
      </w:r>
      <w:r w:rsidR="004710B0">
        <w:t>605 [36</w:t>
      </w:r>
      <w:r w:rsidR="007C2D17">
        <w:t>]-[</w:t>
      </w:r>
      <w:r w:rsidR="004710B0">
        <w:t>40] per G</w:t>
      </w:r>
      <w:r w:rsidR="007C2D17">
        <w:t xml:space="preserve">leeson CJ, Hayne and </w:t>
      </w:r>
      <w:proofErr w:type="spellStart"/>
      <w:r w:rsidR="007C2D17">
        <w:t>Heydon</w:t>
      </w:r>
      <w:proofErr w:type="spellEnd"/>
      <w:r w:rsidR="007C2D17">
        <w:t xml:space="preserve"> </w:t>
      </w:r>
      <w:proofErr w:type="spellStart"/>
      <w:r w:rsidR="007C2D17">
        <w:t>JJ</w:t>
      </w:r>
      <w:proofErr w:type="spellEnd"/>
      <w:r w:rsidR="007C2D17">
        <w:t xml:space="preserve">;  </w:t>
      </w:r>
      <w:r w:rsidR="004710B0" w:rsidRPr="007C2D17">
        <w:rPr>
          <w:i/>
        </w:rPr>
        <w:t xml:space="preserve">Miller &amp; Associates </w:t>
      </w:r>
      <w:r w:rsidR="006E4733">
        <w:rPr>
          <w:i/>
        </w:rPr>
        <w:t xml:space="preserve">Insurance Broking </w:t>
      </w:r>
      <w:r w:rsidR="008B4625">
        <w:rPr>
          <w:i/>
        </w:rPr>
        <w:t>Pty Ltd v BMW Australia Finance</w:t>
      </w:r>
      <w:r w:rsidR="004710B0" w:rsidRPr="007C2D17">
        <w:rPr>
          <w:i/>
        </w:rPr>
        <w:t xml:space="preserve"> Ltd</w:t>
      </w:r>
      <w:r w:rsidR="004710B0">
        <w:t xml:space="preserve"> </w:t>
      </w:r>
      <w:r w:rsidR="007C2D17">
        <w:t>(2010)</w:t>
      </w:r>
      <w:r w:rsidR="004710B0">
        <w:t xml:space="preserve"> 241 </w:t>
      </w:r>
      <w:proofErr w:type="spellStart"/>
      <w:r w:rsidR="004710B0">
        <w:t>CLR</w:t>
      </w:r>
      <w:proofErr w:type="spellEnd"/>
      <w:r w:rsidR="004710B0">
        <w:t xml:space="preserve"> 357 at 384 [91] p</w:t>
      </w:r>
      <w:r w:rsidR="00DD572F">
        <w:t xml:space="preserve">er </w:t>
      </w:r>
      <w:proofErr w:type="spellStart"/>
      <w:r w:rsidR="00DD572F">
        <w:t>Heydon</w:t>
      </w:r>
      <w:proofErr w:type="spellEnd"/>
      <w:r w:rsidR="00DD572F">
        <w:t xml:space="preserve">, </w:t>
      </w:r>
      <w:proofErr w:type="spellStart"/>
      <w:r w:rsidR="00DD572F">
        <w:t>Crennan</w:t>
      </w:r>
      <w:proofErr w:type="spellEnd"/>
      <w:r w:rsidR="00DD572F">
        <w:t xml:space="preserve"> and Bell </w:t>
      </w:r>
      <w:proofErr w:type="spellStart"/>
      <w:r w:rsidR="00DD572F">
        <w:t>JJ</w:t>
      </w:r>
      <w:proofErr w:type="spellEnd"/>
      <w:r w:rsidR="00DD572F">
        <w:t>.</w:t>
      </w:r>
    </w:p>
    <w:p w:rsidR="004710B0" w:rsidRDefault="004710B0" w:rsidP="007C2D17">
      <w:pPr>
        <w:pStyle w:val="ParaNumbering"/>
      </w:pPr>
      <w:r>
        <w:t xml:space="preserve">Importantly, as the two latter cases </w:t>
      </w:r>
      <w:r w:rsidR="007C2D17">
        <w:t>require</w:t>
      </w:r>
      <w:r w:rsidR="001344D7">
        <w:t>,</w:t>
      </w:r>
      <w:r w:rsidR="007C2D17">
        <w:t xml:space="preserve"> in order to determine </w:t>
      </w:r>
      <w:r>
        <w:t xml:space="preserve">whether conduct was misleading or deceptive for the purposes of s 52 of the </w:t>
      </w:r>
      <w:r w:rsidRPr="007C2D17">
        <w:rPr>
          <w:i/>
        </w:rPr>
        <w:t>Trade Practices Act</w:t>
      </w:r>
      <w:r w:rsidR="007C2D17">
        <w:rPr>
          <w:i/>
        </w:rPr>
        <w:t xml:space="preserve"> 1974 </w:t>
      </w:r>
      <w:r w:rsidR="007C2D17">
        <w:t>(</w:t>
      </w:r>
      <w:proofErr w:type="spellStart"/>
      <w:r w:rsidR="007C2D17">
        <w:t>Cth</w:t>
      </w:r>
      <w:proofErr w:type="spellEnd"/>
      <w:r w:rsidR="007C2D17">
        <w:t>)</w:t>
      </w:r>
      <w:r>
        <w:t xml:space="preserve"> and its analogues, the </w:t>
      </w:r>
      <w:r w:rsidR="007C2D17">
        <w:t>C</w:t>
      </w:r>
      <w:r>
        <w:t>ourt must engage in a close analysis of all the circumstances of the transaction.  In my opinion, the primary judge failed to do that</w:t>
      </w:r>
      <w:r w:rsidR="007C2D17">
        <w:t xml:space="preserve">.  His Honour did not consider, let alone analyse, the terms of any of the contracts </w:t>
      </w:r>
      <w:r>
        <w:t>or explain</w:t>
      </w:r>
      <w:r w:rsidR="007C2D17">
        <w:t>,</w:t>
      </w:r>
      <w:r w:rsidR="007C2D17" w:rsidRPr="007C2D17">
        <w:t xml:space="preserve"> </w:t>
      </w:r>
      <w:r w:rsidR="007C2D17">
        <w:t>having reg</w:t>
      </w:r>
      <w:r w:rsidR="001344D7">
        <w:t>ard to all of the circumstances</w:t>
      </w:r>
      <w:r w:rsidR="007C2D17">
        <w:t xml:space="preserve"> i</w:t>
      </w:r>
      <w:r>
        <w:t>n evidence</w:t>
      </w:r>
      <w:r w:rsidR="007C2D17">
        <w:t>,</w:t>
      </w:r>
      <w:r>
        <w:t xml:space="preserve"> how the </w:t>
      </w:r>
      <w:r w:rsidR="007C2D17">
        <w:t xml:space="preserve">written </w:t>
      </w:r>
      <w:r>
        <w:t xml:space="preserve">contractual terms, which were in conflict with the representational statements </w:t>
      </w:r>
      <w:r w:rsidR="007C2D17">
        <w:t xml:space="preserve">and collateral contract </w:t>
      </w:r>
      <w:r>
        <w:t>that he found, could</w:t>
      </w:r>
      <w:r w:rsidR="007C2D17">
        <w:t xml:space="preserve"> </w:t>
      </w:r>
      <w:r>
        <w:t>have been</w:t>
      </w:r>
      <w:r w:rsidR="007C2D17">
        <w:t xml:space="preserve"> made or, if made</w:t>
      </w:r>
      <w:r w:rsidR="006E4733">
        <w:t>,</w:t>
      </w:r>
      <w:r>
        <w:t xml:space="preserve"> continued to have force at the time </w:t>
      </w:r>
      <w:r w:rsidR="007C2D17">
        <w:t xml:space="preserve">that </w:t>
      </w:r>
      <w:r>
        <w:t>Mill Estate or Mr Millard acted</w:t>
      </w:r>
      <w:r w:rsidR="007C2D17">
        <w:t xml:space="preserve"> </w:t>
      </w:r>
      <w:r w:rsidR="001344D7">
        <w:t xml:space="preserve">with legal assistance from </w:t>
      </w:r>
      <w:r w:rsidR="007C2D17">
        <w:t>his solicitor, Mr Taylor, to enter into or complete the sale agreement</w:t>
      </w:r>
      <w:r>
        <w:t xml:space="preserve">.  As the Court said in </w:t>
      </w:r>
      <w:proofErr w:type="spellStart"/>
      <w:r w:rsidRPr="007C2D17">
        <w:rPr>
          <w:i/>
        </w:rPr>
        <w:t>Campomar</w:t>
      </w:r>
      <w:proofErr w:type="spellEnd"/>
      <w:r>
        <w:t xml:space="preserve"> 202 </w:t>
      </w:r>
      <w:proofErr w:type="spellStart"/>
      <w:r>
        <w:t>CLR</w:t>
      </w:r>
      <w:proofErr w:type="spellEnd"/>
      <w:r>
        <w:t xml:space="preserve"> </w:t>
      </w:r>
      <w:r w:rsidR="00030706">
        <w:t xml:space="preserve">at </w:t>
      </w:r>
      <w:r>
        <w:t xml:space="preserve">85 [102], in approving what Gibbs CJ had said in </w:t>
      </w:r>
      <w:r w:rsidRPr="00030706">
        <w:rPr>
          <w:i/>
        </w:rPr>
        <w:t>Parkdale Custom Built Fu</w:t>
      </w:r>
      <w:r w:rsidR="00030706">
        <w:rPr>
          <w:i/>
        </w:rPr>
        <w:t xml:space="preserve">rniture Pty Ltd v </w:t>
      </w:r>
      <w:proofErr w:type="spellStart"/>
      <w:r w:rsidR="00030706">
        <w:rPr>
          <w:i/>
        </w:rPr>
        <w:t>Puxu</w:t>
      </w:r>
      <w:proofErr w:type="spellEnd"/>
      <w:r w:rsidRPr="00030706">
        <w:rPr>
          <w:i/>
        </w:rPr>
        <w:t xml:space="preserve"> Pty Ltd</w:t>
      </w:r>
      <w:r>
        <w:t xml:space="preserve"> (1982) 149 </w:t>
      </w:r>
      <w:proofErr w:type="spellStart"/>
      <w:r>
        <w:t>CLR</w:t>
      </w:r>
      <w:proofErr w:type="spellEnd"/>
      <w:r>
        <w:t xml:space="preserve"> 191 at 199:</w:t>
      </w:r>
    </w:p>
    <w:p w:rsidR="004710B0" w:rsidRDefault="00C7510A" w:rsidP="001344D7">
      <w:pPr>
        <w:pStyle w:val="Quote1"/>
        <w:widowControl/>
      </w:pPr>
      <w:r>
        <w:t>“</w:t>
      </w:r>
      <w:r w:rsidRPr="001344D7">
        <w:rPr>
          <w:b/>
        </w:rPr>
        <w:t>the legislation did not impose burdens which opera</w:t>
      </w:r>
      <w:r w:rsidR="006E4733">
        <w:rPr>
          <w:b/>
        </w:rPr>
        <w:t>ted for the benefit of persons ‘</w:t>
      </w:r>
      <w:r w:rsidRPr="001344D7">
        <w:rPr>
          <w:b/>
        </w:rPr>
        <w:t>who fail[</w:t>
      </w:r>
      <w:proofErr w:type="spellStart"/>
      <w:r w:rsidRPr="001344D7">
        <w:rPr>
          <w:b/>
        </w:rPr>
        <w:t>ed</w:t>
      </w:r>
      <w:proofErr w:type="spellEnd"/>
      <w:r w:rsidRPr="001344D7">
        <w:rPr>
          <w:b/>
        </w:rPr>
        <w:t>] to take reasona</w:t>
      </w:r>
      <w:r w:rsidR="006E4733">
        <w:rPr>
          <w:b/>
        </w:rPr>
        <w:t>ble care of their own interests’</w:t>
      </w:r>
      <w:r w:rsidRPr="001344D7">
        <w:rPr>
          <w:b/>
        </w:rPr>
        <w:t>.</w:t>
      </w:r>
      <w:r>
        <w:t xml:space="preserve"> In the same case, Mason </w:t>
      </w:r>
      <w:r w:rsidRPr="00C7510A">
        <w:t xml:space="preserve">J concluded that, whilst it was unlikely that an ordinary purchaser would notice the very slight differences in the appearance of the two items of furniture in </w:t>
      </w:r>
      <w:r w:rsidRPr="00C7510A">
        <w:lastRenderedPageBreak/>
        <w:t>question, nevertheless such a prospective purchaser reasonably could be expected to attempt to ascertain the brand name of the particu</w:t>
      </w:r>
      <w:r w:rsidR="006E4733">
        <w:t>lar type of furniture on offer [</w:t>
      </w:r>
      <w:proofErr w:type="spellStart"/>
      <w:r w:rsidRPr="00C7510A">
        <w:rPr>
          <w:i/>
        </w:rPr>
        <w:t>Puxu</w:t>
      </w:r>
      <w:proofErr w:type="spellEnd"/>
      <w:r>
        <w:t xml:space="preserve"> 149 </w:t>
      </w:r>
      <w:proofErr w:type="spellStart"/>
      <w:r>
        <w:t>CLR</w:t>
      </w:r>
      <w:proofErr w:type="spellEnd"/>
      <w:r>
        <w:t xml:space="preserve"> </w:t>
      </w:r>
      <w:r w:rsidR="006E4733">
        <w:t>at 210-2</w:t>
      </w:r>
      <w:r w:rsidR="008436BD">
        <w:t>1</w:t>
      </w:r>
      <w:r w:rsidR="006E4733">
        <w:t>1]</w:t>
      </w:r>
      <w:r w:rsidRPr="00C7510A">
        <w:t>.</w:t>
      </w:r>
      <w:r>
        <w:t>”</w:t>
      </w:r>
      <w:r w:rsidR="001344D7">
        <w:t xml:space="preserve">  (emphasis added)</w:t>
      </w:r>
    </w:p>
    <w:p w:rsidR="00C7510A" w:rsidRDefault="00C7510A" w:rsidP="00C7510A">
      <w:pPr>
        <w:pStyle w:val="Quote1"/>
      </w:pPr>
    </w:p>
    <w:p w:rsidR="00C7510A" w:rsidRDefault="006E4733" w:rsidP="00C7510A">
      <w:pPr>
        <w:pStyle w:val="ParaNumbering"/>
      </w:pPr>
      <w:r>
        <w:t>Here,</w:t>
      </w:r>
      <w:r w:rsidR="00C7510A">
        <w:t xml:space="preserve"> </w:t>
      </w:r>
      <w:r w:rsidR="004710B0">
        <w:t xml:space="preserve">both parties were represented by solicitors who drew the terms of the </w:t>
      </w:r>
      <w:r w:rsidR="00C7510A">
        <w:t xml:space="preserve">sale agreement providing for the </w:t>
      </w:r>
      <w:r w:rsidR="004710B0">
        <w:t>purchase of a significant business asset</w:t>
      </w:r>
      <w:r w:rsidR="00C7510A">
        <w:t>.</w:t>
      </w:r>
      <w:r w:rsidR="004710B0">
        <w:t xml:space="preserve"> </w:t>
      </w:r>
      <w:r w:rsidR="00C7510A">
        <w:t xml:space="preserve"> H</w:t>
      </w:r>
      <w:r w:rsidR="004710B0">
        <w:t xml:space="preserve">ad the suggestion that Mr Reinhardt would work for Mill Estate in a contractual employment relationship for a minimum period of two years been intended to be one that </w:t>
      </w:r>
      <w:r>
        <w:t xml:space="preserve">would have </w:t>
      </w:r>
      <w:r w:rsidR="004710B0">
        <w:t>any force or effect contractually</w:t>
      </w:r>
      <w:r w:rsidR="00C7510A">
        <w:t>,</w:t>
      </w:r>
      <w:r w:rsidR="004710B0">
        <w:t xml:space="preserve"> or in terms of inducing entry into the </w:t>
      </w:r>
      <w:r w:rsidR="00C7510A">
        <w:t xml:space="preserve">sale </w:t>
      </w:r>
      <w:r w:rsidR="004710B0">
        <w:t xml:space="preserve">agreement, one would not expect to see a </w:t>
      </w:r>
      <w:r w:rsidR="00C7510A">
        <w:t xml:space="preserve">provision with the alterations deleting reference to an annexed employment contract that were recorded in </w:t>
      </w:r>
      <w:r w:rsidR="004710B0">
        <w:t xml:space="preserve">special condition 1.5.  </w:t>
      </w:r>
    </w:p>
    <w:p w:rsidR="00F4595F" w:rsidRDefault="00C7510A" w:rsidP="00F4595F">
      <w:pPr>
        <w:pStyle w:val="ParaNumbering"/>
      </w:pPr>
      <w:r>
        <w:t xml:space="preserve">Those deletions made </w:t>
      </w:r>
      <w:r w:rsidR="004710B0">
        <w:t xml:space="preserve">clear that the parties </w:t>
      </w:r>
      <w:r>
        <w:t xml:space="preserve">had taken </w:t>
      </w:r>
      <w:r w:rsidR="004710B0">
        <w:t>care</w:t>
      </w:r>
      <w:r w:rsidR="00F4595F">
        <w:t xml:space="preserve">, </w:t>
      </w:r>
      <w:r w:rsidR="00F4595F">
        <w:rPr>
          <w:i/>
        </w:rPr>
        <w:t>first</w:t>
      </w:r>
      <w:r w:rsidR="00F4595F">
        <w:t>,</w:t>
      </w:r>
      <w:r w:rsidR="004710B0">
        <w:t xml:space="preserve"> to identify that a contract of employment </w:t>
      </w:r>
      <w:r>
        <w:t xml:space="preserve">still </w:t>
      </w:r>
      <w:r w:rsidR="004710B0">
        <w:t>needed to be negotiated and</w:t>
      </w:r>
      <w:r w:rsidR="00F4595F">
        <w:t xml:space="preserve">, </w:t>
      </w:r>
      <w:r w:rsidR="00F4595F">
        <w:rPr>
          <w:i/>
        </w:rPr>
        <w:t>secondly</w:t>
      </w:r>
      <w:r w:rsidR="00F4595F">
        <w:t>,</w:t>
      </w:r>
      <w:r w:rsidR="004710B0">
        <w:t xml:space="preserve"> to provide a particular protection for Mill Estate in the event that it was not negotiated, being </w:t>
      </w:r>
      <w:r>
        <w:t xml:space="preserve">its </w:t>
      </w:r>
      <w:r w:rsidR="004710B0">
        <w:t xml:space="preserve">right to terminate the </w:t>
      </w:r>
      <w:r>
        <w:t xml:space="preserve">sale </w:t>
      </w:r>
      <w:r w:rsidR="004710B0">
        <w:t xml:space="preserve">agreement and to </w:t>
      </w:r>
      <w:r>
        <w:t xml:space="preserve">the </w:t>
      </w:r>
      <w:r w:rsidR="004710B0">
        <w:t xml:space="preserve">return of all monies paid under it.  Had any other </w:t>
      </w:r>
      <w:r>
        <w:t xml:space="preserve">representation, </w:t>
      </w:r>
      <w:r w:rsidR="004710B0">
        <w:t xml:space="preserve">inducement or </w:t>
      </w:r>
      <w:r>
        <w:t xml:space="preserve">collateral </w:t>
      </w:r>
      <w:r w:rsidR="004710B0">
        <w:t xml:space="preserve">contractual provision been operative at that time, it would have found force in </w:t>
      </w:r>
      <w:r>
        <w:t xml:space="preserve">a term of </w:t>
      </w:r>
      <w:r w:rsidR="004710B0">
        <w:t xml:space="preserve">the </w:t>
      </w:r>
      <w:r>
        <w:t xml:space="preserve">sale </w:t>
      </w:r>
      <w:r w:rsidR="004710B0">
        <w:t>agreement</w:t>
      </w:r>
      <w:r>
        <w:t xml:space="preserve"> or been </w:t>
      </w:r>
      <w:proofErr w:type="spellStart"/>
      <w:r>
        <w:t>superceded</w:t>
      </w:r>
      <w:proofErr w:type="spellEnd"/>
      <w:r>
        <w:t xml:space="preserve"> by </w:t>
      </w:r>
      <w:r w:rsidR="00F4595F">
        <w:t>its express terms to the contrary.</w:t>
      </w:r>
      <w:r w:rsidR="004710B0">
        <w:t xml:space="preserve"> </w:t>
      </w:r>
      <w:r w:rsidR="00F4595F">
        <w:t xml:space="preserve"> </w:t>
      </w:r>
      <w:r w:rsidR="004710B0">
        <w:t>Instead, the parties both accepted</w:t>
      </w:r>
      <w:r>
        <w:t>,</w:t>
      </w:r>
      <w:r w:rsidR="004710B0">
        <w:t xml:space="preserve"> by crossing out the reference to a draft contract of employment that was intended to be annexed to the sale agreement, that they had not reached any agreement as to the terms on which, if at all, M</w:t>
      </w:r>
      <w:r w:rsidR="00F4595F">
        <w:t>r Reinhardt would be employed.</w:t>
      </w:r>
    </w:p>
    <w:p w:rsidR="004710B0" w:rsidRDefault="004710B0" w:rsidP="00F4595F">
      <w:pPr>
        <w:pStyle w:val="ParaNumbering"/>
      </w:pPr>
      <w:r>
        <w:t xml:space="preserve">In my opinion, it could not sensibly be inferred </w:t>
      </w:r>
      <w:r w:rsidR="00C7510A">
        <w:t xml:space="preserve">at the time of entry into the sale agreement </w:t>
      </w:r>
      <w:r>
        <w:t xml:space="preserve">that </w:t>
      </w:r>
      <w:r w:rsidR="001669D9">
        <w:t>Mr </w:t>
      </w:r>
      <w:r w:rsidR="00C7510A">
        <w:t>Reinhardt</w:t>
      </w:r>
      <w:r>
        <w:t xml:space="preserve"> had committed to </w:t>
      </w:r>
      <w:r w:rsidR="001669D9">
        <w:t>Mill Estate to become its employee for a minimum of two years</w:t>
      </w:r>
      <w:r w:rsidR="006E4733">
        <w:t>,</w:t>
      </w:r>
      <w:r w:rsidR="001669D9">
        <w:t xml:space="preserve"> </w:t>
      </w:r>
      <w:r>
        <w:t xml:space="preserve">either contractually or </w:t>
      </w:r>
      <w:r w:rsidR="001669D9">
        <w:t xml:space="preserve">by </w:t>
      </w:r>
      <w:r w:rsidR="00F4595F">
        <w:t xml:space="preserve">a </w:t>
      </w:r>
      <w:r>
        <w:t>representation on which a reasonable person in Mill Estate’s position could rely</w:t>
      </w:r>
      <w:r w:rsidR="001669D9">
        <w:t>.  I</w:t>
      </w:r>
      <w:r>
        <w:t>n my opinion</w:t>
      </w:r>
      <w:r w:rsidR="001669D9">
        <w:t>,</w:t>
      </w:r>
      <w:r>
        <w:t xml:space="preserve"> there </w:t>
      </w:r>
      <w:r w:rsidR="001669D9">
        <w:t>wa</w:t>
      </w:r>
      <w:r>
        <w:t>s no basis for the judge’s finding that Mr Millard did rely on</w:t>
      </w:r>
      <w:r w:rsidR="001669D9">
        <w:t xml:space="preserve"> any representation or collateral contract to that effect</w:t>
      </w:r>
      <w:r>
        <w:t xml:space="preserve">.  </w:t>
      </w:r>
    </w:p>
    <w:p w:rsidR="001669D9" w:rsidRDefault="004710B0" w:rsidP="000B5FCC">
      <w:pPr>
        <w:pStyle w:val="ParaNumbering"/>
      </w:pPr>
      <w:r>
        <w:t xml:space="preserve">It is plain </w:t>
      </w:r>
      <w:r w:rsidR="001669D9">
        <w:t>beyond argument that the parties had</w:t>
      </w:r>
      <w:r>
        <w:t xml:space="preserve"> not </w:t>
      </w:r>
      <w:r w:rsidR="001669D9">
        <w:t>agreed on the terms on which Mr </w:t>
      </w:r>
      <w:r>
        <w:t xml:space="preserve">Reinhardt was to be employed </w:t>
      </w:r>
      <w:r w:rsidR="001669D9">
        <w:t>as at 17 November 2006</w:t>
      </w:r>
      <w:r w:rsidR="006E4733">
        <w:t>,</w:t>
      </w:r>
      <w:r w:rsidR="001669D9">
        <w:t xml:space="preserve"> </w:t>
      </w:r>
      <w:r>
        <w:t xml:space="preserve">and that </w:t>
      </w:r>
      <w:r w:rsidR="006E4733">
        <w:t xml:space="preserve">they had </w:t>
      </w:r>
      <w:r>
        <w:t xml:space="preserve">only started </w:t>
      </w:r>
      <w:r w:rsidR="001669D9">
        <w:t xml:space="preserve">negotiations for such a contract </w:t>
      </w:r>
      <w:r>
        <w:t>in detail at the meeting with Mr Taylor in early February 2007</w:t>
      </w:r>
      <w:r w:rsidR="001669D9">
        <w:t>.  T</w:t>
      </w:r>
      <w:r>
        <w:t xml:space="preserve">he ultimate agreement </w:t>
      </w:r>
      <w:r w:rsidR="001669D9">
        <w:t xml:space="preserve">in the </w:t>
      </w:r>
      <w:proofErr w:type="spellStart"/>
      <w:r w:rsidR="001669D9">
        <w:t>IWA</w:t>
      </w:r>
      <w:proofErr w:type="spellEnd"/>
      <w:r w:rsidR="001669D9">
        <w:t xml:space="preserve"> reflecting </w:t>
      </w:r>
      <w:r>
        <w:t>the terms on which Mr Reinhardt was to be employed</w:t>
      </w:r>
      <w:r w:rsidR="001669D9">
        <w:t xml:space="preserve"> </w:t>
      </w:r>
      <w:r>
        <w:t>includ</w:t>
      </w:r>
      <w:r w:rsidR="001669D9">
        <w:t>ed</w:t>
      </w:r>
      <w:r>
        <w:t xml:space="preserve"> cl 7</w:t>
      </w:r>
      <w:r w:rsidR="001669D9">
        <w:t>(a)</w:t>
      </w:r>
      <w:r>
        <w:t xml:space="preserve">.  Moreover, </w:t>
      </w:r>
      <w:r w:rsidR="001669D9">
        <w:t xml:space="preserve">to the extent that Mr Millard and Mill Estate asserted that they relied, which I do not accept, on a representation by Mr Reinhardt that he would remain an employee for a minimum period of two years, at the time that the sale </w:t>
      </w:r>
      <w:r w:rsidR="001669D9">
        <w:lastRenderedPageBreak/>
        <w:t>agreement was entered into</w:t>
      </w:r>
      <w:r w:rsidR="000B5FCC">
        <w:t xml:space="preserve">, </w:t>
      </w:r>
      <w:r w:rsidR="001669D9">
        <w:t xml:space="preserve">the </w:t>
      </w:r>
      <w:r>
        <w:t>parties turned their mind</w:t>
      </w:r>
      <w:r w:rsidR="001669D9">
        <w:t>s</w:t>
      </w:r>
      <w:r>
        <w:t xml:space="preserve"> to how Mill Estate would be protected in the event that Mr Reinhardt did not become</w:t>
      </w:r>
      <w:r w:rsidR="001669D9">
        <w:t>,</w:t>
      </w:r>
      <w:r>
        <w:t xml:space="preserve"> or ceased to be</w:t>
      </w:r>
      <w:r w:rsidR="001669D9">
        <w:t>,</w:t>
      </w:r>
      <w:r>
        <w:t xml:space="preserve"> an employee</w:t>
      </w:r>
      <w:r w:rsidR="001669D9">
        <w:t>.  They</w:t>
      </w:r>
      <w:r>
        <w:t xml:space="preserve"> provided </w:t>
      </w:r>
      <w:r w:rsidR="001669D9">
        <w:t>for the consequences in special condition 9 that operated as a restraint of</w:t>
      </w:r>
      <w:r>
        <w:t xml:space="preserve"> trade</w:t>
      </w:r>
      <w:r w:rsidR="001669D9">
        <w:t>.</w:t>
      </w:r>
    </w:p>
    <w:p w:rsidR="00F4595F" w:rsidRDefault="000B5FCC" w:rsidP="000B5FCC">
      <w:pPr>
        <w:pStyle w:val="ParaNumbering"/>
      </w:pPr>
      <w:r>
        <w:t xml:space="preserve"> I a</w:t>
      </w:r>
      <w:r w:rsidR="004710B0">
        <w:t xml:space="preserve">m satisfied that </w:t>
      </w:r>
      <w:r>
        <w:t xml:space="preserve">Mill Estate, through Mr Millard, </w:t>
      </w:r>
      <w:r w:rsidR="004710B0">
        <w:t xml:space="preserve">failed to take reasonable care of their own interests </w:t>
      </w:r>
      <w:r>
        <w:t xml:space="preserve">if they continued to rely on the two year employment representation when or after Mill Estate entered into the sale agreement.  Mill Estate </w:t>
      </w:r>
      <w:r w:rsidR="004710B0">
        <w:t xml:space="preserve">could not use that failure to thrust responsibility </w:t>
      </w:r>
      <w:r>
        <w:t xml:space="preserve">onto the trustee or Mr Reinhardt either </w:t>
      </w:r>
      <w:r w:rsidR="004710B0">
        <w:t xml:space="preserve">in contract </w:t>
      </w:r>
      <w:r>
        <w:t xml:space="preserve">by the collateral contract </w:t>
      </w:r>
      <w:r w:rsidR="00664E6A">
        <w:t>(</w:t>
      </w:r>
      <w:r>
        <w:t xml:space="preserve">that the trial judge erroneously found) or under </w:t>
      </w:r>
      <w:r w:rsidR="004710B0">
        <w:t xml:space="preserve">the provisions of s 52 of the </w:t>
      </w:r>
      <w:r w:rsidR="004710B0" w:rsidRPr="000B5FCC">
        <w:rPr>
          <w:i/>
        </w:rPr>
        <w:t>Trade Practices Act</w:t>
      </w:r>
      <w:r w:rsidR="004710B0">
        <w:t xml:space="preserve"> for allegedly misleading or deceiving</w:t>
      </w:r>
      <w:r w:rsidR="00F4595F">
        <w:t xml:space="preserve"> them into entering or completing the sale agreement</w:t>
      </w:r>
      <w:r>
        <w:t>:</w:t>
      </w:r>
      <w:r w:rsidR="004710B0">
        <w:t xml:space="preserve">  see </w:t>
      </w:r>
      <w:proofErr w:type="spellStart"/>
      <w:r>
        <w:rPr>
          <w:i/>
        </w:rPr>
        <w:t>Campomar</w:t>
      </w:r>
      <w:proofErr w:type="spellEnd"/>
      <w:r w:rsidR="004710B0">
        <w:t xml:space="preserve"> 202 </w:t>
      </w:r>
      <w:proofErr w:type="spellStart"/>
      <w:r w:rsidR="004710B0">
        <w:t>CLR</w:t>
      </w:r>
      <w:proofErr w:type="spellEnd"/>
      <w:r>
        <w:t xml:space="preserve"> </w:t>
      </w:r>
      <w:r w:rsidR="004710B0">
        <w:t>at 84</w:t>
      </w:r>
      <w:r>
        <w:t>-</w:t>
      </w:r>
      <w:r w:rsidR="004710B0">
        <w:t xml:space="preserve">85 </w:t>
      </w:r>
      <w:r>
        <w:t>[</w:t>
      </w:r>
      <w:r w:rsidR="004710B0">
        <w:t>101</w:t>
      </w:r>
      <w:r>
        <w:t>]-[</w:t>
      </w:r>
      <w:r w:rsidR="004710B0">
        <w:t>102</w:t>
      </w:r>
      <w:r>
        <w:t>]</w:t>
      </w:r>
      <w:r w:rsidR="00F4595F">
        <w:t>.</w:t>
      </w:r>
    </w:p>
    <w:p w:rsidR="004710B0" w:rsidRDefault="004710B0" w:rsidP="000B5FCC">
      <w:pPr>
        <w:pStyle w:val="ParaNumbering"/>
      </w:pPr>
      <w:r>
        <w:t>In my opinion, there was no basis for the trial judge’s finding</w:t>
      </w:r>
      <w:r w:rsidR="000B5FCC">
        <w:t>s</w:t>
      </w:r>
      <w:r>
        <w:t xml:space="preserve"> that </w:t>
      </w:r>
      <w:r w:rsidR="000B5FCC">
        <w:t xml:space="preserve">Mr Reinhardt or the trustee had made </w:t>
      </w:r>
      <w:r>
        <w:t xml:space="preserve">a collateral common </w:t>
      </w:r>
      <w:r w:rsidR="000B5FCC">
        <w:t>con</w:t>
      </w:r>
      <w:r>
        <w:t xml:space="preserve">tract or </w:t>
      </w:r>
      <w:r w:rsidR="000B5FCC">
        <w:t xml:space="preserve">had engaged in </w:t>
      </w:r>
      <w:r>
        <w:t xml:space="preserve">misleading or deceptive conduct in relation to the two year employment representation.  </w:t>
      </w:r>
    </w:p>
    <w:p w:rsidR="00F4595F" w:rsidRDefault="004710B0" w:rsidP="004710B0">
      <w:pPr>
        <w:pStyle w:val="ParaNumbering"/>
      </w:pPr>
      <w:r>
        <w:t>Even if I were wrong in that conclusio</w:t>
      </w:r>
      <w:r w:rsidR="000B5FCC">
        <w:t xml:space="preserve">n, the trial judge’s finding </w:t>
      </w:r>
      <w:r w:rsidR="00F4595F">
        <w:t>that</w:t>
      </w:r>
      <w:r w:rsidR="000B5FCC">
        <w:t xml:space="preserve"> </w:t>
      </w:r>
      <w:r>
        <w:t xml:space="preserve">the two year </w:t>
      </w:r>
      <w:r w:rsidR="000B5FCC">
        <w:t xml:space="preserve">employment </w:t>
      </w:r>
      <w:r>
        <w:t xml:space="preserve">term was subject to </w:t>
      </w:r>
      <w:r w:rsidR="000B5FCC">
        <w:t>a proviso that the parties remained</w:t>
      </w:r>
      <w:r>
        <w:t xml:space="preserve"> on amicable terms entail</w:t>
      </w:r>
      <w:r w:rsidR="000B5FCC">
        <w:t>ed</w:t>
      </w:r>
      <w:r>
        <w:t xml:space="preserve"> that Mr Reinhardt would be free to leave the employment if that relationship broke down.  Not only was that </w:t>
      </w:r>
      <w:r w:rsidR="000B5FCC">
        <w:t xml:space="preserve">proviso </w:t>
      </w:r>
      <w:r>
        <w:t>ordinary common</w:t>
      </w:r>
      <w:r w:rsidR="000B5FCC">
        <w:t xml:space="preserve"> </w:t>
      </w:r>
      <w:r>
        <w:t>sense</w:t>
      </w:r>
      <w:r w:rsidR="000B5FCC">
        <w:t>,</w:t>
      </w:r>
      <w:r>
        <w:t xml:space="preserve"> since a relationship of employment between two successful real estate agents </w:t>
      </w:r>
      <w:r w:rsidR="00F4595F">
        <w:t xml:space="preserve">involved in </w:t>
      </w:r>
      <w:r>
        <w:t xml:space="preserve">a small business could only work if the parties remained on amicable terms, but it was a finding that the judge made, </w:t>
      </w:r>
      <w:r w:rsidR="00F4595F">
        <w:t>yet</w:t>
      </w:r>
      <w:r>
        <w:t xml:space="preserve"> then failed to have any regard to in dealing with the facts as found.</w:t>
      </w:r>
    </w:p>
    <w:p w:rsidR="000B5FCC" w:rsidRDefault="004710B0" w:rsidP="004710B0">
      <w:pPr>
        <w:pStyle w:val="ParaNumbering"/>
      </w:pPr>
      <w:r>
        <w:t xml:space="preserve">His Honour </w:t>
      </w:r>
      <w:r w:rsidR="000B5FCC">
        <w:t xml:space="preserve">found </w:t>
      </w:r>
      <w:r w:rsidR="00F4595F">
        <w:t>that</w:t>
      </w:r>
      <w:r w:rsidR="006E4733">
        <w:t>,</w:t>
      </w:r>
      <w:r w:rsidR="00F4595F">
        <w:t xml:space="preserve"> by June 2007</w:t>
      </w:r>
      <w:r w:rsidR="006E4733">
        <w:t>,</w:t>
      </w:r>
      <w:r>
        <w:t xml:space="preserve"> it was plain that irreconcilable difficulties had arisen between the parties.  </w:t>
      </w:r>
      <w:r w:rsidR="000B5FCC">
        <w:t xml:space="preserve">He found that that was the position </w:t>
      </w:r>
      <w:r>
        <w:t>two days before</w:t>
      </w:r>
      <w:r w:rsidR="000B5FCC">
        <w:t xml:space="preserve"> </w:t>
      </w:r>
      <w:r>
        <w:t xml:space="preserve">Mr Reinhardt informed Mr Millard that he was going to open his own business.  </w:t>
      </w:r>
      <w:r w:rsidR="000B5FCC">
        <w:t>Despite that finding that the relationship could not</w:t>
      </w:r>
      <w:r w:rsidR="00F4595F">
        <w:t xml:space="preserve"> continue</w:t>
      </w:r>
      <w:r w:rsidR="000B5FCC">
        <w:t>, t</w:t>
      </w:r>
      <w:r>
        <w:t>he trial judge found that Mr Reinhardt</w:t>
      </w:r>
      <w:r w:rsidR="000B5FCC">
        <w:t xml:space="preserve">’s communication of that information and his intention to </w:t>
      </w:r>
      <w:r>
        <w:t xml:space="preserve">act on it was </w:t>
      </w:r>
      <w:proofErr w:type="spellStart"/>
      <w:r>
        <w:t>repudiatory</w:t>
      </w:r>
      <w:proofErr w:type="spellEnd"/>
      <w:r>
        <w:t xml:space="preserve"> conduct entitling Mr Millard summarily t</w:t>
      </w:r>
      <w:r w:rsidR="000B5FCC">
        <w:t>o dismiss him on the next day.</w:t>
      </w:r>
    </w:p>
    <w:p w:rsidR="004710B0" w:rsidRDefault="004710B0" w:rsidP="004710B0">
      <w:pPr>
        <w:pStyle w:val="ParaNumbering"/>
      </w:pPr>
      <w:r>
        <w:t xml:space="preserve">His Honour then awarded damages for the breach of the collateral contract and misleading and deceptive conduct in relation to the two year employment term </w:t>
      </w:r>
      <w:r w:rsidR="000B5FCC">
        <w:t xml:space="preserve">based on the net value of sales that Mill Estate would have lost because Mr Reinhardt ceased employment </w:t>
      </w:r>
      <w:r>
        <w:t>of $74,373 together with the cost</w:t>
      </w:r>
      <w:r w:rsidR="000C61DE">
        <w:t>s</w:t>
      </w:r>
      <w:r>
        <w:t xml:space="preserve"> </w:t>
      </w:r>
      <w:r w:rsidR="000C61DE">
        <w:t xml:space="preserve">of $5,628 </w:t>
      </w:r>
      <w:r>
        <w:t xml:space="preserve">incurred by Mill Estate in entering into the </w:t>
      </w:r>
      <w:r w:rsidR="000C61DE">
        <w:t>sale agreement</w:t>
      </w:r>
      <w:r w:rsidR="00F4595F">
        <w:t>,</w:t>
      </w:r>
      <w:r w:rsidR="000C61DE">
        <w:t xml:space="preserve"> </w:t>
      </w:r>
      <w:r>
        <w:t xml:space="preserve">including stamp duty.  </w:t>
      </w:r>
    </w:p>
    <w:p w:rsidR="004710B0" w:rsidRDefault="000C61DE" w:rsidP="000C61DE">
      <w:pPr>
        <w:pStyle w:val="ParaNumbering"/>
      </w:pPr>
      <w:r>
        <w:lastRenderedPageBreak/>
        <w:t>I am of opinion that</w:t>
      </w:r>
      <w:r w:rsidR="00664E6A">
        <w:t>,</w:t>
      </w:r>
      <w:r>
        <w:t xml:space="preserve"> once his Honour </w:t>
      </w:r>
      <w:r w:rsidR="004710B0">
        <w:t>found that the parties’ relationship had encountere</w:t>
      </w:r>
      <w:r>
        <w:t>d irreconcilable difficulties</w:t>
      </w:r>
      <w:r w:rsidR="00F4595F">
        <w:t>,</w:t>
      </w:r>
      <w:r w:rsidR="004710B0">
        <w:t xml:space="preserve"> Mr Reinhardt was free to </w:t>
      </w:r>
      <w:r>
        <w:t xml:space="preserve">leave his employment and </w:t>
      </w:r>
      <w:r w:rsidR="004710B0">
        <w:t xml:space="preserve">engage in a business </w:t>
      </w:r>
      <w:r>
        <w:t xml:space="preserve">that </w:t>
      </w:r>
      <w:r w:rsidR="004710B0">
        <w:t>separated him from Mill Estate’s business</w:t>
      </w:r>
      <w:r>
        <w:t xml:space="preserve">.  Indeed, the </w:t>
      </w:r>
      <w:proofErr w:type="spellStart"/>
      <w:r>
        <w:t>IWA</w:t>
      </w:r>
      <w:proofErr w:type="spellEnd"/>
      <w:r>
        <w:t xml:space="preserve"> entitled him to do so on one week’s notice.  </w:t>
      </w:r>
      <w:r w:rsidR="004710B0">
        <w:t>His conduct</w:t>
      </w:r>
      <w:r>
        <w:t>,</w:t>
      </w:r>
      <w:r w:rsidR="004710B0">
        <w:t xml:space="preserve"> in deciding to leave </w:t>
      </w:r>
      <w:r>
        <w:t xml:space="preserve">his employer </w:t>
      </w:r>
      <w:r w:rsidR="004710B0">
        <w:t>in that situation</w:t>
      </w:r>
      <w:r>
        <w:t>,</w:t>
      </w:r>
      <w:r w:rsidR="004710B0">
        <w:t xml:space="preserve"> could not have been a repudiation</w:t>
      </w:r>
      <w:r>
        <w:t xml:space="preserve"> of the terms of the collateral contract or inconsistent with the two year employment representation.  Rather, Mr Reinhardt’s conduct</w:t>
      </w:r>
      <w:r w:rsidR="004710B0">
        <w:t xml:space="preserve"> was consistent with the terms of th</w:t>
      </w:r>
      <w:r>
        <w:t>at</w:t>
      </w:r>
      <w:r w:rsidR="004710B0">
        <w:t xml:space="preserve"> representation and </w:t>
      </w:r>
      <w:r w:rsidR="006E4733">
        <w:t xml:space="preserve">the </w:t>
      </w:r>
      <w:r w:rsidR="004710B0">
        <w:t>collateral c</w:t>
      </w:r>
      <w:r>
        <w:t>ontract</w:t>
      </w:r>
      <w:r w:rsidR="00F4595F">
        <w:t xml:space="preserve"> containing the proviso, </w:t>
      </w:r>
      <w:r>
        <w:t>as found by his Honour,</w:t>
      </w:r>
      <w:r w:rsidR="00F4595F">
        <w:t xml:space="preserve"> even if, contrary to my findings, Mill Estate could have relied on that representation or the collateral contract could have survived entry into the sale agreement</w:t>
      </w:r>
      <w:r w:rsidR="004710B0">
        <w:t xml:space="preserve">.  </w:t>
      </w:r>
      <w:r>
        <w:t xml:space="preserve">In any event, no damages could be awarded having regard to the terms of the </w:t>
      </w:r>
      <w:proofErr w:type="spellStart"/>
      <w:r>
        <w:t>IWA</w:t>
      </w:r>
      <w:proofErr w:type="spellEnd"/>
      <w:r>
        <w:t xml:space="preserve"> entitling Mr Reinhardt to give one week’s notice.</w:t>
      </w:r>
    </w:p>
    <w:p w:rsidR="000C61DE" w:rsidRDefault="004710B0" w:rsidP="000C61DE">
      <w:pPr>
        <w:pStyle w:val="ParaNumbering"/>
      </w:pPr>
      <w:r>
        <w:t xml:space="preserve">Accordingly, having regard to the facts as found by his Honour, as to the terms of the </w:t>
      </w:r>
      <w:r w:rsidR="00F4595F">
        <w:t xml:space="preserve">two year employment </w:t>
      </w:r>
      <w:r>
        <w:t>representation, qualified as they were by the proviso, and the collateral contract for a two year employment term</w:t>
      </w:r>
      <w:r w:rsidR="000C61DE">
        <w:t>, th</w:t>
      </w:r>
      <w:r w:rsidR="00F4595F">
        <w:t>e</w:t>
      </w:r>
      <w:r w:rsidR="000C61DE">
        <w:t>re was no basis on which</w:t>
      </w:r>
      <w:r>
        <w:t xml:space="preserve"> to award any damages for the alleged breach of </w:t>
      </w:r>
      <w:r w:rsidR="000C61DE">
        <w:t xml:space="preserve">contract or </w:t>
      </w:r>
      <w:r>
        <w:t>misleading or deceptive conduct.</w:t>
      </w:r>
      <w:r w:rsidR="00F4595F">
        <w:t xml:space="preserve">  In any event, his Honour’s calculation of damages cannot be sustained.</w:t>
      </w:r>
    </w:p>
    <w:p w:rsidR="000C61DE" w:rsidRDefault="000C61DE" w:rsidP="000C61DE">
      <w:pPr>
        <w:pStyle w:val="Heading2"/>
      </w:pPr>
      <w:r>
        <w:t>The damages for lost revenue award</w:t>
      </w:r>
    </w:p>
    <w:p w:rsidR="004710B0" w:rsidRDefault="000C61DE" w:rsidP="004710B0">
      <w:pPr>
        <w:pStyle w:val="ParaNumbering"/>
      </w:pPr>
      <w:r>
        <w:t>H</w:t>
      </w:r>
      <w:r w:rsidR="004710B0">
        <w:t xml:space="preserve">is Honour’s </w:t>
      </w:r>
      <w:r>
        <w:t xml:space="preserve">calculation </w:t>
      </w:r>
      <w:r w:rsidR="004710B0">
        <w:t xml:space="preserve">damages was based on an assessment of expectation damages for what Mill Estate would have earned had Mr Reinhardt performed in accordance with the two year </w:t>
      </w:r>
      <w:r>
        <w:t xml:space="preserve">employment representation or </w:t>
      </w:r>
      <w:r w:rsidR="004710B0">
        <w:t xml:space="preserve">term of </w:t>
      </w:r>
      <w:r>
        <w:t xml:space="preserve">the contract of </w:t>
      </w:r>
      <w:r w:rsidR="004710B0">
        <w:t xml:space="preserve">employment.  In </w:t>
      </w:r>
      <w:r w:rsidR="004710B0" w:rsidRPr="000C61DE">
        <w:rPr>
          <w:i/>
        </w:rPr>
        <w:t xml:space="preserve">Gates </w:t>
      </w:r>
      <w:r>
        <w:rPr>
          <w:i/>
        </w:rPr>
        <w:t>v</w:t>
      </w:r>
      <w:r w:rsidR="004710B0" w:rsidRPr="000C61DE">
        <w:rPr>
          <w:i/>
        </w:rPr>
        <w:t xml:space="preserve"> </w:t>
      </w:r>
      <w:r w:rsidR="006E4733">
        <w:rPr>
          <w:i/>
        </w:rPr>
        <w:t xml:space="preserve">The </w:t>
      </w:r>
      <w:r w:rsidR="004710B0" w:rsidRPr="000C61DE">
        <w:rPr>
          <w:i/>
        </w:rPr>
        <w:t>City Mutual Life Assurance Society Limited</w:t>
      </w:r>
      <w:r>
        <w:t xml:space="preserve"> (</w:t>
      </w:r>
      <w:r w:rsidR="004710B0">
        <w:t>1986</w:t>
      </w:r>
      <w:r>
        <w:t>)</w:t>
      </w:r>
      <w:r w:rsidR="004710B0">
        <w:t xml:space="preserve"> 160 </w:t>
      </w:r>
      <w:proofErr w:type="spellStart"/>
      <w:r w:rsidR="004710B0">
        <w:t>CLR</w:t>
      </w:r>
      <w:proofErr w:type="spellEnd"/>
      <w:r w:rsidR="004710B0">
        <w:t xml:space="preserve"> 1 at 11</w:t>
      </w:r>
      <w:r>
        <w:t>-</w:t>
      </w:r>
      <w:r w:rsidR="004710B0">
        <w:t>12, Mason</w:t>
      </w:r>
      <w:r>
        <w:t>,</w:t>
      </w:r>
      <w:r w:rsidR="006E4733">
        <w:t xml:space="preserve"> Wilson and D</w:t>
      </w:r>
      <w:r w:rsidR="004710B0">
        <w:t>a</w:t>
      </w:r>
      <w:r w:rsidR="006E4733">
        <w:t>wso</w:t>
      </w:r>
      <w:r w:rsidR="004710B0">
        <w:t xml:space="preserve">n </w:t>
      </w:r>
      <w:proofErr w:type="spellStart"/>
      <w:r>
        <w:t>J</w:t>
      </w:r>
      <w:r w:rsidR="004710B0">
        <w:t>J</w:t>
      </w:r>
      <w:proofErr w:type="spellEnd"/>
      <w:r w:rsidR="004710B0">
        <w:t xml:space="preserve"> discussed the two established measures of damages applicable in contract and tort in the context of discussing what mi</w:t>
      </w:r>
      <w:r>
        <w:t>ght be recoverable under s</w:t>
      </w:r>
      <w:r w:rsidR="004710B0">
        <w:t xml:space="preserve"> 82 of the </w:t>
      </w:r>
      <w:r w:rsidR="004710B0" w:rsidRPr="000C61DE">
        <w:rPr>
          <w:i/>
        </w:rPr>
        <w:t>Trade Practices Act</w:t>
      </w:r>
      <w:r w:rsidR="004710B0">
        <w:t>.  They said that:</w:t>
      </w:r>
    </w:p>
    <w:p w:rsidR="004710B0" w:rsidRDefault="000C61DE" w:rsidP="000C61DE">
      <w:pPr>
        <w:pStyle w:val="Quote1"/>
      </w:pPr>
      <w:r>
        <w:t>“</w:t>
      </w:r>
      <w:r w:rsidRPr="000C61DE">
        <w:t>In contract, damages are awarded with the object of placing the plaintiff in the position in which he would have been had the contract been</w:t>
      </w:r>
      <w:r w:rsidR="006E4733">
        <w:t xml:space="preserve"> performed –</w:t>
      </w:r>
      <w:r w:rsidRPr="000C61DE">
        <w:t xml:space="preserve"> he is entitled to damages for loss of bargain (expectation loss) and damage suffered, including expenditure incurred, in reliance on the contract (reliance loss). In tort, on the other hand, damages are awarded with the object of placing the plaintiff in the position in which he would have been had the tort not been committed (similar to reliance loss).</w:t>
      </w:r>
      <w:r>
        <w:t>”</w:t>
      </w:r>
    </w:p>
    <w:p w:rsidR="000C61DE" w:rsidRDefault="000C61DE" w:rsidP="000C61DE">
      <w:pPr>
        <w:pStyle w:val="Quote1"/>
      </w:pPr>
    </w:p>
    <w:p w:rsidR="004710B0" w:rsidRDefault="004710B0" w:rsidP="000C61DE">
      <w:pPr>
        <w:pStyle w:val="ParaNumbering"/>
      </w:pPr>
      <w:r>
        <w:t xml:space="preserve">The </w:t>
      </w:r>
      <w:r w:rsidR="000C61DE">
        <w:t xml:space="preserve">trial </w:t>
      </w:r>
      <w:r>
        <w:t>judge had evidence from accountants called by both parties before him.  Importantly, Mill Estate made no attempt to prove</w:t>
      </w:r>
      <w:r w:rsidR="000C61DE">
        <w:t>,</w:t>
      </w:r>
      <w:r>
        <w:t xml:space="preserve"> </w:t>
      </w:r>
      <w:r w:rsidRPr="000C61DE">
        <w:rPr>
          <w:i/>
        </w:rPr>
        <w:t>first</w:t>
      </w:r>
      <w:r w:rsidR="000C61DE">
        <w:t>,</w:t>
      </w:r>
      <w:r w:rsidR="00630CE1">
        <w:t xml:space="preserve"> </w:t>
      </w:r>
      <w:r>
        <w:t>what it</w:t>
      </w:r>
      <w:r w:rsidR="00630CE1">
        <w:t>,</w:t>
      </w:r>
      <w:r>
        <w:t xml:space="preserve"> in fact</w:t>
      </w:r>
      <w:r w:rsidR="00630CE1">
        <w:t xml:space="preserve">, had </w:t>
      </w:r>
      <w:r>
        <w:t xml:space="preserve">earned over the </w:t>
      </w:r>
      <w:r w:rsidR="00630CE1">
        <w:t xml:space="preserve">remainder of the </w:t>
      </w:r>
      <w:r>
        <w:t xml:space="preserve">two year term of the contract </w:t>
      </w:r>
      <w:r w:rsidR="00630CE1">
        <w:t xml:space="preserve">that </w:t>
      </w:r>
      <w:r>
        <w:t>it asserted</w:t>
      </w:r>
      <w:r w:rsidR="00630CE1">
        <w:t xml:space="preserve"> Mr Reinhardt should have </w:t>
      </w:r>
      <w:r w:rsidR="00630CE1">
        <w:lastRenderedPageBreak/>
        <w:t xml:space="preserve">served.  It should have used those figures as a basis </w:t>
      </w:r>
      <w:r>
        <w:t xml:space="preserve">to compare its position with what it would have been </w:t>
      </w:r>
      <w:r w:rsidR="00630CE1">
        <w:t xml:space="preserve">in </w:t>
      </w:r>
      <w:r>
        <w:t xml:space="preserve">had Mr Reinhardt </w:t>
      </w:r>
      <w:r w:rsidR="00630CE1">
        <w:t>performed</w:t>
      </w:r>
      <w:r>
        <w:t xml:space="preserve"> as promised</w:t>
      </w:r>
      <w:r w:rsidR="00630CE1">
        <w:t xml:space="preserve"> after deducting the remuneration that he would have been paid a commission of 68% and 9% to his employer contribution superannuation</w:t>
      </w:r>
      <w:r>
        <w:t xml:space="preserve">, </w:t>
      </w:r>
      <w:r w:rsidR="00630CE1">
        <w:t xml:space="preserve">that was significantly greater than the about 40% commission payable to the </w:t>
      </w:r>
      <w:r>
        <w:t>ordinary sales</w:t>
      </w:r>
      <w:r w:rsidR="00630CE1">
        <w:t xml:space="preserve"> persons it had employed</w:t>
      </w:r>
      <w:r>
        <w:t>.</w:t>
      </w:r>
    </w:p>
    <w:p w:rsidR="004710B0" w:rsidRDefault="004710B0" w:rsidP="004710B0">
      <w:pPr>
        <w:pStyle w:val="ParaNumbering"/>
      </w:pPr>
      <w:r>
        <w:t>In my opinion, Mill Estate failed to adduce precise</w:t>
      </w:r>
      <w:r w:rsidR="00630CE1">
        <w:t>,</w:t>
      </w:r>
      <w:r>
        <w:t xml:space="preserve"> or reasonably precise</w:t>
      </w:r>
      <w:r w:rsidR="00630CE1">
        <w:t>,</w:t>
      </w:r>
      <w:r>
        <w:t xml:space="preserve"> evidence of the loss when it was able to do so</w:t>
      </w:r>
      <w:r w:rsidR="00630CE1">
        <w:t>,</w:t>
      </w:r>
      <w:r>
        <w:t xml:space="preserve"> </w:t>
      </w:r>
      <w:r w:rsidR="00630CE1">
        <w:t>b</w:t>
      </w:r>
      <w:r>
        <w:t xml:space="preserve">ecause it did not identify what it in fact earned, </w:t>
      </w:r>
      <w:r w:rsidR="00630CE1">
        <w:t xml:space="preserve">so as to compare whatever benefit </w:t>
      </w:r>
      <w:r>
        <w:t xml:space="preserve">Mr Reinhardt </w:t>
      </w:r>
      <w:r w:rsidR="00630CE1">
        <w:t xml:space="preserve">would have made to its net revenue had he </w:t>
      </w:r>
      <w:r>
        <w:t xml:space="preserve">continued to work for it </w:t>
      </w:r>
      <w:r w:rsidR="00630CE1">
        <w:t>with what it actually earned</w:t>
      </w:r>
      <w:r>
        <w:t xml:space="preserve">.  </w:t>
      </w:r>
      <w:r w:rsidR="00630CE1">
        <w:t>T</w:t>
      </w:r>
      <w:r>
        <w:t xml:space="preserve">hat evidence </w:t>
      </w:r>
      <w:r w:rsidR="00630CE1">
        <w:t xml:space="preserve">was available from Mill Estate’s records </w:t>
      </w:r>
      <w:r w:rsidR="00F4595F">
        <w:t xml:space="preserve">for </w:t>
      </w:r>
      <w:r w:rsidR="00630CE1">
        <w:t>the financial years ended 30 June 2007, 2008 and 2009</w:t>
      </w:r>
      <w:r>
        <w:t xml:space="preserve"> </w:t>
      </w:r>
      <w:r w:rsidR="00630CE1">
        <w:t xml:space="preserve">at </w:t>
      </w:r>
      <w:r>
        <w:t>the trial</w:t>
      </w:r>
      <w:r w:rsidR="00630CE1">
        <w:t xml:space="preserve">. </w:t>
      </w:r>
      <w:r>
        <w:t xml:space="preserve"> </w:t>
      </w:r>
      <w:r w:rsidR="00630CE1">
        <w:t>I</w:t>
      </w:r>
      <w:r>
        <w:t xml:space="preserve">n </w:t>
      </w:r>
      <w:r w:rsidRPr="00630CE1">
        <w:rPr>
          <w:i/>
        </w:rPr>
        <w:t>Catalano v Managing Australia Destinations Pty Ltd</w:t>
      </w:r>
      <w:r>
        <w:t xml:space="preserve"> [2014] </w:t>
      </w:r>
      <w:proofErr w:type="spellStart"/>
      <w:r>
        <w:t>FCAFC</w:t>
      </w:r>
      <w:proofErr w:type="spellEnd"/>
      <w:r>
        <w:t xml:space="preserve"> 55</w:t>
      </w:r>
      <w:r w:rsidR="00630CE1">
        <w:t xml:space="preserve"> at [31]</w:t>
      </w:r>
      <w:r>
        <w:t xml:space="preserve">, </w:t>
      </w:r>
      <w:proofErr w:type="spellStart"/>
      <w:r>
        <w:t>Siopis</w:t>
      </w:r>
      <w:proofErr w:type="spellEnd"/>
      <w:r>
        <w:t xml:space="preserve">, </w:t>
      </w:r>
      <w:r w:rsidR="00630CE1">
        <w:t>Rares and Davies </w:t>
      </w:r>
      <w:proofErr w:type="spellStart"/>
      <w:r>
        <w:t>JJ</w:t>
      </w:r>
      <w:proofErr w:type="spellEnd"/>
      <w:r>
        <w:t xml:space="preserve"> </w:t>
      </w:r>
      <w:r w:rsidR="00F4595F">
        <w:t>said</w:t>
      </w:r>
      <w:r>
        <w:t xml:space="preserve">: </w:t>
      </w:r>
    </w:p>
    <w:p w:rsidR="00630CE1" w:rsidRDefault="00657CA2" w:rsidP="00630CE1">
      <w:pPr>
        <w:pStyle w:val="Quote1"/>
      </w:pPr>
      <w:r>
        <w:t>“</w:t>
      </w:r>
      <w:r w:rsidR="00630CE1">
        <w:t xml:space="preserve">It was for the </w:t>
      </w:r>
      <w:proofErr w:type="spellStart"/>
      <w:r w:rsidR="00630CE1">
        <w:t>Kurth</w:t>
      </w:r>
      <w:proofErr w:type="spellEnd"/>
      <w:r w:rsidR="00630CE1">
        <w:t>/</w:t>
      </w:r>
      <w:proofErr w:type="spellStart"/>
      <w:r w:rsidR="00630CE1">
        <w:t>Hepner</w:t>
      </w:r>
      <w:proofErr w:type="spellEnd"/>
      <w:r w:rsidR="00630CE1">
        <w:t xml:space="preserve"> camp to prove the amount of loss or damage that they claimed Fine Food </w:t>
      </w:r>
      <w:proofErr w:type="spellStart"/>
      <w:r w:rsidR="00630CE1">
        <w:t>Solutzion</w:t>
      </w:r>
      <w:proofErr w:type="spellEnd"/>
      <w:r w:rsidR="00630CE1">
        <w:t xml:space="preserve"> suffered. In our opinion, the primary judge erred in awarding any damages on the cross-claim. That was because the </w:t>
      </w:r>
      <w:proofErr w:type="spellStart"/>
      <w:r w:rsidR="00630CE1">
        <w:t>Kurth</w:t>
      </w:r>
      <w:proofErr w:type="spellEnd"/>
      <w:r w:rsidR="00630CE1">
        <w:t>/</w:t>
      </w:r>
      <w:proofErr w:type="spellStart"/>
      <w:r w:rsidR="00630CE1">
        <w:t>Hepner</w:t>
      </w:r>
      <w:proofErr w:type="spellEnd"/>
      <w:r w:rsidR="00630CE1">
        <w:t xml:space="preserve"> camp </w:t>
      </w:r>
      <w:r w:rsidR="00630CE1" w:rsidRPr="00F4595F">
        <w:rPr>
          <w:b/>
        </w:rPr>
        <w:t>failed to adduce precise or reasonably precise evidence of loss when they were able to do so</w:t>
      </w:r>
      <w:r w:rsidR="00630CE1">
        <w:t xml:space="preserve">: </w:t>
      </w:r>
      <w:r w:rsidR="00630CE1" w:rsidRPr="00657CA2">
        <w:rPr>
          <w:i/>
        </w:rPr>
        <w:t>Placer (Granny Smith) Pty Ltd v Thiess Contractors Pty Ltd</w:t>
      </w:r>
      <w:r w:rsidR="00630CE1">
        <w:t xml:space="preserve"> (2003) 196 </w:t>
      </w:r>
      <w:proofErr w:type="spellStart"/>
      <w:r w:rsidR="00630CE1">
        <w:t>ALR</w:t>
      </w:r>
      <w:proofErr w:type="spellEnd"/>
      <w:r w:rsidR="00630CE1">
        <w:t xml:space="preserve"> 257; [2003] HCA 10 at [37]-[38] per Hayne J with whom Gleeson CJ, McHugh and Kirby </w:t>
      </w:r>
      <w:proofErr w:type="spellStart"/>
      <w:r w:rsidR="00630CE1">
        <w:t>JJ</w:t>
      </w:r>
      <w:proofErr w:type="spellEnd"/>
      <w:r w:rsidR="00630CE1">
        <w:t xml:space="preserve"> agreed. In </w:t>
      </w:r>
      <w:r w:rsidR="00630CE1" w:rsidRPr="00657CA2">
        <w:rPr>
          <w:i/>
        </w:rPr>
        <w:t>Ted Brown Quarries Pty Ltd v General Quarries (Gilston Pty Ltd)</w:t>
      </w:r>
      <w:r w:rsidR="00630CE1">
        <w:t xml:space="preserve"> (1977) 16 </w:t>
      </w:r>
      <w:proofErr w:type="spellStart"/>
      <w:r w:rsidR="00630CE1">
        <w:t>ALR</w:t>
      </w:r>
      <w:proofErr w:type="spellEnd"/>
      <w:r w:rsidR="00630CE1">
        <w:t xml:space="preserve"> 23 at 37 Gibbs J, with whom </w:t>
      </w:r>
      <w:proofErr w:type="spellStart"/>
      <w:r w:rsidR="00630CE1">
        <w:t>Aickin</w:t>
      </w:r>
      <w:proofErr w:type="spellEnd"/>
      <w:r w:rsidR="00630CE1">
        <w:t xml:space="preserve"> J agreed, said that </w:t>
      </w:r>
      <w:r w:rsidR="00630CE1" w:rsidRPr="00F4595F">
        <w:rPr>
          <w:b/>
        </w:rPr>
        <w:t>where there was no evidence, or no evidence that the trial judge was bound to accept, as to the value of an asset, there would be no basis on which the judge was entitled to make a jury assessment as to the value</w:t>
      </w:r>
      <w:r w:rsidR="00630CE1">
        <w:t>. He said:</w:t>
      </w:r>
    </w:p>
    <w:p w:rsidR="00630CE1" w:rsidRDefault="00630CE1" w:rsidP="00630CE1">
      <w:pPr>
        <w:pStyle w:val="Quote1"/>
      </w:pPr>
    </w:p>
    <w:p w:rsidR="00630CE1" w:rsidRDefault="00630CE1" w:rsidP="00657CA2">
      <w:pPr>
        <w:pStyle w:val="Quote2"/>
      </w:pPr>
      <w:r>
        <w:t xml:space="preserve">The case was not one in which the matter had necessarily to be left to the opinion and judgment of the court, acting at large, as is the case, for example, in the assessment of damages for personal injuries. </w:t>
      </w:r>
      <w:r w:rsidRPr="00F4595F">
        <w:rPr>
          <w:b/>
        </w:rPr>
        <w:t>It was possible, in the circumstances, to prove, with some degree of certainty and precision, the value of the property purchased, and it was not unreasonable to expect General Quarries to call acceptable e</w:t>
      </w:r>
      <w:r w:rsidR="006E4733">
        <w:rPr>
          <w:b/>
        </w:rPr>
        <w:t>vidence as to the value of the ‘resource’</w:t>
      </w:r>
      <w:r w:rsidRPr="00F4595F">
        <w:rPr>
          <w:b/>
        </w:rPr>
        <w:t>. General Quarries failed to discharge the burd</w:t>
      </w:r>
      <w:r w:rsidR="00657CA2" w:rsidRPr="00F4595F">
        <w:rPr>
          <w:b/>
        </w:rPr>
        <w:t>en of proof that rested upon it</w:t>
      </w:r>
      <w:r w:rsidRPr="00F4595F">
        <w:rPr>
          <w:b/>
        </w:rPr>
        <w:t>.</w:t>
      </w:r>
      <w:r w:rsidR="00657CA2">
        <w:t xml:space="preserve">”  </w:t>
      </w:r>
      <w:r>
        <w:t>(emphasis added)</w:t>
      </w:r>
    </w:p>
    <w:p w:rsidR="004710B0" w:rsidRDefault="004710B0" w:rsidP="00630CE1">
      <w:pPr>
        <w:pStyle w:val="Quote1"/>
      </w:pPr>
    </w:p>
    <w:p w:rsidR="00657CA2" w:rsidRDefault="00657CA2" w:rsidP="00657CA2">
      <w:pPr>
        <w:pStyle w:val="ParaNumbering"/>
      </w:pPr>
      <w:r>
        <w:t xml:space="preserve">Here, it was not unreasonable to expect </w:t>
      </w:r>
      <w:r w:rsidR="004710B0">
        <w:t>Mill Estate</w:t>
      </w:r>
      <w:r>
        <w:t xml:space="preserve"> to call acceptable evidence of its actual financial performance rather than have assumptions made about </w:t>
      </w:r>
      <w:r w:rsidR="00F4595F">
        <w:t xml:space="preserve">it </w:t>
      </w:r>
      <w:r>
        <w:t>by its expert with which he then compared with the hypothetical position had Mr Reinhardt worked during the subsequent 18 or so months</w:t>
      </w:r>
      <w:r w:rsidR="004710B0">
        <w:t>.</w:t>
      </w:r>
    </w:p>
    <w:p w:rsidR="00657CA2" w:rsidRDefault="004710B0" w:rsidP="00657CA2">
      <w:pPr>
        <w:pStyle w:val="ParaNumbering"/>
      </w:pPr>
      <w:r>
        <w:t xml:space="preserve">However, having regard to the conclusion that I have come </w:t>
      </w:r>
      <w:r w:rsidR="00F4595F">
        <w:t xml:space="preserve">to, </w:t>
      </w:r>
      <w:r>
        <w:t xml:space="preserve">that no contractual term </w:t>
      </w:r>
      <w:r w:rsidR="00657CA2">
        <w:t xml:space="preserve">or representation </w:t>
      </w:r>
      <w:r>
        <w:t xml:space="preserve">was </w:t>
      </w:r>
      <w:r w:rsidR="00657CA2">
        <w:t xml:space="preserve">proved that </w:t>
      </w:r>
      <w:r>
        <w:t>entitl</w:t>
      </w:r>
      <w:r w:rsidR="00657CA2">
        <w:t>ed</w:t>
      </w:r>
      <w:r>
        <w:t xml:space="preserve"> an award of damages, it is not necessary to deal in any further detail with that</w:t>
      </w:r>
      <w:r w:rsidR="00657CA2">
        <w:t xml:space="preserve"> assessment.</w:t>
      </w:r>
    </w:p>
    <w:p w:rsidR="00657CA2" w:rsidRDefault="00657CA2" w:rsidP="00657CA2">
      <w:pPr>
        <w:pStyle w:val="Heading2"/>
      </w:pPr>
      <w:r>
        <w:lastRenderedPageBreak/>
        <w:t>The transaction cost damages award</w:t>
      </w:r>
    </w:p>
    <w:p w:rsidR="00F4595F" w:rsidRDefault="00657CA2" w:rsidP="004710B0">
      <w:pPr>
        <w:pStyle w:val="ParaNumbering"/>
      </w:pPr>
      <w:r>
        <w:t>Finally</w:t>
      </w:r>
      <w:r w:rsidR="004710B0">
        <w:t>, the trial judge awarded transaction costs to Mill Estate on the basis, so he said</w:t>
      </w:r>
      <w:r>
        <w:t>,</w:t>
      </w:r>
      <w:r w:rsidR="004710B0">
        <w:t xml:space="preserve"> that</w:t>
      </w:r>
      <w:r w:rsidR="00F4595F">
        <w:t>:</w:t>
      </w:r>
    </w:p>
    <w:p w:rsidR="004710B0" w:rsidRDefault="00F4595F" w:rsidP="00F4595F">
      <w:pPr>
        <w:pStyle w:val="Quote1"/>
      </w:pPr>
      <w:r>
        <w:t>“</w:t>
      </w:r>
      <w:r w:rsidR="006E4733">
        <w:t>I</w:t>
      </w:r>
      <w:r w:rsidR="004710B0">
        <w:t>t follow</w:t>
      </w:r>
      <w:r w:rsidR="006E4733">
        <w:t>s</w:t>
      </w:r>
      <w:r w:rsidR="004710B0">
        <w:t xml:space="preserve"> that</w:t>
      </w:r>
      <w:r w:rsidR="006E4733">
        <w:t>,</w:t>
      </w:r>
      <w:r w:rsidR="00657CA2">
        <w:t xml:space="preserve"> </w:t>
      </w:r>
      <w:r w:rsidR="004710B0">
        <w:t xml:space="preserve">notwithstanding the fact that it </w:t>
      </w:r>
      <w:r w:rsidR="006E4733">
        <w:t xml:space="preserve">[Mill Estate] </w:t>
      </w:r>
      <w:r w:rsidR="004710B0">
        <w:t xml:space="preserve">received some value for its consideration, the </w:t>
      </w:r>
      <w:r w:rsidR="006E4733">
        <w:t>A</w:t>
      </w:r>
      <w:r w:rsidR="004710B0">
        <w:t>pplicant did incur an expense that it otherwise would not have. In my view it is entitled to be compensated for this outlay.</w:t>
      </w:r>
      <w:r>
        <w:t>”</w:t>
      </w:r>
    </w:p>
    <w:p w:rsidR="00F4595F" w:rsidRDefault="00F4595F" w:rsidP="00F4595F">
      <w:pPr>
        <w:pStyle w:val="Quote1"/>
      </w:pPr>
    </w:p>
    <w:p w:rsidR="00657CA2" w:rsidRDefault="004710B0" w:rsidP="00657CA2">
      <w:pPr>
        <w:pStyle w:val="ParaNumbering"/>
      </w:pPr>
      <w:r>
        <w:t xml:space="preserve">That </w:t>
      </w:r>
      <w:r w:rsidR="00657CA2">
        <w:t xml:space="preserve">finding </w:t>
      </w:r>
      <w:r>
        <w:t xml:space="preserve">was contrary to </w:t>
      </w:r>
      <w:r w:rsidR="006E4733">
        <w:t>well-</w:t>
      </w:r>
      <w:r w:rsidR="00657CA2">
        <w:t>established principle</w:t>
      </w:r>
      <w:r>
        <w:t xml:space="preserve">.  The only basis upon which transaction costs could be awarded </w:t>
      </w:r>
      <w:r w:rsidR="00657CA2">
        <w:t xml:space="preserve">as damages </w:t>
      </w:r>
      <w:r>
        <w:t xml:space="preserve">would be in a case where the consideration </w:t>
      </w:r>
      <w:r w:rsidR="00657CA2">
        <w:t xml:space="preserve">for the transaction </w:t>
      </w:r>
      <w:r>
        <w:t>had entirely failed due to circumstances in which</w:t>
      </w:r>
      <w:r w:rsidR="00657CA2">
        <w:t>,</w:t>
      </w:r>
      <w:r>
        <w:t xml:space="preserve"> through no fault of the purchaser, it was necessary for it to be recompensed </w:t>
      </w:r>
      <w:r w:rsidR="00657CA2">
        <w:t xml:space="preserve">for </w:t>
      </w:r>
      <w:r>
        <w:t>loss</w:t>
      </w:r>
      <w:r w:rsidR="00657CA2">
        <w:t xml:space="preserve">:  </w:t>
      </w:r>
      <w:r w:rsidR="00657CA2" w:rsidRPr="00657CA2">
        <w:rPr>
          <w:i/>
        </w:rPr>
        <w:t>Baltic Shipping Company v Dillon</w:t>
      </w:r>
      <w:r w:rsidR="00657CA2">
        <w:t xml:space="preserve"> (1993) 176 </w:t>
      </w:r>
      <w:proofErr w:type="spellStart"/>
      <w:r w:rsidR="00657CA2">
        <w:t>CLR</w:t>
      </w:r>
      <w:proofErr w:type="spellEnd"/>
      <w:r w:rsidR="00657CA2">
        <w:t xml:space="preserve"> 344</w:t>
      </w:r>
      <w:r>
        <w:t xml:space="preserve">.  Here, the transaction </w:t>
      </w:r>
      <w:r w:rsidR="00F4595F">
        <w:t xml:space="preserve">did </w:t>
      </w:r>
      <w:r>
        <w:t>not fail</w:t>
      </w:r>
      <w:r w:rsidR="00657CA2">
        <w:t>.</w:t>
      </w:r>
      <w:r w:rsidR="00F4595F">
        <w:t xml:space="preserve"> </w:t>
      </w:r>
      <w:r w:rsidR="00657CA2">
        <w:t xml:space="preserve"> </w:t>
      </w:r>
      <w:r w:rsidR="00F4595F">
        <w:t xml:space="preserve">Rather, </w:t>
      </w:r>
      <w:r>
        <w:t>Mill Estate affirmed and sued on the transaction</w:t>
      </w:r>
      <w:r w:rsidR="00657CA2">
        <w:t xml:space="preserve"> in which property and valuable consideration had passed to it and which it continued to retain.  That is, it </w:t>
      </w:r>
      <w:r w:rsidR="006E4733">
        <w:t xml:space="preserve">received a </w:t>
      </w:r>
      <w:r w:rsidR="00657CA2">
        <w:t xml:space="preserve">benefit from </w:t>
      </w:r>
      <w:r w:rsidR="006E4733">
        <w:t xml:space="preserve">the </w:t>
      </w:r>
      <w:r w:rsidR="00657CA2">
        <w:t>transaction</w:t>
      </w:r>
      <w:r>
        <w:t xml:space="preserve">.  There was no basis in accordance with settled principle for </w:t>
      </w:r>
      <w:r w:rsidR="00657CA2">
        <w:t xml:space="preserve">his Honour </w:t>
      </w:r>
      <w:r>
        <w:t xml:space="preserve">to </w:t>
      </w:r>
      <w:r w:rsidR="00657CA2">
        <w:t>award</w:t>
      </w:r>
      <w:r>
        <w:t xml:space="preserve"> any</w:t>
      </w:r>
      <w:r w:rsidR="00657CA2">
        <w:t xml:space="preserve"> amount for transaction costs.</w:t>
      </w:r>
    </w:p>
    <w:p w:rsidR="00657CA2" w:rsidRDefault="00657CA2" w:rsidP="00657CA2">
      <w:pPr>
        <w:pStyle w:val="Heading2"/>
      </w:pPr>
      <w:r>
        <w:t>Conclusion</w:t>
      </w:r>
    </w:p>
    <w:p w:rsidR="004710B0" w:rsidRDefault="004710B0" w:rsidP="00657CA2">
      <w:pPr>
        <w:pStyle w:val="ParaNumbering"/>
      </w:pPr>
      <w:r>
        <w:t>For these reasons, I</w:t>
      </w:r>
      <w:r w:rsidR="00657CA2">
        <w:t xml:space="preserve"> a</w:t>
      </w:r>
      <w:r>
        <w:t xml:space="preserve">m of opinion </w:t>
      </w:r>
      <w:r w:rsidR="00657CA2">
        <w:t xml:space="preserve">that </w:t>
      </w:r>
      <w:r>
        <w:t xml:space="preserve">the appeal succeeds and that the two </w:t>
      </w:r>
      <w:r w:rsidR="00657CA2">
        <w:t xml:space="preserve">challenged </w:t>
      </w:r>
      <w:r>
        <w:t xml:space="preserve">sums awarded by the trial judge for </w:t>
      </w:r>
      <w:r w:rsidR="00F4595F">
        <w:t>damages and transaction costs canno</w:t>
      </w:r>
      <w:r>
        <w:t xml:space="preserve">t be sustained. </w:t>
      </w:r>
    </w:p>
    <w:p w:rsidR="004710B0" w:rsidRDefault="004710B0" w:rsidP="00657CA2">
      <w:pPr>
        <w:pStyle w:val="ParaNumbering"/>
      </w:pPr>
      <w:r>
        <w:t xml:space="preserve">The trial judge found that Mr Reinhardt </w:t>
      </w:r>
      <w:r w:rsidR="00657CA2">
        <w:t xml:space="preserve">had </w:t>
      </w:r>
      <w:r>
        <w:t xml:space="preserve">established his cross-claim </w:t>
      </w:r>
      <w:r w:rsidR="00657CA2">
        <w:t xml:space="preserve">in </w:t>
      </w:r>
      <w:r>
        <w:t>the sum of $42,660</w:t>
      </w:r>
      <w:r w:rsidR="006E4733">
        <w:t>.06</w:t>
      </w:r>
      <w:r>
        <w:t xml:space="preserve">.  </w:t>
      </w:r>
      <w:r w:rsidR="004C5470">
        <w:t xml:space="preserve">His Honour </w:t>
      </w:r>
      <w:r>
        <w:t xml:space="preserve">netted off the damages </w:t>
      </w:r>
      <w:r w:rsidR="004C5470">
        <w:t xml:space="preserve">of $124,726 (that included another sum that was not challenged on appeal) </w:t>
      </w:r>
      <w:r>
        <w:t>that he found in favour of Mill Estate against the $42,660</w:t>
      </w:r>
      <w:r w:rsidR="006E4733">
        <w:t>.06</w:t>
      </w:r>
      <w:r>
        <w:t xml:space="preserve">, </w:t>
      </w:r>
      <w:r w:rsidR="004C5470">
        <w:t xml:space="preserve">and </w:t>
      </w:r>
      <w:r>
        <w:t>award</w:t>
      </w:r>
      <w:r w:rsidR="004C5470">
        <w:t>ed</w:t>
      </w:r>
      <w:r>
        <w:t xml:space="preserve"> a net sum of $82,065.94 in favour of Mill Estate.  Having regard to my findings, which dealt only with those parts of </w:t>
      </w:r>
      <w:r w:rsidR="006E4733">
        <w:t>the trial judge’s award that were</w:t>
      </w:r>
      <w:r>
        <w:t xml:space="preserve"> challenged, that leaves a balance now between the parties of $2</w:t>
      </w:r>
      <w:r w:rsidR="00F4595F">
        <w:t>,</w:t>
      </w:r>
      <w:r>
        <w:t>065 being due by Mr Reinhardt and the trustee to Mill Estate.</w:t>
      </w:r>
      <w:r w:rsidR="004C5470">
        <w:t xml:space="preserve">  The trial judge’s award of damages must be reduced to that amount.</w:t>
      </w:r>
    </w:p>
    <w:p w:rsidR="004C5470" w:rsidRDefault="004C5470" w:rsidP="00657CA2">
      <w:pPr>
        <w:pStyle w:val="ParaNumbering"/>
      </w:pPr>
      <w:r>
        <w:t>Having regard to the outcome of the appeal, I am of opinion that there should be no order for costs of the trial or the appeal.</w:t>
      </w:r>
    </w:p>
    <w:p w:rsidR="004C5470" w:rsidRDefault="004C5470">
      <w:bookmarkStart w:id="25" w:name="Certification"/>
    </w:p>
    <w:p w:rsidR="00664E6A" w:rsidRDefault="00664E6A"/>
    <w:p w:rsidR="00664E6A" w:rsidRDefault="00664E6A"/>
    <w:tbl>
      <w:tblPr>
        <w:tblW w:w="0" w:type="auto"/>
        <w:tblLook w:val="04A0" w:firstRow="1" w:lastRow="0" w:firstColumn="1" w:lastColumn="0" w:noHBand="0" w:noVBand="1"/>
      </w:tblPr>
      <w:tblGrid>
        <w:gridCol w:w="3794"/>
      </w:tblGrid>
      <w:tr w:rsidR="004C5470" w:rsidRPr="004C5470">
        <w:tc>
          <w:tcPr>
            <w:tcW w:w="3794" w:type="dxa"/>
            <w:shd w:val="clear" w:color="auto" w:fill="auto"/>
          </w:tcPr>
          <w:p w:rsidR="004C5470" w:rsidRPr="004C5470" w:rsidRDefault="004C5470" w:rsidP="004C5470">
            <w:pPr>
              <w:pStyle w:val="Normal1linespace"/>
              <w:jc w:val="left"/>
            </w:pPr>
            <w:r w:rsidRPr="004C5470">
              <w:lastRenderedPageBreak/>
              <w:t xml:space="preserve">I certify that the preceding </w:t>
            </w:r>
            <w:bookmarkStart w:id="26" w:name="NumberWord"/>
            <w:r w:rsidR="00F4595F">
              <w:t>fifty-three</w:t>
            </w:r>
            <w:bookmarkEnd w:id="26"/>
            <w:r w:rsidRPr="004C5470">
              <w:t xml:space="preserve"> (</w:t>
            </w:r>
            <w:bookmarkStart w:id="27" w:name="NumberNumeral"/>
            <w:r w:rsidR="00F4595F">
              <w:t>53</w:t>
            </w:r>
            <w:bookmarkEnd w:id="27"/>
            <w:r w:rsidRPr="004C5470">
              <w:t xml:space="preserve">) numbered </w:t>
            </w:r>
            <w:bookmarkStart w:id="28" w:name="CertPara"/>
            <w:r w:rsidR="00F4595F">
              <w:t>paragraphs are</w:t>
            </w:r>
            <w:bookmarkEnd w:id="28"/>
            <w:r w:rsidRPr="004C5470">
              <w:t xml:space="preserve"> a true copy of the Reasons for Judgment herein of the Honourable </w:t>
            </w:r>
            <w:bookmarkStart w:id="29" w:name="Justice"/>
            <w:r>
              <w:t>Justice Rares</w:t>
            </w:r>
            <w:bookmarkEnd w:id="29"/>
            <w:r w:rsidRPr="004C5470">
              <w:t>.</w:t>
            </w:r>
          </w:p>
        </w:tc>
      </w:tr>
    </w:tbl>
    <w:p w:rsidR="004C5470" w:rsidRDefault="004C5470"/>
    <w:p w:rsidR="004C5470" w:rsidRDefault="004C5470"/>
    <w:p w:rsidR="004C5470" w:rsidRDefault="004C5470">
      <w:pPr>
        <w:suppressAutoHyphens/>
      </w:pPr>
      <w:r>
        <w:t>Associate:</w:t>
      </w:r>
    </w:p>
    <w:p w:rsidR="004C5470" w:rsidRDefault="004C5470">
      <w:pPr>
        <w:suppressAutoHyphens/>
      </w:pPr>
    </w:p>
    <w:p w:rsidR="004C5470" w:rsidRDefault="004C5470">
      <w:pPr>
        <w:suppressAutoHyphens/>
      </w:pPr>
    </w:p>
    <w:p w:rsidR="004C5470" w:rsidRDefault="004C5470">
      <w:pPr>
        <w:tabs>
          <w:tab w:val="left" w:pos="1134"/>
        </w:tabs>
        <w:suppressAutoHyphens/>
      </w:pPr>
      <w:r>
        <w:t>Dated:</w:t>
      </w:r>
      <w:r>
        <w:tab/>
      </w:r>
      <w:bookmarkStart w:id="30" w:name="CertifyDated"/>
      <w:r w:rsidR="00664E6A">
        <w:t xml:space="preserve">29 September </w:t>
      </w:r>
      <w:r>
        <w:t xml:space="preserve"> 2014</w:t>
      </w:r>
      <w:bookmarkEnd w:id="30"/>
    </w:p>
    <w:p w:rsidR="004C5470" w:rsidRDefault="004C5470">
      <w:pPr>
        <w:suppressAutoHyphens/>
      </w:pPr>
    </w:p>
    <w:bookmarkEnd w:id="25"/>
    <w:sectPr w:rsidR="004C547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C4" w:rsidRDefault="00670EC4">
      <w:pPr>
        <w:spacing w:line="20" w:lineRule="exact"/>
      </w:pPr>
    </w:p>
    <w:p w:rsidR="00670EC4" w:rsidRDefault="00670EC4"/>
    <w:p w:rsidR="00670EC4" w:rsidRDefault="00670EC4"/>
  </w:endnote>
  <w:endnote w:type="continuationSeparator" w:id="0">
    <w:p w:rsidR="00670EC4" w:rsidRDefault="00670EC4">
      <w:r>
        <w:t xml:space="preserve"> </w:t>
      </w:r>
    </w:p>
    <w:p w:rsidR="00670EC4" w:rsidRDefault="00670EC4"/>
    <w:p w:rsidR="00670EC4" w:rsidRDefault="00670EC4"/>
  </w:endnote>
  <w:endnote w:type="continuationNotice" w:id="1">
    <w:p w:rsidR="00670EC4" w:rsidRDefault="00670EC4">
      <w:r>
        <w:t xml:space="preserve"> </w:t>
      </w:r>
    </w:p>
    <w:p w:rsidR="00670EC4" w:rsidRDefault="00670EC4"/>
    <w:p w:rsidR="00670EC4" w:rsidRDefault="00670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Pr="00664E6A" w:rsidRDefault="00670EC4" w:rsidP="00664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Pr="00664E6A" w:rsidRDefault="00670EC4" w:rsidP="00664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C4" w:rsidRDefault="00670EC4"/>
    <w:p w:rsidR="00670EC4" w:rsidRDefault="00670EC4"/>
    <w:p w:rsidR="00670EC4" w:rsidRDefault="00670EC4"/>
  </w:footnote>
  <w:footnote w:type="continuationSeparator" w:id="0">
    <w:p w:rsidR="00670EC4" w:rsidRDefault="00670EC4">
      <w:r>
        <w:continuationSeparator/>
      </w:r>
    </w:p>
    <w:p w:rsidR="00670EC4" w:rsidRDefault="00670EC4"/>
    <w:p w:rsidR="00670EC4" w:rsidRDefault="00670E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3541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pPr>
      <w:tabs>
        <w:tab w:val="center" w:pos="4512"/>
      </w:tabs>
      <w:suppressAutoHyphens/>
    </w:pPr>
    <w:r>
      <w:tab/>
      <w:t xml:space="preserve">- </w:t>
    </w:r>
    <w:r>
      <w:fldChar w:fldCharType="begin"/>
    </w:r>
    <w:r>
      <w:instrText>page \* arabic</w:instrText>
    </w:r>
    <w:r>
      <w:fldChar w:fldCharType="separate"/>
    </w:r>
    <w:r w:rsidR="009F7EB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pPr>
      <w:tabs>
        <w:tab w:val="center" w:pos="4512"/>
      </w:tabs>
      <w:suppressAutoHyphens/>
    </w:pPr>
    <w:r>
      <w:tab/>
      <w:t xml:space="preserve">- </w:t>
    </w:r>
    <w:r>
      <w:fldChar w:fldCharType="begin"/>
    </w:r>
    <w:r>
      <w:instrText>page \* arabic</w:instrText>
    </w:r>
    <w:r>
      <w:fldChar w:fldCharType="separate"/>
    </w:r>
    <w:r w:rsidR="00035418">
      <w:rPr>
        <w:noProof/>
      </w:rPr>
      <w:t>15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C4" w:rsidRDefault="00670EC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FE44127E"/>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3"/>
  </w:num>
  <w:num w:numId="19">
    <w:abstractNumId w:val="18"/>
  </w:num>
  <w:num w:numId="20">
    <w:abstractNumId w:val="15"/>
  </w:num>
  <w:num w:numId="21">
    <w:abstractNumId w:val="16"/>
  </w:num>
  <w:num w:numId="22">
    <w:abstractNumId w:val="20"/>
  </w:num>
  <w:num w:numId="23">
    <w:abstractNumId w:val="20"/>
  </w:num>
  <w:num w:numId="24">
    <w:abstractNumId w:val="20"/>
  </w:num>
  <w:num w:numId="25">
    <w:abstractNumId w:val="2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FCCA"/>
    <w:docVar w:name="Appellant" w:val="BRYAN REINHARDT|REINHARDT PTY LTD ACN 096 681 060 AS TRUSTEE FOR THE REINHARDT FAMILY TRUST"/>
    <w:docVar w:name="CounselParties" w:val="Respondent"/>
    <w:docVar w:name="CounselType" w:val="Solicitor for the "/>
    <w:docVar w:name="Division" w:val="GENERAL DIVISION"/>
    <w:docVar w:name="DocCreated" w:val="True"/>
    <w:docVar w:name="FileNumbers" w:val="QUD 266 of 2014"/>
    <w:docVar w:name="FullCourt" w:val="False"/>
    <w:docVar w:name="HearingDate" w:val="19 August 2014"/>
    <w:docVar w:name="Judgdate" w:val="#### 2014"/>
    <w:docVar w:name="Judge" w:val="RARES"/>
    <w:docVar w:name="JudgePlace" w:val="BRISBANE"/>
    <w:docVar w:name="lstEntryList" w:val="-1"/>
    <w:docVar w:name="myEntryList" w:val="Counsel for the Appellants=|Solicitor for the Appellants=|Counsel for the Respondent=|Solicitor for the Respondent="/>
    <w:docVar w:name="NSD" w:val="NSD QUD 266 of 2014"/>
    <w:docVar w:name="NumApps" w:val="1"/>
    <w:docVar w:name="NumApps_" w:val="1"/>
    <w:docVar w:name="NumJudges" w:val="Single Judge"/>
    <w:docVar w:name="Parties" w:val="Respondent"/>
    <w:docVar w:name="Place_SentenceCase" w:val="Brisbane"/>
    <w:docVar w:name="Respondent" w:val="MILL ESTATE HOLDINGS PTY LTD ACN 119 975 505"/>
    <w:docVar w:name="ResState" w:val="QUEENSLAND"/>
    <w:docVar w:name="Single" w:val="True"/>
  </w:docVars>
  <w:rsids>
    <w:rsidRoot w:val="00FE43F8"/>
    <w:rsid w:val="00016FBC"/>
    <w:rsid w:val="00030706"/>
    <w:rsid w:val="00035418"/>
    <w:rsid w:val="000B5FCC"/>
    <w:rsid w:val="000C61DE"/>
    <w:rsid w:val="000F4E68"/>
    <w:rsid w:val="00124D75"/>
    <w:rsid w:val="001344D7"/>
    <w:rsid w:val="001669D9"/>
    <w:rsid w:val="001C140F"/>
    <w:rsid w:val="002C2DA6"/>
    <w:rsid w:val="00322527"/>
    <w:rsid w:val="003626F9"/>
    <w:rsid w:val="00407893"/>
    <w:rsid w:val="00423896"/>
    <w:rsid w:val="004710B0"/>
    <w:rsid w:val="004C5470"/>
    <w:rsid w:val="00503E5A"/>
    <w:rsid w:val="00520BDE"/>
    <w:rsid w:val="00522488"/>
    <w:rsid w:val="005D3E4B"/>
    <w:rsid w:val="005E42FF"/>
    <w:rsid w:val="00630CE1"/>
    <w:rsid w:val="00657CA2"/>
    <w:rsid w:val="00664E6A"/>
    <w:rsid w:val="00670EC4"/>
    <w:rsid w:val="00673757"/>
    <w:rsid w:val="006E4733"/>
    <w:rsid w:val="00707BFC"/>
    <w:rsid w:val="007A3927"/>
    <w:rsid w:val="007B186E"/>
    <w:rsid w:val="007B6B57"/>
    <w:rsid w:val="007C2D17"/>
    <w:rsid w:val="007F1F78"/>
    <w:rsid w:val="008436BD"/>
    <w:rsid w:val="008B4625"/>
    <w:rsid w:val="00901688"/>
    <w:rsid w:val="009F7EB0"/>
    <w:rsid w:val="00B226AF"/>
    <w:rsid w:val="00B369BA"/>
    <w:rsid w:val="00C5255E"/>
    <w:rsid w:val="00C54A5B"/>
    <w:rsid w:val="00C7510A"/>
    <w:rsid w:val="00C90300"/>
    <w:rsid w:val="00D35549"/>
    <w:rsid w:val="00D711D8"/>
    <w:rsid w:val="00DD572F"/>
    <w:rsid w:val="00F22E63"/>
    <w:rsid w:val="00F4595F"/>
    <w:rsid w:val="00F95F37"/>
    <w:rsid w:val="00FE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18</Pages>
  <Words>6744</Words>
  <Characters>33184</Characters>
  <Application>Microsoft Office Word</Application>
  <DocSecurity>4</DocSecurity>
  <Lines>663</Lines>
  <Paragraphs>197</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Robyn Davies</dc:creator>
  <cp:lastModifiedBy>Craig Tudman</cp:lastModifiedBy>
  <cp:revision>2</cp:revision>
  <cp:lastPrinted>2014-09-29T05:19:00Z</cp:lastPrinted>
  <dcterms:created xsi:type="dcterms:W3CDTF">2014-09-29T23:44:00Z</dcterms:created>
  <dcterms:modified xsi:type="dcterms:W3CDTF">2014-09-29T23:44:00Z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19 AUGUST 2014</vt:lpwstr>
  </property>
  <property fmtid="{D5CDD505-2E9C-101B-9397-08002B2CF9AE}" pid="5" name="Distribution" linkTarget="Distribution">
    <vt:lpwstr>GENERAL DISTRIBUTION</vt:lpwstr>
  </property>
  <property fmtid="{D5CDD505-2E9C-101B-9397-08002B2CF9AE}" pid="6" name="MNC" linkTarget="MNC">
    <vt:lpwstr>Reinhardt v Mill Estate Holdings Pty Ltd .[2014] FCA 1056 </vt:lpwstr>
  </property>
  <property fmtid="{D5CDD505-2E9C-101B-9397-08002B2CF9AE}" pid="7" name="File_Number" linkTarget="Num">
    <vt:lpwstr>QUD 266 of 2014</vt:lpwstr>
  </property>
  <property fmtid="{D5CDD505-2E9C-101B-9397-08002B2CF9AE}" pid="8" name="Pages">
    <vt:lpwstr>15</vt:lpwstr>
  </property>
  <property fmtid="{D5CDD505-2E9C-101B-9397-08002B2CF9AE}" pid="9" name="Parties">
    <vt:lpwstr> </vt:lpwstr>
  </property>
  <property fmtid="{D5CDD505-2E9C-101B-9397-08002B2CF9AE}" pid="10" name="Place" linkTarget="Place">
    <vt:lpwstr>BRISBANE</vt:lpwstr>
  </property>
  <property fmtid="{D5CDD505-2E9C-101B-9397-08002B2CF9AE}" pid="11" name="Respondent" linkTarget="Respondent">
    <vt:lpwstr>MILL ESTATE HOLDINGS PTY LTD ACN 119 975 505.Respondent.</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