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01214">
      <w:pPr>
        <w:pStyle w:val="MediaNeutralStyle"/>
      </w:pPr>
      <w:bookmarkStart w:id="0" w:name="MNC"/>
      <w:proofErr w:type="spellStart"/>
      <w:r>
        <w:t>Charan</w:t>
      </w:r>
      <w:proofErr w:type="spellEnd"/>
      <w:r>
        <w:t xml:space="preserve"> v Secretary, Department of Social Services [2016] FCAFC </w:t>
      </w:r>
      <w:r w:rsidR="003E5100">
        <w:t>175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12AE0">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BD7F45" w:rsidP="002539B3">
            <w:pPr>
              <w:pStyle w:val="CasesLegislationAppealFrom"/>
              <w:spacing w:after="60"/>
            </w:pPr>
            <w:bookmarkStart w:id="1" w:name="AppealFrom"/>
            <w:proofErr w:type="spellStart"/>
            <w:r w:rsidRPr="00BD7F45">
              <w:rPr>
                <w:i/>
              </w:rPr>
              <w:t>Charan</w:t>
            </w:r>
            <w:proofErr w:type="spellEnd"/>
            <w:r w:rsidRPr="00BD7F45">
              <w:rPr>
                <w:i/>
              </w:rPr>
              <w:t xml:space="preserve"> v Secretary, Department of Social Services</w:t>
            </w:r>
            <w:r>
              <w:t xml:space="preserve"> [2016] FCA 486</w:t>
            </w:r>
            <w:r w:rsidR="009264B3">
              <w:t xml:space="preserve"> </w:t>
            </w:r>
            <w:bookmarkEnd w:id="1"/>
          </w:p>
        </w:tc>
      </w:tr>
      <w:tr w:rsidR="00395B24" w:rsidTr="00A12A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12AE0">
        <w:tc>
          <w:tcPr>
            <w:tcW w:w="3085" w:type="dxa"/>
            <w:shd w:val="clear" w:color="auto" w:fill="auto"/>
          </w:tcPr>
          <w:p w:rsidR="00395B24" w:rsidRDefault="00BD7F45" w:rsidP="00663878">
            <w:pPr>
              <w:pStyle w:val="Normal1linespace"/>
              <w:widowControl w:val="0"/>
              <w:jc w:val="left"/>
            </w:pPr>
            <w:r>
              <w:t>File number</w:t>
            </w:r>
            <w:r w:rsidR="002C7385">
              <w:t>:</w:t>
            </w:r>
          </w:p>
        </w:tc>
        <w:tc>
          <w:tcPr>
            <w:tcW w:w="5989" w:type="dxa"/>
            <w:shd w:val="clear" w:color="auto" w:fill="auto"/>
          </w:tcPr>
          <w:p w:rsidR="00395B24" w:rsidRPr="00BD7F45" w:rsidRDefault="00870A96" w:rsidP="00BD7F45">
            <w:pPr>
              <w:pStyle w:val="Normal1linespace"/>
              <w:jc w:val="left"/>
            </w:pPr>
            <w:r>
              <w:fldChar w:fldCharType="begin" w:fldLock="1"/>
            </w:r>
            <w:r>
              <w:instrText xml:space="preserve"> REF  FileNo  \* MERGEFORMAT </w:instrText>
            </w:r>
            <w:r>
              <w:fldChar w:fldCharType="separate"/>
            </w:r>
            <w:r w:rsidR="00BD7F45" w:rsidRPr="00BD7F45">
              <w:t>NSD 834 of 2016</w:t>
            </w:r>
            <w:r>
              <w:fldChar w:fldCharType="end"/>
            </w:r>
          </w:p>
        </w:tc>
      </w:tr>
      <w:tr w:rsidR="00395B24" w:rsidTr="00A12A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12AE0">
        <w:tc>
          <w:tcPr>
            <w:tcW w:w="3085" w:type="dxa"/>
            <w:shd w:val="clear" w:color="auto" w:fill="auto"/>
          </w:tcPr>
          <w:p w:rsidR="00395B24" w:rsidRDefault="00BD7F45" w:rsidP="00663878">
            <w:pPr>
              <w:pStyle w:val="Normal1linespace"/>
              <w:widowControl w:val="0"/>
              <w:jc w:val="left"/>
            </w:pPr>
            <w:r>
              <w:t>Judges</w:t>
            </w:r>
            <w:r w:rsidR="002C7385">
              <w:t>:</w:t>
            </w:r>
          </w:p>
        </w:tc>
        <w:tc>
          <w:tcPr>
            <w:tcW w:w="5989" w:type="dxa"/>
            <w:shd w:val="clear" w:color="auto" w:fill="auto"/>
          </w:tcPr>
          <w:p w:rsidR="00395B24" w:rsidRDefault="002C7385" w:rsidP="00663878">
            <w:pPr>
              <w:pStyle w:val="Normal1linespace"/>
              <w:widowControl w:val="0"/>
              <w:jc w:val="left"/>
              <w:rPr>
                <w:b/>
              </w:rPr>
            </w:pPr>
            <w:r w:rsidRPr="00BD7F45">
              <w:rPr>
                <w:b/>
              </w:rPr>
              <w:fldChar w:fldCharType="begin" w:fldLock="1"/>
            </w:r>
            <w:r w:rsidRPr="00BD7F45">
              <w:rPr>
                <w:b/>
              </w:rPr>
              <w:instrText xml:space="preserve"> REF  Judge  \* MERGEFORMAT </w:instrText>
            </w:r>
            <w:r w:rsidRPr="00BD7F45">
              <w:rPr>
                <w:b/>
              </w:rPr>
              <w:fldChar w:fldCharType="separate"/>
            </w:r>
            <w:r w:rsidR="00BD7F45" w:rsidRPr="00BD7F45">
              <w:rPr>
                <w:b/>
                <w:caps/>
                <w:szCs w:val="24"/>
              </w:rPr>
              <w:t>COLLIER, KATZMANN AND FARRELL JJ</w:t>
            </w:r>
            <w:r w:rsidRPr="00BD7F45">
              <w:rPr>
                <w:b/>
              </w:rPr>
              <w:fldChar w:fldCharType="end"/>
            </w:r>
          </w:p>
        </w:tc>
      </w:tr>
      <w:tr w:rsidR="00395B24" w:rsidTr="00A12A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12AE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C3728" w:rsidP="001B6BEE">
            <w:pPr>
              <w:pStyle w:val="Normal1linespace"/>
              <w:widowControl w:val="0"/>
              <w:jc w:val="left"/>
            </w:pPr>
            <w:bookmarkStart w:id="2" w:name="JudgmentDate"/>
            <w:r>
              <w:t>13</w:t>
            </w:r>
            <w:r w:rsidR="00BD7F45">
              <w:t xml:space="preserve"> </w:t>
            </w:r>
            <w:r w:rsidR="001B6BEE">
              <w:t>December</w:t>
            </w:r>
            <w:r w:rsidR="00BD7F45">
              <w:t xml:space="preserve"> 2016</w:t>
            </w:r>
            <w:bookmarkEnd w:id="2"/>
          </w:p>
        </w:tc>
      </w:tr>
      <w:tr w:rsidR="00395B24" w:rsidTr="00A12A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12AE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D7F45" w:rsidP="000C38C8">
            <w:pPr>
              <w:pStyle w:val="Normal1linespace"/>
              <w:widowControl w:val="0"/>
              <w:jc w:val="left"/>
            </w:pPr>
            <w:bookmarkStart w:id="3" w:name="Catchwords"/>
            <w:r>
              <w:rPr>
                <w:b/>
              </w:rPr>
              <w:t>ADMINISTRATIVE LAW</w:t>
            </w:r>
            <w:r w:rsidRPr="003A4DF1">
              <w:rPr>
                <w:b/>
              </w:rPr>
              <w:t xml:space="preserve"> </w:t>
            </w:r>
            <w:r w:rsidR="003A4DF1" w:rsidRPr="00AA6D7D">
              <w:t>–</w:t>
            </w:r>
            <w:r w:rsidRPr="00AA6D7D">
              <w:t xml:space="preserve"> </w:t>
            </w:r>
            <w:r w:rsidR="003A4DF1" w:rsidRPr="00AA6D7D">
              <w:t>eligibility for age pension – New Zealand</w:t>
            </w:r>
            <w:r w:rsidR="00F12F56">
              <w:t xml:space="preserve"> </w:t>
            </w:r>
            <w:r w:rsidR="000C38C8">
              <w:t>nationals</w:t>
            </w:r>
            <w:r w:rsidR="00F12F56">
              <w:t xml:space="preserve"> </w:t>
            </w:r>
            <w:r w:rsidR="00AA6D7D">
              <w:t xml:space="preserve">– husband and wife – </w:t>
            </w:r>
            <w:r w:rsidR="00361327">
              <w:t>whether they had achieved “10 years qualifying Australian residence” –</w:t>
            </w:r>
            <w:r w:rsidR="00F12F56">
              <w:t xml:space="preserve"> </w:t>
            </w:r>
            <w:r w:rsidR="00AA6D7D">
              <w:t>consideration of</w:t>
            </w:r>
            <w:r w:rsidR="00361327">
              <w:t xml:space="preserve"> the</w:t>
            </w:r>
            <w:r w:rsidR="00AA6D7D">
              <w:t xml:space="preserve"> </w:t>
            </w:r>
            <w:r w:rsidR="00AA6D7D">
              <w:rPr>
                <w:i/>
              </w:rPr>
              <w:t>Agreement on Social Security between the Government of Australia and the Government of New Zealand</w:t>
            </w:r>
            <w:r w:rsidR="00C52ED1">
              <w:rPr>
                <w:i/>
              </w:rPr>
              <w:t xml:space="preserve"> </w:t>
            </w:r>
            <w:r w:rsidR="00C52ED1">
              <w:t>– residence requirement not satisfied – appeal dismissed</w:t>
            </w:r>
            <w:r w:rsidR="002C7385" w:rsidRPr="003A4DF1">
              <w:rPr>
                <w:b/>
              </w:rPr>
              <w:t xml:space="preserve"> </w:t>
            </w:r>
            <w:bookmarkEnd w:id="3"/>
          </w:p>
        </w:tc>
      </w:tr>
      <w:tr w:rsidR="00395B24" w:rsidTr="00A12A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12AE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8274E" w:rsidRDefault="007E1760" w:rsidP="00D82620">
            <w:pPr>
              <w:pStyle w:val="CasesLegislationAppealFrom"/>
              <w:spacing w:after="60"/>
            </w:pPr>
            <w:bookmarkStart w:id="4" w:name="Legislation"/>
            <w:r w:rsidRPr="002E080C">
              <w:rPr>
                <w:i/>
              </w:rPr>
              <w:t xml:space="preserve">Administrative Appeals Tribunal Act 1975 </w:t>
            </w:r>
            <w:r>
              <w:t>(Cth) s 44(1)</w:t>
            </w:r>
          </w:p>
          <w:p w:rsidR="00B8274E" w:rsidRDefault="00B8274E" w:rsidP="00D82620">
            <w:pPr>
              <w:pStyle w:val="CasesLegislationAppealFrom"/>
              <w:spacing w:after="60"/>
            </w:pPr>
            <w:r>
              <w:rPr>
                <w:i/>
              </w:rPr>
              <w:t xml:space="preserve">Social Security Act 1991 </w:t>
            </w:r>
            <w:r>
              <w:t>(Cth) ss 7</w:t>
            </w:r>
            <w:r w:rsidR="003C23D9">
              <w:t>(2), 7(5)</w:t>
            </w:r>
            <w:r>
              <w:t>, 23, 43, 94</w:t>
            </w:r>
            <w:r w:rsidR="009F3ECE">
              <w:t>(1)</w:t>
            </w:r>
          </w:p>
          <w:p w:rsidR="00D10A76" w:rsidRDefault="00D10A76" w:rsidP="00D82620">
            <w:pPr>
              <w:pStyle w:val="CasesLegislationAppealFrom"/>
              <w:spacing w:after="60"/>
            </w:pPr>
            <w:r>
              <w:rPr>
                <w:i/>
              </w:rPr>
              <w:t xml:space="preserve">Social Security (Administration) Act </w:t>
            </w:r>
            <w:r w:rsidRPr="002E5BC2">
              <w:rPr>
                <w:i/>
              </w:rPr>
              <w:t>1999</w:t>
            </w:r>
            <w:r>
              <w:t xml:space="preserve"> (Cth) ss 11, 29, cl 4 of </w:t>
            </w:r>
            <w:proofErr w:type="spellStart"/>
            <w:r>
              <w:t>Sch</w:t>
            </w:r>
            <w:proofErr w:type="spellEnd"/>
            <w:r>
              <w:t xml:space="preserve"> 2</w:t>
            </w:r>
          </w:p>
          <w:p w:rsidR="00395B24" w:rsidRDefault="00B8274E" w:rsidP="0007368B">
            <w:pPr>
              <w:pStyle w:val="CasesLegislationAppealFrom"/>
              <w:spacing w:after="60"/>
            </w:pPr>
            <w:r>
              <w:rPr>
                <w:i/>
              </w:rPr>
              <w:t xml:space="preserve">Social Security (International Agreements) Act 1999 </w:t>
            </w:r>
            <w:r>
              <w:t>(Cth) ss</w:t>
            </w:r>
            <w:r w:rsidR="008300EA">
              <w:t xml:space="preserve"> </w:t>
            </w:r>
            <w:r>
              <w:t>3,</w:t>
            </w:r>
            <w:r w:rsidR="008300EA">
              <w:t xml:space="preserve"> 4,</w:t>
            </w:r>
            <w:r w:rsidR="0007368B">
              <w:t xml:space="preserve"> 6, Arts 1, 2, 5, 1</w:t>
            </w:r>
            <w:r w:rsidR="00361327">
              <w:t xml:space="preserve">2 of </w:t>
            </w:r>
            <w:proofErr w:type="spellStart"/>
            <w:r>
              <w:t>Sch</w:t>
            </w:r>
            <w:proofErr w:type="spellEnd"/>
            <w:r>
              <w:t xml:space="preserve"> 3</w:t>
            </w:r>
            <w:r w:rsidR="002C7385">
              <w:t xml:space="preserve"> </w:t>
            </w:r>
            <w:bookmarkEnd w:id="4"/>
          </w:p>
        </w:tc>
      </w:tr>
      <w:tr w:rsidR="00395B24" w:rsidTr="00A12A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12AE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D7F45" w:rsidRDefault="00BD7F45" w:rsidP="00D82620">
            <w:pPr>
              <w:pStyle w:val="CasesLegislationAppealFrom"/>
              <w:spacing w:after="60"/>
            </w:pPr>
            <w:bookmarkStart w:id="5" w:name="Cases_Cited"/>
            <w:proofErr w:type="spellStart"/>
            <w:r w:rsidRPr="00BD7F45">
              <w:rPr>
                <w:i/>
              </w:rPr>
              <w:t>Charan</w:t>
            </w:r>
            <w:proofErr w:type="spellEnd"/>
            <w:r w:rsidRPr="00BD7F45">
              <w:rPr>
                <w:i/>
              </w:rPr>
              <w:t xml:space="preserve"> v Secretary, Department of Social Services</w:t>
            </w:r>
            <w:r>
              <w:t xml:space="preserve"> [2016] FCA 486</w:t>
            </w:r>
          </w:p>
          <w:p w:rsidR="00521756" w:rsidRDefault="00BD7F45" w:rsidP="00D82620">
            <w:pPr>
              <w:pStyle w:val="CasesLegislationAppealFrom"/>
              <w:spacing w:after="60"/>
            </w:pPr>
            <w:proofErr w:type="spellStart"/>
            <w:r w:rsidRPr="00BD7F45">
              <w:rPr>
                <w:i/>
              </w:rPr>
              <w:t>Charan</w:t>
            </w:r>
            <w:proofErr w:type="spellEnd"/>
            <w:r w:rsidRPr="00BD7F45">
              <w:rPr>
                <w:i/>
              </w:rPr>
              <w:t xml:space="preserve"> and Secretary, Department of Social Services</w:t>
            </w:r>
            <w:r>
              <w:t xml:space="preserve"> [2015] AATA 760</w:t>
            </w:r>
          </w:p>
          <w:p w:rsidR="0017300E" w:rsidRDefault="00521756" w:rsidP="00D82620">
            <w:pPr>
              <w:pStyle w:val="CasesLegislationAppealFrom"/>
              <w:spacing w:after="60"/>
            </w:pPr>
            <w:r>
              <w:rPr>
                <w:i/>
              </w:rPr>
              <w:t xml:space="preserve">Secretary, Department of Families, Housing, Community Services and Indigenous Affairs v </w:t>
            </w:r>
            <w:proofErr w:type="spellStart"/>
            <w:r>
              <w:rPr>
                <w:i/>
              </w:rPr>
              <w:t>Mahrous</w:t>
            </w:r>
            <w:proofErr w:type="spellEnd"/>
            <w:r>
              <w:t xml:space="preserve"> </w:t>
            </w:r>
            <w:r w:rsidR="003934F0">
              <w:t xml:space="preserve">(2013) 213 FCR 532; </w:t>
            </w:r>
            <w:r>
              <w:t>[2013] FCAFC 75</w:t>
            </w:r>
          </w:p>
          <w:p w:rsidR="00395B24" w:rsidRDefault="0017300E" w:rsidP="00D82620">
            <w:pPr>
              <w:pStyle w:val="CasesLegislationAppealFrom"/>
              <w:spacing w:after="60"/>
            </w:pPr>
            <w:r>
              <w:rPr>
                <w:i/>
              </w:rPr>
              <w:t xml:space="preserve">Secretary, Department of Families, Housing, Community Services and Indigenous Affairs v </w:t>
            </w:r>
            <w:proofErr w:type="spellStart"/>
            <w:r>
              <w:rPr>
                <w:i/>
              </w:rPr>
              <w:t>Mahrous</w:t>
            </w:r>
            <w:proofErr w:type="spellEnd"/>
            <w:r>
              <w:rPr>
                <w:i/>
              </w:rPr>
              <w:t xml:space="preserve"> (No 2) </w:t>
            </w:r>
            <w:r>
              <w:t>(2012) 131 ALR 450; [2012] FCA 1275</w:t>
            </w:r>
            <w:r w:rsidR="002C7385">
              <w:t xml:space="preserve"> </w:t>
            </w:r>
            <w:bookmarkEnd w:id="5"/>
          </w:p>
        </w:tc>
      </w:tr>
      <w:tr w:rsidR="00A12AE0" w:rsidRPr="00A12AE0" w:rsidTr="00A12AE0">
        <w:tc>
          <w:tcPr>
            <w:tcW w:w="3085" w:type="dxa"/>
            <w:shd w:val="clear" w:color="auto" w:fill="auto"/>
          </w:tcPr>
          <w:p w:rsidR="00A12AE0" w:rsidRPr="00A12AE0" w:rsidRDefault="00A12AE0" w:rsidP="00A12AE0">
            <w:pPr>
              <w:pStyle w:val="Normal1linespace"/>
              <w:jc w:val="left"/>
            </w:pPr>
          </w:p>
        </w:tc>
        <w:tc>
          <w:tcPr>
            <w:tcW w:w="5989" w:type="dxa"/>
            <w:shd w:val="clear" w:color="auto" w:fill="auto"/>
          </w:tcPr>
          <w:p w:rsidR="00A12AE0" w:rsidRPr="00A12AE0" w:rsidRDefault="00A12AE0" w:rsidP="00A12AE0">
            <w:pPr>
              <w:pStyle w:val="Normal1linespace"/>
              <w:jc w:val="left"/>
            </w:pPr>
          </w:p>
        </w:tc>
      </w:tr>
      <w:tr w:rsidR="00A12AE0" w:rsidRPr="00A12AE0" w:rsidTr="00A12AE0">
        <w:tc>
          <w:tcPr>
            <w:tcW w:w="3085" w:type="dxa"/>
            <w:shd w:val="clear" w:color="auto" w:fill="auto"/>
          </w:tcPr>
          <w:p w:rsidR="00A12AE0" w:rsidRPr="00A12AE0" w:rsidRDefault="00A12AE0" w:rsidP="00A12AE0">
            <w:pPr>
              <w:pStyle w:val="Normal1linespace"/>
              <w:jc w:val="left"/>
            </w:pPr>
            <w:bookmarkStart w:id="6" w:name="CounselDate" w:colFirst="0" w:colLast="2"/>
            <w:r w:rsidRPr="00A12AE0">
              <w:t>Date of hearing:</w:t>
            </w:r>
          </w:p>
        </w:tc>
        <w:tc>
          <w:tcPr>
            <w:tcW w:w="5989" w:type="dxa"/>
            <w:shd w:val="clear" w:color="auto" w:fill="auto"/>
          </w:tcPr>
          <w:p w:rsidR="00A12AE0" w:rsidRPr="00A12AE0" w:rsidRDefault="00A12AE0" w:rsidP="00A12AE0">
            <w:pPr>
              <w:pStyle w:val="Normal1linespace"/>
              <w:jc w:val="left"/>
            </w:pPr>
            <w:bookmarkStart w:id="7" w:name="HearingDate"/>
            <w:r>
              <w:t>2 November 2016</w:t>
            </w:r>
            <w:bookmarkEnd w:id="7"/>
          </w:p>
        </w:tc>
      </w:tr>
      <w:bookmarkEnd w:id="6"/>
      <w:tr w:rsidR="00A12AE0" w:rsidTr="00A12AE0">
        <w:tc>
          <w:tcPr>
            <w:tcW w:w="3085" w:type="dxa"/>
            <w:shd w:val="clear" w:color="auto" w:fill="auto"/>
          </w:tcPr>
          <w:p w:rsidR="00A12AE0" w:rsidRDefault="00A12AE0" w:rsidP="00A12AE0">
            <w:pPr>
              <w:pStyle w:val="Normal1linespace"/>
              <w:widowControl w:val="0"/>
              <w:jc w:val="left"/>
            </w:pPr>
          </w:p>
        </w:tc>
        <w:tc>
          <w:tcPr>
            <w:tcW w:w="5989" w:type="dxa"/>
            <w:shd w:val="clear" w:color="auto" w:fill="auto"/>
          </w:tcPr>
          <w:p w:rsidR="00A12AE0" w:rsidRDefault="00A12AE0" w:rsidP="00A12AE0">
            <w:pPr>
              <w:pStyle w:val="Normal1linespace"/>
              <w:widowControl w:val="0"/>
              <w:jc w:val="left"/>
            </w:pPr>
          </w:p>
        </w:tc>
      </w:tr>
      <w:tr w:rsidR="00A12AE0" w:rsidTr="00A12AE0">
        <w:tc>
          <w:tcPr>
            <w:tcW w:w="3085" w:type="dxa"/>
            <w:shd w:val="clear" w:color="auto" w:fill="auto"/>
          </w:tcPr>
          <w:p w:rsidR="00A12AE0" w:rsidRDefault="00A12AE0" w:rsidP="00A12AE0">
            <w:pPr>
              <w:pStyle w:val="Normal1linespace"/>
              <w:widowControl w:val="0"/>
              <w:jc w:val="left"/>
            </w:pPr>
            <w:r>
              <w:t>Registry:</w:t>
            </w:r>
          </w:p>
        </w:tc>
        <w:tc>
          <w:tcPr>
            <w:tcW w:w="5989" w:type="dxa"/>
            <w:shd w:val="clear" w:color="auto" w:fill="auto"/>
          </w:tcPr>
          <w:p w:rsidR="00A12AE0" w:rsidRPr="00F17599" w:rsidRDefault="006D26B1" w:rsidP="00A12AE0">
            <w:pPr>
              <w:pStyle w:val="Normal1linespace"/>
              <w:widowControl w:val="0"/>
              <w:jc w:val="left"/>
            </w:pPr>
            <w:fldSimple w:instr=" DOCPROPERTY  Registry ">
              <w:r w:rsidR="00A12AE0">
                <w:t>New South Wales</w:t>
              </w:r>
            </w:fldSimple>
          </w:p>
        </w:tc>
      </w:tr>
      <w:tr w:rsidR="00A12AE0" w:rsidTr="00A12AE0">
        <w:tc>
          <w:tcPr>
            <w:tcW w:w="3085" w:type="dxa"/>
            <w:shd w:val="clear" w:color="auto" w:fill="auto"/>
          </w:tcPr>
          <w:p w:rsidR="00A12AE0" w:rsidRDefault="00A12AE0" w:rsidP="00A12AE0">
            <w:pPr>
              <w:pStyle w:val="Normal1linespace"/>
              <w:widowControl w:val="0"/>
              <w:jc w:val="left"/>
            </w:pPr>
          </w:p>
        </w:tc>
        <w:tc>
          <w:tcPr>
            <w:tcW w:w="5989" w:type="dxa"/>
            <w:shd w:val="clear" w:color="auto" w:fill="auto"/>
          </w:tcPr>
          <w:p w:rsidR="00A12AE0" w:rsidRDefault="00A12AE0" w:rsidP="00A12AE0">
            <w:pPr>
              <w:pStyle w:val="Normal1linespace"/>
              <w:widowControl w:val="0"/>
              <w:jc w:val="left"/>
            </w:pPr>
          </w:p>
        </w:tc>
      </w:tr>
      <w:tr w:rsidR="00A12AE0" w:rsidTr="00A12AE0">
        <w:tc>
          <w:tcPr>
            <w:tcW w:w="3085" w:type="dxa"/>
            <w:shd w:val="clear" w:color="auto" w:fill="auto"/>
          </w:tcPr>
          <w:p w:rsidR="00A12AE0" w:rsidRDefault="00A12AE0" w:rsidP="00A12AE0">
            <w:pPr>
              <w:pStyle w:val="Normal1linespace"/>
              <w:widowControl w:val="0"/>
              <w:jc w:val="left"/>
            </w:pPr>
            <w:r>
              <w:t>Division:</w:t>
            </w:r>
          </w:p>
        </w:tc>
        <w:tc>
          <w:tcPr>
            <w:tcW w:w="5989" w:type="dxa"/>
            <w:shd w:val="clear" w:color="auto" w:fill="auto"/>
          </w:tcPr>
          <w:p w:rsidR="00A12AE0" w:rsidRPr="00F17599" w:rsidRDefault="006D26B1" w:rsidP="00A12AE0">
            <w:pPr>
              <w:pStyle w:val="Normal1linespace"/>
              <w:widowControl w:val="0"/>
              <w:jc w:val="left"/>
            </w:pPr>
            <w:fldSimple w:instr=" DOCPROPERTY  Division ">
              <w:r w:rsidR="00A12AE0">
                <w:t>General Division</w:t>
              </w:r>
            </w:fldSimple>
          </w:p>
        </w:tc>
      </w:tr>
      <w:tr w:rsidR="00A12AE0" w:rsidTr="00A12AE0">
        <w:tc>
          <w:tcPr>
            <w:tcW w:w="3085" w:type="dxa"/>
            <w:shd w:val="clear" w:color="auto" w:fill="auto"/>
          </w:tcPr>
          <w:p w:rsidR="00A12AE0" w:rsidRDefault="00A12AE0" w:rsidP="00A12AE0">
            <w:pPr>
              <w:pStyle w:val="Normal1linespace"/>
              <w:widowControl w:val="0"/>
              <w:jc w:val="left"/>
            </w:pPr>
          </w:p>
        </w:tc>
        <w:tc>
          <w:tcPr>
            <w:tcW w:w="5989" w:type="dxa"/>
            <w:shd w:val="clear" w:color="auto" w:fill="auto"/>
          </w:tcPr>
          <w:p w:rsidR="00A12AE0" w:rsidRPr="00F17599" w:rsidRDefault="00A12AE0" w:rsidP="00A12AE0">
            <w:pPr>
              <w:pStyle w:val="Normal1linespace"/>
              <w:widowControl w:val="0"/>
              <w:jc w:val="left"/>
              <w:rPr>
                <w:b/>
              </w:rPr>
            </w:pPr>
          </w:p>
        </w:tc>
      </w:tr>
      <w:tr w:rsidR="00A12AE0" w:rsidTr="00A12AE0">
        <w:tc>
          <w:tcPr>
            <w:tcW w:w="3085" w:type="dxa"/>
            <w:shd w:val="clear" w:color="auto" w:fill="auto"/>
          </w:tcPr>
          <w:p w:rsidR="00A12AE0" w:rsidRDefault="00A12AE0" w:rsidP="00A12AE0">
            <w:pPr>
              <w:pStyle w:val="Normal1linespace"/>
              <w:widowControl w:val="0"/>
              <w:jc w:val="left"/>
            </w:pPr>
            <w:r>
              <w:t>National Practice Area:</w:t>
            </w:r>
          </w:p>
        </w:tc>
        <w:tc>
          <w:tcPr>
            <w:tcW w:w="5989" w:type="dxa"/>
            <w:shd w:val="clear" w:color="auto" w:fill="auto"/>
          </w:tcPr>
          <w:p w:rsidR="00A12AE0" w:rsidRPr="00F17599" w:rsidRDefault="006D26B1" w:rsidP="00A12AE0">
            <w:pPr>
              <w:pStyle w:val="Normal1linespace"/>
              <w:widowControl w:val="0"/>
              <w:jc w:val="left"/>
              <w:rPr>
                <w:b/>
              </w:rPr>
            </w:pPr>
            <w:fldSimple w:instr=" DOCPROPERTY  &quot;Practice Area&quot;  \* MERGEFORMAT ">
              <w:r w:rsidR="00A12AE0">
                <w:t>Administrative and Constitutional Law and Human Rights</w:t>
              </w:r>
            </w:fldSimple>
          </w:p>
        </w:tc>
      </w:tr>
      <w:tr w:rsidR="00A12AE0" w:rsidTr="00A12AE0">
        <w:tc>
          <w:tcPr>
            <w:tcW w:w="3085" w:type="dxa"/>
            <w:shd w:val="clear" w:color="auto" w:fill="auto"/>
          </w:tcPr>
          <w:p w:rsidR="00A12AE0" w:rsidRDefault="00A12AE0" w:rsidP="00A12AE0">
            <w:pPr>
              <w:pStyle w:val="Normal1linespace"/>
              <w:widowControl w:val="0"/>
              <w:jc w:val="left"/>
            </w:pPr>
          </w:p>
        </w:tc>
        <w:tc>
          <w:tcPr>
            <w:tcW w:w="5989" w:type="dxa"/>
            <w:shd w:val="clear" w:color="auto" w:fill="auto"/>
          </w:tcPr>
          <w:p w:rsidR="00A12AE0" w:rsidRDefault="00A12AE0" w:rsidP="00A12AE0">
            <w:pPr>
              <w:pStyle w:val="Normal1linespace"/>
              <w:widowControl w:val="0"/>
              <w:jc w:val="left"/>
              <w:rPr>
                <w:b/>
              </w:rPr>
            </w:pPr>
          </w:p>
        </w:tc>
      </w:tr>
      <w:tr w:rsidR="00A12AE0" w:rsidTr="00A12AE0">
        <w:tc>
          <w:tcPr>
            <w:tcW w:w="3085" w:type="dxa"/>
            <w:shd w:val="clear" w:color="auto" w:fill="auto"/>
          </w:tcPr>
          <w:p w:rsidR="00A12AE0" w:rsidRDefault="00A12AE0" w:rsidP="00A12AE0">
            <w:pPr>
              <w:pStyle w:val="Normal1linespace"/>
              <w:widowControl w:val="0"/>
              <w:jc w:val="left"/>
            </w:pPr>
            <w:r>
              <w:lastRenderedPageBreak/>
              <w:t>Category:</w:t>
            </w:r>
          </w:p>
        </w:tc>
        <w:tc>
          <w:tcPr>
            <w:tcW w:w="5989" w:type="dxa"/>
            <w:shd w:val="clear" w:color="auto" w:fill="auto"/>
          </w:tcPr>
          <w:p w:rsidR="00A12AE0" w:rsidRDefault="00A12AE0" w:rsidP="00A12AE0">
            <w:pPr>
              <w:pStyle w:val="Normal1linespace"/>
              <w:widowControl w:val="0"/>
              <w:jc w:val="left"/>
            </w:pPr>
            <w:r>
              <w:t>Catchwords</w:t>
            </w:r>
          </w:p>
        </w:tc>
      </w:tr>
      <w:tr w:rsidR="00A12AE0" w:rsidTr="00A12AE0">
        <w:tc>
          <w:tcPr>
            <w:tcW w:w="3085" w:type="dxa"/>
            <w:shd w:val="clear" w:color="auto" w:fill="auto"/>
          </w:tcPr>
          <w:p w:rsidR="00A12AE0" w:rsidRDefault="00A12AE0" w:rsidP="00A12AE0">
            <w:pPr>
              <w:pStyle w:val="Normal1linespace"/>
              <w:widowControl w:val="0"/>
              <w:jc w:val="left"/>
            </w:pPr>
          </w:p>
        </w:tc>
        <w:tc>
          <w:tcPr>
            <w:tcW w:w="5989" w:type="dxa"/>
            <w:shd w:val="clear" w:color="auto" w:fill="auto"/>
          </w:tcPr>
          <w:p w:rsidR="00A12AE0" w:rsidRDefault="00A12AE0" w:rsidP="00A12AE0">
            <w:pPr>
              <w:pStyle w:val="Normal1linespace"/>
              <w:widowControl w:val="0"/>
              <w:jc w:val="left"/>
            </w:pPr>
          </w:p>
        </w:tc>
      </w:tr>
      <w:tr w:rsidR="00A12AE0" w:rsidTr="00A12AE0">
        <w:tc>
          <w:tcPr>
            <w:tcW w:w="3085" w:type="dxa"/>
            <w:shd w:val="clear" w:color="auto" w:fill="auto"/>
          </w:tcPr>
          <w:p w:rsidR="00A12AE0" w:rsidRDefault="00A12AE0" w:rsidP="00A12AE0">
            <w:pPr>
              <w:pStyle w:val="Normal1linespace"/>
              <w:widowControl w:val="0"/>
              <w:jc w:val="left"/>
            </w:pPr>
            <w:r>
              <w:t>Number of paragraphs:</w:t>
            </w:r>
          </w:p>
        </w:tc>
        <w:tc>
          <w:tcPr>
            <w:tcW w:w="5989" w:type="dxa"/>
            <w:shd w:val="clear" w:color="auto" w:fill="auto"/>
          </w:tcPr>
          <w:p w:rsidR="00A12AE0" w:rsidRDefault="00A12AE0" w:rsidP="00A12AE0">
            <w:pPr>
              <w:pStyle w:val="Normal1linespace"/>
              <w:widowControl w:val="0"/>
              <w:jc w:val="left"/>
            </w:pPr>
            <w:bookmarkStart w:id="8" w:name="PlaceCategoryParagraphs"/>
            <w:r>
              <w:t>6</w:t>
            </w:r>
            <w:r w:rsidR="00B10227">
              <w:t>5</w:t>
            </w:r>
            <w:bookmarkEnd w:id="8"/>
          </w:p>
        </w:tc>
      </w:tr>
      <w:tr w:rsidR="00A12AE0" w:rsidTr="00A12AE0">
        <w:tc>
          <w:tcPr>
            <w:tcW w:w="3085" w:type="dxa"/>
            <w:shd w:val="clear" w:color="auto" w:fill="auto"/>
          </w:tcPr>
          <w:p w:rsidR="00A12AE0" w:rsidRDefault="00A12AE0" w:rsidP="00A12AE0">
            <w:pPr>
              <w:pStyle w:val="Normal1linespace"/>
              <w:widowControl w:val="0"/>
              <w:jc w:val="left"/>
            </w:pPr>
          </w:p>
        </w:tc>
        <w:tc>
          <w:tcPr>
            <w:tcW w:w="5989" w:type="dxa"/>
            <w:shd w:val="clear" w:color="auto" w:fill="auto"/>
          </w:tcPr>
          <w:p w:rsidR="00A12AE0" w:rsidRDefault="00A12AE0" w:rsidP="00A12AE0">
            <w:pPr>
              <w:pStyle w:val="Normal1linespace"/>
              <w:widowControl w:val="0"/>
              <w:jc w:val="left"/>
            </w:pPr>
          </w:p>
        </w:tc>
      </w:tr>
      <w:tr w:rsidR="00A12AE0" w:rsidTr="00A12AE0">
        <w:tc>
          <w:tcPr>
            <w:tcW w:w="3085" w:type="dxa"/>
            <w:shd w:val="clear" w:color="auto" w:fill="auto"/>
          </w:tcPr>
          <w:p w:rsidR="00A12AE0" w:rsidRDefault="00A12AE0" w:rsidP="00A12AE0">
            <w:pPr>
              <w:pStyle w:val="Normal1linespace"/>
              <w:widowControl w:val="0"/>
              <w:jc w:val="left"/>
            </w:pPr>
            <w:bookmarkStart w:id="9" w:name="Counsel" w:colFirst="0" w:colLast="2"/>
            <w:r>
              <w:t>Counsel for the Appellants:</w:t>
            </w:r>
          </w:p>
        </w:tc>
        <w:tc>
          <w:tcPr>
            <w:tcW w:w="5989" w:type="dxa"/>
            <w:shd w:val="clear" w:color="auto" w:fill="auto"/>
          </w:tcPr>
          <w:p w:rsidR="00A12AE0" w:rsidRDefault="00A12AE0" w:rsidP="00A12AE0">
            <w:pPr>
              <w:pStyle w:val="Normal1linespace"/>
              <w:widowControl w:val="0"/>
              <w:jc w:val="left"/>
            </w:pPr>
            <w:bookmarkStart w:id="10" w:name="AppCounsel"/>
            <w:bookmarkEnd w:id="10"/>
            <w:r>
              <w:t>The appellants appeared in person</w:t>
            </w:r>
          </w:p>
        </w:tc>
      </w:tr>
      <w:tr w:rsidR="00A12AE0" w:rsidTr="00A12AE0">
        <w:tc>
          <w:tcPr>
            <w:tcW w:w="3085" w:type="dxa"/>
            <w:shd w:val="clear" w:color="auto" w:fill="auto"/>
          </w:tcPr>
          <w:p w:rsidR="00A12AE0" w:rsidRDefault="00A12AE0" w:rsidP="00A12AE0">
            <w:pPr>
              <w:pStyle w:val="Normal1linespace"/>
              <w:widowControl w:val="0"/>
              <w:jc w:val="left"/>
            </w:pPr>
          </w:p>
        </w:tc>
        <w:tc>
          <w:tcPr>
            <w:tcW w:w="5989" w:type="dxa"/>
            <w:shd w:val="clear" w:color="auto" w:fill="auto"/>
          </w:tcPr>
          <w:p w:rsidR="00A12AE0" w:rsidRDefault="00A12AE0" w:rsidP="00A12AE0">
            <w:pPr>
              <w:pStyle w:val="Normal1linespace"/>
              <w:widowControl w:val="0"/>
              <w:jc w:val="left"/>
            </w:pPr>
          </w:p>
        </w:tc>
      </w:tr>
      <w:tr w:rsidR="00A12AE0" w:rsidTr="00A12AE0">
        <w:tc>
          <w:tcPr>
            <w:tcW w:w="3085" w:type="dxa"/>
            <w:shd w:val="clear" w:color="auto" w:fill="auto"/>
          </w:tcPr>
          <w:p w:rsidR="00A12AE0" w:rsidRDefault="00A12AE0" w:rsidP="00A12AE0">
            <w:pPr>
              <w:pStyle w:val="Normal1linespace"/>
              <w:widowControl w:val="0"/>
              <w:jc w:val="left"/>
            </w:pPr>
            <w:r>
              <w:t>Counsel for the Respondent:</w:t>
            </w:r>
          </w:p>
        </w:tc>
        <w:tc>
          <w:tcPr>
            <w:tcW w:w="5989" w:type="dxa"/>
            <w:shd w:val="clear" w:color="auto" w:fill="auto"/>
          </w:tcPr>
          <w:p w:rsidR="00A12AE0" w:rsidRDefault="00A12AE0" w:rsidP="00A12AE0">
            <w:pPr>
              <w:pStyle w:val="Normal1linespace"/>
              <w:widowControl w:val="0"/>
              <w:jc w:val="left"/>
            </w:pPr>
            <w:r>
              <w:t>Mr T Reilly</w:t>
            </w:r>
          </w:p>
        </w:tc>
      </w:tr>
      <w:tr w:rsidR="00A12AE0" w:rsidTr="00A12AE0">
        <w:tc>
          <w:tcPr>
            <w:tcW w:w="3085" w:type="dxa"/>
            <w:shd w:val="clear" w:color="auto" w:fill="auto"/>
          </w:tcPr>
          <w:p w:rsidR="00A12AE0" w:rsidRDefault="00A12AE0" w:rsidP="00A12AE0">
            <w:pPr>
              <w:pStyle w:val="Normal1linespace"/>
              <w:widowControl w:val="0"/>
              <w:jc w:val="left"/>
            </w:pPr>
          </w:p>
        </w:tc>
        <w:tc>
          <w:tcPr>
            <w:tcW w:w="5989" w:type="dxa"/>
            <w:shd w:val="clear" w:color="auto" w:fill="auto"/>
          </w:tcPr>
          <w:p w:rsidR="00A12AE0" w:rsidRDefault="00A12AE0" w:rsidP="00A12AE0">
            <w:pPr>
              <w:pStyle w:val="Normal1linespace"/>
              <w:widowControl w:val="0"/>
              <w:jc w:val="left"/>
            </w:pPr>
          </w:p>
        </w:tc>
      </w:tr>
      <w:tr w:rsidR="00A12AE0" w:rsidTr="00A12AE0">
        <w:tc>
          <w:tcPr>
            <w:tcW w:w="3085" w:type="dxa"/>
            <w:shd w:val="clear" w:color="auto" w:fill="auto"/>
          </w:tcPr>
          <w:p w:rsidR="00A12AE0" w:rsidRDefault="00A12AE0" w:rsidP="00A12AE0">
            <w:pPr>
              <w:pStyle w:val="Normal1linespace"/>
              <w:widowControl w:val="0"/>
              <w:jc w:val="left"/>
            </w:pPr>
            <w:r>
              <w:t>Solicitor for the Respondent:</w:t>
            </w:r>
          </w:p>
        </w:tc>
        <w:tc>
          <w:tcPr>
            <w:tcW w:w="5989" w:type="dxa"/>
            <w:shd w:val="clear" w:color="auto" w:fill="auto"/>
          </w:tcPr>
          <w:p w:rsidR="00A12AE0" w:rsidRDefault="00A12AE0" w:rsidP="00A12AE0">
            <w:pPr>
              <w:pStyle w:val="Normal1linespace"/>
              <w:widowControl w:val="0"/>
              <w:jc w:val="left"/>
            </w:pPr>
            <w:r>
              <w:t>Mills Oakley Lawyers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D7F45" w:rsidP="00F92355">
            <w:pPr>
              <w:pStyle w:val="NormalHeadings"/>
              <w:jc w:val="right"/>
            </w:pPr>
            <w:bookmarkStart w:id="11" w:name="FileNo"/>
            <w:r>
              <w:t>NSD 834 of 2016</w:t>
            </w:r>
            <w:bookmarkEnd w:id="11"/>
          </w:p>
        </w:tc>
      </w:tr>
      <w:tr w:rsidR="00A76C13" w:rsidTr="001A28F6">
        <w:tc>
          <w:tcPr>
            <w:tcW w:w="9242" w:type="dxa"/>
            <w:gridSpan w:val="3"/>
          </w:tcPr>
          <w:p w:rsidR="00A76C13" w:rsidRPr="00A76C13" w:rsidRDefault="00BD7F45" w:rsidP="00BD7F45">
            <w:pPr>
              <w:pStyle w:val="NormalHeadings"/>
              <w:jc w:val="left"/>
            </w:pPr>
            <w:bookmarkStart w:id="12" w:name="InTheMatterOf"/>
            <w:r>
              <w:t xml:space="preserve"> </w:t>
            </w:r>
            <w:bookmarkEnd w:id="12"/>
          </w:p>
        </w:tc>
      </w:tr>
      <w:tr w:rsidR="00A46CCC" w:rsidTr="001A28F6">
        <w:trPr>
          <w:trHeight w:val="386"/>
        </w:trPr>
        <w:tc>
          <w:tcPr>
            <w:tcW w:w="2376" w:type="dxa"/>
          </w:tcPr>
          <w:p w:rsidR="00A46CCC" w:rsidRDefault="00A46CCC" w:rsidP="001A28F6">
            <w:pPr>
              <w:pStyle w:val="NormalHeadings"/>
              <w:jc w:val="left"/>
              <w:rPr>
                <w:caps/>
                <w:szCs w:val="24"/>
              </w:rPr>
            </w:pPr>
            <w:bookmarkStart w:id="13" w:name="Parties"/>
            <w:r>
              <w:rPr>
                <w:caps/>
                <w:szCs w:val="24"/>
              </w:rPr>
              <w:t>BETWEEN:</w:t>
            </w:r>
          </w:p>
        </w:tc>
        <w:tc>
          <w:tcPr>
            <w:tcW w:w="6866" w:type="dxa"/>
            <w:gridSpan w:val="2"/>
          </w:tcPr>
          <w:p w:rsidR="00BD7F45" w:rsidRDefault="00BD7F45" w:rsidP="00BD7F45">
            <w:pPr>
              <w:pStyle w:val="NormalHeadings"/>
              <w:jc w:val="left"/>
            </w:pPr>
            <w:bookmarkStart w:id="14" w:name="Applicant"/>
            <w:r>
              <w:t>ANURADHA CHARAN</w:t>
            </w:r>
          </w:p>
          <w:p w:rsidR="00BD7F45" w:rsidRDefault="00BD7F45" w:rsidP="00BD7F45">
            <w:pPr>
              <w:pStyle w:val="PartyType"/>
            </w:pPr>
            <w:r>
              <w:t>First Appellant</w:t>
            </w:r>
          </w:p>
          <w:p w:rsidR="00BD7F45" w:rsidRDefault="00BD7F45" w:rsidP="001A28F6">
            <w:pPr>
              <w:pStyle w:val="NormalHeadings"/>
              <w:jc w:val="left"/>
              <w:rPr>
                <w:szCs w:val="24"/>
              </w:rPr>
            </w:pPr>
          </w:p>
          <w:p w:rsidR="00BD7F45" w:rsidRDefault="00BD7F45" w:rsidP="00BD7F45">
            <w:pPr>
              <w:pStyle w:val="NormalHeadings"/>
              <w:jc w:val="left"/>
            </w:pPr>
            <w:r>
              <w:t>SURESH CHARAN</w:t>
            </w:r>
          </w:p>
          <w:p w:rsidR="00BD7F45" w:rsidRDefault="00BD7F45" w:rsidP="00BD7F45">
            <w:pPr>
              <w:pStyle w:val="PartyType"/>
            </w:pPr>
            <w:r>
              <w:t>Second Appellant</w:t>
            </w:r>
          </w:p>
          <w:bookmarkEnd w:id="14"/>
          <w:p w:rsidR="00A46CCC" w:rsidRPr="006555B4" w:rsidRDefault="00A46CCC" w:rsidP="001A28F6">
            <w:pPr>
              <w:pStyle w:val="NormalHeadings"/>
              <w:jc w:val="left"/>
            </w:pPr>
          </w:p>
        </w:tc>
      </w:tr>
      <w:tr w:rsidR="00A46CCC" w:rsidTr="001A28F6">
        <w:trPr>
          <w:trHeight w:val="386"/>
        </w:trPr>
        <w:tc>
          <w:tcPr>
            <w:tcW w:w="2376" w:type="dxa"/>
          </w:tcPr>
          <w:p w:rsidR="00A46CCC" w:rsidRDefault="00A46CCC" w:rsidP="001A28F6">
            <w:pPr>
              <w:pStyle w:val="NormalHeadings"/>
              <w:jc w:val="left"/>
              <w:rPr>
                <w:caps/>
                <w:szCs w:val="24"/>
              </w:rPr>
            </w:pPr>
            <w:r>
              <w:rPr>
                <w:caps/>
                <w:szCs w:val="24"/>
              </w:rPr>
              <w:t>AND:</w:t>
            </w:r>
          </w:p>
        </w:tc>
        <w:tc>
          <w:tcPr>
            <w:tcW w:w="6866" w:type="dxa"/>
            <w:gridSpan w:val="2"/>
          </w:tcPr>
          <w:p w:rsidR="00BD7F45" w:rsidRDefault="00BD7F45" w:rsidP="00BD7F45">
            <w:pPr>
              <w:pStyle w:val="NormalHeadings"/>
              <w:jc w:val="left"/>
            </w:pPr>
            <w:bookmarkStart w:id="15" w:name="Respondent"/>
            <w:r>
              <w:t>SECRETARY, DEPARTMENT OF SOCIAL SERVICES</w:t>
            </w:r>
          </w:p>
          <w:p w:rsidR="00BD7F45" w:rsidRDefault="00BD7F45" w:rsidP="00BD7F45">
            <w:pPr>
              <w:pStyle w:val="PartyType"/>
            </w:pPr>
            <w:r>
              <w:t>Respondent</w:t>
            </w:r>
          </w:p>
          <w:bookmarkEnd w:id="15"/>
          <w:p w:rsidR="00A46CCC" w:rsidRPr="006555B4" w:rsidRDefault="00A46CCC" w:rsidP="001A28F6">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D7F45">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BD7F45">
            <w:pPr>
              <w:pStyle w:val="NormalHeadings"/>
              <w:jc w:val="left"/>
              <w:rPr>
                <w:caps/>
                <w:szCs w:val="24"/>
              </w:rPr>
            </w:pPr>
            <w:bookmarkStart w:id="18" w:name="Judge"/>
            <w:r>
              <w:rPr>
                <w:caps/>
                <w:szCs w:val="24"/>
              </w:rPr>
              <w:t>COLLIER, KATZMANN AND FARRELL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C3728" w:rsidP="009D0B8B">
            <w:pPr>
              <w:pStyle w:val="NormalHeadings"/>
              <w:jc w:val="left"/>
              <w:rPr>
                <w:caps/>
                <w:szCs w:val="24"/>
              </w:rPr>
            </w:pPr>
            <w:bookmarkStart w:id="19" w:name="Judgment_Dated"/>
            <w:r w:rsidRPr="00DC3728">
              <w:rPr>
                <w:caps/>
                <w:szCs w:val="24"/>
              </w:rPr>
              <w:t>13</w:t>
            </w:r>
            <w:r w:rsidR="00BD7F45" w:rsidRPr="00DC3728">
              <w:rPr>
                <w:caps/>
                <w:szCs w:val="24"/>
              </w:rPr>
              <w:t xml:space="preserve"> </w:t>
            </w:r>
            <w:r w:rsidR="009D0B8B" w:rsidRPr="00DC3728">
              <w:rPr>
                <w:caps/>
                <w:szCs w:val="24"/>
              </w:rPr>
              <w:t>December</w:t>
            </w:r>
            <w:r w:rsidR="00BD7F45">
              <w:rPr>
                <w:caps/>
                <w:szCs w:val="24"/>
              </w:rPr>
              <w:t xml:space="preserve"> 2016</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9752A" w:rsidP="00274F5B">
      <w:pPr>
        <w:pStyle w:val="Order1"/>
      </w:pPr>
      <w:bookmarkStart w:id="20" w:name="Order_Start_Text"/>
      <w:bookmarkEnd w:id="20"/>
      <w:r>
        <w:t xml:space="preserve">The appeal </w:t>
      </w:r>
      <w:proofErr w:type="gramStart"/>
      <w:r w:rsidR="00E22D2F">
        <w:t>be</w:t>
      </w:r>
      <w:proofErr w:type="gramEnd"/>
      <w:r w:rsidR="00E22D2F">
        <w:t xml:space="preserve"> </w:t>
      </w:r>
      <w:r>
        <w:t>dismissed.</w:t>
      </w:r>
    </w:p>
    <w:p w:rsidR="0009752A" w:rsidRDefault="0009752A" w:rsidP="00274F5B">
      <w:pPr>
        <w:pStyle w:val="Order1"/>
      </w:pPr>
      <w:r>
        <w:t>The appellants pay the respondent’s costs as agreed or taxed.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6B70CA" w:rsidRDefault="0054384E" w:rsidP="005E0510">
      <w:pPr>
        <w:pStyle w:val="NormalHeadings"/>
        <w:spacing w:line="360" w:lineRule="auto"/>
        <w:jc w:val="left"/>
        <w:rPr>
          <w:sz w:val="26"/>
          <w:szCs w:val="26"/>
        </w:rPr>
      </w:pPr>
      <w:r>
        <w:rPr>
          <w:sz w:val="26"/>
          <w:szCs w:val="26"/>
        </w:rPr>
        <w:t>THE COURT</w:t>
      </w:r>
      <w:r w:rsidR="00484F6D" w:rsidRPr="006B70CA">
        <w:rPr>
          <w:sz w:val="26"/>
          <w:szCs w:val="26"/>
        </w:rPr>
        <w:t>:</w:t>
      </w:r>
    </w:p>
    <w:p w:rsidR="00AC7768" w:rsidRDefault="00AC7768" w:rsidP="00AC7768">
      <w:pPr>
        <w:pStyle w:val="ParaNumbering"/>
      </w:pPr>
      <w:r>
        <w:t xml:space="preserve">The appellants are married. </w:t>
      </w:r>
      <w:r w:rsidR="00DA661B">
        <w:t xml:space="preserve"> </w:t>
      </w:r>
      <w:r>
        <w:t>Both hold New Zealand passport</w:t>
      </w:r>
      <w:r w:rsidR="00E22D2F">
        <w:t xml:space="preserve">s.  They </w:t>
      </w:r>
      <w:r>
        <w:t xml:space="preserve">arrived in Australia on Special Category (subclass 444) visas in 2014.  </w:t>
      </w:r>
      <w:r w:rsidR="00DA661B">
        <w:t xml:space="preserve">In October 2014, </w:t>
      </w:r>
      <w:r w:rsidR="00E22D2F">
        <w:t>they applied</w:t>
      </w:r>
      <w:r w:rsidR="00DA661B">
        <w:t xml:space="preserve"> for the age pension</w:t>
      </w:r>
      <w:r w:rsidR="00C128AC">
        <w:t xml:space="preserve">. </w:t>
      </w:r>
      <w:r w:rsidR="00F07884">
        <w:t xml:space="preserve"> </w:t>
      </w:r>
      <w:r w:rsidR="00C128AC">
        <w:t>The applications</w:t>
      </w:r>
      <w:r w:rsidR="00DA661B">
        <w:t xml:space="preserve"> were rejected by Centrelink</w:t>
      </w:r>
      <w:r w:rsidR="00C128AC">
        <w:t xml:space="preserve"> on the basis that they did not satisfy </w:t>
      </w:r>
      <w:r w:rsidR="00E22D2F">
        <w:t xml:space="preserve">the criteria </w:t>
      </w:r>
      <w:r w:rsidR="00C128AC">
        <w:t>for the grant of that pension</w:t>
      </w:r>
      <w:r w:rsidR="00DA661B">
        <w:t xml:space="preserve">.  </w:t>
      </w:r>
      <w:r w:rsidR="00E22D2F">
        <w:t>Applications for review</w:t>
      </w:r>
      <w:r w:rsidR="00DA661B">
        <w:t xml:space="preserve"> by an Authorised Review Officer, the Social Security Appeals Tribunal (SSAT)</w:t>
      </w:r>
      <w:r w:rsidR="00E22D2F">
        <w:t>,</w:t>
      </w:r>
      <w:r w:rsidR="00DA661B">
        <w:t xml:space="preserve"> and the Administrative Appeals Tribunal (AAT) were </w:t>
      </w:r>
      <w:r w:rsidR="00E22D2F">
        <w:t xml:space="preserve">all </w:t>
      </w:r>
      <w:r w:rsidR="00DA661B">
        <w:t xml:space="preserve">unsuccessful. </w:t>
      </w:r>
    </w:p>
    <w:p w:rsidR="00AC7768" w:rsidRDefault="00E00D2C" w:rsidP="00E00D2C">
      <w:pPr>
        <w:pStyle w:val="ParaNumbering"/>
      </w:pPr>
      <w:r w:rsidRPr="0095531F">
        <w:t>Th</w:t>
      </w:r>
      <w:r>
        <w:t xml:space="preserve">is </w:t>
      </w:r>
      <w:r w:rsidR="00AC7768">
        <w:t xml:space="preserve">is an </w:t>
      </w:r>
      <w:r>
        <w:t xml:space="preserve">appeal </w:t>
      </w:r>
      <w:r w:rsidR="00AC7768">
        <w:t xml:space="preserve">from the judgment in </w:t>
      </w:r>
      <w:proofErr w:type="spellStart"/>
      <w:r w:rsidR="00AC7768" w:rsidRPr="002E080C">
        <w:rPr>
          <w:i/>
        </w:rPr>
        <w:t>Charan</w:t>
      </w:r>
      <w:proofErr w:type="spellEnd"/>
      <w:r w:rsidR="00AC7768" w:rsidRPr="002E080C">
        <w:rPr>
          <w:i/>
        </w:rPr>
        <w:t xml:space="preserve"> v Secretary, Department of Social Services</w:t>
      </w:r>
      <w:r w:rsidR="00AC7768" w:rsidRPr="0061304B">
        <w:t xml:space="preserve"> [2016] FCA 486</w:t>
      </w:r>
      <w:r w:rsidR="00AC7768">
        <w:t xml:space="preserve"> and orders made on 11 May 2016</w:t>
      </w:r>
      <w:r>
        <w:t xml:space="preserve">.  </w:t>
      </w:r>
      <w:r w:rsidR="00AC7768">
        <w:t xml:space="preserve">The primary judge dismissed the appellants’ “appeal” </w:t>
      </w:r>
      <w:r w:rsidR="0007368B">
        <w:t xml:space="preserve">from the AAT’s decision </w:t>
      </w:r>
      <w:r w:rsidR="00AC7768">
        <w:t xml:space="preserve">on a question of law under s 44(1) of the </w:t>
      </w:r>
      <w:r w:rsidR="00AC7768" w:rsidRPr="007D7315">
        <w:rPr>
          <w:b/>
          <w:i/>
        </w:rPr>
        <w:t>Administrative Appeals Tribunal Act</w:t>
      </w:r>
      <w:r w:rsidR="00AC7768" w:rsidRPr="002E080C">
        <w:rPr>
          <w:i/>
        </w:rPr>
        <w:t xml:space="preserve"> 1975 </w:t>
      </w:r>
      <w:r w:rsidR="00AC7768">
        <w:t>(Cth):</w:t>
      </w:r>
      <w:r w:rsidR="00AC7768" w:rsidRPr="00006EEA">
        <w:t xml:space="preserve"> </w:t>
      </w:r>
      <w:r w:rsidR="00AC7768">
        <w:t xml:space="preserve">see </w:t>
      </w:r>
      <w:proofErr w:type="spellStart"/>
      <w:r w:rsidR="00AC7768" w:rsidRPr="00BD7F45">
        <w:rPr>
          <w:i/>
        </w:rPr>
        <w:t>Charan</w:t>
      </w:r>
      <w:proofErr w:type="spellEnd"/>
      <w:r w:rsidR="00AC7768" w:rsidRPr="00BD7F45">
        <w:rPr>
          <w:i/>
        </w:rPr>
        <w:t xml:space="preserve"> and Secretary, Department of Social Services</w:t>
      </w:r>
      <w:r w:rsidR="00AC7768">
        <w:t xml:space="preserve"> </w:t>
      </w:r>
      <w:r w:rsidR="00AC7768" w:rsidRPr="0019066B">
        <w:rPr>
          <w:i/>
        </w:rPr>
        <w:t>(</w:t>
      </w:r>
      <w:r w:rsidR="00AC7768">
        <w:rPr>
          <w:i/>
        </w:rPr>
        <w:t>S</w:t>
      </w:r>
      <w:r w:rsidR="00AC7768" w:rsidRPr="0019066B">
        <w:rPr>
          <w:i/>
        </w:rPr>
        <w:t>ocial services second review)</w:t>
      </w:r>
      <w:r w:rsidR="00AC7768">
        <w:t xml:space="preserve"> [2015] AATA 760.</w:t>
      </w:r>
    </w:p>
    <w:p w:rsidR="00E00D2C" w:rsidRDefault="00E00D2C" w:rsidP="00E00D2C">
      <w:pPr>
        <w:pStyle w:val="ParaNumbering"/>
      </w:pPr>
      <w:r>
        <w:t xml:space="preserve">The </w:t>
      </w:r>
      <w:r w:rsidR="00E22D2F">
        <w:t>appeal turns on the manner in which</w:t>
      </w:r>
      <w:r>
        <w:t xml:space="preserve"> a 10 year period of qualifying residence should be calculated having regard to the interaction of the </w:t>
      </w:r>
      <w:r w:rsidRPr="00665199">
        <w:rPr>
          <w:b/>
          <w:i/>
        </w:rPr>
        <w:t>Social Security Act</w:t>
      </w:r>
      <w:r>
        <w:rPr>
          <w:i/>
        </w:rPr>
        <w:t xml:space="preserve"> 1991</w:t>
      </w:r>
      <w:r w:rsidR="00800300">
        <w:rPr>
          <w:i/>
        </w:rPr>
        <w:t xml:space="preserve"> </w:t>
      </w:r>
      <w:r>
        <w:t>(Cth), the</w:t>
      </w:r>
      <w:r w:rsidRPr="00665199">
        <w:rPr>
          <w:i/>
        </w:rPr>
        <w:t xml:space="preserve"> </w:t>
      </w:r>
      <w:r w:rsidRPr="004B6A89">
        <w:rPr>
          <w:i/>
        </w:rPr>
        <w:t>Social Security (</w:t>
      </w:r>
      <w:r w:rsidRPr="00515608">
        <w:rPr>
          <w:b/>
          <w:i/>
        </w:rPr>
        <w:t>International Agreements</w:t>
      </w:r>
      <w:r w:rsidRPr="004B6A89">
        <w:rPr>
          <w:i/>
        </w:rPr>
        <w:t xml:space="preserve">) </w:t>
      </w:r>
      <w:r w:rsidRPr="00515608">
        <w:rPr>
          <w:b/>
          <w:i/>
        </w:rPr>
        <w:t xml:space="preserve">Act </w:t>
      </w:r>
      <w:r w:rsidRPr="00BE5D0E">
        <w:rPr>
          <w:i/>
        </w:rPr>
        <w:t xml:space="preserve">1999 </w:t>
      </w:r>
      <w:r>
        <w:t xml:space="preserve">(Cth) and the </w:t>
      </w:r>
      <w:r w:rsidRPr="00CE70C6">
        <w:rPr>
          <w:b/>
          <w:i/>
        </w:rPr>
        <w:t>Agreement</w:t>
      </w:r>
      <w:r>
        <w:rPr>
          <w:i/>
        </w:rPr>
        <w:t xml:space="preserve"> on Social Security between the Government of Australia and the Government of New Zealand </w:t>
      </w:r>
      <w:r>
        <w:t xml:space="preserve">which is in Schedule 3 of the </w:t>
      </w:r>
      <w:r w:rsidRPr="00515608">
        <w:rPr>
          <w:i/>
        </w:rPr>
        <w:t>International Agreements Act</w:t>
      </w:r>
      <w:r>
        <w:t>.</w:t>
      </w:r>
      <w:r w:rsidR="00E22D2F">
        <w:t xml:space="preserve">  </w:t>
      </w:r>
    </w:p>
    <w:p w:rsidR="00B7286B" w:rsidRDefault="00B7286B" w:rsidP="00BE5D0E">
      <w:pPr>
        <w:pStyle w:val="ParaNumbering"/>
      </w:pPr>
      <w:r>
        <w:t xml:space="preserve">For the reasons which follow </w:t>
      </w:r>
      <w:r w:rsidR="00E22D2F">
        <w:t>the appeal should be dismissed</w:t>
      </w:r>
      <w:r>
        <w:t xml:space="preserve"> with costs.</w:t>
      </w:r>
    </w:p>
    <w:p w:rsidR="00B7286B" w:rsidRDefault="00B7286B" w:rsidP="00B7286B">
      <w:pPr>
        <w:pStyle w:val="Heading1"/>
      </w:pPr>
      <w:r>
        <w:t>Background</w:t>
      </w:r>
    </w:p>
    <w:p w:rsidR="002C6CE4" w:rsidRDefault="005965C3" w:rsidP="002C6CE4">
      <w:pPr>
        <w:pStyle w:val="ParaNumbering"/>
      </w:pPr>
      <w:r>
        <w:t xml:space="preserve">Before the AAT, the </w:t>
      </w:r>
      <w:r w:rsidR="002C6CE4">
        <w:t>appellants claim</w:t>
      </w:r>
      <w:r w:rsidR="00006EEA">
        <w:t>e</w:t>
      </w:r>
      <w:r w:rsidR="002C6CE4">
        <w:t xml:space="preserve">d to be entitled to an age pension </w:t>
      </w:r>
      <w:r w:rsidR="00E22D2F">
        <w:t>because</w:t>
      </w:r>
      <w:r w:rsidR="002C6CE4">
        <w:t xml:space="preserve"> they </w:t>
      </w:r>
      <w:r>
        <w:t xml:space="preserve">were </w:t>
      </w:r>
      <w:r w:rsidR="004A133B">
        <w:t>Australian resident</w:t>
      </w:r>
      <w:r w:rsidR="0007368B">
        <w:t>s</w:t>
      </w:r>
      <w:r w:rsidR="004A133B">
        <w:t xml:space="preserve"> (as defined in article 5(1) of the </w:t>
      </w:r>
      <w:r w:rsidR="004A133B">
        <w:rPr>
          <w:i/>
        </w:rPr>
        <w:t>Agreement</w:t>
      </w:r>
      <w:r w:rsidR="004A133B">
        <w:t>), they</w:t>
      </w:r>
      <w:r w:rsidR="004A133B">
        <w:rPr>
          <w:i/>
        </w:rPr>
        <w:t xml:space="preserve"> </w:t>
      </w:r>
      <w:r>
        <w:t xml:space="preserve">had </w:t>
      </w:r>
      <w:r w:rsidR="002C6CE4">
        <w:t>each turned 65</w:t>
      </w:r>
      <w:r w:rsidR="00D21A27">
        <w:t xml:space="preserve"> years old</w:t>
      </w:r>
      <w:r w:rsidR="00E22D2F">
        <w:t>,</w:t>
      </w:r>
      <w:r w:rsidR="002C6CE4">
        <w:t xml:space="preserve"> and their combined period of residence in </w:t>
      </w:r>
      <w:r w:rsidR="00006EEA">
        <w:t xml:space="preserve">New Zealand and </w:t>
      </w:r>
      <w:r w:rsidR="002C6CE4">
        <w:t xml:space="preserve">Australia </w:t>
      </w:r>
      <w:r>
        <w:t xml:space="preserve">was or </w:t>
      </w:r>
      <w:r w:rsidR="002C6CE4">
        <w:t xml:space="preserve">would </w:t>
      </w:r>
      <w:r>
        <w:t xml:space="preserve">soon </w:t>
      </w:r>
      <w:r w:rsidR="002C6CE4">
        <w:t>be 10 years</w:t>
      </w:r>
      <w:r w:rsidR="00E22D2F">
        <w:t xml:space="preserve"> — </w:t>
      </w:r>
      <w:r w:rsidR="002C6CE4">
        <w:t xml:space="preserve">in the case of Mrs </w:t>
      </w:r>
      <w:proofErr w:type="spellStart"/>
      <w:r w:rsidR="002C6CE4">
        <w:t>Charan</w:t>
      </w:r>
      <w:proofErr w:type="spellEnd"/>
      <w:r w:rsidR="002C6CE4">
        <w:t>, on 1 January 2015</w:t>
      </w:r>
      <w:r w:rsidR="00E22D2F">
        <w:t>,</w:t>
      </w:r>
      <w:r w:rsidR="002C6CE4">
        <w:t xml:space="preserve"> and in the case of Mr </w:t>
      </w:r>
      <w:proofErr w:type="spellStart"/>
      <w:r w:rsidR="002C6CE4">
        <w:t>Charan</w:t>
      </w:r>
      <w:proofErr w:type="spellEnd"/>
      <w:r w:rsidR="00006EEA">
        <w:t xml:space="preserve">, on </w:t>
      </w:r>
      <w:r w:rsidR="002C6CE4">
        <w:t>30 June 2015.</w:t>
      </w:r>
      <w:r w:rsidR="00C128AC">
        <w:t xml:space="preserve">  </w:t>
      </w:r>
    </w:p>
    <w:p w:rsidR="006B54F5" w:rsidRDefault="004042E6" w:rsidP="004042E6">
      <w:pPr>
        <w:pStyle w:val="Heading2"/>
      </w:pPr>
      <w:r>
        <w:t>Summary of AAT’s decision</w:t>
      </w:r>
    </w:p>
    <w:p w:rsidR="004042E6" w:rsidRDefault="0020255B" w:rsidP="004042E6">
      <w:pPr>
        <w:pStyle w:val="ParaNumbering"/>
      </w:pPr>
      <w:r>
        <w:t xml:space="preserve">The AAT </w:t>
      </w:r>
      <w:r w:rsidR="004042E6">
        <w:t>made the following findings.</w:t>
      </w:r>
    </w:p>
    <w:p w:rsidR="00C128AC" w:rsidRDefault="004042E6" w:rsidP="004042E6">
      <w:pPr>
        <w:pStyle w:val="ParaNumbering"/>
      </w:pPr>
      <w:r>
        <w:t>T</w:t>
      </w:r>
      <w:r w:rsidR="00C128AC">
        <w:t xml:space="preserve">he appellants were born in Fiji, Mrs </w:t>
      </w:r>
      <w:proofErr w:type="spellStart"/>
      <w:r w:rsidR="00C128AC">
        <w:t>Charan</w:t>
      </w:r>
      <w:proofErr w:type="spellEnd"/>
      <w:r w:rsidR="00C128AC">
        <w:t xml:space="preserve"> on 27 January 1946 and Mr </w:t>
      </w:r>
      <w:proofErr w:type="spellStart"/>
      <w:r w:rsidR="00C128AC">
        <w:t>Charan</w:t>
      </w:r>
      <w:proofErr w:type="spellEnd"/>
      <w:r w:rsidR="00C128AC">
        <w:t xml:space="preserve"> on 22</w:t>
      </w:r>
      <w:r w:rsidR="0007368B">
        <w:t> </w:t>
      </w:r>
      <w:r w:rsidR="00C128AC">
        <w:t xml:space="preserve">February 1943.  On 1 January 2005, shortly before she turned 59 years old, Mrs </w:t>
      </w:r>
      <w:proofErr w:type="spellStart"/>
      <w:r w:rsidR="00C128AC">
        <w:t>Charan</w:t>
      </w:r>
      <w:proofErr w:type="spellEnd"/>
      <w:r w:rsidR="00C128AC">
        <w:t xml:space="preserve"> </w:t>
      </w:r>
      <w:r w:rsidR="00C128AC">
        <w:lastRenderedPageBreak/>
        <w:t>moved to New Zealand.  Mr </w:t>
      </w:r>
      <w:proofErr w:type="spellStart"/>
      <w:r w:rsidR="00C128AC">
        <w:t>Charan</w:t>
      </w:r>
      <w:proofErr w:type="spellEnd"/>
      <w:r w:rsidR="00C128AC">
        <w:t xml:space="preserve"> joined her on 30 June 2005, when he was 62 years old.  At age 68, on 14 February 2014, Mrs </w:t>
      </w:r>
      <w:proofErr w:type="spellStart"/>
      <w:r w:rsidR="00C128AC">
        <w:t>Charan</w:t>
      </w:r>
      <w:proofErr w:type="spellEnd"/>
      <w:r w:rsidR="00C128AC">
        <w:t xml:space="preserve"> relocated to Australia; Mr </w:t>
      </w:r>
      <w:proofErr w:type="spellStart"/>
      <w:r w:rsidR="00C128AC">
        <w:t>Charan</w:t>
      </w:r>
      <w:proofErr w:type="spellEnd"/>
      <w:r w:rsidR="00C128AC">
        <w:t xml:space="preserve"> joined her on 4 April 2014, </w:t>
      </w:r>
      <w:proofErr w:type="gramStart"/>
      <w:r w:rsidR="00C128AC">
        <w:t>then</w:t>
      </w:r>
      <w:proofErr w:type="gramEnd"/>
      <w:r w:rsidR="00C128AC">
        <w:t xml:space="preserve"> aged 71.</w:t>
      </w:r>
      <w:r w:rsidR="00C128AC" w:rsidRPr="0095531F">
        <w:t xml:space="preserve"> </w:t>
      </w:r>
      <w:r w:rsidR="00C128AC">
        <w:t xml:space="preserve"> </w:t>
      </w:r>
    </w:p>
    <w:p w:rsidR="00FB2341" w:rsidRDefault="003A21A0" w:rsidP="004042E6">
      <w:pPr>
        <w:pStyle w:val="ParaNumbering"/>
      </w:pPr>
      <w:r>
        <w:t>C</w:t>
      </w:r>
      <w:r w:rsidR="00835289">
        <w:t xml:space="preserve">onsidering the </w:t>
      </w:r>
      <w:r w:rsidR="00835289">
        <w:rPr>
          <w:i/>
        </w:rPr>
        <w:t xml:space="preserve">Social Security Act </w:t>
      </w:r>
      <w:r w:rsidR="00835289">
        <w:t>alone, t</w:t>
      </w:r>
      <w:r w:rsidR="00FB2341">
        <w:t xml:space="preserve">he appellants </w:t>
      </w:r>
      <w:r w:rsidR="00515608">
        <w:t xml:space="preserve">do </w:t>
      </w:r>
      <w:r w:rsidR="00FB2341">
        <w:t xml:space="preserve">not satisfy </w:t>
      </w:r>
      <w:r w:rsidR="001E4FE5">
        <w:t>s 43(1) as they did not have 10 years “qualifying Australian residence” within</w:t>
      </w:r>
      <w:r w:rsidR="0019066B">
        <w:t xml:space="preserve"> the meaning of</w:t>
      </w:r>
      <w:r w:rsidR="001E4FE5">
        <w:t xml:space="preserve"> s 7(5) of</w:t>
      </w:r>
      <w:r w:rsidR="00CE70C6">
        <w:t xml:space="preserve"> that Ac</w:t>
      </w:r>
      <w:r w:rsidR="00515608">
        <w:t>t nor are the</w:t>
      </w:r>
      <w:r w:rsidR="00F5037D">
        <w:t>y</w:t>
      </w:r>
      <w:r w:rsidR="00515608">
        <w:t xml:space="preserve"> “Australian residents” within</w:t>
      </w:r>
      <w:r w:rsidR="0019066B">
        <w:t xml:space="preserve"> the meaning of</w:t>
      </w:r>
      <w:r w:rsidR="00515608">
        <w:t xml:space="preserve"> s 7(2)</w:t>
      </w:r>
      <w:r w:rsidR="006E563E">
        <w:t xml:space="preserve"> as they are not Australian citizens</w:t>
      </w:r>
      <w:r w:rsidR="0020255B">
        <w:t>,</w:t>
      </w:r>
      <w:r w:rsidR="006E563E">
        <w:t xml:space="preserve"> holders of permanent visas or holders of protected SCV visas</w:t>
      </w:r>
      <w:r w:rsidR="00FB2341">
        <w:t>.</w:t>
      </w:r>
    </w:p>
    <w:p w:rsidR="00FB2341" w:rsidRDefault="00FB2341" w:rsidP="004042E6">
      <w:pPr>
        <w:pStyle w:val="ParaNumbering"/>
      </w:pPr>
      <w:r>
        <w:t xml:space="preserve">Section 6 of the </w:t>
      </w:r>
      <w:r w:rsidRPr="00515608">
        <w:rPr>
          <w:i/>
        </w:rPr>
        <w:t xml:space="preserve">International Agreements Act </w:t>
      </w:r>
      <w:r>
        <w:t xml:space="preserve">operates to modify the operation of the </w:t>
      </w:r>
      <w:r w:rsidRPr="00515608">
        <w:rPr>
          <w:i/>
        </w:rPr>
        <w:t>Social Security</w:t>
      </w:r>
      <w:r w:rsidRPr="00515608">
        <w:t xml:space="preserve"> </w:t>
      </w:r>
      <w:r w:rsidRPr="004A133B">
        <w:rPr>
          <w:i/>
        </w:rPr>
        <w:t>A</w:t>
      </w:r>
      <w:r w:rsidRPr="0019066B">
        <w:rPr>
          <w:i/>
        </w:rPr>
        <w:t>ct</w:t>
      </w:r>
      <w:r w:rsidR="00926473">
        <w:rPr>
          <w:i/>
        </w:rPr>
        <w:t xml:space="preserve"> </w:t>
      </w:r>
      <w:r w:rsidR="00926473">
        <w:t xml:space="preserve">to enable people </w:t>
      </w:r>
      <w:r w:rsidR="00515608">
        <w:t xml:space="preserve">like the appellants </w:t>
      </w:r>
      <w:r w:rsidR="00926473">
        <w:t xml:space="preserve">who would not otherwise qualify for social security </w:t>
      </w:r>
      <w:r w:rsidR="00F07884">
        <w:t xml:space="preserve">benefits </w:t>
      </w:r>
      <w:r w:rsidR="00926473">
        <w:t>to do so where they are covered by certain international agreements</w:t>
      </w:r>
      <w:r w:rsidR="000F0FBB">
        <w:t xml:space="preserve">.  Where a provision of an </w:t>
      </w:r>
      <w:r w:rsidR="001C0DCF">
        <w:t xml:space="preserve">international </w:t>
      </w:r>
      <w:r w:rsidR="000F0FBB" w:rsidRPr="001C0DCF">
        <w:t xml:space="preserve">agreement is in force and affects provisions of the </w:t>
      </w:r>
      <w:r w:rsidR="000F0FBB" w:rsidRPr="001C0DCF">
        <w:rPr>
          <w:i/>
        </w:rPr>
        <w:t>Social Security Act</w:t>
      </w:r>
      <w:r w:rsidR="000F0FBB" w:rsidRPr="001C0DCF">
        <w:t xml:space="preserve">, the provisions of the </w:t>
      </w:r>
      <w:r w:rsidR="001C0DCF">
        <w:t>a</w:t>
      </w:r>
      <w:r w:rsidR="000F0FBB" w:rsidRPr="001C0DCF">
        <w:t xml:space="preserve">greement </w:t>
      </w:r>
      <w:r w:rsidR="000F0FBB">
        <w:t>override the provisions of the Act</w:t>
      </w:r>
      <w:r>
        <w:t xml:space="preserve">: see </w:t>
      </w:r>
      <w:r>
        <w:rPr>
          <w:i/>
        </w:rPr>
        <w:t xml:space="preserve">Secretary, Department of Families, Housing, Community </w:t>
      </w:r>
      <w:r w:rsidR="00521756">
        <w:rPr>
          <w:i/>
        </w:rPr>
        <w:t xml:space="preserve">Services </w:t>
      </w:r>
      <w:r>
        <w:rPr>
          <w:i/>
        </w:rPr>
        <w:t xml:space="preserve">and Indigenous Affairs v </w:t>
      </w:r>
      <w:proofErr w:type="spellStart"/>
      <w:r>
        <w:rPr>
          <w:i/>
        </w:rPr>
        <w:t>Mahrous</w:t>
      </w:r>
      <w:proofErr w:type="spellEnd"/>
      <w:r>
        <w:t xml:space="preserve"> </w:t>
      </w:r>
      <w:r w:rsidR="003934F0">
        <w:t xml:space="preserve">(2013) 213 FCR 532; </w:t>
      </w:r>
      <w:r>
        <w:t>[2013] FCAFC 75</w:t>
      </w:r>
      <w:r w:rsidR="005E32E3">
        <w:t xml:space="preserve"> </w:t>
      </w:r>
      <w:r w:rsidR="0086399F">
        <w:t>(</w:t>
      </w:r>
      <w:proofErr w:type="spellStart"/>
      <w:r w:rsidR="0086399F" w:rsidRPr="0086399F">
        <w:rPr>
          <w:b/>
          <w:i/>
        </w:rPr>
        <w:t>Mahrous</w:t>
      </w:r>
      <w:proofErr w:type="spellEnd"/>
      <w:r w:rsidR="0086399F" w:rsidRPr="0086399F">
        <w:rPr>
          <w:b/>
        </w:rPr>
        <w:t xml:space="preserve"> (FC)</w:t>
      </w:r>
      <w:r w:rsidR="0086399F">
        <w:t>)</w:t>
      </w:r>
      <w:r>
        <w:t xml:space="preserve"> at [39].  </w:t>
      </w:r>
    </w:p>
    <w:p w:rsidR="006E563E" w:rsidRDefault="006E563E" w:rsidP="004042E6">
      <w:pPr>
        <w:pStyle w:val="ParaNumbering"/>
      </w:pPr>
      <w:r>
        <w:t>Article 5(1) operates to extend the definition of “Australian resident”</w:t>
      </w:r>
      <w:r w:rsidR="00FF69AD">
        <w:t xml:space="preserve"> </w:t>
      </w:r>
      <w:r w:rsidR="0019066B">
        <w:t xml:space="preserve">in the </w:t>
      </w:r>
      <w:r w:rsidR="0019066B">
        <w:rPr>
          <w:i/>
        </w:rPr>
        <w:t xml:space="preserve">Social Security Act </w:t>
      </w:r>
      <w:r w:rsidR="00FF69AD">
        <w:t xml:space="preserve">for the purposes of the </w:t>
      </w:r>
      <w:r w:rsidR="00FF69AD">
        <w:rPr>
          <w:i/>
        </w:rPr>
        <w:t>Agreement</w:t>
      </w:r>
      <w:r w:rsidR="00FF69AD">
        <w:t xml:space="preserve"> to a person who does not hold a permanent visa but is “lawfully residing in Australia”.  Article 5</w:t>
      </w:r>
      <w:r w:rsidR="005E32E3">
        <w:t>(1)</w:t>
      </w:r>
      <w:r w:rsidR="00FF69AD">
        <w:t xml:space="preserve"> does not deem all New Zealand residents to be Australian residents nor does it render all periods of residenc</w:t>
      </w:r>
      <w:r w:rsidR="005E32E3">
        <w:t>e</w:t>
      </w:r>
      <w:r w:rsidR="00FF69AD">
        <w:t xml:space="preserve"> in New Zealand as periods of residence in Australia: it clearly states that the extended definition</w:t>
      </w:r>
      <w:r w:rsidR="0019066B">
        <w:t xml:space="preserve"> of “Australian resident”</w:t>
      </w:r>
      <w:r w:rsidR="00FF69AD">
        <w:t xml:space="preserve"> applies to New Zealand citizens who are “</w:t>
      </w:r>
      <w:r w:rsidR="00FF69AD">
        <w:rPr>
          <w:i/>
        </w:rPr>
        <w:t>lawfully residing in Australia</w:t>
      </w:r>
      <w:r w:rsidR="00FF69AD">
        <w:t xml:space="preserve">”. </w:t>
      </w:r>
    </w:p>
    <w:p w:rsidR="00A17241" w:rsidRDefault="00FB2341" w:rsidP="004042E6">
      <w:pPr>
        <w:pStyle w:val="ParaNumbering"/>
      </w:pPr>
      <w:r>
        <w:t xml:space="preserve">The appellants </w:t>
      </w:r>
      <w:r w:rsidR="00FF69AD">
        <w:t xml:space="preserve">accepted that they must have “10 years qualifying Australian residence” to qualify for an age pension.  The fact that they are currently “Australian residents” within the extended definition is not determinative of whether they satisfied it previously.  To do that, they would have to satisfy </w:t>
      </w:r>
      <w:r w:rsidR="00552ADE">
        <w:t xml:space="preserve">for the required period </w:t>
      </w:r>
      <w:r w:rsidR="00FF69AD">
        <w:t xml:space="preserve">the factors </w:t>
      </w:r>
      <w:r w:rsidR="005E32E3">
        <w:t xml:space="preserve">indicative of Australian residence </w:t>
      </w:r>
      <w:r w:rsidR="00FF69AD">
        <w:t>in article 5(1).  They resided in New Zealand from 2005 to 2014, living and working there permanently</w:t>
      </w:r>
      <w:r w:rsidR="005E32E3">
        <w:t>.  T</w:t>
      </w:r>
      <w:r w:rsidR="00FF69AD">
        <w:t xml:space="preserve">hey were not Australian residents before 2014.  </w:t>
      </w:r>
    </w:p>
    <w:p w:rsidR="002A4C07" w:rsidRDefault="005E32E3" w:rsidP="004042E6">
      <w:pPr>
        <w:pStyle w:val="ParaNumbering"/>
      </w:pPr>
      <w:r>
        <w:t xml:space="preserve">The only period of residence in New Zealand which </w:t>
      </w:r>
      <w:r w:rsidR="00800300">
        <w:t>a</w:t>
      </w:r>
      <w:r w:rsidR="001E4FE5">
        <w:t>rticle 12</w:t>
      </w:r>
      <w:r w:rsidR="00FB2341">
        <w:t>(1)</w:t>
      </w:r>
      <w:r w:rsidR="001E4FE5">
        <w:t xml:space="preserve"> </w:t>
      </w:r>
      <w:r w:rsidR="00CE70C6">
        <w:t xml:space="preserve">of the </w:t>
      </w:r>
      <w:r w:rsidR="00CE70C6" w:rsidRPr="002D758D">
        <w:rPr>
          <w:i/>
        </w:rPr>
        <w:t>Agreement</w:t>
      </w:r>
      <w:r w:rsidR="00A17241">
        <w:t xml:space="preserve"> permits to be counted towards satisfying the “10 years qualifying Australian residence” requirement</w:t>
      </w:r>
      <w:r>
        <w:t xml:space="preserve"> is “working age residence”</w:t>
      </w:r>
      <w:r w:rsidR="001E4FE5" w:rsidRPr="00FB2341">
        <w:t>.</w:t>
      </w:r>
      <w:r w:rsidR="001E4FE5" w:rsidRPr="0095531F">
        <w:t xml:space="preserve"> </w:t>
      </w:r>
      <w:r w:rsidR="001E4FE5">
        <w:t xml:space="preserve"> </w:t>
      </w:r>
      <w:r w:rsidR="00A17241">
        <w:t>The</w:t>
      </w:r>
      <w:r w:rsidR="004A29F3">
        <w:t xml:space="preserve"> appellants’</w:t>
      </w:r>
      <w:r w:rsidR="00A17241">
        <w:t xml:space="preserve"> </w:t>
      </w:r>
      <w:r w:rsidR="00393603">
        <w:t>period of “residence</w:t>
      </w:r>
      <w:r w:rsidR="002E5BC2">
        <w:t xml:space="preserve"> in Australia</w:t>
      </w:r>
      <w:r w:rsidR="00393603">
        <w:t>”</w:t>
      </w:r>
      <w:r>
        <w:t xml:space="preserve"> plus “working age residence” (between the ages of 20 and 64) in New Zealand </w:t>
      </w:r>
      <w:r w:rsidR="00A35071">
        <w:t>(terms defined in</w:t>
      </w:r>
      <w:r>
        <w:t xml:space="preserve"> </w:t>
      </w:r>
      <w:r w:rsidR="002A4C07">
        <w:t>a</w:t>
      </w:r>
      <w:r w:rsidR="00A35071">
        <w:t>rticle</w:t>
      </w:r>
      <w:r>
        <w:t>s</w:t>
      </w:r>
      <w:r w:rsidR="00A35071">
        <w:t xml:space="preserve"> 5</w:t>
      </w:r>
      <w:r>
        <w:t xml:space="preserve">(1) and </w:t>
      </w:r>
      <w:r w:rsidR="00DC3728">
        <w:t>5</w:t>
      </w:r>
      <w:r>
        <w:t>(5)</w:t>
      </w:r>
      <w:r w:rsidR="002A4C07">
        <w:t xml:space="preserve"> of the </w:t>
      </w:r>
      <w:r w:rsidR="002A4C07" w:rsidRPr="002D758D">
        <w:rPr>
          <w:i/>
        </w:rPr>
        <w:t>Agreement</w:t>
      </w:r>
      <w:r w:rsidR="002A4C07">
        <w:t xml:space="preserve">) </w:t>
      </w:r>
      <w:r w:rsidR="00393603" w:rsidRPr="002A4C07">
        <w:t>was</w:t>
      </w:r>
      <w:r w:rsidR="00393603">
        <w:t xml:space="preserve"> not in aggregate at least 10 years</w:t>
      </w:r>
      <w:r>
        <w:t xml:space="preserve"> (120 months)</w:t>
      </w:r>
      <w:r w:rsidR="00590814">
        <w:t>.</w:t>
      </w:r>
      <w:r w:rsidR="001E4FE5">
        <w:t xml:space="preserve"> </w:t>
      </w:r>
      <w:r w:rsidR="008B0883">
        <w:t xml:space="preserve"> </w:t>
      </w:r>
      <w:r w:rsidR="0061529D">
        <w:t xml:space="preserve">At </w:t>
      </w:r>
      <w:r w:rsidR="002A4C07">
        <w:t xml:space="preserve">the </w:t>
      </w:r>
      <w:r w:rsidR="002A4C07">
        <w:lastRenderedPageBreak/>
        <w:t>date of their claim</w:t>
      </w:r>
      <w:r w:rsidR="0061529D">
        <w:t xml:space="preserve">, </w:t>
      </w:r>
      <w:r w:rsidR="008B0883">
        <w:t xml:space="preserve">Mrs </w:t>
      </w:r>
      <w:proofErr w:type="spellStart"/>
      <w:r w:rsidR="008B0883">
        <w:t>Charan</w:t>
      </w:r>
      <w:proofErr w:type="spellEnd"/>
      <w:r w:rsidR="008B0883">
        <w:t xml:space="preserve"> had approximately 73 </w:t>
      </w:r>
      <w:r w:rsidR="00403DDD">
        <w:t xml:space="preserve">months of working age </w:t>
      </w:r>
      <w:r w:rsidR="004E3C28">
        <w:t xml:space="preserve">residence </w:t>
      </w:r>
      <w:r w:rsidR="008B0883">
        <w:t>in New Zealand</w:t>
      </w:r>
      <w:r w:rsidR="00403DDD">
        <w:t xml:space="preserve"> and </w:t>
      </w:r>
      <w:r w:rsidR="0034407F">
        <w:t>seven</w:t>
      </w:r>
      <w:r w:rsidR="00403DDD">
        <w:t xml:space="preserve"> months </w:t>
      </w:r>
      <w:r w:rsidR="002E5BC2">
        <w:t>“</w:t>
      </w:r>
      <w:r w:rsidR="00403DDD">
        <w:t>residence in Australia</w:t>
      </w:r>
      <w:r w:rsidR="002E5BC2">
        <w:t>”</w:t>
      </w:r>
      <w:r w:rsidR="00403DDD">
        <w:t>, amounting to 80 of the necessary 120 months</w:t>
      </w:r>
      <w:r w:rsidR="008B0883">
        <w:t xml:space="preserve">.  Mr </w:t>
      </w:r>
      <w:proofErr w:type="spellStart"/>
      <w:r w:rsidR="008B0883">
        <w:t>Charan</w:t>
      </w:r>
      <w:proofErr w:type="spellEnd"/>
      <w:r w:rsidR="008B0883">
        <w:t xml:space="preserve"> had 32 months working age </w:t>
      </w:r>
      <w:r w:rsidR="004E3C28">
        <w:t xml:space="preserve">residence </w:t>
      </w:r>
      <w:r w:rsidR="008B0883">
        <w:t>in New Zealand</w:t>
      </w:r>
      <w:r w:rsidR="00403DDD">
        <w:t xml:space="preserve"> and five months of </w:t>
      </w:r>
      <w:r w:rsidR="002E5BC2">
        <w:t>“</w:t>
      </w:r>
      <w:r w:rsidR="00403DDD">
        <w:t>residence</w:t>
      </w:r>
      <w:r w:rsidR="002E5BC2">
        <w:t xml:space="preserve"> in Australia”</w:t>
      </w:r>
      <w:r w:rsidR="00403DDD">
        <w:t>, giving him 37 of the necessary 120 months</w:t>
      </w:r>
      <w:r w:rsidR="008B0883">
        <w:t xml:space="preserve">. </w:t>
      </w:r>
      <w:r w:rsidR="00A35071">
        <w:t xml:space="preserve"> </w:t>
      </w:r>
      <w:r w:rsidR="00A17241">
        <w:t>They therefore did n</w:t>
      </w:r>
      <w:r w:rsidR="00DC3728">
        <w:t xml:space="preserve">ot qualify for an age pension. </w:t>
      </w:r>
    </w:p>
    <w:p w:rsidR="002C6CE4" w:rsidRDefault="002E5BC2" w:rsidP="004042E6">
      <w:pPr>
        <w:pStyle w:val="ParaNumbering"/>
      </w:pPr>
      <w:r>
        <w:t>When they made their applications</w:t>
      </w:r>
      <w:r w:rsidR="00A35071">
        <w:t xml:space="preserve"> in October 2014</w:t>
      </w:r>
      <w:r>
        <w:t xml:space="preserve">, the </w:t>
      </w:r>
      <w:r w:rsidR="00A35071">
        <w:t xml:space="preserve">appellants </w:t>
      </w:r>
      <w:r>
        <w:t>sought payment of the age pension from a date in the future.</w:t>
      </w:r>
      <w:r w:rsidR="000558F0">
        <w:t xml:space="preserve">  </w:t>
      </w:r>
      <w:r w:rsidR="00C128AC">
        <w:t xml:space="preserve">Mrs </w:t>
      </w:r>
      <w:proofErr w:type="spellStart"/>
      <w:r w:rsidR="00C128AC">
        <w:t>Charan</w:t>
      </w:r>
      <w:proofErr w:type="spellEnd"/>
      <w:r w:rsidR="00C128AC">
        <w:t xml:space="preserve"> sought payment of the pension from 1 January 2015.  In submissions filed with the AAT, Mr </w:t>
      </w:r>
      <w:proofErr w:type="spellStart"/>
      <w:r w:rsidR="00C128AC">
        <w:t>Charan</w:t>
      </w:r>
      <w:proofErr w:type="spellEnd"/>
      <w:r w:rsidR="00C128AC">
        <w:t xml:space="preserve"> sought to change the intended date of his application for the age pension from 1 January 2015 to 1 July 2015, being the date on which he would complete an aggregate of 10 years residence in New Zealand and Australia.  </w:t>
      </w:r>
      <w:r w:rsidR="000558F0">
        <w:t xml:space="preserve">Under </w:t>
      </w:r>
      <w:r>
        <w:t>clause 4</w:t>
      </w:r>
      <w:r w:rsidR="000558F0">
        <w:t>(1</w:t>
      </w:r>
      <w:proofErr w:type="gramStart"/>
      <w:r w:rsidR="000558F0">
        <w:t>)(</w:t>
      </w:r>
      <w:proofErr w:type="gramEnd"/>
      <w:r w:rsidR="000558F0">
        <w:t>c)</w:t>
      </w:r>
      <w:r>
        <w:t xml:space="preserve"> of Schedule 2 of the </w:t>
      </w:r>
      <w:r>
        <w:rPr>
          <w:i/>
        </w:rPr>
        <w:t>Social Security (</w:t>
      </w:r>
      <w:r w:rsidRPr="00C128AC">
        <w:rPr>
          <w:b/>
          <w:i/>
        </w:rPr>
        <w:t>Administration</w:t>
      </w:r>
      <w:r>
        <w:rPr>
          <w:i/>
        </w:rPr>
        <w:t xml:space="preserve">) </w:t>
      </w:r>
      <w:r w:rsidRPr="00C128AC">
        <w:rPr>
          <w:b/>
          <w:i/>
        </w:rPr>
        <w:t>Act</w:t>
      </w:r>
      <w:r>
        <w:rPr>
          <w:i/>
        </w:rPr>
        <w:t xml:space="preserve"> </w:t>
      </w:r>
      <w:r w:rsidRPr="002E5BC2">
        <w:rPr>
          <w:i/>
        </w:rPr>
        <w:t>1999</w:t>
      </w:r>
      <w:r>
        <w:t xml:space="preserve"> (Cth)</w:t>
      </w:r>
      <w:r w:rsidR="000558F0">
        <w:t xml:space="preserve"> a claim may only be made if, within the following 13 weeks, the claimant would have qualified to receive </w:t>
      </w:r>
      <w:r w:rsidR="004A29F3">
        <w:t xml:space="preserve">the </w:t>
      </w:r>
      <w:r w:rsidR="000558F0">
        <w:t xml:space="preserve">payment.  Therefore, even if Mr </w:t>
      </w:r>
      <w:proofErr w:type="spellStart"/>
      <w:r w:rsidR="000558F0">
        <w:t>Charan’s</w:t>
      </w:r>
      <w:proofErr w:type="spellEnd"/>
      <w:r w:rsidR="000558F0">
        <w:t xml:space="preserve"> interpretation of the </w:t>
      </w:r>
      <w:r w:rsidR="000558F0">
        <w:rPr>
          <w:i/>
        </w:rPr>
        <w:t>Agreement</w:t>
      </w:r>
      <w:r w:rsidR="000558F0">
        <w:t xml:space="preserve"> had been accepted, on any view he was not qualified to claim the age pension because he would not have been entitled to a payment until 1 July 2015, approximately nine months after he lodged his application.</w:t>
      </w:r>
      <w:r w:rsidR="00A17241">
        <w:t xml:space="preserve"> </w:t>
      </w:r>
    </w:p>
    <w:p w:rsidR="004042E6" w:rsidRDefault="004042E6" w:rsidP="004042E6">
      <w:pPr>
        <w:pStyle w:val="Heading2"/>
      </w:pPr>
      <w:r>
        <w:t>Decision of primary judge</w:t>
      </w:r>
    </w:p>
    <w:p w:rsidR="00C128AC" w:rsidRDefault="004042E6" w:rsidP="007D7315">
      <w:pPr>
        <w:pStyle w:val="ParaNumbering"/>
      </w:pPr>
      <w:r>
        <w:t xml:space="preserve">At </w:t>
      </w:r>
      <w:r w:rsidR="00C128AC" w:rsidRPr="00800300">
        <w:t>[32]-[35</w:t>
      </w:r>
      <w:r w:rsidR="00C128AC">
        <w:t>]</w:t>
      </w:r>
      <w:r w:rsidR="00552ADE">
        <w:t xml:space="preserve"> of his reasons</w:t>
      </w:r>
      <w:r w:rsidR="00C128AC">
        <w:t xml:space="preserve">, </w:t>
      </w:r>
      <w:r w:rsidR="007D7315" w:rsidRPr="00800300">
        <w:t>t</w:t>
      </w:r>
      <w:r w:rsidR="000D1C93" w:rsidRPr="00800300">
        <w:t>he primary judge</w:t>
      </w:r>
      <w:r>
        <w:t xml:space="preserve"> summarised his decision as follows:</w:t>
      </w:r>
    </w:p>
    <w:p w:rsidR="00C128AC" w:rsidRDefault="004042E6" w:rsidP="00AC6017">
      <w:pPr>
        <w:pStyle w:val="ListNo1"/>
      </w:pPr>
      <w:r>
        <w:t>T</w:t>
      </w:r>
      <w:r w:rsidR="000D1C93" w:rsidRPr="00800300">
        <w:t xml:space="preserve">he grounds of appeal </w:t>
      </w:r>
      <w:r w:rsidR="007D7315" w:rsidRPr="00800300">
        <w:t xml:space="preserve">from the decision of the AAT </w:t>
      </w:r>
      <w:r w:rsidR="000D1C93" w:rsidRPr="00800300">
        <w:t>formulated by the appellants did not identify any “question of law” with sufficient precision to satisfy s</w:t>
      </w:r>
      <w:r w:rsidR="007D7315" w:rsidRPr="00800300">
        <w:t> </w:t>
      </w:r>
      <w:r w:rsidR="000D1C93" w:rsidRPr="00800300">
        <w:t xml:space="preserve">44(1) of the </w:t>
      </w:r>
      <w:r w:rsidR="000D1C93" w:rsidRPr="00C128AC">
        <w:rPr>
          <w:i/>
        </w:rPr>
        <w:t>Administrative Appeals Tribunal Act</w:t>
      </w:r>
      <w:r w:rsidR="000D1C93" w:rsidRPr="00800300">
        <w:t xml:space="preserve">. </w:t>
      </w:r>
      <w:r w:rsidR="007D7315" w:rsidRPr="00800300">
        <w:t xml:space="preserve"> N</w:t>
      </w:r>
      <w:r w:rsidR="000D1C93" w:rsidRPr="00800300">
        <w:t xml:space="preserve">evertheless a properly drafted </w:t>
      </w:r>
      <w:r w:rsidR="007D7315" w:rsidRPr="00800300">
        <w:t>n</w:t>
      </w:r>
      <w:r w:rsidR="000D1C93" w:rsidRPr="00800300">
        <w:t xml:space="preserve">otice of </w:t>
      </w:r>
      <w:r w:rsidR="007D7315" w:rsidRPr="00800300">
        <w:t>a</w:t>
      </w:r>
      <w:r w:rsidR="000D1C93" w:rsidRPr="00800300">
        <w:t xml:space="preserve">ppeal could well have identified the questions </w:t>
      </w:r>
      <w:r w:rsidR="007D7315" w:rsidRPr="00800300">
        <w:t xml:space="preserve">which they </w:t>
      </w:r>
      <w:r w:rsidR="000D1C93" w:rsidRPr="00800300">
        <w:t xml:space="preserve">sought to </w:t>
      </w:r>
      <w:r w:rsidR="007D7315" w:rsidRPr="00800300">
        <w:t xml:space="preserve">have </w:t>
      </w:r>
      <w:r w:rsidR="000D1C93" w:rsidRPr="00800300">
        <w:t>resolved</w:t>
      </w:r>
      <w:r w:rsidR="00E91446" w:rsidRPr="00800300">
        <w:t xml:space="preserve">. </w:t>
      </w:r>
      <w:r w:rsidR="007D7315" w:rsidRPr="00800300">
        <w:t xml:space="preserve"> </w:t>
      </w:r>
    </w:p>
    <w:p w:rsidR="004042E6" w:rsidRDefault="004042E6" w:rsidP="00AC6017">
      <w:pPr>
        <w:pStyle w:val="ListNo1"/>
      </w:pPr>
      <w:r>
        <w:t xml:space="preserve">Regardless </w:t>
      </w:r>
      <w:r w:rsidR="00E91446" w:rsidRPr="00800300">
        <w:t xml:space="preserve">of how the </w:t>
      </w:r>
      <w:r w:rsidR="007D7315" w:rsidRPr="00800300">
        <w:t>questions may have been formulated, the arguments advanced by the appellants should be rejected</w:t>
      </w:r>
      <w:r>
        <w:t>.  T</w:t>
      </w:r>
      <w:r w:rsidR="007D7315" w:rsidRPr="00800300">
        <w:t xml:space="preserve">he AAT did not err in reaching its conclusions or in its construction and application of articles 5 and 12 of the </w:t>
      </w:r>
      <w:r w:rsidR="007D7315" w:rsidRPr="00C128AC">
        <w:rPr>
          <w:i/>
        </w:rPr>
        <w:t xml:space="preserve">Agreement </w:t>
      </w:r>
      <w:r w:rsidR="007D7315" w:rsidRPr="00800300">
        <w:t xml:space="preserve">and it did not fail to consider the claims made by Mr and Mrs </w:t>
      </w:r>
      <w:proofErr w:type="spellStart"/>
      <w:r w:rsidR="007D7315" w:rsidRPr="00800300">
        <w:t>Charan</w:t>
      </w:r>
      <w:proofErr w:type="spellEnd"/>
      <w:r w:rsidR="007D7315" w:rsidRPr="00800300">
        <w:t xml:space="preserve">.  </w:t>
      </w:r>
    </w:p>
    <w:p w:rsidR="004042E6" w:rsidRDefault="004042E6" w:rsidP="00AC6017">
      <w:pPr>
        <w:pStyle w:val="ListNo1"/>
      </w:pPr>
      <w:r>
        <w:t xml:space="preserve">Although </w:t>
      </w:r>
      <w:r w:rsidR="007D7315" w:rsidRPr="00800300">
        <w:t xml:space="preserve">the question did need not be resolved, it seemed to follow that Mr </w:t>
      </w:r>
      <w:proofErr w:type="spellStart"/>
      <w:r w:rsidR="007D7315" w:rsidRPr="00800300">
        <w:t>Charan</w:t>
      </w:r>
      <w:proofErr w:type="spellEnd"/>
      <w:r w:rsidR="007D7315" w:rsidRPr="00800300">
        <w:t xml:space="preserve"> did not qualify for the age pension on 1 July 2015. </w:t>
      </w:r>
    </w:p>
    <w:p w:rsidR="007D7315" w:rsidRPr="00800300" w:rsidRDefault="004042E6" w:rsidP="006F1F55">
      <w:pPr>
        <w:pStyle w:val="ParaNumbering"/>
      </w:pPr>
      <w:r>
        <w:t xml:space="preserve">The primary judge dismissed </w:t>
      </w:r>
      <w:r w:rsidR="00C128AC">
        <w:t>the “appeal” with costs</w:t>
      </w:r>
      <w:r w:rsidR="007D7315" w:rsidRPr="00800300">
        <w:t>.</w:t>
      </w:r>
    </w:p>
    <w:p w:rsidR="00973AC9" w:rsidRDefault="00973AC9" w:rsidP="00973AC9">
      <w:pPr>
        <w:pStyle w:val="Heading1"/>
      </w:pPr>
      <w:r>
        <w:lastRenderedPageBreak/>
        <w:t>Legislative Framework</w:t>
      </w:r>
    </w:p>
    <w:p w:rsidR="00C16F4C" w:rsidRPr="008B0883" w:rsidRDefault="00C16F4C" w:rsidP="00957C19">
      <w:pPr>
        <w:pStyle w:val="Heading2"/>
      </w:pPr>
      <w:r w:rsidRPr="008B0883">
        <w:t>Social Security Act</w:t>
      </w:r>
      <w:r w:rsidR="0009752A">
        <w:t xml:space="preserve"> 1991 (Cth)</w:t>
      </w:r>
    </w:p>
    <w:p w:rsidR="00973AC9" w:rsidRDefault="00973AC9" w:rsidP="00973AC9">
      <w:pPr>
        <w:pStyle w:val="ParaNumbering"/>
        <w:tabs>
          <w:tab w:val="clear" w:pos="720"/>
        </w:tabs>
      </w:pPr>
      <w:r>
        <w:t>To qual</w:t>
      </w:r>
      <w:r w:rsidR="00BD7EE6">
        <w:t>ify for an age pension a pe</w:t>
      </w:r>
      <w:r>
        <w:t>rson must satisfy s</w:t>
      </w:r>
      <w:r w:rsidR="0009752A">
        <w:t> </w:t>
      </w:r>
      <w:r>
        <w:t xml:space="preserve">43 of the </w:t>
      </w:r>
      <w:r w:rsidR="000E4FAB" w:rsidRPr="007354CB">
        <w:t>S</w:t>
      </w:r>
      <w:r w:rsidR="00BD7EE6">
        <w:t xml:space="preserve">ocial </w:t>
      </w:r>
      <w:r w:rsidR="000E4FAB" w:rsidRPr="007354CB">
        <w:t>S</w:t>
      </w:r>
      <w:r w:rsidR="00BD7EE6">
        <w:t xml:space="preserve">ecurity </w:t>
      </w:r>
      <w:r w:rsidR="000E4FAB" w:rsidRPr="007354CB">
        <w:t>A</w:t>
      </w:r>
      <w:r w:rsidR="00BD7EE6">
        <w:t>ct.  Section</w:t>
      </w:r>
      <w:r w:rsidR="0019066B">
        <w:t> </w:t>
      </w:r>
      <w:r w:rsidRPr="007354CB">
        <w:t>43</w:t>
      </w:r>
      <w:r>
        <w:t xml:space="preserve"> relevantly provides:</w:t>
      </w:r>
    </w:p>
    <w:p w:rsidR="007354CB" w:rsidRPr="0050748D" w:rsidRDefault="007354CB" w:rsidP="0050748D">
      <w:pPr>
        <w:pStyle w:val="Quote1"/>
        <w:rPr>
          <w:b/>
        </w:rPr>
      </w:pPr>
      <w:r w:rsidRPr="0050748D">
        <w:rPr>
          <w:b/>
        </w:rPr>
        <w:t>Qualification for age pension</w:t>
      </w:r>
    </w:p>
    <w:p w:rsidR="00A213D8" w:rsidRDefault="00E7659A" w:rsidP="00E7659A">
      <w:pPr>
        <w:pStyle w:val="Quote1"/>
        <w:ind w:left="1440" w:hanging="703"/>
      </w:pPr>
      <w:r>
        <w:t>(1)</w:t>
      </w:r>
      <w:r>
        <w:tab/>
      </w:r>
      <w:r w:rsidR="00A213D8">
        <w:t>A person is qualified for an age pension if the person has reached pension age and any of the following applies:</w:t>
      </w:r>
    </w:p>
    <w:p w:rsidR="00A213D8" w:rsidRDefault="00A213D8" w:rsidP="00E7659A">
      <w:pPr>
        <w:pStyle w:val="Quote2"/>
        <w:ind w:left="2160" w:hanging="720"/>
      </w:pPr>
      <w:r>
        <w:t>(a)</w:t>
      </w:r>
      <w:r>
        <w:tab/>
      </w:r>
      <w:proofErr w:type="gramStart"/>
      <w:r>
        <w:t>the</w:t>
      </w:r>
      <w:proofErr w:type="gramEnd"/>
      <w:r>
        <w:t xml:space="preserve"> person has 10 years qualifying Australian residence;</w:t>
      </w:r>
    </w:p>
    <w:p w:rsidR="007354CB" w:rsidRDefault="00A213D8" w:rsidP="00E7659A">
      <w:pPr>
        <w:pStyle w:val="Quote2"/>
        <w:ind w:left="2160" w:hanging="720"/>
      </w:pPr>
      <w:r>
        <w:t>(b)</w:t>
      </w:r>
      <w:r>
        <w:tab/>
      </w:r>
      <w:proofErr w:type="gramStart"/>
      <w:r>
        <w:t>the</w:t>
      </w:r>
      <w:proofErr w:type="gramEnd"/>
      <w:r>
        <w:t xml:space="preserve"> person has a qualifying residence exemption for an age pension</w:t>
      </w:r>
      <w:r w:rsidR="007354CB">
        <w:t>;</w:t>
      </w:r>
    </w:p>
    <w:p w:rsidR="007354CB" w:rsidRDefault="0019066B" w:rsidP="0019066B">
      <w:pPr>
        <w:pStyle w:val="Quote2"/>
      </w:pPr>
      <w:r>
        <w:t>…</w:t>
      </w:r>
    </w:p>
    <w:p w:rsidR="00E7659A" w:rsidRDefault="00E7659A" w:rsidP="000F596B">
      <w:pPr>
        <w:pStyle w:val="Quote1"/>
        <w:ind w:left="1440" w:hanging="703"/>
      </w:pPr>
      <w:r>
        <w:t>(3)</w:t>
      </w:r>
      <w:r>
        <w:tab/>
        <w:t xml:space="preserve">Subsection (1) has effect subject to subsection (3) of the </w:t>
      </w:r>
      <w:r>
        <w:rPr>
          <w:i/>
        </w:rPr>
        <w:t>Social Security (International Agreements) Act 1999</w:t>
      </w:r>
      <w:r>
        <w:t>.</w:t>
      </w:r>
    </w:p>
    <w:p w:rsidR="00EF30A2" w:rsidRDefault="00EF30A2" w:rsidP="00EF30A2">
      <w:pPr>
        <w:pStyle w:val="ParaNumbering"/>
      </w:pPr>
      <w:r>
        <w:t>A “qualifying residence exemption” is defined in s 7(6)</w:t>
      </w:r>
      <w:r w:rsidR="006F1F55">
        <w:t>.</w:t>
      </w:r>
      <w:r>
        <w:t xml:space="preserve"> </w:t>
      </w:r>
      <w:r w:rsidR="006F1F55">
        <w:t xml:space="preserve"> I</w:t>
      </w:r>
      <w:r>
        <w:t>t applies to a person who resides in Australia and who is or was a refugee and is therefore not presently relevant.</w:t>
      </w:r>
    </w:p>
    <w:p w:rsidR="00973AC9" w:rsidRDefault="00973AC9" w:rsidP="00973AC9">
      <w:pPr>
        <w:pStyle w:val="ParaNumbering"/>
        <w:tabs>
          <w:tab w:val="clear" w:pos="720"/>
        </w:tabs>
      </w:pPr>
      <w:r w:rsidRPr="007354CB">
        <w:t>Section 7(2) defines</w:t>
      </w:r>
      <w:r w:rsidRPr="00A154F3">
        <w:t xml:space="preserve"> the expression “</w:t>
      </w:r>
      <w:r w:rsidRPr="00A154F3">
        <w:rPr>
          <w:i/>
        </w:rPr>
        <w:t xml:space="preserve">Australian </w:t>
      </w:r>
      <w:r w:rsidR="001214CF">
        <w:rPr>
          <w:i/>
        </w:rPr>
        <w:t>r</w:t>
      </w:r>
      <w:r w:rsidRPr="00A154F3">
        <w:rPr>
          <w:i/>
        </w:rPr>
        <w:t>esident</w:t>
      </w:r>
      <w:r>
        <w:t>” as follows:</w:t>
      </w:r>
    </w:p>
    <w:p w:rsidR="00A213D8" w:rsidRPr="000F596B" w:rsidRDefault="00A213D8" w:rsidP="000F596B">
      <w:pPr>
        <w:pStyle w:val="Quote1"/>
        <w:rPr>
          <w:b/>
        </w:rPr>
      </w:pPr>
      <w:r w:rsidRPr="000F596B">
        <w:rPr>
          <w:b/>
        </w:rPr>
        <w:t xml:space="preserve">An Australian resident is a person who: </w:t>
      </w:r>
    </w:p>
    <w:p w:rsidR="00A213D8" w:rsidRDefault="00A213D8" w:rsidP="00951663">
      <w:pPr>
        <w:pStyle w:val="Quote2"/>
      </w:pPr>
      <w:r>
        <w:t>(a)</w:t>
      </w:r>
      <w:r>
        <w:tab/>
      </w:r>
      <w:proofErr w:type="gramStart"/>
      <w:r>
        <w:t>resides</w:t>
      </w:r>
      <w:proofErr w:type="gramEnd"/>
      <w:r>
        <w:t xml:space="preserve"> in Australia; and </w:t>
      </w:r>
    </w:p>
    <w:p w:rsidR="00A213D8" w:rsidRDefault="00A213D8" w:rsidP="00951663">
      <w:pPr>
        <w:pStyle w:val="Quote2"/>
      </w:pPr>
      <w:r>
        <w:t>(b)</w:t>
      </w:r>
      <w:r>
        <w:tab/>
      </w:r>
      <w:proofErr w:type="gramStart"/>
      <w:r>
        <w:t>is</w:t>
      </w:r>
      <w:proofErr w:type="gramEnd"/>
      <w:r>
        <w:t xml:space="preserve"> one of the following: </w:t>
      </w:r>
    </w:p>
    <w:p w:rsidR="00A213D8" w:rsidRDefault="00A213D8" w:rsidP="00951663">
      <w:pPr>
        <w:pStyle w:val="Quote3"/>
      </w:pPr>
      <w:r>
        <w:t>(</w:t>
      </w:r>
      <w:proofErr w:type="spellStart"/>
      <w:r>
        <w:t>i</w:t>
      </w:r>
      <w:proofErr w:type="spellEnd"/>
      <w:r>
        <w:t>)</w:t>
      </w:r>
      <w:r>
        <w:tab/>
      </w:r>
      <w:proofErr w:type="gramStart"/>
      <w:r>
        <w:t>an</w:t>
      </w:r>
      <w:proofErr w:type="gramEnd"/>
      <w:r>
        <w:t xml:space="preserve"> Australian citizen; </w:t>
      </w:r>
    </w:p>
    <w:p w:rsidR="00A213D8" w:rsidRDefault="00A213D8" w:rsidP="00951663">
      <w:pPr>
        <w:pStyle w:val="Quote3"/>
      </w:pPr>
      <w:r>
        <w:t>(ii)</w:t>
      </w:r>
      <w:r>
        <w:tab/>
      </w:r>
      <w:proofErr w:type="gramStart"/>
      <w:r>
        <w:t>the</w:t>
      </w:r>
      <w:proofErr w:type="gramEnd"/>
      <w:r>
        <w:t xml:space="preserve"> holder of a permanent visa; </w:t>
      </w:r>
    </w:p>
    <w:p w:rsidR="00973AC9" w:rsidRDefault="00A213D8" w:rsidP="00951663">
      <w:pPr>
        <w:pStyle w:val="Quote3"/>
        <w:ind w:left="2880" w:hanging="720"/>
      </w:pPr>
      <w:r>
        <w:t>(iii)</w:t>
      </w:r>
      <w:r>
        <w:tab/>
      </w:r>
      <w:proofErr w:type="gramStart"/>
      <w:r>
        <w:t>a</w:t>
      </w:r>
      <w:proofErr w:type="gramEnd"/>
      <w:r>
        <w:t xml:space="preserve"> special category visa holder who is a protected SCV holder.</w:t>
      </w:r>
    </w:p>
    <w:p w:rsidR="00552ADE" w:rsidRDefault="00552ADE" w:rsidP="005408E8">
      <w:pPr>
        <w:pStyle w:val="Quote3"/>
        <w:spacing w:after="0"/>
        <w:ind w:hanging="720"/>
      </w:pPr>
    </w:p>
    <w:p w:rsidR="00BD7EE6" w:rsidRPr="008300EA" w:rsidRDefault="004720C0" w:rsidP="00973AC9">
      <w:pPr>
        <w:pStyle w:val="ParaNumbering"/>
        <w:tabs>
          <w:tab w:val="clear" w:pos="720"/>
        </w:tabs>
      </w:pPr>
      <w:r w:rsidRPr="008300EA">
        <w:t>It is common gro</w:t>
      </w:r>
      <w:r w:rsidR="00E91446" w:rsidRPr="008300EA">
        <w:t xml:space="preserve">und that the appellants are not Australian citizens, holders of permanent visas or </w:t>
      </w:r>
      <w:r w:rsidRPr="008300EA">
        <w:t>protected SCV holders.</w:t>
      </w:r>
    </w:p>
    <w:p w:rsidR="00973AC9" w:rsidRDefault="00973AC9" w:rsidP="00973AC9">
      <w:pPr>
        <w:pStyle w:val="ParaNumbering"/>
        <w:tabs>
          <w:tab w:val="clear" w:pos="720"/>
        </w:tabs>
      </w:pPr>
      <w:r w:rsidRPr="00A75AE6">
        <w:t>Section 7(5) further</w:t>
      </w:r>
      <w:r>
        <w:t xml:space="preserve"> provides:</w:t>
      </w:r>
    </w:p>
    <w:p w:rsidR="00973AC9" w:rsidRDefault="00973AC9" w:rsidP="000F596B">
      <w:pPr>
        <w:pStyle w:val="Quote1"/>
      </w:pPr>
      <w:r>
        <w:t xml:space="preserve">A person has </w:t>
      </w:r>
      <w:r w:rsidR="007354CB">
        <w:t>10</w:t>
      </w:r>
      <w:r>
        <w:t xml:space="preserve"> years </w:t>
      </w:r>
      <w:r>
        <w:rPr>
          <w:b/>
          <w:i/>
        </w:rPr>
        <w:t xml:space="preserve">qualifying Australian residence </w:t>
      </w:r>
      <w:r>
        <w:t>if and only if:</w:t>
      </w:r>
    </w:p>
    <w:p w:rsidR="00A213D8" w:rsidRDefault="00A213D8" w:rsidP="009619B7">
      <w:pPr>
        <w:pStyle w:val="Quote2"/>
        <w:ind w:left="2160" w:hanging="720"/>
      </w:pPr>
      <w:r>
        <w:t>(a)</w:t>
      </w:r>
      <w:r>
        <w:tab/>
      </w:r>
      <w:proofErr w:type="gramStart"/>
      <w:r>
        <w:t>the</w:t>
      </w:r>
      <w:proofErr w:type="gramEnd"/>
      <w:r>
        <w:t xml:space="preserve"> person has, at any time, been an Australian resident for a continuous period of not less than 10 years; or </w:t>
      </w:r>
    </w:p>
    <w:p w:rsidR="00A213D8" w:rsidRDefault="00A213D8" w:rsidP="009619B7">
      <w:pPr>
        <w:pStyle w:val="Quote2"/>
        <w:ind w:left="2160" w:hanging="720"/>
      </w:pPr>
      <w:r>
        <w:t>(b)</w:t>
      </w:r>
      <w:r>
        <w:tab/>
      </w:r>
      <w:proofErr w:type="gramStart"/>
      <w:r>
        <w:t>the</w:t>
      </w:r>
      <w:proofErr w:type="gramEnd"/>
      <w:r>
        <w:t xml:space="preserve"> person has been an Australian resident during more than one period and: </w:t>
      </w:r>
    </w:p>
    <w:p w:rsidR="00A213D8" w:rsidRDefault="00A213D8" w:rsidP="009619B7">
      <w:pPr>
        <w:pStyle w:val="Quote3"/>
      </w:pPr>
      <w:r>
        <w:t>(</w:t>
      </w:r>
      <w:proofErr w:type="spellStart"/>
      <w:r>
        <w:t>i</w:t>
      </w:r>
      <w:proofErr w:type="spellEnd"/>
      <w:r>
        <w:t>)</w:t>
      </w:r>
      <w:r>
        <w:tab/>
      </w:r>
      <w:proofErr w:type="gramStart"/>
      <w:r>
        <w:t>at</w:t>
      </w:r>
      <w:proofErr w:type="gramEnd"/>
      <w:r>
        <w:t xml:space="preserve"> least one of those periods is 5 years or more; and </w:t>
      </w:r>
    </w:p>
    <w:p w:rsidR="00A213D8" w:rsidRDefault="00A213D8" w:rsidP="009619B7">
      <w:pPr>
        <w:pStyle w:val="Quote3"/>
      </w:pPr>
      <w:r>
        <w:lastRenderedPageBreak/>
        <w:t>(ii)</w:t>
      </w:r>
      <w:r>
        <w:tab/>
      </w:r>
      <w:proofErr w:type="gramStart"/>
      <w:r>
        <w:t>the</w:t>
      </w:r>
      <w:proofErr w:type="gramEnd"/>
      <w:r>
        <w:t xml:space="preserve"> aggregate of those periods exceeds 10 years.</w:t>
      </w:r>
    </w:p>
    <w:p w:rsidR="0001417A" w:rsidRDefault="00FD52E6" w:rsidP="00FD52E6">
      <w:pPr>
        <w:pStyle w:val="ParaNumbering"/>
      </w:pPr>
      <w:r>
        <w:t>Section 23</w:t>
      </w:r>
      <w:r w:rsidR="0001417A">
        <w:t xml:space="preserve"> is the dictionary for th</w:t>
      </w:r>
      <w:r w:rsidR="008B0883">
        <w:t>e</w:t>
      </w:r>
      <w:r w:rsidR="0001417A">
        <w:t xml:space="preserve"> </w:t>
      </w:r>
      <w:r w:rsidR="0001417A" w:rsidRPr="008B0883">
        <w:rPr>
          <w:i/>
        </w:rPr>
        <w:t>Social Security Act</w:t>
      </w:r>
      <w:r w:rsidR="0001417A">
        <w:t>. “Social security law” is defined in s 23(1) by reference to subsections (17) and (18) which provide:</w:t>
      </w:r>
    </w:p>
    <w:p w:rsidR="0001417A" w:rsidRDefault="0001417A" w:rsidP="0001417A">
      <w:pPr>
        <w:pStyle w:val="Quote1"/>
        <w:ind w:left="1440" w:hanging="703"/>
      </w:pPr>
      <w:r>
        <w:t>(17)</w:t>
      </w:r>
      <w:r>
        <w:tab/>
        <w:t>A reference in this Act to the social security law is a reference to this Act, the Administration Act and any other Act that is expressed to form part of the social security law.</w:t>
      </w:r>
    </w:p>
    <w:p w:rsidR="00FD52E6" w:rsidRDefault="0001417A" w:rsidP="005408E8">
      <w:pPr>
        <w:pStyle w:val="Quote1"/>
        <w:spacing w:after="0"/>
        <w:ind w:left="1440" w:hanging="703"/>
      </w:pPr>
      <w:r>
        <w:t>(18)</w:t>
      </w:r>
      <w:r>
        <w:tab/>
        <w:t>A reference in this Act to a provision of the social security law is a reference to a provision of this Act, the Administration Act or any other Act that is expressed to form part of the social security law.</w:t>
      </w:r>
    </w:p>
    <w:p w:rsidR="00C16F4C" w:rsidRDefault="0009752A" w:rsidP="0009752A">
      <w:pPr>
        <w:pStyle w:val="Heading2"/>
      </w:pPr>
      <w:r w:rsidRPr="004B6A89">
        <w:t xml:space="preserve">Social Security (International Agreements) Act </w:t>
      </w:r>
      <w:r w:rsidRPr="00BE5D0E">
        <w:t xml:space="preserve">1999 </w:t>
      </w:r>
      <w:r>
        <w:t xml:space="preserve">(Cth) </w:t>
      </w:r>
    </w:p>
    <w:p w:rsidR="0047570E" w:rsidRDefault="0001417A" w:rsidP="0054384E">
      <w:pPr>
        <w:pStyle w:val="ParaNumbering"/>
      </w:pPr>
      <w:r>
        <w:t>Section 4 provides</w:t>
      </w:r>
      <w:r w:rsidR="0019066B">
        <w:t xml:space="preserve"> that</w:t>
      </w:r>
      <w:r>
        <w:t xml:space="preserve"> the </w:t>
      </w:r>
      <w:r w:rsidR="008B0883" w:rsidRPr="008B0883">
        <w:rPr>
          <w:i/>
        </w:rPr>
        <w:t xml:space="preserve">International Agreements </w:t>
      </w:r>
      <w:r w:rsidR="0047570E" w:rsidRPr="008B0883">
        <w:rPr>
          <w:i/>
        </w:rPr>
        <w:t>Act</w:t>
      </w:r>
      <w:r w:rsidR="0047570E">
        <w:t xml:space="preserve"> “forms part of the </w:t>
      </w:r>
      <w:r>
        <w:t>social security law</w:t>
      </w:r>
      <w:r w:rsidR="0047570E">
        <w:t>”</w:t>
      </w:r>
      <w:r>
        <w:t xml:space="preserve">. </w:t>
      </w:r>
    </w:p>
    <w:p w:rsidR="0001417A" w:rsidRDefault="0001417A" w:rsidP="0054384E">
      <w:pPr>
        <w:pStyle w:val="ParaNumbering"/>
      </w:pPr>
      <w:r>
        <w:t>Section 3 provides:</w:t>
      </w:r>
    </w:p>
    <w:p w:rsidR="0001417A" w:rsidRPr="0001417A" w:rsidRDefault="0001417A" w:rsidP="0001417A">
      <w:pPr>
        <w:pStyle w:val="Quote1"/>
        <w:rPr>
          <w:b/>
        </w:rPr>
      </w:pPr>
      <w:r w:rsidRPr="0001417A">
        <w:rPr>
          <w:b/>
        </w:rPr>
        <w:t xml:space="preserve">Interpretation </w:t>
      </w:r>
    </w:p>
    <w:p w:rsidR="0001417A" w:rsidRDefault="0001417A" w:rsidP="0001417A">
      <w:pPr>
        <w:pStyle w:val="Quote1"/>
        <w:numPr>
          <w:ilvl w:val="0"/>
          <w:numId w:val="27"/>
        </w:numPr>
        <w:ind w:left="1440" w:hanging="703"/>
      </w:pPr>
      <w:r>
        <w:t xml:space="preserve">Unless a contrary intention appears, an expression that is used in the </w:t>
      </w:r>
      <w:r w:rsidRPr="0047570E">
        <w:rPr>
          <w:i/>
        </w:rPr>
        <w:t>Social Security Act 1991</w:t>
      </w:r>
      <w:r>
        <w:t xml:space="preserve"> has the same meaning, when used in this Act, as in the </w:t>
      </w:r>
      <w:r w:rsidRPr="0047570E">
        <w:rPr>
          <w:i/>
        </w:rPr>
        <w:t>Social Security Act 1991</w:t>
      </w:r>
      <w:r>
        <w:t xml:space="preserve">. </w:t>
      </w:r>
    </w:p>
    <w:p w:rsidR="0001417A" w:rsidRDefault="0001417A" w:rsidP="0001417A">
      <w:pPr>
        <w:pStyle w:val="Quote1"/>
        <w:numPr>
          <w:ilvl w:val="0"/>
          <w:numId w:val="27"/>
        </w:numPr>
        <w:ind w:left="1440" w:hanging="703"/>
      </w:pPr>
      <w:r>
        <w:t xml:space="preserve">A reference in this Act (other than the reference in section 4) to the social security law is a reference to this Act, the </w:t>
      </w:r>
      <w:r w:rsidRPr="0047570E">
        <w:rPr>
          <w:i/>
        </w:rPr>
        <w:t>Social Security Act 1991</w:t>
      </w:r>
      <w:r>
        <w:t xml:space="preserve"> and any other Act that is expressed to form part of the social security law. </w:t>
      </w:r>
    </w:p>
    <w:p w:rsidR="0001417A" w:rsidRDefault="0001417A" w:rsidP="005408E8">
      <w:pPr>
        <w:pStyle w:val="Quote1"/>
        <w:numPr>
          <w:ilvl w:val="0"/>
          <w:numId w:val="27"/>
        </w:numPr>
        <w:spacing w:after="0"/>
        <w:ind w:left="1440" w:hanging="703"/>
      </w:pPr>
      <w:r>
        <w:t xml:space="preserve">A reference in this Act to a provision of the social security law is a reference to a provision of this Act, the </w:t>
      </w:r>
      <w:r w:rsidRPr="0047570E">
        <w:rPr>
          <w:i/>
        </w:rPr>
        <w:t>Social Security Act 1991</w:t>
      </w:r>
      <w:r>
        <w:t xml:space="preserve"> or any other Act that is expressed to form part of the social security law.</w:t>
      </w:r>
    </w:p>
    <w:p w:rsidR="00552ADE" w:rsidRDefault="00552ADE" w:rsidP="005408E8">
      <w:pPr>
        <w:pStyle w:val="Quote1"/>
        <w:spacing w:after="0"/>
      </w:pPr>
    </w:p>
    <w:p w:rsidR="00C16F4C" w:rsidRDefault="00CB4455" w:rsidP="0054384E">
      <w:pPr>
        <w:pStyle w:val="ParaNumbering"/>
      </w:pPr>
      <w:r>
        <w:t xml:space="preserve">Section 6 </w:t>
      </w:r>
      <w:r w:rsidR="00FD52E6">
        <w:t>provides:</w:t>
      </w:r>
    </w:p>
    <w:p w:rsidR="00FD52E6" w:rsidRPr="00FD52E6" w:rsidRDefault="00FD52E6" w:rsidP="00FD52E6">
      <w:pPr>
        <w:pStyle w:val="Quote1"/>
        <w:rPr>
          <w:b/>
        </w:rPr>
      </w:pPr>
      <w:r w:rsidRPr="00FD52E6">
        <w:rPr>
          <w:b/>
        </w:rPr>
        <w:t xml:space="preserve">Overriding of social security law by scheduled international social security agreements </w:t>
      </w:r>
    </w:p>
    <w:p w:rsidR="00FD52E6" w:rsidRDefault="00FD52E6" w:rsidP="00FD52E6">
      <w:pPr>
        <w:pStyle w:val="Quote1"/>
        <w:ind w:left="1440" w:hanging="703"/>
      </w:pPr>
      <w:r>
        <w:t>(1)</w:t>
      </w:r>
      <w:r>
        <w:tab/>
        <w:t xml:space="preserve">The provisions of a scheduled international social security agreement have effect despite anything in the social security law. </w:t>
      </w:r>
    </w:p>
    <w:p w:rsidR="00FD52E6" w:rsidRDefault="00FD52E6" w:rsidP="00FD52E6">
      <w:pPr>
        <w:pStyle w:val="Quote1"/>
        <w:ind w:left="1440" w:hanging="703"/>
      </w:pPr>
      <w:r>
        <w:t>(2)</w:t>
      </w:r>
      <w:r>
        <w:tab/>
        <w:t xml:space="preserve">Subsection (1) applies to a provision of an agreement only in so far as the provision is in force and affects the operation of the social security law. </w:t>
      </w:r>
    </w:p>
    <w:p w:rsidR="00FD52E6" w:rsidRDefault="00FD52E6" w:rsidP="00FD52E6">
      <w:pPr>
        <w:pStyle w:val="Quote1"/>
      </w:pPr>
      <w:r>
        <w:t>(3)</w:t>
      </w:r>
      <w:r>
        <w:tab/>
        <w:t xml:space="preserve">If: </w:t>
      </w:r>
    </w:p>
    <w:p w:rsidR="00FD52E6" w:rsidRDefault="00FD52E6" w:rsidP="000F596B">
      <w:pPr>
        <w:pStyle w:val="Quote2"/>
        <w:ind w:left="2160" w:hanging="720"/>
      </w:pPr>
      <w:r>
        <w:t>(a)</w:t>
      </w:r>
      <w:r>
        <w:tab/>
        <w:t xml:space="preserve">immediately before he or she reaches pension age, a person is receiving a social security payment (other than age pension) solely because of the operation of a scheduled international social security agreement; and </w:t>
      </w:r>
    </w:p>
    <w:p w:rsidR="00FD52E6" w:rsidRDefault="00FD52E6" w:rsidP="000F596B">
      <w:pPr>
        <w:pStyle w:val="Quote2"/>
        <w:ind w:left="2160" w:hanging="720"/>
      </w:pPr>
      <w:r>
        <w:t>(b)</w:t>
      </w:r>
      <w:r>
        <w:tab/>
      </w:r>
      <w:proofErr w:type="gramStart"/>
      <w:r>
        <w:t>on</w:t>
      </w:r>
      <w:proofErr w:type="gramEnd"/>
      <w:r>
        <w:t xml:space="preserve"> reaching pension age, the person becomes qualified for age pension because of the operation of paragraph 43(1)(c) of the Social </w:t>
      </w:r>
      <w:r>
        <w:lastRenderedPageBreak/>
        <w:t>Security Act 1991</w:t>
      </w:r>
      <w:r w:rsidR="0019066B">
        <w:t>;</w:t>
      </w:r>
    </w:p>
    <w:p w:rsidR="00FD52E6" w:rsidRDefault="00FD52E6" w:rsidP="009619B7">
      <w:pPr>
        <w:pStyle w:val="Quote2"/>
      </w:pPr>
      <w:proofErr w:type="gramStart"/>
      <w:r>
        <w:t>the</w:t>
      </w:r>
      <w:proofErr w:type="gramEnd"/>
      <w:r>
        <w:t xml:space="preserve"> age pension is taken to be payable to the person under the agreement referred to in paragraph (a).</w:t>
      </w:r>
    </w:p>
    <w:p w:rsidR="00973AC9" w:rsidRDefault="0009752A" w:rsidP="0009752A">
      <w:pPr>
        <w:pStyle w:val="Heading2"/>
      </w:pPr>
      <w:r w:rsidRPr="00CE70C6">
        <w:t>Agreement</w:t>
      </w:r>
      <w:r>
        <w:t xml:space="preserve"> on Social Security between the Government of Australia and the Government of New Zealand</w:t>
      </w:r>
    </w:p>
    <w:p w:rsidR="0047570E" w:rsidRDefault="0047570E" w:rsidP="00BD7F45">
      <w:pPr>
        <w:pStyle w:val="ParaNumbering"/>
      </w:pPr>
      <w:r>
        <w:t xml:space="preserve">Article 1 </w:t>
      </w:r>
      <w:r w:rsidR="0009752A">
        <w:t xml:space="preserve">of the Agreement </w:t>
      </w:r>
      <w:r>
        <w:t>relevantly provides that, unless the context otherwise requires:</w:t>
      </w:r>
    </w:p>
    <w:p w:rsidR="0047570E" w:rsidRDefault="006F1F55" w:rsidP="009619B7">
      <w:pPr>
        <w:pStyle w:val="Quote2"/>
        <w:ind w:left="2160" w:hanging="720"/>
      </w:pPr>
      <w:r>
        <w:t>(a)</w:t>
      </w:r>
      <w:r>
        <w:tab/>
        <w:t xml:space="preserve"> </w:t>
      </w:r>
      <w:r w:rsidR="0047570E">
        <w:t>“Australian resident” has the meaning given to it under Article 5;</w:t>
      </w:r>
    </w:p>
    <w:p w:rsidR="0047570E" w:rsidRDefault="0047570E" w:rsidP="009619B7">
      <w:pPr>
        <w:pStyle w:val="Quote2"/>
        <w:ind w:left="2160" w:hanging="720"/>
      </w:pPr>
      <w:r>
        <w:t>…</w:t>
      </w:r>
    </w:p>
    <w:p w:rsidR="0047570E" w:rsidRDefault="0047570E" w:rsidP="009619B7">
      <w:pPr>
        <w:pStyle w:val="Quote2"/>
        <w:ind w:left="2160" w:hanging="720"/>
      </w:pPr>
      <w:r>
        <w:t>(j)</w:t>
      </w:r>
      <w:r>
        <w:tab/>
        <w:t>“New Zealand resident” has the meaning given to it under Article 5;</w:t>
      </w:r>
    </w:p>
    <w:p w:rsidR="0047570E" w:rsidRDefault="0047570E" w:rsidP="009619B7">
      <w:pPr>
        <w:pStyle w:val="Quote2"/>
        <w:ind w:left="2160" w:hanging="720"/>
      </w:pPr>
      <w:r>
        <w:t>…</w:t>
      </w:r>
    </w:p>
    <w:p w:rsidR="0047570E" w:rsidRDefault="0019066B" w:rsidP="009619B7">
      <w:pPr>
        <w:pStyle w:val="Quote2"/>
        <w:ind w:left="2160" w:hanging="720"/>
      </w:pPr>
      <w:r>
        <w:t>(m)</w:t>
      </w:r>
      <w:r>
        <w:tab/>
      </w:r>
      <w:r w:rsidR="0047570E">
        <w:t>“</w:t>
      </w:r>
      <w:proofErr w:type="gramStart"/>
      <w:r w:rsidR="0047570E">
        <w:t>social</w:t>
      </w:r>
      <w:proofErr w:type="gramEnd"/>
      <w:r w:rsidR="0047570E">
        <w:t xml:space="preserve"> security law”, in relation to a Party, means the laws of that </w:t>
      </w:r>
      <w:r>
        <w:t>P</w:t>
      </w:r>
      <w:r w:rsidR="0047570E">
        <w:t>arty specified in Article 2;</w:t>
      </w:r>
    </w:p>
    <w:p w:rsidR="008300EA" w:rsidRDefault="008300EA" w:rsidP="009619B7">
      <w:pPr>
        <w:pStyle w:val="Quote2"/>
        <w:ind w:left="2160" w:hanging="720"/>
      </w:pPr>
      <w:r>
        <w:t>…</w:t>
      </w:r>
    </w:p>
    <w:p w:rsidR="0047570E" w:rsidRDefault="0047570E" w:rsidP="00BD7F45">
      <w:pPr>
        <w:pStyle w:val="ParaNumbering"/>
      </w:pPr>
      <w:r>
        <w:t>Article 2 relevantly provides:</w:t>
      </w:r>
    </w:p>
    <w:p w:rsidR="0047570E" w:rsidRPr="000F596B" w:rsidRDefault="0047570E" w:rsidP="000F596B">
      <w:pPr>
        <w:pStyle w:val="Quote1"/>
        <w:rPr>
          <w:b/>
        </w:rPr>
      </w:pPr>
      <w:r w:rsidRPr="000F596B">
        <w:rPr>
          <w:b/>
        </w:rPr>
        <w:t>Legislative scope</w:t>
      </w:r>
    </w:p>
    <w:p w:rsidR="000F596B" w:rsidRDefault="0019066B" w:rsidP="000F596B">
      <w:pPr>
        <w:pStyle w:val="Quote1"/>
        <w:numPr>
          <w:ilvl w:val="0"/>
          <w:numId w:val="28"/>
        </w:numPr>
        <w:ind w:left="1440" w:hanging="703"/>
      </w:pPr>
      <w:r>
        <w:t>Except as provided under paragraph 2,</w:t>
      </w:r>
      <w:r w:rsidR="0047570E">
        <w:t xml:space="preserve"> this Agreement shall apply to the following laws, as amended at the date of signature of this Agreement, and to any legislation that subsequently amends, supplements, consolidates or replaces them:</w:t>
      </w:r>
    </w:p>
    <w:p w:rsidR="0047570E" w:rsidRDefault="0047570E" w:rsidP="000F596B">
      <w:pPr>
        <w:pStyle w:val="Quote2"/>
        <w:ind w:left="2160" w:hanging="720"/>
      </w:pPr>
      <w:r>
        <w:t>(</w:t>
      </w:r>
      <w:proofErr w:type="gramStart"/>
      <w:r>
        <w:t>a</w:t>
      </w:r>
      <w:proofErr w:type="gramEnd"/>
      <w:r>
        <w:t>)</w:t>
      </w:r>
      <w:r>
        <w:tab/>
      </w:r>
      <w:r w:rsidR="00C42588">
        <w:t>in relation to Australia</w:t>
      </w:r>
      <w:r w:rsidR="0019066B">
        <w:t>:</w:t>
      </w:r>
      <w:r w:rsidR="00C42588">
        <w:t xml:space="preserve"> the Acts forming the social security law in so far as those Acts provide for, apply to or affect the following benefits:</w:t>
      </w:r>
    </w:p>
    <w:p w:rsidR="00C42588" w:rsidRDefault="00C42588" w:rsidP="000F596B">
      <w:pPr>
        <w:pStyle w:val="Quote3"/>
        <w:ind w:left="2880" w:hanging="720"/>
      </w:pPr>
      <w:r>
        <w:t>(</w:t>
      </w:r>
      <w:proofErr w:type="spellStart"/>
      <w:r>
        <w:t>i</w:t>
      </w:r>
      <w:proofErr w:type="spellEnd"/>
      <w:r>
        <w:t>)</w:t>
      </w:r>
      <w:r>
        <w:tab/>
      </w:r>
      <w:proofErr w:type="gramStart"/>
      <w:r>
        <w:t>age</w:t>
      </w:r>
      <w:proofErr w:type="gramEnd"/>
      <w:r>
        <w:t xml:space="preserve"> pension;</w:t>
      </w:r>
    </w:p>
    <w:p w:rsidR="00C55AF9" w:rsidRDefault="00C55AF9" w:rsidP="000F596B">
      <w:pPr>
        <w:pStyle w:val="Quote3"/>
        <w:ind w:left="2880" w:hanging="720"/>
      </w:pPr>
      <w:r>
        <w:t>(ii)</w:t>
      </w:r>
      <w:r>
        <w:tab/>
      </w:r>
      <w:proofErr w:type="gramStart"/>
      <w:r>
        <w:t>disability</w:t>
      </w:r>
      <w:proofErr w:type="gramEnd"/>
      <w:r>
        <w:t xml:space="preserve"> support pension;</w:t>
      </w:r>
    </w:p>
    <w:p w:rsidR="00C55AF9" w:rsidRDefault="00C55AF9" w:rsidP="000F596B">
      <w:pPr>
        <w:pStyle w:val="Quote3"/>
        <w:ind w:left="2880" w:hanging="720"/>
      </w:pPr>
      <w:r>
        <w:t>(iii)</w:t>
      </w:r>
      <w:r>
        <w:tab/>
      </w:r>
      <w:proofErr w:type="gramStart"/>
      <w:r>
        <w:t>carer</w:t>
      </w:r>
      <w:proofErr w:type="gramEnd"/>
      <w:r>
        <w:t xml:space="preserve"> payment in respect of the partner of a person who is in receipt of a disability support pension; and</w:t>
      </w:r>
    </w:p>
    <w:p w:rsidR="00C42588" w:rsidRPr="0047570E" w:rsidRDefault="0019066B" w:rsidP="000F596B">
      <w:pPr>
        <w:pStyle w:val="Quote3"/>
        <w:ind w:left="2880" w:hanging="720"/>
      </w:pPr>
      <w:r>
        <w:tab/>
        <w:t>…</w:t>
      </w:r>
    </w:p>
    <w:p w:rsidR="00C42588" w:rsidRDefault="00C42588" w:rsidP="00BD7F45">
      <w:pPr>
        <w:pStyle w:val="ParaNumbering"/>
      </w:pPr>
      <w:r>
        <w:t>Article 5 provides:</w:t>
      </w:r>
    </w:p>
    <w:p w:rsidR="00C42588" w:rsidRDefault="00C42588" w:rsidP="004E3C28">
      <w:pPr>
        <w:pStyle w:val="Quote1"/>
        <w:keepNext/>
        <w:keepLines/>
        <w:rPr>
          <w:b/>
        </w:rPr>
      </w:pPr>
      <w:r>
        <w:rPr>
          <w:b/>
        </w:rPr>
        <w:t>Residence Definitions</w:t>
      </w:r>
    </w:p>
    <w:p w:rsidR="00C42588" w:rsidRDefault="000F596B" w:rsidP="000F596B">
      <w:pPr>
        <w:pStyle w:val="Quote1"/>
        <w:ind w:left="1440" w:hanging="703"/>
      </w:pPr>
      <w:r>
        <w:t>1</w:t>
      </w:r>
      <w:r w:rsidR="00C42588">
        <w:t>.</w:t>
      </w:r>
      <w:r w:rsidR="00C42588">
        <w:tab/>
        <w:t xml:space="preserve">"Australian resident" has the meaning given to that term in the social security law of Australia but for the purposes of the Agreement </w:t>
      </w:r>
      <w:r w:rsidR="00C42588" w:rsidRPr="005408E8">
        <w:t>also includes a New Zealand citizen</w:t>
      </w:r>
      <w:r w:rsidR="00C42588">
        <w:t xml:space="preserve"> who is not the holder of an Australian permanent visa but is lawfully residing in Australia.  In deciding whether a person is residing in Australia, regard must be had to the following factors: </w:t>
      </w:r>
    </w:p>
    <w:p w:rsidR="00C42588" w:rsidRDefault="00C42588" w:rsidP="000F596B">
      <w:pPr>
        <w:pStyle w:val="Quote2"/>
        <w:ind w:left="2160" w:hanging="720"/>
      </w:pPr>
      <w:r>
        <w:t>(a)</w:t>
      </w:r>
      <w:r>
        <w:tab/>
      </w:r>
      <w:proofErr w:type="gramStart"/>
      <w:r>
        <w:t>the</w:t>
      </w:r>
      <w:proofErr w:type="gramEnd"/>
      <w:r>
        <w:t xml:space="preserve"> nature of the accommodation used by the person in Australia; </w:t>
      </w:r>
    </w:p>
    <w:p w:rsidR="00C42588" w:rsidRDefault="00C42588" w:rsidP="000F596B">
      <w:pPr>
        <w:pStyle w:val="Quote2"/>
        <w:ind w:left="2160" w:hanging="720"/>
      </w:pPr>
      <w:r>
        <w:t>(b)</w:t>
      </w:r>
      <w:r>
        <w:tab/>
      </w:r>
      <w:proofErr w:type="gramStart"/>
      <w:r>
        <w:t>the</w:t>
      </w:r>
      <w:proofErr w:type="gramEnd"/>
      <w:r>
        <w:t xml:space="preserve"> nature and extent of the family relationships the person has in Australia; </w:t>
      </w:r>
    </w:p>
    <w:p w:rsidR="00C42588" w:rsidRDefault="00C42588" w:rsidP="000F596B">
      <w:pPr>
        <w:pStyle w:val="Quote2"/>
        <w:ind w:left="2160" w:hanging="720"/>
      </w:pPr>
      <w:r>
        <w:lastRenderedPageBreak/>
        <w:t>(c)</w:t>
      </w:r>
      <w:r>
        <w:tab/>
      </w:r>
      <w:proofErr w:type="gramStart"/>
      <w:r>
        <w:t>the</w:t>
      </w:r>
      <w:proofErr w:type="gramEnd"/>
      <w:r>
        <w:t xml:space="preserve"> nature and extent of the person's employment, business or financial ties with Australia; </w:t>
      </w:r>
    </w:p>
    <w:p w:rsidR="00C42588" w:rsidRDefault="00C42588" w:rsidP="000F596B">
      <w:pPr>
        <w:pStyle w:val="Quote2"/>
        <w:ind w:left="2160" w:hanging="720"/>
      </w:pPr>
      <w:r>
        <w:t>(d)</w:t>
      </w:r>
      <w:r>
        <w:tab/>
        <w:t xml:space="preserve"> </w:t>
      </w:r>
      <w:proofErr w:type="gramStart"/>
      <w:r>
        <w:t>the</w:t>
      </w:r>
      <w:proofErr w:type="gramEnd"/>
      <w:r>
        <w:t xml:space="preserve"> nature and extent of the person's assets located in Australia; </w:t>
      </w:r>
    </w:p>
    <w:p w:rsidR="00C42588" w:rsidRDefault="00C42588" w:rsidP="000F596B">
      <w:pPr>
        <w:pStyle w:val="Quote2"/>
        <w:ind w:left="2160" w:hanging="720"/>
      </w:pPr>
      <w:r>
        <w:t>(e)</w:t>
      </w:r>
      <w:r>
        <w:tab/>
      </w:r>
      <w:proofErr w:type="gramStart"/>
      <w:r>
        <w:t>the</w:t>
      </w:r>
      <w:proofErr w:type="gramEnd"/>
      <w:r>
        <w:t xml:space="preserve"> frequency and duration of the person's travel outside Australia; and </w:t>
      </w:r>
    </w:p>
    <w:p w:rsidR="00C42588" w:rsidRDefault="00C42588" w:rsidP="000F596B">
      <w:pPr>
        <w:pStyle w:val="Quote2"/>
        <w:ind w:left="2160" w:hanging="720"/>
      </w:pPr>
      <w:r>
        <w:t>(f)</w:t>
      </w:r>
      <w:r>
        <w:tab/>
      </w:r>
      <w:proofErr w:type="gramStart"/>
      <w:r>
        <w:t>any</w:t>
      </w:r>
      <w:proofErr w:type="gramEnd"/>
      <w:r>
        <w:t xml:space="preserve"> other matter relevant to determining whether the person intends to remain permanently in Australia; </w:t>
      </w:r>
    </w:p>
    <w:p w:rsidR="00C42588" w:rsidRDefault="00C42588" w:rsidP="000F596B">
      <w:pPr>
        <w:pStyle w:val="Quote2"/>
        <w:ind w:left="2160" w:hanging="720"/>
      </w:pPr>
      <w:proofErr w:type="gramStart"/>
      <w:r>
        <w:t>and</w:t>
      </w:r>
      <w:proofErr w:type="gramEnd"/>
      <w:r>
        <w:t xml:space="preserve"> "residence in Australia" has a corresponding meaning. </w:t>
      </w:r>
    </w:p>
    <w:p w:rsidR="00C42588" w:rsidRDefault="000F596B" w:rsidP="000F596B">
      <w:pPr>
        <w:pStyle w:val="Quote1"/>
        <w:ind w:left="1440" w:hanging="703"/>
      </w:pPr>
      <w:r>
        <w:t>2.</w:t>
      </w:r>
      <w:r>
        <w:tab/>
      </w:r>
      <w:r w:rsidR="00C42588">
        <w:t xml:space="preserve">"New Zealand resident" means, in relation to New Zealand, a person who has or had New Zealand as their principal place of residence except where that person was unlawfully resident or present in New Zealand or lawfully resident or present in New Zealand only by virtue of: </w:t>
      </w:r>
    </w:p>
    <w:p w:rsidR="00C42588" w:rsidRDefault="00C42588" w:rsidP="000F596B">
      <w:pPr>
        <w:pStyle w:val="Quote2"/>
        <w:ind w:left="2160" w:hanging="720"/>
      </w:pPr>
      <w:r>
        <w:t>(a)</w:t>
      </w:r>
      <w:r>
        <w:tab/>
      </w:r>
      <w:proofErr w:type="gramStart"/>
      <w:r>
        <w:t>a</w:t>
      </w:r>
      <w:proofErr w:type="gramEnd"/>
      <w:r>
        <w:t xml:space="preserve"> visitor's permit; </w:t>
      </w:r>
    </w:p>
    <w:p w:rsidR="00C42588" w:rsidRDefault="00C42588" w:rsidP="000F596B">
      <w:pPr>
        <w:pStyle w:val="Quote2"/>
        <w:ind w:left="2160" w:hanging="720"/>
      </w:pPr>
      <w:r>
        <w:t>(b)</w:t>
      </w:r>
      <w:r>
        <w:tab/>
      </w:r>
      <w:proofErr w:type="gramStart"/>
      <w:r>
        <w:t>a</w:t>
      </w:r>
      <w:proofErr w:type="gramEnd"/>
      <w:r>
        <w:t xml:space="preserve"> temporary work permit; or </w:t>
      </w:r>
    </w:p>
    <w:p w:rsidR="00C42588" w:rsidRDefault="00C42588" w:rsidP="000F596B">
      <w:pPr>
        <w:pStyle w:val="Quote2"/>
        <w:ind w:left="2160" w:hanging="720"/>
      </w:pPr>
      <w:r>
        <w:t>(c)</w:t>
      </w:r>
      <w:r>
        <w:tab/>
      </w:r>
      <w:proofErr w:type="gramStart"/>
      <w:r>
        <w:t>a</w:t>
      </w:r>
      <w:proofErr w:type="gramEnd"/>
      <w:r>
        <w:t xml:space="preserve"> permit to be in New Zealand for the purposes of study at a New Zealand school or university or other tertiary educational establishment; </w:t>
      </w:r>
    </w:p>
    <w:p w:rsidR="00C42588" w:rsidRDefault="00C42588" w:rsidP="000F596B">
      <w:pPr>
        <w:pStyle w:val="Quote2"/>
        <w:ind w:left="2160" w:hanging="720"/>
      </w:pPr>
      <w:proofErr w:type="gramStart"/>
      <w:r>
        <w:t>and</w:t>
      </w:r>
      <w:proofErr w:type="gramEnd"/>
      <w:r>
        <w:t xml:space="preserve"> "residence in New Zealand" has a corresponding meaning. </w:t>
      </w:r>
    </w:p>
    <w:p w:rsidR="00C42588" w:rsidRDefault="000F596B" w:rsidP="000F596B">
      <w:pPr>
        <w:pStyle w:val="Quote1"/>
        <w:ind w:left="1440" w:hanging="703"/>
      </w:pPr>
      <w:r>
        <w:t>3.</w:t>
      </w:r>
      <w:r>
        <w:tab/>
      </w:r>
      <w:r w:rsidR="00C42588">
        <w:t>"</w:t>
      </w:r>
      <w:proofErr w:type="gramStart"/>
      <w:r w:rsidR="00C42588">
        <w:t>permanent</w:t>
      </w:r>
      <w:proofErr w:type="gramEnd"/>
      <w:r w:rsidR="00C42588">
        <w:t xml:space="preserve"> resident" in relation to Australia means a person who is a citizen of Australia or who holds a permanent visa under the </w:t>
      </w:r>
      <w:r w:rsidR="00C42588" w:rsidRPr="00C42588">
        <w:rPr>
          <w:i/>
        </w:rPr>
        <w:t>Migration Act 1958</w:t>
      </w:r>
      <w:r w:rsidR="00C42588">
        <w:t xml:space="preserve"> of Australia. </w:t>
      </w:r>
    </w:p>
    <w:p w:rsidR="00C42588" w:rsidRDefault="000F596B" w:rsidP="000F596B">
      <w:pPr>
        <w:pStyle w:val="Quote1"/>
        <w:ind w:left="1440" w:hanging="703"/>
      </w:pPr>
      <w:r>
        <w:t>4.</w:t>
      </w:r>
      <w:r>
        <w:tab/>
      </w:r>
      <w:r w:rsidR="00C42588">
        <w:t>"</w:t>
      </w:r>
      <w:proofErr w:type="gramStart"/>
      <w:r w:rsidR="00C42588">
        <w:t>third</w:t>
      </w:r>
      <w:proofErr w:type="gramEnd"/>
      <w:r w:rsidR="00C42588">
        <w:t xml:space="preserve"> country residence" means a period of residence when a person was not either an Australian resident or a New Zealand resident. </w:t>
      </w:r>
    </w:p>
    <w:p w:rsidR="00C42588" w:rsidRDefault="009C3AE8" w:rsidP="009C3AE8">
      <w:pPr>
        <w:pStyle w:val="Quote1"/>
        <w:ind w:left="1440" w:hanging="703"/>
      </w:pPr>
      <w:r>
        <w:t>5.</w:t>
      </w:r>
      <w:r>
        <w:tab/>
      </w:r>
      <w:r w:rsidR="00C42588">
        <w:t>"working age residence" in relation to a person means a period of residence between the ages of 20 and 64 years inclusive (being a maximum of 45 years) but does not include any period deemed pursuant to Article 8 or Article 12 to be a period in which that person was an Australian resident or a New Zealand resident.</w:t>
      </w:r>
    </w:p>
    <w:p w:rsidR="00F136E9" w:rsidRPr="00A75AE6" w:rsidRDefault="00DC5432" w:rsidP="00C42588">
      <w:pPr>
        <w:pStyle w:val="ParaNumbering"/>
      </w:pPr>
      <w:r w:rsidRPr="00A75AE6">
        <w:t xml:space="preserve">Article 12 </w:t>
      </w:r>
      <w:r w:rsidR="006F1F55">
        <w:t>of</w:t>
      </w:r>
      <w:r w:rsidRPr="00A75AE6">
        <w:t xml:space="preserve"> the Agreement </w:t>
      </w:r>
      <w:r w:rsidR="006841E9">
        <w:t xml:space="preserve">(as amended by agreement between the Governments of Australia and New Zealand in 2001) </w:t>
      </w:r>
      <w:r w:rsidRPr="00A75AE6">
        <w:t>provides as follows:</w:t>
      </w:r>
    </w:p>
    <w:p w:rsidR="00227DB2" w:rsidRPr="00227DB2" w:rsidRDefault="00227DB2" w:rsidP="004E3C28">
      <w:pPr>
        <w:pStyle w:val="Quote1"/>
        <w:keepNext/>
        <w:keepLines/>
        <w:ind w:left="1440" w:hanging="703"/>
        <w:rPr>
          <w:b/>
        </w:rPr>
      </w:pPr>
      <w:r>
        <w:rPr>
          <w:b/>
        </w:rPr>
        <w:t>Totalisation for Australia</w:t>
      </w:r>
    </w:p>
    <w:p w:rsidR="00A213D8" w:rsidRDefault="00A213D8" w:rsidP="004E3C28">
      <w:pPr>
        <w:pStyle w:val="Quote1"/>
        <w:keepNext/>
        <w:keepLines/>
        <w:ind w:left="1440" w:hanging="703"/>
      </w:pPr>
      <w:r>
        <w:t>1.</w:t>
      </w:r>
      <w:r>
        <w:tab/>
        <w:t>Where a person to whom this Agreement applies has claimed an Australian benefit under this Agreement and has accumulated:</w:t>
      </w:r>
    </w:p>
    <w:p w:rsidR="00A213D8" w:rsidRDefault="00A213D8" w:rsidP="00A213D8">
      <w:pPr>
        <w:pStyle w:val="Quote2"/>
        <w:ind w:left="2160" w:hanging="720"/>
      </w:pPr>
      <w:r>
        <w:t>(a)</w:t>
      </w:r>
      <w:r>
        <w:tab/>
      </w:r>
      <w:proofErr w:type="gramStart"/>
      <w:r>
        <w:t>a</w:t>
      </w:r>
      <w:proofErr w:type="gramEnd"/>
      <w:r>
        <w:t xml:space="preserve"> period as an Australian resident that is less than the period required to qualify that person, on that ground, under the social security law of Australia for a benefit;</w:t>
      </w:r>
    </w:p>
    <w:p w:rsidR="00A213D8" w:rsidRDefault="00A213D8" w:rsidP="00A213D8">
      <w:pPr>
        <w:pStyle w:val="Quote2"/>
        <w:ind w:left="2160" w:hanging="720"/>
      </w:pPr>
      <w:r>
        <w:t>(b)</w:t>
      </w:r>
      <w:r>
        <w:tab/>
      </w:r>
      <w:proofErr w:type="gramStart"/>
      <w:r>
        <w:t>a</w:t>
      </w:r>
      <w:proofErr w:type="gramEnd"/>
      <w:r>
        <w:t xml:space="preserve"> period of working age residence in Australia equal to or greater than the period identified</w:t>
      </w:r>
      <w:r w:rsidR="00A75AE6">
        <w:t xml:space="preserve"> </w:t>
      </w:r>
      <w:r>
        <w:t xml:space="preserve"> in accordance with paragraph 3; and</w:t>
      </w:r>
    </w:p>
    <w:p w:rsidR="00A213D8" w:rsidRDefault="00A213D8" w:rsidP="00A213D8">
      <w:pPr>
        <w:pStyle w:val="Quote2"/>
        <w:ind w:left="2160" w:hanging="720"/>
      </w:pPr>
      <w:r>
        <w:t>(c)</w:t>
      </w:r>
      <w:r>
        <w:tab/>
      </w:r>
      <w:proofErr w:type="gramStart"/>
      <w:r>
        <w:t>a</w:t>
      </w:r>
      <w:proofErr w:type="gramEnd"/>
      <w:r>
        <w:t xml:space="preserve"> period of working age residence in New Zealand.</w:t>
      </w:r>
    </w:p>
    <w:p w:rsidR="00A213D8" w:rsidRDefault="00A213D8" w:rsidP="009C3AE8">
      <w:pPr>
        <w:pStyle w:val="Quote2"/>
      </w:pPr>
      <w:proofErr w:type="gramStart"/>
      <w:r>
        <w:t>then</w:t>
      </w:r>
      <w:proofErr w:type="gramEnd"/>
      <w:r>
        <w:t>:</w:t>
      </w:r>
    </w:p>
    <w:p w:rsidR="00A213D8" w:rsidRDefault="00A213D8" w:rsidP="009C3AE8">
      <w:pPr>
        <w:pStyle w:val="Quote2"/>
      </w:pPr>
      <w:r>
        <w:lastRenderedPageBreak/>
        <w:t>That period of working age residence in New Zealand shall be deemed to be a period in which that person was an Australian resident only for the purposes of meeting any minimum qualifying periods for that benefit set out in the social security law of Australia.</w:t>
      </w:r>
    </w:p>
    <w:p w:rsidR="00A213D8" w:rsidRDefault="00A213D8" w:rsidP="00A213D8">
      <w:pPr>
        <w:pStyle w:val="Quote1"/>
        <w:ind w:left="1440" w:hanging="703"/>
      </w:pPr>
      <w:r>
        <w:t>2.</w:t>
      </w:r>
      <w:r>
        <w:tab/>
        <w:t>Where a person’s period of working age residence in Australia and a period of working age residence in New Zealand coincide, the period of coincidence shall be taken into account once only by Australia for the purposes of this Article as a period as an Australian resident.</w:t>
      </w:r>
    </w:p>
    <w:p w:rsidR="00A213D8" w:rsidRDefault="00A213D8" w:rsidP="00A213D8">
      <w:pPr>
        <w:pStyle w:val="Quote1"/>
        <w:ind w:left="1440" w:hanging="703"/>
      </w:pPr>
      <w:r>
        <w:t>3.</w:t>
      </w:r>
      <w:r>
        <w:tab/>
        <w:t>The minimum period of Australian working age residence to be taken into account for the purposes of paragraph 1(b) shall be as follows:</w:t>
      </w:r>
    </w:p>
    <w:p w:rsidR="00A213D8" w:rsidRDefault="00A213D8" w:rsidP="00A213D8">
      <w:pPr>
        <w:pStyle w:val="Quote2"/>
        <w:ind w:left="2160" w:hanging="720"/>
      </w:pPr>
      <w:r>
        <w:t>(a)</w:t>
      </w:r>
      <w:r>
        <w:tab/>
        <w:t>for the purposes of an Australian benefit payable to a person residing outside Australia, the minimum period shall be one year of which at least 6 months must be continuous; but</w:t>
      </w:r>
    </w:p>
    <w:p w:rsidR="00A213D8" w:rsidRDefault="00A213D8" w:rsidP="00A213D8">
      <w:pPr>
        <w:pStyle w:val="Quote2"/>
        <w:ind w:left="2160" w:hanging="720"/>
      </w:pPr>
      <w:r>
        <w:t>(b)</w:t>
      </w:r>
      <w:r>
        <w:tab/>
      </w:r>
      <w:proofErr w:type="gramStart"/>
      <w:r>
        <w:t>for</w:t>
      </w:r>
      <w:proofErr w:type="gramEnd"/>
      <w:r>
        <w:t xml:space="preserve"> the purposes of an Australian benefit payable to an Australian resident, there will be no minimum period.</w:t>
      </w:r>
    </w:p>
    <w:p w:rsidR="00A213D8" w:rsidRDefault="00A213D8" w:rsidP="00A213D8">
      <w:pPr>
        <w:pStyle w:val="Quote1"/>
        <w:ind w:left="1440" w:hanging="703"/>
      </w:pPr>
      <w:r>
        <w:t>4.</w:t>
      </w:r>
      <w:r>
        <w:tab/>
        <w:t xml:space="preserve">No person shall be entitled to claim a disability support pension under this Agreement unless he or she has accumulated an aggregate of more than 10 years of residence in Australia and/or New Zealand. </w:t>
      </w:r>
    </w:p>
    <w:p w:rsidR="00A213D8" w:rsidRDefault="00A213D8" w:rsidP="005408E8">
      <w:pPr>
        <w:pStyle w:val="Quote1"/>
        <w:spacing w:after="0"/>
        <w:ind w:left="1440" w:hanging="703"/>
      </w:pPr>
      <w:r>
        <w:t>5.</w:t>
      </w:r>
      <w:r>
        <w:tab/>
        <w:t>A claimant for an age pension must be at least 65 years of age to be able to obtain the benefit of this Article.</w:t>
      </w:r>
    </w:p>
    <w:p w:rsidR="00552ADE" w:rsidRDefault="00552ADE" w:rsidP="005408E8">
      <w:pPr>
        <w:pStyle w:val="Quote1"/>
        <w:spacing w:after="0"/>
        <w:ind w:left="1440" w:hanging="703"/>
      </w:pPr>
    </w:p>
    <w:p w:rsidR="00C20384" w:rsidRDefault="00C20384" w:rsidP="00C20384">
      <w:pPr>
        <w:pStyle w:val="Heading1"/>
      </w:pPr>
      <w:r>
        <w:t>Appeal to the Full Court</w:t>
      </w:r>
    </w:p>
    <w:p w:rsidR="003F0DC1" w:rsidRDefault="00515D72" w:rsidP="00552ADE">
      <w:pPr>
        <w:pStyle w:val="ParaNumbering"/>
      </w:pPr>
      <w:r>
        <w:t xml:space="preserve">On 1 June 2016, the appellants filed a notice of appeal which set out three grounds.  They also filed a supporting affidavit sworn by Mr </w:t>
      </w:r>
      <w:proofErr w:type="spellStart"/>
      <w:r>
        <w:t>Charan</w:t>
      </w:r>
      <w:proofErr w:type="spellEnd"/>
      <w:r>
        <w:t>.</w:t>
      </w:r>
      <w:r w:rsidR="00552ADE">
        <w:t xml:space="preserve">  On 22 June 2016, however, they filed an amended notice of appeal ostensibly containing 13 grounds.  The 13</w:t>
      </w:r>
      <w:r w:rsidR="00552ADE" w:rsidRPr="005408E8">
        <w:rPr>
          <w:vertAlign w:val="superscript"/>
        </w:rPr>
        <w:t>th</w:t>
      </w:r>
      <w:r w:rsidR="00552ADE">
        <w:t xml:space="preserve"> </w:t>
      </w:r>
      <w:r w:rsidR="00F07884">
        <w:t xml:space="preserve">simply </w:t>
      </w:r>
      <w:r w:rsidR="00552ADE">
        <w:t>referred to an attached</w:t>
      </w:r>
      <w:r w:rsidR="00D21A27">
        <w:t xml:space="preserve"> copy of Flick J’s judgment.</w:t>
      </w:r>
      <w:r w:rsidR="003F0DC1">
        <w:t xml:space="preserve"> </w:t>
      </w:r>
      <w:r w:rsidR="00227DB2">
        <w:t xml:space="preserve"> </w:t>
      </w:r>
      <w:r w:rsidR="00552ADE">
        <w:t>The 12 grounds are</w:t>
      </w:r>
      <w:r w:rsidR="008555A3">
        <w:t xml:space="preserve"> (as written)</w:t>
      </w:r>
      <w:r w:rsidR="00AD5652">
        <w:t>:</w:t>
      </w:r>
    </w:p>
    <w:p w:rsidR="00AD5652" w:rsidRDefault="0050748D" w:rsidP="0050748D">
      <w:pPr>
        <w:pStyle w:val="Quote1"/>
        <w:ind w:left="1440" w:hanging="703"/>
      </w:pPr>
      <w:r>
        <w:t>1.</w:t>
      </w:r>
      <w:r>
        <w:tab/>
      </w:r>
      <w:r w:rsidR="00AD5652">
        <w:t>That Flick J had erred in law in failing to</w:t>
      </w:r>
      <w:r w:rsidR="006B70CA">
        <w:t xml:space="preserve"> take into account that the Appellants had claimed age pension under Article 12(5) of the Social Security (International Agreements) Act 1999 in interaction with the Social Security Act 1991, they had satisfied residency requirement under totalisation for Australia under Article 12(1) of the agreement in combining or totalizing periods of residence in Australia and New Zealand in satisfying 10 years of qualifying residence as evident in paragraph 17 of the decision of Flick J by virtue of s.6 of the International Agreement Act under Article 12(1) of the agreement, read with Article 5(1) and Article 12(5) effectively overriding s. 43(1)(7)(5) of the Social Security Act 1991. </w:t>
      </w:r>
      <w:r w:rsidR="006B70CA">
        <w:rPr>
          <w:b/>
        </w:rPr>
        <w:t xml:space="preserve">Re </w:t>
      </w:r>
      <w:r w:rsidR="006B70CA">
        <w:rPr>
          <w:b/>
          <w:i/>
        </w:rPr>
        <w:t>Secretary, Department of Families, Housing, Community and Ind</w:t>
      </w:r>
      <w:r w:rsidR="002E1E63">
        <w:rPr>
          <w:b/>
          <w:i/>
        </w:rPr>
        <w:t xml:space="preserve">igenous Affairs v </w:t>
      </w:r>
      <w:proofErr w:type="spellStart"/>
      <w:r w:rsidR="002E1E63">
        <w:rPr>
          <w:b/>
          <w:i/>
        </w:rPr>
        <w:t>Mahrous</w:t>
      </w:r>
      <w:proofErr w:type="spellEnd"/>
      <w:r w:rsidR="002E1E63">
        <w:rPr>
          <w:b/>
          <w:i/>
        </w:rPr>
        <w:t xml:space="preserve"> [2012)</w:t>
      </w:r>
      <w:r w:rsidR="006B70CA">
        <w:rPr>
          <w:b/>
          <w:i/>
        </w:rPr>
        <w:t xml:space="preserve"> FCA 1275, per Logan J at paragraph 35 and 37, </w:t>
      </w:r>
      <w:r w:rsidR="006B70CA">
        <w:t xml:space="preserve">and the decision </w:t>
      </w:r>
      <w:r w:rsidR="006B70CA">
        <w:rPr>
          <w:b/>
          <w:i/>
        </w:rPr>
        <w:t>of the Full Co</w:t>
      </w:r>
      <w:r w:rsidR="002E1E63">
        <w:rPr>
          <w:b/>
          <w:i/>
        </w:rPr>
        <w:t>urt of the Federal Court [2013)</w:t>
      </w:r>
      <w:r w:rsidR="006B70CA">
        <w:rPr>
          <w:b/>
          <w:i/>
        </w:rPr>
        <w:t xml:space="preserve"> FCAFC 75 </w:t>
      </w:r>
      <w:r w:rsidR="006B70CA">
        <w:rPr>
          <w:i/>
        </w:rPr>
        <w:t xml:space="preserve">applied at paragraphs 59 and 63. </w:t>
      </w:r>
    </w:p>
    <w:p w:rsidR="00AD5652" w:rsidRDefault="0050748D" w:rsidP="0050748D">
      <w:pPr>
        <w:pStyle w:val="Quote1"/>
        <w:ind w:left="1440" w:hanging="703"/>
      </w:pPr>
      <w:r>
        <w:t>2.</w:t>
      </w:r>
      <w:r>
        <w:tab/>
      </w:r>
      <w:r w:rsidR="00AD5652">
        <w:t>That Flick J had erred in law</w:t>
      </w:r>
      <w:r w:rsidR="00FA2000">
        <w:t xml:space="preserve"> holding that Mr and Mrs </w:t>
      </w:r>
      <w:proofErr w:type="spellStart"/>
      <w:r w:rsidR="00FA2000">
        <w:t>Charan</w:t>
      </w:r>
      <w:proofErr w:type="spellEnd"/>
      <w:r w:rsidR="00FA2000">
        <w:t xml:space="preserve"> having not been resident for qualifying period of 10 years and did not have a qualifying residence exemption for age pension (para. 18) could not satisfy s.43 of the Social Security Act; is contrary to the totalisation for Australia under Article 12(1) of the Social Security (International Agreements) Act 1999 allowing </w:t>
      </w:r>
      <w:r w:rsidR="00FA2000">
        <w:lastRenderedPageBreak/>
        <w:t xml:space="preserve">accumulation of 10 years of residence in Australia and New Zealand; is contrary to his finding in paragraph 17 of his decision that the Administrative Appeals Tribunal had accepted that his Table correctly set forth the period of residence in Australia and New Zealand for Mr and Mrs </w:t>
      </w:r>
      <w:proofErr w:type="spellStart"/>
      <w:r w:rsidR="00FA2000">
        <w:t>Charan</w:t>
      </w:r>
      <w:proofErr w:type="spellEnd"/>
      <w:r w:rsidR="00FA2000">
        <w:t xml:space="preserve">, when figures in the Table add up to show ten years of residence each respectively. </w:t>
      </w:r>
    </w:p>
    <w:p w:rsidR="00AD5652" w:rsidRDefault="0050748D" w:rsidP="0050748D">
      <w:pPr>
        <w:pStyle w:val="Quote1"/>
        <w:ind w:left="1440" w:hanging="703"/>
      </w:pPr>
      <w:r>
        <w:t>3.</w:t>
      </w:r>
      <w:r>
        <w:tab/>
      </w:r>
      <w:r w:rsidR="00AD5652">
        <w:t>That Flick J had erred in law in failing</w:t>
      </w:r>
      <w:r w:rsidR="004E5EE9">
        <w:t xml:space="preserve"> to take account that count of residence for age pension over the age of 65 years is </w:t>
      </w:r>
      <w:r w:rsidR="004E5EE9">
        <w:rPr>
          <w:u w:val="single"/>
        </w:rPr>
        <w:t xml:space="preserve">not restricted </w:t>
      </w:r>
      <w:r w:rsidR="004E5EE9">
        <w:t xml:space="preserve">by the language of Article 12(5) of the Agreement, but closes by an application for age pension, such as for Mrs </w:t>
      </w:r>
      <w:proofErr w:type="spellStart"/>
      <w:r w:rsidR="004E5EE9">
        <w:t>Charan</w:t>
      </w:r>
      <w:proofErr w:type="spellEnd"/>
      <w:r w:rsidR="004E5EE9">
        <w:t xml:space="preserve"> on 1 January 2015 and Mr </w:t>
      </w:r>
      <w:proofErr w:type="spellStart"/>
      <w:r w:rsidR="004E5EE9">
        <w:t>Charan</w:t>
      </w:r>
      <w:proofErr w:type="spellEnd"/>
      <w:r w:rsidR="004E5EE9">
        <w:t xml:space="preserve"> on 1 July 2015. </w:t>
      </w:r>
    </w:p>
    <w:p w:rsidR="00AD5652" w:rsidRDefault="0050748D" w:rsidP="0050748D">
      <w:pPr>
        <w:pStyle w:val="Quote1"/>
        <w:ind w:left="1440" w:hanging="703"/>
      </w:pPr>
      <w:r>
        <w:t>4.</w:t>
      </w:r>
      <w:r>
        <w:tab/>
      </w:r>
      <w:r w:rsidR="00AD5652">
        <w:t xml:space="preserve">That Flick J had erred in law in misinterpreting Article </w:t>
      </w:r>
      <w:r w:rsidR="00DE2C7D">
        <w:t xml:space="preserve">5(1) upholding decision of the Tribunal that the Appellants were not Australian residents before they moved to Australia in 2014 (para. 23) when meaning of Australian resident under Article 5(1) only applies to a New Zealand citizen </w:t>
      </w:r>
      <w:r w:rsidR="00DE2C7D">
        <w:rPr>
          <w:u w:val="single"/>
        </w:rPr>
        <w:t xml:space="preserve">residing </w:t>
      </w:r>
      <w:r w:rsidR="00DE2C7D">
        <w:t xml:space="preserve">in Australia (not in New Zealand). </w:t>
      </w:r>
    </w:p>
    <w:p w:rsidR="00AD5652" w:rsidRDefault="0050748D" w:rsidP="0050748D">
      <w:pPr>
        <w:pStyle w:val="Quote1"/>
        <w:ind w:left="1440" w:hanging="703"/>
      </w:pPr>
      <w:r>
        <w:t>5.</w:t>
      </w:r>
      <w:r>
        <w:tab/>
      </w:r>
      <w:r w:rsidR="00AD5652">
        <w:t>That Flick J had erred in law in failing to take into account</w:t>
      </w:r>
      <w:r w:rsidR="00FA2000">
        <w:t xml:space="preserve"> that the requirement for minimum working age residence under Article 12(3) of the Agreement has no effect on the Appellants because of amendment affected under Note 6 of the Part B of the Agreement imposing no minimum working age residence under Article 12(3</w:t>
      </w:r>
      <w:proofErr w:type="gramStart"/>
      <w:r w:rsidR="00FA2000">
        <w:t>)(</w:t>
      </w:r>
      <w:proofErr w:type="gramEnd"/>
      <w:r w:rsidR="00FA2000">
        <w:t xml:space="preserve">b) for the purpose of an Australian benefit payable to Australian resident. </w:t>
      </w:r>
    </w:p>
    <w:p w:rsidR="00AD5652" w:rsidRDefault="0050748D" w:rsidP="0050748D">
      <w:pPr>
        <w:pStyle w:val="Quote1"/>
        <w:ind w:left="1440" w:hanging="703"/>
      </w:pPr>
      <w:r>
        <w:t>6.</w:t>
      </w:r>
      <w:r>
        <w:tab/>
      </w:r>
      <w:r w:rsidR="00AD5652">
        <w:t>That Flick J had erred in law in holding that</w:t>
      </w:r>
      <w:r w:rsidR="003337EF">
        <w:t xml:space="preserve"> the Appellants could not satisfy count of residence in Article 12(1)(c) [para.29] contrary to the Appellants evidence that they were</w:t>
      </w:r>
      <w:r w:rsidR="00D70616">
        <w:t xml:space="preserve"> included in their</w:t>
      </w:r>
      <w:r w:rsidR="003337EF">
        <w:t xml:space="preserve"> residence from </w:t>
      </w:r>
      <w:r w:rsidR="003337EF">
        <w:rPr>
          <w:b/>
        </w:rPr>
        <w:t xml:space="preserve">1.1.2005 </w:t>
      </w:r>
      <w:r w:rsidR="003337EF">
        <w:t xml:space="preserve">until Mrs </w:t>
      </w:r>
      <w:proofErr w:type="spellStart"/>
      <w:r w:rsidR="003337EF">
        <w:t>Charan’s</w:t>
      </w:r>
      <w:proofErr w:type="spellEnd"/>
      <w:r w:rsidR="003337EF">
        <w:t xml:space="preserve"> 65</w:t>
      </w:r>
      <w:r w:rsidR="003337EF" w:rsidRPr="003337EF">
        <w:rPr>
          <w:vertAlign w:val="superscript"/>
        </w:rPr>
        <w:t>th</w:t>
      </w:r>
      <w:r w:rsidR="003337EF">
        <w:t xml:space="preserve"> birth date on </w:t>
      </w:r>
      <w:r w:rsidR="003337EF">
        <w:rPr>
          <w:b/>
        </w:rPr>
        <w:t xml:space="preserve">27.02.2011, </w:t>
      </w:r>
      <w:proofErr w:type="spellStart"/>
      <w:r w:rsidR="003337EF">
        <w:rPr>
          <w:b/>
        </w:rPr>
        <w:t>totaling</w:t>
      </w:r>
      <w:proofErr w:type="spellEnd"/>
      <w:r w:rsidR="003337EF">
        <w:rPr>
          <w:b/>
        </w:rPr>
        <w:t xml:space="preserve"> 6 years and 1 month, </w:t>
      </w:r>
      <w:r w:rsidR="003337EF">
        <w:t xml:space="preserve">and from Mr </w:t>
      </w:r>
      <w:proofErr w:type="spellStart"/>
      <w:r w:rsidR="003337EF">
        <w:t>Charan’s</w:t>
      </w:r>
      <w:proofErr w:type="spellEnd"/>
      <w:r w:rsidR="003337EF">
        <w:t xml:space="preserve"> entry in New Zealand on </w:t>
      </w:r>
      <w:r w:rsidR="003337EF">
        <w:rPr>
          <w:b/>
        </w:rPr>
        <w:t xml:space="preserve">30.6.2005 </w:t>
      </w:r>
      <w:r w:rsidR="003337EF">
        <w:t>to his 65</w:t>
      </w:r>
      <w:r w:rsidR="003337EF" w:rsidRPr="003337EF">
        <w:rPr>
          <w:vertAlign w:val="superscript"/>
        </w:rPr>
        <w:t>th</w:t>
      </w:r>
      <w:r w:rsidR="003337EF">
        <w:t xml:space="preserve"> birth date on </w:t>
      </w:r>
      <w:r w:rsidR="003337EF">
        <w:rPr>
          <w:b/>
        </w:rPr>
        <w:t>22.2.2008</w:t>
      </w:r>
      <w:r w:rsidR="003337EF">
        <w:t xml:space="preserve">, </w:t>
      </w:r>
      <w:proofErr w:type="spellStart"/>
      <w:r w:rsidR="003337EF">
        <w:t>totaling</w:t>
      </w:r>
      <w:proofErr w:type="spellEnd"/>
      <w:r w:rsidR="003337EF">
        <w:t xml:space="preserve"> to </w:t>
      </w:r>
      <w:r w:rsidR="003337EF">
        <w:rPr>
          <w:b/>
        </w:rPr>
        <w:t xml:space="preserve">2 years and 6 months, was </w:t>
      </w:r>
      <w:r w:rsidR="003337EF">
        <w:t xml:space="preserve">prohibited to counted them again under Article 12(2) of the Agreement. </w:t>
      </w:r>
    </w:p>
    <w:p w:rsidR="00AD5652" w:rsidRDefault="0050748D" w:rsidP="0050748D">
      <w:pPr>
        <w:pStyle w:val="Quote1"/>
        <w:ind w:left="1440" w:hanging="703"/>
      </w:pPr>
      <w:r>
        <w:t>7.</w:t>
      </w:r>
      <w:r>
        <w:tab/>
      </w:r>
      <w:r w:rsidR="00AD5652">
        <w:t>That Flick J had erred in law in failing to take account</w:t>
      </w:r>
      <w:r w:rsidR="004E5EE9">
        <w:t xml:space="preserve"> that the language of Article 12(5) of the Agreement poses no restriction to count residence either before or after the age of 65 years for the claim of age pension under the Agreement. </w:t>
      </w:r>
    </w:p>
    <w:p w:rsidR="00AD5652" w:rsidRDefault="0050748D" w:rsidP="0050748D">
      <w:pPr>
        <w:pStyle w:val="Quote1"/>
        <w:ind w:left="1440" w:hanging="703"/>
      </w:pPr>
      <w:r>
        <w:t>8.</w:t>
      </w:r>
      <w:r>
        <w:tab/>
      </w:r>
      <w:r w:rsidR="00AD5652">
        <w:t xml:space="preserve">That Centrelink </w:t>
      </w:r>
      <w:r w:rsidR="00890C6F">
        <w:t>(</w:t>
      </w:r>
      <w:r w:rsidR="00890C6F">
        <w:rPr>
          <w:i/>
        </w:rPr>
        <w:t xml:space="preserve">Department Human </w:t>
      </w:r>
      <w:proofErr w:type="spellStart"/>
      <w:r w:rsidR="00890C6F">
        <w:rPr>
          <w:i/>
        </w:rPr>
        <w:t>Resrouces</w:t>
      </w:r>
      <w:proofErr w:type="spellEnd"/>
      <w:r w:rsidR="00890C6F">
        <w:t>), Authorised Review Officer, SSAT, AAT and Justice Flick had failed to justify why the Appellants could not count residence after their 65</w:t>
      </w:r>
      <w:r w:rsidR="00890C6F" w:rsidRPr="00890C6F">
        <w:rPr>
          <w:vertAlign w:val="superscript"/>
        </w:rPr>
        <w:t>th</w:t>
      </w:r>
      <w:r w:rsidR="00890C6F">
        <w:t xml:space="preserve"> b</w:t>
      </w:r>
      <w:r w:rsidR="00E00D2C">
        <w:t>i</w:t>
      </w:r>
      <w:r w:rsidR="00890C6F">
        <w:t xml:space="preserve">rth dates (para.28) [27.1.2011 for Mrs </w:t>
      </w:r>
      <w:proofErr w:type="spellStart"/>
      <w:r w:rsidR="00890C6F">
        <w:t>Charan</w:t>
      </w:r>
      <w:proofErr w:type="spellEnd"/>
      <w:r w:rsidR="00890C6F">
        <w:t xml:space="preserve"> and 22.2.2008 for Mr </w:t>
      </w:r>
      <w:proofErr w:type="spellStart"/>
      <w:r w:rsidR="00890C6F">
        <w:t>Charan</w:t>
      </w:r>
      <w:proofErr w:type="spellEnd"/>
      <w:r w:rsidR="00890C6F">
        <w:t xml:space="preserve">] when failing to justify is construed to an improper exercise of a power under ss 5 and 6 of the Administrative Decision (Judicial Review) Act 1977 when there is no evidence or other material to justify the making of the decision particularly when Article 12(5) of the Agreement does not include any reference to working age residence restriction. </w:t>
      </w:r>
    </w:p>
    <w:p w:rsidR="00AD5652" w:rsidRDefault="0050748D" w:rsidP="0050748D">
      <w:pPr>
        <w:pStyle w:val="Quote1"/>
        <w:ind w:left="1440" w:hanging="703"/>
      </w:pPr>
      <w:r>
        <w:t>9.</w:t>
      </w:r>
      <w:r>
        <w:tab/>
      </w:r>
      <w:r w:rsidR="00AD5652">
        <w:t>That Flick J had erred in law in failing to consider</w:t>
      </w:r>
      <w:r w:rsidR="004D1503">
        <w:t xml:space="preserve"> Mr </w:t>
      </w:r>
      <w:proofErr w:type="spellStart"/>
      <w:r w:rsidR="004D1503">
        <w:t>Charan’s</w:t>
      </w:r>
      <w:proofErr w:type="spellEnd"/>
      <w:r w:rsidR="004D1503">
        <w:t xml:space="preserve"> joint application was under Article 13(4) </w:t>
      </w:r>
      <w:r w:rsidR="00D70616">
        <w:t xml:space="preserve">for </w:t>
      </w:r>
      <w:r w:rsidR="004D1503">
        <w:t xml:space="preserve">age pension with declaration that if his application was not approved he would reapply thereafter on 1 July 2015 on meeting 10 years of qualifying residence. </w:t>
      </w:r>
    </w:p>
    <w:p w:rsidR="00AD5652" w:rsidRDefault="0050748D" w:rsidP="0050748D">
      <w:pPr>
        <w:pStyle w:val="Quote1"/>
        <w:ind w:left="1440" w:hanging="703"/>
      </w:pPr>
      <w:r>
        <w:t>10.</w:t>
      </w:r>
      <w:r>
        <w:tab/>
      </w:r>
      <w:r w:rsidR="00AD5652">
        <w:t>Instead the SSAT</w:t>
      </w:r>
      <w:r w:rsidR="002F3237">
        <w:t xml:space="preserve"> had erred in law in wrongly holding that any time after 22 February 2008 for Mr </w:t>
      </w:r>
      <w:proofErr w:type="spellStart"/>
      <w:r w:rsidR="002F3237">
        <w:t>Charan</w:t>
      </w:r>
      <w:proofErr w:type="spellEnd"/>
      <w:r w:rsidR="002F3237">
        <w:t xml:space="preserve"> and 26 January 2011 for Mrs </w:t>
      </w:r>
      <w:proofErr w:type="spellStart"/>
      <w:r w:rsidR="002F3237">
        <w:t>Charan</w:t>
      </w:r>
      <w:proofErr w:type="spellEnd"/>
      <w:r w:rsidR="002F3237">
        <w:t xml:space="preserve"> cannot be deemed to be a period in which they were Australian residents for the purposes of “</w:t>
      </w:r>
      <w:r w:rsidR="002F3237">
        <w:rPr>
          <w:u w:val="single"/>
        </w:rPr>
        <w:t xml:space="preserve">meeting the minimum qualifying period of residence” for the age pension </w:t>
      </w:r>
      <w:r w:rsidR="002F3237">
        <w:t>contrary to s. 7(5</w:t>
      </w:r>
      <w:proofErr w:type="gramStart"/>
      <w:r w:rsidR="002F3237">
        <w:t>)(</w:t>
      </w:r>
      <w:proofErr w:type="gramEnd"/>
      <w:r w:rsidR="002F3237">
        <w:t xml:space="preserve">a) states that a person has, at </w:t>
      </w:r>
      <w:r w:rsidR="002F3237">
        <w:rPr>
          <w:b/>
          <w:u w:val="single"/>
        </w:rPr>
        <w:t>any time</w:t>
      </w:r>
      <w:r w:rsidR="002F3237">
        <w:t xml:space="preserve"> been </w:t>
      </w:r>
      <w:r w:rsidR="002F3237">
        <w:lastRenderedPageBreak/>
        <w:t xml:space="preserve">an Australian resident for continuous period of not less than 10 years qualify age pension. </w:t>
      </w:r>
    </w:p>
    <w:p w:rsidR="00AD5652" w:rsidRDefault="0050748D" w:rsidP="0050748D">
      <w:pPr>
        <w:pStyle w:val="Quote1"/>
        <w:ind w:left="1440" w:hanging="703"/>
      </w:pPr>
      <w:r>
        <w:t>11.</w:t>
      </w:r>
      <w:r>
        <w:tab/>
      </w:r>
      <w:r w:rsidR="00AD5652">
        <w:t>That the Tribunal and Flick J</w:t>
      </w:r>
      <w:r w:rsidR="00AE0ED0">
        <w:t xml:space="preserve"> had e</w:t>
      </w:r>
      <w:r w:rsidR="00E00D2C">
        <w:t>r</w:t>
      </w:r>
      <w:r w:rsidR="00AE0ED0">
        <w:t xml:space="preserve">red in law in failing to consider Mr </w:t>
      </w:r>
      <w:proofErr w:type="spellStart"/>
      <w:r w:rsidR="00AE0ED0">
        <w:t>Charan’s</w:t>
      </w:r>
      <w:proofErr w:type="spellEnd"/>
      <w:r w:rsidR="00AE0ED0">
        <w:t xml:space="preserve"> application for extension of time for age pension by virtue of section 6 of the scheduled international social security agreement applied on 6 July 2015 while both his application under Article 13(4) of the agreement and his appeal were alive beside the Tribunal asked the Secretary to file contentions 4 months after the time had expired. </w:t>
      </w:r>
    </w:p>
    <w:p w:rsidR="00AD5652" w:rsidRDefault="0050748D" w:rsidP="0050748D">
      <w:pPr>
        <w:pStyle w:val="Quote1"/>
        <w:spacing w:after="0"/>
        <w:ind w:left="1440" w:hanging="703"/>
      </w:pPr>
      <w:r>
        <w:t>12.</w:t>
      </w:r>
      <w:r>
        <w:tab/>
      </w:r>
      <w:r w:rsidR="00AD5652">
        <w:t xml:space="preserve">That the Appellants further rely on the grounds set out in the affidavit of Mr </w:t>
      </w:r>
      <w:proofErr w:type="spellStart"/>
      <w:r w:rsidR="00AD5652">
        <w:t>Charan</w:t>
      </w:r>
      <w:proofErr w:type="spellEnd"/>
      <w:r w:rsidR="00AD5652">
        <w:t xml:space="preserve"> filed on 1</w:t>
      </w:r>
      <w:r w:rsidR="00AD5652" w:rsidRPr="00AD5652">
        <w:rPr>
          <w:vertAlign w:val="superscript"/>
        </w:rPr>
        <w:t>st</w:t>
      </w:r>
      <w:r w:rsidR="00AD5652">
        <w:t xml:space="preserve"> June 2016.</w:t>
      </w:r>
    </w:p>
    <w:p w:rsidR="00552ADE" w:rsidRDefault="00552ADE" w:rsidP="006F3FA3">
      <w:pPr>
        <w:pStyle w:val="Quote1"/>
        <w:spacing w:after="0"/>
      </w:pPr>
    </w:p>
    <w:p w:rsidR="00F12BF9" w:rsidRDefault="00515D72" w:rsidP="00C91474">
      <w:pPr>
        <w:pStyle w:val="ParaNumbering"/>
        <w:tabs>
          <w:tab w:val="clear" w:pos="720"/>
        </w:tabs>
      </w:pPr>
      <w:r>
        <w:t xml:space="preserve">On 4 </w:t>
      </w:r>
      <w:r w:rsidR="00400793">
        <w:t xml:space="preserve">August </w:t>
      </w:r>
      <w:r>
        <w:t xml:space="preserve">2016, the appellants filed an interlocutory application seeking leave to include the affidavit of Mr </w:t>
      </w:r>
      <w:proofErr w:type="spellStart"/>
      <w:r>
        <w:t>Charan</w:t>
      </w:r>
      <w:proofErr w:type="spellEnd"/>
      <w:r>
        <w:t xml:space="preserve"> filed on 1 June 2016 “</w:t>
      </w:r>
      <w:r w:rsidRPr="00E91446">
        <w:rPr>
          <w:i/>
        </w:rPr>
        <w:t>as grounds (12) and in support of appeal be included as Notice of Appeal in the appeal book, and/or in alternative this application be put before the full Court</w:t>
      </w:r>
      <w:r>
        <w:t xml:space="preserve">”.  </w:t>
      </w:r>
      <w:r w:rsidR="00C91474">
        <w:t>Leave was granted.</w:t>
      </w:r>
      <w:r w:rsidR="00F12BF9">
        <w:t xml:space="preserve">   That affidavit covered much the same ground as that covered in the amended notice of appeal and written submissions filed by the appellants on 29 September 2016 and 24 October 2016.  Of particular note are two paragraphs of Mr </w:t>
      </w:r>
      <w:proofErr w:type="spellStart"/>
      <w:r w:rsidR="00F12BF9">
        <w:t>Charan’s</w:t>
      </w:r>
      <w:proofErr w:type="spellEnd"/>
      <w:r w:rsidR="00F12BF9">
        <w:t xml:space="preserve"> 1 June 2016 affidavit which state (as written):</w:t>
      </w:r>
    </w:p>
    <w:p w:rsidR="00F12BF9" w:rsidRDefault="00F12BF9" w:rsidP="0050748D">
      <w:pPr>
        <w:pStyle w:val="Quote1"/>
        <w:ind w:left="1440" w:hanging="703"/>
      </w:pPr>
      <w:r>
        <w:t>7.</w:t>
      </w:r>
      <w:r>
        <w:tab/>
        <w:t xml:space="preserve">On hearing of appeal on 16 March 2016 I had answered issues raised by Justice Flick before submitting on residential status.  I was still submitting on </w:t>
      </w:r>
      <w:proofErr w:type="gramStart"/>
      <w:r>
        <w:t>s</w:t>
      </w:r>
      <w:r w:rsidR="00D70616">
        <w:t>.</w:t>
      </w:r>
      <w:r>
        <w:t>7(</w:t>
      </w:r>
      <w:proofErr w:type="gramEnd"/>
      <w:r>
        <w:t>5) of the Social Security Act 1991 when I was stopped by his Honour to file a written submission.</w:t>
      </w:r>
    </w:p>
    <w:p w:rsidR="00F12BF9" w:rsidRDefault="00F12BF9" w:rsidP="0050748D">
      <w:pPr>
        <w:pStyle w:val="Quote1"/>
        <w:ind w:left="1440" w:hanging="703"/>
      </w:pPr>
      <w:r>
        <w:t>8.</w:t>
      </w:r>
      <w:r>
        <w:tab/>
        <w:t>I did file my submission on 22 March 2016 but it appears that his Honour had failed to consider my submissions.  A copy of the submission dated 22 March is exhibited marked AS</w:t>
      </w:r>
      <w:r w:rsidR="00D70616">
        <w:t>4</w:t>
      </w:r>
      <w:r>
        <w:t xml:space="preserve"> pages 25-52.</w:t>
      </w:r>
    </w:p>
    <w:p w:rsidR="00205B3D" w:rsidRDefault="00F5037D" w:rsidP="00C91474">
      <w:pPr>
        <w:pStyle w:val="ParaNumbering"/>
        <w:tabs>
          <w:tab w:val="clear" w:pos="720"/>
        </w:tabs>
      </w:pPr>
      <w:r>
        <w:t xml:space="preserve">The appellants </w:t>
      </w:r>
      <w:r w:rsidR="00C91474">
        <w:t xml:space="preserve">appeared </w:t>
      </w:r>
      <w:r w:rsidR="00F12BF9">
        <w:t xml:space="preserve">at the hearing </w:t>
      </w:r>
      <w:r w:rsidR="00C91474">
        <w:t>without legal representation</w:t>
      </w:r>
      <w:r w:rsidR="00F12BF9">
        <w:t xml:space="preserve">.  </w:t>
      </w:r>
      <w:r w:rsidR="00C91474">
        <w:t xml:space="preserve">Mr </w:t>
      </w:r>
      <w:proofErr w:type="spellStart"/>
      <w:r w:rsidR="00C91474">
        <w:t>Charan</w:t>
      </w:r>
      <w:proofErr w:type="spellEnd"/>
      <w:r w:rsidR="00C91474">
        <w:t xml:space="preserve"> was given </w:t>
      </w:r>
      <w:r w:rsidR="00F12BF9">
        <w:t xml:space="preserve">leave to rely on a document </w:t>
      </w:r>
      <w:r w:rsidR="00E91446">
        <w:t xml:space="preserve">titled </w:t>
      </w:r>
      <w:r w:rsidR="00F12BF9">
        <w:t>“Appellants</w:t>
      </w:r>
      <w:r w:rsidR="00E91446">
        <w:t>’</w:t>
      </w:r>
      <w:r w:rsidR="00D70616">
        <w:t xml:space="preserve"> </w:t>
      </w:r>
      <w:r w:rsidR="00E91446">
        <w:t>f</w:t>
      </w:r>
      <w:r w:rsidR="00D70616">
        <w:t xml:space="preserve">inal </w:t>
      </w:r>
      <w:r w:rsidR="00E91446">
        <w:t>o</w:t>
      </w:r>
      <w:r w:rsidR="00D70616">
        <w:t xml:space="preserve">ral </w:t>
      </w:r>
      <w:r w:rsidR="00E91446">
        <w:t>s</w:t>
      </w:r>
      <w:r w:rsidR="00D70616">
        <w:t>ubmissions</w:t>
      </w:r>
      <w:r w:rsidR="00E91446">
        <w:t xml:space="preserve"> on appeal</w:t>
      </w:r>
      <w:r w:rsidR="00F12BF9">
        <w:t>” which he tende</w:t>
      </w:r>
      <w:r w:rsidR="008069C6">
        <w:t>re</w:t>
      </w:r>
      <w:r w:rsidR="00F12BF9">
        <w:t xml:space="preserve">d at the hearing, on the basis that he did not intend to make oral submissions.  Nonetheless, Mr </w:t>
      </w:r>
      <w:proofErr w:type="spellStart"/>
      <w:r w:rsidR="00F12BF9">
        <w:t>Charan</w:t>
      </w:r>
      <w:proofErr w:type="spellEnd"/>
      <w:r w:rsidR="00F12BF9">
        <w:t xml:space="preserve"> did make some oral </w:t>
      </w:r>
      <w:r w:rsidR="00F12BF9" w:rsidRPr="008300EA">
        <w:t>submissions</w:t>
      </w:r>
      <w:r w:rsidR="00F9709C">
        <w:t>,</w:t>
      </w:r>
      <w:r w:rsidR="007C00FF" w:rsidRPr="008300EA">
        <w:t xml:space="preserve"> which we also took into account</w:t>
      </w:r>
      <w:r w:rsidR="00006EEA" w:rsidRPr="008300EA">
        <w:t>.</w:t>
      </w:r>
    </w:p>
    <w:p w:rsidR="0086399F" w:rsidRDefault="00930F1E" w:rsidP="0086399F">
      <w:pPr>
        <w:pStyle w:val="Heading1"/>
      </w:pPr>
      <w:r>
        <w:t xml:space="preserve">Appellants’ </w:t>
      </w:r>
      <w:r w:rsidR="003325E6">
        <w:t>Submissions</w:t>
      </w:r>
    </w:p>
    <w:p w:rsidR="00170EBD" w:rsidRDefault="008D3E3F" w:rsidP="006F3FA3">
      <w:pPr>
        <w:pStyle w:val="ParaNumbering"/>
      </w:pPr>
      <w:r>
        <w:t>The appellants</w:t>
      </w:r>
      <w:r w:rsidR="00BD4736">
        <w:t>’ submissions are</w:t>
      </w:r>
      <w:r w:rsidR="00F9709C">
        <w:t xml:space="preserve"> </w:t>
      </w:r>
      <w:r w:rsidR="00BD4736">
        <w:t>somewhat prolix and</w:t>
      </w:r>
      <w:r w:rsidR="00E9368C">
        <w:t xml:space="preserve"> repetitive</w:t>
      </w:r>
      <w:r w:rsidR="00BD4736">
        <w:t xml:space="preserve">.  </w:t>
      </w:r>
      <w:r w:rsidR="00F9709C">
        <w:t xml:space="preserve">In substance, they argue that, as they </w:t>
      </w:r>
      <w:r w:rsidR="00F4058F">
        <w:t xml:space="preserve">have each reached the </w:t>
      </w:r>
      <w:r w:rsidR="007F5C68">
        <w:t xml:space="preserve">“pensionable </w:t>
      </w:r>
      <w:r w:rsidR="00F4058F">
        <w:t>age</w:t>
      </w:r>
      <w:r w:rsidR="007F5C68">
        <w:t>”</w:t>
      </w:r>
      <w:r w:rsidR="00F4058F">
        <w:t xml:space="preserve"> of 65, they are entitled to claim an age pension under article 12(5).  </w:t>
      </w:r>
      <w:r w:rsidR="003325E6">
        <w:t xml:space="preserve">They say it is “outside </w:t>
      </w:r>
      <w:r w:rsidR="00D70616">
        <w:t>working age limitation</w:t>
      </w:r>
      <w:r w:rsidR="003325E6">
        <w:t>”</w:t>
      </w:r>
      <w:r w:rsidR="00BE41C1">
        <w:t>, and that</w:t>
      </w:r>
      <w:r w:rsidR="003325E6">
        <w:t xml:space="preserve"> </w:t>
      </w:r>
      <w:r>
        <w:t>is logical</w:t>
      </w:r>
      <w:r w:rsidR="00F9709C">
        <w:t>;</w:t>
      </w:r>
      <w:r w:rsidR="007F5C68">
        <w:t xml:space="preserve"> </w:t>
      </w:r>
      <w:r w:rsidR="00F9709C">
        <w:t xml:space="preserve">people </w:t>
      </w:r>
      <w:r>
        <w:t xml:space="preserve">between ages 20 and 64 should not be able to claim an age </w:t>
      </w:r>
      <w:proofErr w:type="gramStart"/>
      <w:r>
        <w:t>pension</w:t>
      </w:r>
      <w:r w:rsidR="00BE41C1">
        <w:t>,</w:t>
      </w:r>
      <w:proofErr w:type="gramEnd"/>
      <w:r w:rsidR="00875BD6">
        <w:t xml:space="preserve"> they should be working and earning a wage</w:t>
      </w:r>
      <w:r w:rsidR="00E9368C">
        <w:t xml:space="preserve">. </w:t>
      </w:r>
      <w:r>
        <w:t xml:space="preserve"> </w:t>
      </w:r>
      <w:r w:rsidR="00170EBD">
        <w:t>The</w:t>
      </w:r>
      <w:r w:rsidR="00F9709C">
        <w:t>y claim that the</w:t>
      </w:r>
      <w:r w:rsidR="00170EBD">
        <w:t xml:space="preserve"> definition of “working age residence” in article 5(5) does not affect pensionable age because of the express terms of article 12(5)</w:t>
      </w:r>
      <w:r w:rsidR="00F9709C">
        <w:t xml:space="preserve"> which</w:t>
      </w:r>
      <w:r w:rsidR="006F3FA3">
        <w:t>,</w:t>
      </w:r>
      <w:r w:rsidR="00F9709C">
        <w:t xml:space="preserve"> they contend</w:t>
      </w:r>
      <w:r w:rsidR="006F3FA3">
        <w:t>,</w:t>
      </w:r>
      <w:r w:rsidR="00BA5890">
        <w:t xml:space="preserve"> imposes no restriction on the period of residence after the </w:t>
      </w:r>
      <w:r w:rsidR="00BA5890">
        <w:lastRenderedPageBreak/>
        <w:t>entitlement to</w:t>
      </w:r>
      <w:r w:rsidR="004A29F3">
        <w:t xml:space="preserve"> make the</w:t>
      </w:r>
      <w:r w:rsidR="00BA5890">
        <w:t xml:space="preserve"> claim has been established by reaching the age of</w:t>
      </w:r>
      <w:r w:rsidR="00DC3728">
        <w:t xml:space="preserve"> </w:t>
      </w:r>
      <w:r w:rsidR="00BA5890">
        <w:t xml:space="preserve">65.  </w:t>
      </w:r>
      <w:r w:rsidR="00E9368C">
        <w:t xml:space="preserve">They say that another reason why no period of working age residence is required is because </w:t>
      </w:r>
      <w:r w:rsidR="00694A05">
        <w:t xml:space="preserve">it would make no sense in light </w:t>
      </w:r>
      <w:r w:rsidR="00E9368C">
        <w:t>of article 12(3</w:t>
      </w:r>
      <w:proofErr w:type="gramStart"/>
      <w:r w:rsidR="00E9368C">
        <w:t>)(</w:t>
      </w:r>
      <w:proofErr w:type="gramEnd"/>
      <w:r w:rsidR="00E9368C">
        <w:t>b).</w:t>
      </w:r>
      <w:r w:rsidR="00BA5890">
        <w:t xml:space="preserve"> </w:t>
      </w:r>
    </w:p>
    <w:p w:rsidR="00FF2BD0" w:rsidRDefault="00F9709C" w:rsidP="006F3FA3">
      <w:pPr>
        <w:pStyle w:val="ParaNumbering"/>
      </w:pPr>
      <w:r>
        <w:t xml:space="preserve">The appellants </w:t>
      </w:r>
      <w:r w:rsidR="00FF2BD0">
        <w:t xml:space="preserve">rely on the highlighted parts of </w:t>
      </w:r>
      <w:proofErr w:type="spellStart"/>
      <w:r w:rsidR="00FF2BD0">
        <w:rPr>
          <w:i/>
        </w:rPr>
        <w:t>Mahrous</w:t>
      </w:r>
      <w:proofErr w:type="spellEnd"/>
      <w:r w:rsidR="00FF2BD0">
        <w:rPr>
          <w:i/>
        </w:rPr>
        <w:t xml:space="preserve"> </w:t>
      </w:r>
      <w:r w:rsidR="00FF2BD0">
        <w:t>(FC) at [48]</w:t>
      </w:r>
      <w:r w:rsidR="003325E6">
        <w:t xml:space="preserve"> and [51]</w:t>
      </w:r>
      <w:r w:rsidR="008E1649">
        <w:t xml:space="preserve"> (appellants’ emphasis):</w:t>
      </w:r>
      <w:r w:rsidR="00FF2BD0">
        <w:t xml:space="preserve"> </w:t>
      </w:r>
    </w:p>
    <w:p w:rsidR="00FF2BD0" w:rsidRDefault="00D941C1" w:rsidP="0050748D">
      <w:pPr>
        <w:pStyle w:val="Quote1"/>
        <w:ind w:left="1440" w:hanging="703"/>
      </w:pPr>
      <w:r w:rsidRPr="00D941C1">
        <w:t>48</w:t>
      </w:r>
      <w:r w:rsidRPr="00D941C1">
        <w:tab/>
      </w:r>
      <w:r w:rsidR="00FF2BD0" w:rsidRPr="0050748D">
        <w:rPr>
          <w:b/>
        </w:rPr>
        <w:t xml:space="preserve">We are fortified in this conclusion by two further matters. First, like Art 12(4), </w:t>
      </w:r>
      <w:r w:rsidR="00FF2BD0" w:rsidRPr="0050748D">
        <w:rPr>
          <w:b/>
          <w:u w:val="single"/>
        </w:rPr>
        <w:t>Art 12(5) is similarly directed to one class of benefit (the age pension).</w:t>
      </w:r>
      <w:r w:rsidR="00FF2BD0" w:rsidRPr="0050748D">
        <w:rPr>
          <w:b/>
        </w:rPr>
        <w:t xml:space="preserve"> Secondly, by virtue of Art 5(5), the working age residence provisions of Art</w:t>
      </w:r>
      <w:r w:rsidR="004211BB" w:rsidRPr="0050748D">
        <w:rPr>
          <w:b/>
        </w:rPr>
        <w:t>s</w:t>
      </w:r>
      <w:r w:rsidR="00FF2BD0" w:rsidRPr="0050748D">
        <w:rPr>
          <w:b/>
        </w:rPr>
        <w:t xml:space="preserve"> 12(1)</w:t>
      </w:r>
      <w:r w:rsidR="004211BB" w:rsidRPr="0050748D">
        <w:rPr>
          <w:b/>
        </w:rPr>
        <w:t xml:space="preserve"> to </w:t>
      </w:r>
      <w:r w:rsidR="00FF2BD0" w:rsidRPr="0050748D">
        <w:rPr>
          <w:b/>
        </w:rPr>
        <w:t>(3) do not in terms apply to a person under 20 years of age.</w:t>
      </w:r>
      <w:r w:rsidR="00FF2BD0" w:rsidRPr="00FF2BD0">
        <w:t xml:space="preserve"> Under the social security law of Australia, a person need only be 16 to qualify for a disability support pension: see </w:t>
      </w:r>
      <w:r w:rsidR="00FF2BD0" w:rsidRPr="007C00FF">
        <w:rPr>
          <w:i/>
        </w:rPr>
        <w:t>Social Security Act</w:t>
      </w:r>
      <w:r w:rsidR="00FF2BD0" w:rsidRPr="00FF2BD0">
        <w:t>, s 94(1</w:t>
      </w:r>
      <w:proofErr w:type="gramStart"/>
      <w:r w:rsidR="00FF2BD0" w:rsidRPr="00FF2BD0">
        <w:t>)(</w:t>
      </w:r>
      <w:proofErr w:type="gramEnd"/>
      <w:r w:rsidR="00FF2BD0" w:rsidRPr="00FF2BD0">
        <w:t>d). Article 12(1)</w:t>
      </w:r>
      <w:r w:rsidR="004211BB">
        <w:t xml:space="preserve"> to </w:t>
      </w:r>
      <w:r w:rsidR="00FF2BD0" w:rsidRPr="00FF2BD0">
        <w:t>(3) would not therefore apply to benefit any claimant for a disability support pension aged 16 and less than 20. There is nothing in the Agreement that would justify an inference that persons in this younger class were intended to be disadvantaged, as the Secretary’s argument would have it. Such an outcome is also inconsistent with the preamble to the Agreement stating that the State parties made the Agreement to “enhance the equitable access by people covered by this agreement to specified social security benefits provided for under the laws of both countries”. A disability support pension is a specified social security benefit: see Art 2(1</w:t>
      </w:r>
      <w:proofErr w:type="gramStart"/>
      <w:r w:rsidR="00FF2BD0" w:rsidRPr="00FF2BD0">
        <w:t>)(</w:t>
      </w:r>
      <w:proofErr w:type="gramEnd"/>
      <w:r w:rsidR="00FF2BD0" w:rsidRPr="00FF2BD0">
        <w:t>a)(ii).</w:t>
      </w:r>
    </w:p>
    <w:p w:rsidR="0050748D" w:rsidRDefault="0050748D" w:rsidP="0050748D">
      <w:pPr>
        <w:pStyle w:val="Quote2"/>
      </w:pPr>
      <w:r>
        <w:t>…</w:t>
      </w:r>
    </w:p>
    <w:p w:rsidR="003325E6" w:rsidRDefault="004E7AE6" w:rsidP="00682F10">
      <w:pPr>
        <w:pStyle w:val="Quote1"/>
        <w:ind w:left="1440" w:hanging="703"/>
      </w:pPr>
      <w:r>
        <w:t>51</w:t>
      </w:r>
      <w:r>
        <w:tab/>
      </w:r>
      <w:r w:rsidR="003325E6" w:rsidRPr="003325E6">
        <w:t xml:space="preserve">For the following reasons, we consider that, as </w:t>
      </w:r>
      <w:r w:rsidR="00A86692">
        <w:t>S</w:t>
      </w:r>
      <w:r w:rsidR="003325E6" w:rsidRPr="003325E6">
        <w:t xml:space="preserve">enior </w:t>
      </w:r>
      <w:r w:rsidR="00A86692">
        <w:t>C</w:t>
      </w:r>
      <w:r w:rsidR="003325E6" w:rsidRPr="003325E6">
        <w:t xml:space="preserve">ounsel for the respondent argued, Art 12(4) of the Agreement </w:t>
      </w:r>
      <w:r w:rsidR="003325E6" w:rsidRPr="007C00FF">
        <w:rPr>
          <w:i/>
        </w:rPr>
        <w:t>both describes</w:t>
      </w:r>
      <w:r w:rsidR="003325E6" w:rsidRPr="003325E6">
        <w:t xml:space="preserve"> the category of persons who are “entitled to claim a disability support pension” </w:t>
      </w:r>
      <w:r w:rsidR="003325E6" w:rsidRPr="007C00FF">
        <w:rPr>
          <w:i/>
        </w:rPr>
        <w:t>and identifies</w:t>
      </w:r>
      <w:r w:rsidR="003325E6" w:rsidRPr="003325E6">
        <w:t xml:space="preserve"> those who would satisfy the residence qualification for such a benefit once a claim can be made. </w:t>
      </w:r>
      <w:r w:rsidR="003325E6" w:rsidRPr="003325E6">
        <w:rPr>
          <w:b/>
        </w:rPr>
        <w:t xml:space="preserve">Put another way, we would construe Art 12(4) to provide that, if a person “has accumulated an aggregate of more than 10 years of residence in Australia and/or New Zealand”, </w:t>
      </w:r>
      <w:r w:rsidR="003325E6" w:rsidRPr="003325E6">
        <w:rPr>
          <w:b/>
          <w:u w:val="single"/>
        </w:rPr>
        <w:t>then that person can not only claim a disability support pension</w:t>
      </w:r>
      <w:r w:rsidR="003325E6" w:rsidRPr="003325E6">
        <w:rPr>
          <w:b/>
        </w:rPr>
        <w:t xml:space="preserve"> but has also satisfied the residence criterion for that pension.</w:t>
      </w:r>
      <w:r w:rsidR="003325E6" w:rsidRPr="003325E6">
        <w:t xml:space="preserve"> This interpretation is also, we note, further consistent with the language and assumptions in other parts of the Agreement. Article 11, for example, expressly contemplates that a person could </w:t>
      </w:r>
      <w:r w:rsidR="003325E6" w:rsidRPr="007C00FF">
        <w:rPr>
          <w:i/>
        </w:rPr>
        <w:t>qualify</w:t>
      </w:r>
      <w:r w:rsidR="003325E6" w:rsidRPr="003325E6">
        <w:t xml:space="preserve"> for a benefit under the social security law </w:t>
      </w:r>
      <w:r w:rsidR="003325E6" w:rsidRPr="007C00FF">
        <w:rPr>
          <w:i/>
        </w:rPr>
        <w:t>or</w:t>
      </w:r>
      <w:r w:rsidR="003325E6" w:rsidRPr="003325E6">
        <w:t xml:space="preserve"> the Agreement. </w:t>
      </w:r>
      <w:r w:rsidR="003325E6" w:rsidRPr="003325E6">
        <w:rPr>
          <w:b/>
        </w:rPr>
        <w:t xml:space="preserve">The result is that, by virtue of s 6 of the International Agreements Act, Art 12(4), read with certain other </w:t>
      </w:r>
      <w:r w:rsidR="00A86692">
        <w:rPr>
          <w:b/>
        </w:rPr>
        <w:t>A</w:t>
      </w:r>
      <w:r w:rsidR="003325E6" w:rsidRPr="003325E6">
        <w:rPr>
          <w:b/>
        </w:rPr>
        <w:t xml:space="preserve">rticles (see [57]–[64] below), overrides </w:t>
      </w:r>
      <w:r w:rsidR="003325E6" w:rsidRPr="00B44DAE">
        <w:rPr>
          <w:u w:val="single"/>
        </w:rPr>
        <w:t xml:space="preserve">s 94(1)(e)(ii) of the </w:t>
      </w:r>
      <w:r w:rsidR="003325E6" w:rsidRPr="007C00FF">
        <w:rPr>
          <w:i/>
          <w:u w:val="single"/>
        </w:rPr>
        <w:t>Social Security Act</w:t>
      </w:r>
      <w:r w:rsidR="003325E6" w:rsidRPr="00B44DAE">
        <w:rPr>
          <w:u w:val="single"/>
        </w:rPr>
        <w:t>. As noted already, ss 11 and 29 of the Administration Act are, in consequence, also affected by Art 12(4) of the Agreement</w:t>
      </w:r>
      <w:r w:rsidR="003325E6" w:rsidRPr="00B44DAE">
        <w:t>.</w:t>
      </w:r>
    </w:p>
    <w:p w:rsidR="00F9709C" w:rsidRDefault="00F9709C" w:rsidP="0026054E">
      <w:pPr>
        <w:pStyle w:val="Quote1"/>
        <w:spacing w:after="0"/>
        <w:ind w:left="2160" w:hanging="720"/>
      </w:pPr>
    </w:p>
    <w:p w:rsidR="000202A2" w:rsidRDefault="003325E6" w:rsidP="0026054E">
      <w:pPr>
        <w:pStyle w:val="ParaNumbering"/>
      </w:pPr>
      <w:r>
        <w:t xml:space="preserve">They also rely on the highlighted parts of </w:t>
      </w:r>
      <w:r w:rsidR="0017300E">
        <w:t xml:space="preserve">Secretary, </w:t>
      </w:r>
      <w:r w:rsidR="0017300E" w:rsidRPr="0026054E">
        <w:rPr>
          <w:i/>
        </w:rPr>
        <w:t xml:space="preserve">Department of Families, Housing, Community Services and Indigenous Affairs v </w:t>
      </w:r>
      <w:proofErr w:type="spellStart"/>
      <w:r w:rsidR="0017300E" w:rsidRPr="0026054E">
        <w:rPr>
          <w:i/>
        </w:rPr>
        <w:t>Mahrous</w:t>
      </w:r>
      <w:proofErr w:type="spellEnd"/>
      <w:r w:rsidR="0017300E" w:rsidRPr="0026054E">
        <w:rPr>
          <w:i/>
        </w:rPr>
        <w:t xml:space="preserve"> (No 2)</w:t>
      </w:r>
      <w:r w:rsidR="0017300E">
        <w:t xml:space="preserve"> (2012) 131 ALR 450; [2012] FCA 1275</w:t>
      </w:r>
      <w:r w:rsidR="00FF2BD0">
        <w:t xml:space="preserve"> (</w:t>
      </w:r>
      <w:proofErr w:type="spellStart"/>
      <w:r w:rsidR="00FF2BD0" w:rsidRPr="00C47A9C">
        <w:rPr>
          <w:b/>
        </w:rPr>
        <w:t>Mahrous</w:t>
      </w:r>
      <w:proofErr w:type="spellEnd"/>
      <w:r w:rsidR="00FF2BD0" w:rsidRPr="00C47A9C">
        <w:rPr>
          <w:b/>
        </w:rPr>
        <w:t xml:space="preserve"> (No</w:t>
      </w:r>
      <w:r w:rsidR="00C47A9C">
        <w:rPr>
          <w:b/>
        </w:rPr>
        <w:t xml:space="preserve"> </w:t>
      </w:r>
      <w:r w:rsidR="00FF2BD0" w:rsidRPr="00C47A9C">
        <w:rPr>
          <w:b/>
        </w:rPr>
        <w:t>2)</w:t>
      </w:r>
      <w:r w:rsidR="00FF2BD0">
        <w:t>)</w:t>
      </w:r>
      <w:r w:rsidR="00FF2BD0">
        <w:rPr>
          <w:b/>
        </w:rPr>
        <w:t xml:space="preserve"> </w:t>
      </w:r>
      <w:r w:rsidR="00FF2BD0">
        <w:t>pe</w:t>
      </w:r>
      <w:r w:rsidR="00E9368C">
        <w:t>r</w:t>
      </w:r>
      <w:r w:rsidR="00FF2BD0">
        <w:t xml:space="preserve"> Logan J at </w:t>
      </w:r>
      <w:r w:rsidR="007F5C68">
        <w:t xml:space="preserve">[24] and </w:t>
      </w:r>
      <w:r w:rsidR="00FF2BD0">
        <w:t>[35</w:t>
      </w:r>
      <w:r w:rsidR="00BE41C1">
        <w:t>]-</w:t>
      </w:r>
      <w:r>
        <w:t>[37]</w:t>
      </w:r>
      <w:r w:rsidR="00FF2BD0">
        <w:t>:</w:t>
      </w:r>
    </w:p>
    <w:p w:rsidR="007F5C68" w:rsidRDefault="007F5C68" w:rsidP="00682F10">
      <w:pPr>
        <w:pStyle w:val="Quote1"/>
        <w:ind w:left="1440" w:hanging="703"/>
      </w:pPr>
      <w:r>
        <w:t>24</w:t>
      </w:r>
      <w:r>
        <w:tab/>
        <w:t xml:space="preserve">Whilst I respectfully differ from the tribunal, for the reasons just given, as to the approach to be taken to construction, it does not necessarily follow from this that the tribunal’s decision, and the construction it came to adopt, is in </w:t>
      </w:r>
      <w:r>
        <w:lastRenderedPageBreak/>
        <w:t xml:space="preserve">error. The tribunal stated, </w:t>
      </w:r>
      <w:r w:rsidR="006F5FD9">
        <w:t>(at [34])</w:t>
      </w:r>
      <w:r>
        <w:t>, and by reference to a submission which the Secretary had made:</w:t>
      </w:r>
    </w:p>
    <w:p w:rsidR="007F5C68" w:rsidRDefault="007F5C68" w:rsidP="00682F10">
      <w:pPr>
        <w:pStyle w:val="Quote3"/>
      </w:pPr>
      <w:r>
        <w:t xml:space="preserve">I accept that clauses 1 to 3 of article 12 can operate as restriction in clause 4. However, to argue it is not applicable to Mr </w:t>
      </w:r>
      <w:proofErr w:type="spellStart"/>
      <w:r>
        <w:t>Mahrous</w:t>
      </w:r>
      <w:proofErr w:type="spellEnd"/>
      <w:r>
        <w:t xml:space="preserve"> because he is 16 years old seem to me to unsustainable for a number of reasons. Firstly, the heading of article 12 is “</w:t>
      </w:r>
      <w:r w:rsidRPr="007F5C68">
        <w:rPr>
          <w:b/>
        </w:rPr>
        <w:t xml:space="preserve">Totalisation in Australia”. That is the subject matter which is the purpose of article 12 (working age residence) is merely one issue which provides a specific formula for calculating working age residence if relevant. Here it is not relevant to the applicant, Mr </w:t>
      </w:r>
      <w:proofErr w:type="spellStart"/>
      <w:r w:rsidRPr="007F5C68">
        <w:rPr>
          <w:b/>
        </w:rPr>
        <w:t>Mahrous</w:t>
      </w:r>
      <w:proofErr w:type="spellEnd"/>
      <w:r w:rsidRPr="007F5C68">
        <w:rPr>
          <w:b/>
        </w:rPr>
        <w:t>. Secondly, clause 4, dealing with DSP — Disability Support Pension, and clause 5, Age Pension, are given special treatment and special restrictions also, but those restrictions do not include any reference to “working age residence”</w:t>
      </w:r>
      <w:r>
        <w:t>.</w:t>
      </w:r>
    </w:p>
    <w:p w:rsidR="00682F10" w:rsidRPr="00682F10" w:rsidRDefault="00682F10" w:rsidP="00682F10">
      <w:pPr>
        <w:pStyle w:val="Quote3"/>
      </w:pPr>
      <w:r w:rsidRPr="00682F10">
        <w:t>…</w:t>
      </w:r>
    </w:p>
    <w:p w:rsidR="00FF2BD0" w:rsidRDefault="00BE41C1" w:rsidP="00682F10">
      <w:pPr>
        <w:pStyle w:val="Quote1"/>
        <w:ind w:left="1440" w:hanging="703"/>
        <w:rPr>
          <w:u w:val="single"/>
        </w:rPr>
      </w:pPr>
      <w:r w:rsidRPr="00BE41C1">
        <w:t>35</w:t>
      </w:r>
      <w:r w:rsidR="003325E6">
        <w:tab/>
      </w:r>
      <w:r w:rsidR="00FF2BD0" w:rsidRPr="00682F10">
        <w:rPr>
          <w:b/>
        </w:rPr>
        <w:t xml:space="preserve">Recalling the recital and the “legislative scope” of the agreement is of assistance in the construction of Art 12. That is because </w:t>
      </w:r>
      <w:r w:rsidR="00FD4A74" w:rsidRPr="00682F10">
        <w:rPr>
          <w:b/>
        </w:rPr>
        <w:t>Art 12(1</w:t>
      </w:r>
      <w:proofErr w:type="gramStart"/>
      <w:r w:rsidR="00FD4A74" w:rsidRPr="00682F10">
        <w:rPr>
          <w:b/>
        </w:rPr>
        <w:t>)</w:t>
      </w:r>
      <w:r w:rsidR="00FF2BD0" w:rsidRPr="00682F10">
        <w:rPr>
          <w:b/>
        </w:rPr>
        <w:t>,</w:t>
      </w:r>
      <w:proofErr w:type="gramEnd"/>
      <w:r w:rsidR="00FF2BD0" w:rsidRPr="00682F10">
        <w:rPr>
          <w:b/>
        </w:rPr>
        <w:t xml:space="preserve"> is directed to an “Australian benefit,” </w:t>
      </w:r>
      <w:r w:rsidR="00FF2BD0" w:rsidRPr="00682F10">
        <w:rPr>
          <w:b/>
          <w:u w:val="single"/>
        </w:rPr>
        <w:t>not to one type of benefit alone</w:t>
      </w:r>
      <w:r w:rsidR="00FF2BD0" w:rsidRPr="00682F10">
        <w:rPr>
          <w:b/>
        </w:rPr>
        <w:t xml:space="preserve">. That is in contrast to </w:t>
      </w:r>
      <w:r w:rsidR="00FD4A74" w:rsidRPr="00682F10">
        <w:rPr>
          <w:b/>
        </w:rPr>
        <w:t xml:space="preserve">Art 12(4) and (5) </w:t>
      </w:r>
      <w:r w:rsidR="00FF2BD0" w:rsidRPr="00682F10">
        <w:rPr>
          <w:b/>
        </w:rPr>
        <w:t>Art 12, para 4 and para 5, which are specifically directed to Disability Support Pension and Age Pension respectively.</w:t>
      </w:r>
      <w:r w:rsidR="00FF2BD0" w:rsidRPr="00FF2BD0">
        <w:t xml:space="preserve"> Further, the language of Art 12, para 2 and para 3, is such that, either by necessary implication from the language employed (Art 12</w:t>
      </w:r>
      <w:r w:rsidR="00FD4A74">
        <w:t>(2)</w:t>
      </w:r>
      <w:r w:rsidR="00FF2BD0" w:rsidRPr="00FF2BD0">
        <w:t>) or expressly (Art 12</w:t>
      </w:r>
      <w:r w:rsidR="00FD4A74">
        <w:t>(3)</w:t>
      </w:r>
      <w:r w:rsidR="00FF2BD0" w:rsidRPr="00FF2BD0">
        <w:t>) they qualify Art 12</w:t>
      </w:r>
      <w:r w:rsidR="00FD4A74">
        <w:t>(1)</w:t>
      </w:r>
      <w:r w:rsidR="00FF2BD0" w:rsidRPr="00FF2BD0">
        <w:t>. That is not so in respect of either Art 12</w:t>
      </w:r>
      <w:r w:rsidR="00FD4A74">
        <w:t>(4)</w:t>
      </w:r>
      <w:r w:rsidR="00FF2BD0" w:rsidRPr="00FF2BD0">
        <w:t>, or Art 12</w:t>
      </w:r>
      <w:r w:rsidR="00FD4A74">
        <w:t>(5)</w:t>
      </w:r>
      <w:r w:rsidR="00FF2BD0" w:rsidRPr="00FF2BD0">
        <w:t xml:space="preserve">. Each, as I have said, </w:t>
      </w:r>
      <w:r w:rsidR="00FF2BD0" w:rsidRPr="00682F10">
        <w:rPr>
          <w:b/>
          <w:u w:val="single"/>
        </w:rPr>
        <w:t>is directed to particular types of benefit rather than just to the generic, “Australian benefit”.</w:t>
      </w:r>
    </w:p>
    <w:p w:rsidR="003325E6" w:rsidRDefault="00BE41C1" w:rsidP="00BE41C1">
      <w:pPr>
        <w:pStyle w:val="Quote1"/>
        <w:ind w:left="1440" w:hanging="703"/>
      </w:pPr>
      <w:r>
        <w:t>36</w:t>
      </w:r>
      <w:r>
        <w:tab/>
      </w:r>
      <w:r w:rsidR="003325E6">
        <w:t xml:space="preserve">Yet further and as the tribunal appreciated, </w:t>
      </w:r>
      <w:r w:rsidR="003325E6" w:rsidRPr="00BE41C1">
        <w:rPr>
          <w:b/>
        </w:rPr>
        <w:t>Art 12 is directed to the general subject of, “totalisation for Australia,” and forms part of provisions in Pt E of the international agreement expressly relating to Australian benefits</w:t>
      </w:r>
      <w:r w:rsidR="003325E6">
        <w:t xml:space="preserve">. The use of the word “totalisation” is unusual according to Australian idiom. It is not a word in general use, in my experience, but it is not one without meaning. That meaning, as found in the </w:t>
      </w:r>
      <w:r w:rsidR="003325E6" w:rsidRPr="0010062F">
        <w:rPr>
          <w:i/>
        </w:rPr>
        <w:t>Oxford Dictionary</w:t>
      </w:r>
      <w:r w:rsidR="003325E6">
        <w:t xml:space="preserve"> (online edition), is:</w:t>
      </w:r>
    </w:p>
    <w:p w:rsidR="003325E6" w:rsidRDefault="003325E6" w:rsidP="00682F10">
      <w:pPr>
        <w:pStyle w:val="Quote3"/>
      </w:pPr>
      <w:r>
        <w:t xml:space="preserve">… </w:t>
      </w:r>
      <w:proofErr w:type="gramStart"/>
      <w:r>
        <w:t>the</w:t>
      </w:r>
      <w:proofErr w:type="gramEnd"/>
      <w:r>
        <w:t xml:space="preserve"> action or process of totalising or the condition of being totalised, calculation of the total.</w:t>
      </w:r>
    </w:p>
    <w:p w:rsidR="003325E6" w:rsidRPr="00BE41C1" w:rsidRDefault="003325E6" w:rsidP="007F5C68">
      <w:pPr>
        <w:pStyle w:val="Quote2"/>
        <w:rPr>
          <w:b/>
        </w:rPr>
      </w:pPr>
      <w:r>
        <w:t xml:space="preserve">As </w:t>
      </w:r>
      <w:r w:rsidRPr="00BE41C1">
        <w:rPr>
          <w:b/>
        </w:rPr>
        <w:t>found in the Macquarie Dictionary</w:t>
      </w:r>
      <w:r w:rsidR="00FD4A74">
        <w:rPr>
          <w:b/>
        </w:rPr>
        <w:t>,</w:t>
      </w:r>
      <w:r w:rsidRPr="00BE41C1">
        <w:rPr>
          <w:b/>
        </w:rPr>
        <w:t xml:space="preserve"> </w:t>
      </w:r>
      <w:r w:rsidR="00FD4A74">
        <w:rPr>
          <w:b/>
        </w:rPr>
        <w:t xml:space="preserve">5th </w:t>
      </w:r>
      <w:proofErr w:type="gramStart"/>
      <w:r w:rsidR="00FD4A74">
        <w:rPr>
          <w:b/>
        </w:rPr>
        <w:t>ed</w:t>
      </w:r>
      <w:proofErr w:type="gramEnd"/>
      <w:r w:rsidRPr="00BE41C1">
        <w:rPr>
          <w:b/>
        </w:rPr>
        <w:t>, p 1739</w:t>
      </w:r>
      <w:r>
        <w:t xml:space="preserve">, </w:t>
      </w:r>
      <w:r w:rsidRPr="00BE41C1">
        <w:rPr>
          <w:b/>
        </w:rPr>
        <w:t>it is</w:t>
      </w:r>
      <w:r>
        <w:t xml:space="preserve"> a noun which bears a meaning </w:t>
      </w:r>
      <w:r w:rsidRPr="00BE41C1">
        <w:rPr>
          <w:b/>
        </w:rPr>
        <w:t>derived from the verb “totalise,” defined there to mean:</w:t>
      </w:r>
    </w:p>
    <w:p w:rsidR="003325E6" w:rsidRPr="00BE41C1" w:rsidRDefault="003325E6" w:rsidP="009C3AE8">
      <w:pPr>
        <w:pStyle w:val="Quote3"/>
      </w:pPr>
      <w:r w:rsidRPr="00BE41C1">
        <w:t xml:space="preserve">… </w:t>
      </w:r>
      <w:proofErr w:type="gramStart"/>
      <w:r w:rsidRPr="00BE41C1">
        <w:t>to</w:t>
      </w:r>
      <w:proofErr w:type="gramEnd"/>
      <w:r w:rsidRPr="00BE41C1">
        <w:t xml:space="preserve"> make total, combine into a total</w:t>
      </w:r>
    </w:p>
    <w:p w:rsidR="003325E6" w:rsidRDefault="003325E6" w:rsidP="0026054E">
      <w:pPr>
        <w:pStyle w:val="Quote1"/>
        <w:spacing w:after="0"/>
        <w:ind w:left="1440" w:hanging="703"/>
      </w:pPr>
      <w:r>
        <w:t>37</w:t>
      </w:r>
      <w:r w:rsidR="00BE41C1">
        <w:tab/>
      </w:r>
      <w:r w:rsidRPr="00BE41C1">
        <w:rPr>
          <w:b/>
        </w:rPr>
        <w:t>Article 12 to me therefore, when read in the context of the international agreement is an article directed to how, in respect of particular benefits, periods of Australian or New Zealand residence are to be combined “or totalised” or exceptionally, in the case of the Age Pension, how an overriding age qualification is imposed</w:t>
      </w:r>
      <w:r>
        <w:t xml:space="preserve">. In other words, when, as the International Agreements Act requires, one reads the terms of that Act, including its incorporated international agreement, with the Social Security Act where there is, in the case of, materially, a </w:t>
      </w:r>
      <w:r w:rsidR="00FD4A74">
        <w:t>d</w:t>
      </w:r>
      <w:r>
        <w:t xml:space="preserve">isability </w:t>
      </w:r>
      <w:r w:rsidR="00FD4A74">
        <w:t>s</w:t>
      </w:r>
      <w:r>
        <w:t xml:space="preserve">upport </w:t>
      </w:r>
      <w:r w:rsidR="00FD4A74">
        <w:t>p</w:t>
      </w:r>
      <w:r>
        <w:t>ension, a need to look to a period of Australian residence Art 12(4), provides an answer in respect of persons who have both Australian and New Zealand residence.</w:t>
      </w:r>
    </w:p>
    <w:p w:rsidR="00F9709C" w:rsidRDefault="00F9709C" w:rsidP="0026054E">
      <w:pPr>
        <w:pStyle w:val="Quote1"/>
        <w:spacing w:after="0"/>
        <w:ind w:left="1440" w:hanging="703"/>
      </w:pPr>
    </w:p>
    <w:p w:rsidR="00BD4736" w:rsidRDefault="000202A2" w:rsidP="0026054E">
      <w:pPr>
        <w:pStyle w:val="ParaNumbering"/>
      </w:pPr>
      <w:r>
        <w:lastRenderedPageBreak/>
        <w:t xml:space="preserve">The appellants </w:t>
      </w:r>
      <w:r w:rsidR="00F9709C">
        <w:t xml:space="preserve">also submit that </w:t>
      </w:r>
      <w:r w:rsidR="003325E6">
        <w:t xml:space="preserve">they </w:t>
      </w:r>
      <w:r>
        <w:t xml:space="preserve">satisfy </w:t>
      </w:r>
      <w:r w:rsidR="00F4058F">
        <w:t>article 12(1)</w:t>
      </w:r>
      <w:r w:rsidR="002D758D">
        <w:t>(a)</w:t>
      </w:r>
      <w:r>
        <w:t xml:space="preserve"> because of the </w:t>
      </w:r>
      <w:r w:rsidR="007F5C68">
        <w:t xml:space="preserve">definition of “Australian resident” in </w:t>
      </w:r>
      <w:r>
        <w:t>article 5(1)</w:t>
      </w:r>
      <w:r w:rsidR="00F9709C">
        <w:t xml:space="preserve"> which</w:t>
      </w:r>
      <w:r w:rsidR="0026054E">
        <w:t>,</w:t>
      </w:r>
      <w:r w:rsidR="00F9709C">
        <w:t xml:space="preserve"> they claim</w:t>
      </w:r>
      <w:r w:rsidR="0026054E">
        <w:t>,</w:t>
      </w:r>
      <w:r w:rsidR="00F9709C">
        <w:t xml:space="preserve"> is wider </w:t>
      </w:r>
      <w:r w:rsidR="007F5C68">
        <w:t xml:space="preserve">than </w:t>
      </w:r>
      <w:r w:rsidR="008069C6">
        <w:t xml:space="preserve">the definition of “Australian resident” </w:t>
      </w:r>
      <w:r w:rsidR="007F5C68">
        <w:t>in s</w:t>
      </w:r>
      <w:r w:rsidR="00BD4736">
        <w:t> </w:t>
      </w:r>
      <w:r w:rsidR="007F5C68">
        <w:t xml:space="preserve">7(2) of the </w:t>
      </w:r>
      <w:r w:rsidR="007F5C68">
        <w:rPr>
          <w:i/>
        </w:rPr>
        <w:t>Social Security Act</w:t>
      </w:r>
      <w:r w:rsidR="00F9709C">
        <w:rPr>
          <w:i/>
        </w:rPr>
        <w:t>,</w:t>
      </w:r>
      <w:r w:rsidR="00170EBD">
        <w:t xml:space="preserve"> and </w:t>
      </w:r>
      <w:r w:rsidR="003A2B63">
        <w:t xml:space="preserve">article 5(1) </w:t>
      </w:r>
      <w:r w:rsidR="00170EBD">
        <w:t xml:space="preserve">overrides </w:t>
      </w:r>
      <w:r w:rsidR="003A2B63">
        <w:t xml:space="preserve">s 7(2) </w:t>
      </w:r>
      <w:r w:rsidR="00170EBD">
        <w:t xml:space="preserve">because of s 6 of the </w:t>
      </w:r>
      <w:r w:rsidR="00170EBD" w:rsidRPr="00170EBD">
        <w:rPr>
          <w:i/>
        </w:rPr>
        <w:t>International Agreements Act</w:t>
      </w:r>
      <w:r w:rsidR="007F5C68" w:rsidRPr="007F5C68">
        <w:t>.</w:t>
      </w:r>
      <w:r w:rsidR="007F5C68">
        <w:t xml:space="preserve"> </w:t>
      </w:r>
      <w:r w:rsidR="008069C6">
        <w:t xml:space="preserve"> </w:t>
      </w:r>
      <w:r w:rsidR="007F5C68">
        <w:t>The</w:t>
      </w:r>
      <w:r w:rsidR="007F5C68" w:rsidRPr="007F5C68">
        <w:t xml:space="preserve"> </w:t>
      </w:r>
      <w:r w:rsidR="00C27E86">
        <w:t>appellants say that</w:t>
      </w:r>
      <w:r w:rsidR="0026054E">
        <w:t>,</w:t>
      </w:r>
      <w:r w:rsidR="00C27E86">
        <w:t xml:space="preserve"> because they are lawfully in Australia, they are “Australian resident</w:t>
      </w:r>
      <w:r w:rsidR="00F9709C">
        <w:t>s</w:t>
      </w:r>
      <w:r w:rsidR="00C27E86">
        <w:t xml:space="preserve">” and their period of residence in both Australia and New Zealand must be taken into account </w:t>
      </w:r>
      <w:r w:rsidR="00170EBD">
        <w:t xml:space="preserve">under “totalisation” </w:t>
      </w:r>
      <w:r w:rsidR="00C27E86">
        <w:t xml:space="preserve">as residence in Australia.  </w:t>
      </w:r>
      <w:r w:rsidR="00BA5890">
        <w:t xml:space="preserve">In their </w:t>
      </w:r>
      <w:r w:rsidR="00FD4A74">
        <w:t xml:space="preserve">written </w:t>
      </w:r>
      <w:r w:rsidR="00BA5890">
        <w:t xml:space="preserve">submissions </w:t>
      </w:r>
      <w:r w:rsidR="00FD4A74">
        <w:t xml:space="preserve">before </w:t>
      </w:r>
      <w:r w:rsidR="00BA5890">
        <w:t>Flick J at [7.5], they explained</w:t>
      </w:r>
      <w:r w:rsidR="00694A05">
        <w:t xml:space="preserve"> (as written)</w:t>
      </w:r>
      <w:r w:rsidR="00BA5890">
        <w:t>:</w:t>
      </w:r>
    </w:p>
    <w:p w:rsidR="00694A05" w:rsidRDefault="00694A05" w:rsidP="009619B7">
      <w:pPr>
        <w:pStyle w:val="Quote1"/>
      </w:pPr>
      <w:r>
        <w:t>The Applicants contend that Article 12(1</w:t>
      </w:r>
      <w:proofErr w:type="gramStart"/>
      <w:r>
        <w:t>)(</w:t>
      </w:r>
      <w:proofErr w:type="gramEnd"/>
      <w:r>
        <w:t>a) clearly requires:</w:t>
      </w:r>
    </w:p>
    <w:p w:rsidR="00BA5890" w:rsidRDefault="009619B7" w:rsidP="009619B7">
      <w:pPr>
        <w:pStyle w:val="Quote2"/>
        <w:ind w:left="2160" w:hanging="720"/>
      </w:pPr>
      <w:r>
        <w:t>(a)</w:t>
      </w:r>
      <w:r>
        <w:tab/>
      </w:r>
      <w:r w:rsidR="00BA5890">
        <w:t xml:space="preserve">Working age residence under Article 12(1)(c) of the Agreement can only be considered if the period of Australian residence </w:t>
      </w:r>
      <w:r w:rsidR="00BA5890" w:rsidRPr="00BA5890">
        <w:rPr>
          <w:u w:val="single"/>
        </w:rPr>
        <w:t>is less than period required to qualify under Article 12(1)(a)</w:t>
      </w:r>
      <w:r w:rsidR="00BA5890">
        <w:t>;</w:t>
      </w:r>
    </w:p>
    <w:p w:rsidR="00BA5890" w:rsidRDefault="009619B7" w:rsidP="009619B7">
      <w:pPr>
        <w:pStyle w:val="Quote2"/>
        <w:ind w:left="2160" w:hanging="720"/>
      </w:pPr>
      <w:r>
        <w:t>(b)</w:t>
      </w:r>
      <w:r>
        <w:tab/>
      </w:r>
      <w:r w:rsidR="00BA5890">
        <w:t>Article 12(1</w:t>
      </w:r>
      <w:proofErr w:type="gramStart"/>
      <w:r w:rsidR="00BA5890">
        <w:t>)(</w:t>
      </w:r>
      <w:proofErr w:type="gramEnd"/>
      <w:r w:rsidR="00FD4A74">
        <w:t>a</w:t>
      </w:r>
      <w:r w:rsidR="00BA5890">
        <w:t xml:space="preserve">) does not </w:t>
      </w:r>
      <w:r w:rsidR="00BA5890">
        <w:rPr>
          <w:u w:val="single"/>
        </w:rPr>
        <w:t>define or specify period of Australian residents required to qualify</w:t>
      </w:r>
      <w:r w:rsidR="00BA5890">
        <w:t>; and;</w:t>
      </w:r>
    </w:p>
    <w:p w:rsidR="00BA5890" w:rsidRDefault="009619B7" w:rsidP="009619B7">
      <w:pPr>
        <w:pStyle w:val="Quote2"/>
        <w:ind w:left="2160" w:hanging="720"/>
      </w:pPr>
      <w:r>
        <w:t>(c)</w:t>
      </w:r>
      <w:r>
        <w:tab/>
      </w:r>
      <w:r w:rsidR="00BA5890">
        <w:t xml:space="preserve">Qualification required for age pension under 12(1)(a) </w:t>
      </w:r>
      <w:r w:rsidR="00BA5890">
        <w:rPr>
          <w:u w:val="single"/>
        </w:rPr>
        <w:t>is defined under s. 7(5) of the Social Security Act 1991</w:t>
      </w:r>
      <w:r w:rsidR="00BA5890">
        <w:t xml:space="preserve"> which required 10 years of Australian residence “</w:t>
      </w:r>
      <w:r w:rsidR="00694A05" w:rsidRPr="0010062F">
        <w:rPr>
          <w:b/>
          <w:i/>
          <w:u w:val="single"/>
        </w:rPr>
        <w:t>any time</w:t>
      </w:r>
      <w:r w:rsidR="00694A05">
        <w:t>”;</w:t>
      </w:r>
    </w:p>
    <w:p w:rsidR="00694A05" w:rsidRDefault="009619B7" w:rsidP="009619B7">
      <w:pPr>
        <w:pStyle w:val="Quote2"/>
        <w:ind w:left="2160" w:hanging="720"/>
      </w:pPr>
      <w:r>
        <w:t>(d)</w:t>
      </w:r>
      <w:r>
        <w:tab/>
      </w:r>
      <w:r w:rsidR="00694A05">
        <w:t>To qualify for age pension under Article 12(1</w:t>
      </w:r>
      <w:proofErr w:type="gramStart"/>
      <w:r w:rsidR="00694A05">
        <w:t>)(</w:t>
      </w:r>
      <w:proofErr w:type="gramEnd"/>
      <w:r w:rsidR="00694A05">
        <w:t>a) s</w:t>
      </w:r>
      <w:r w:rsidR="00FD4A74">
        <w:t>.</w:t>
      </w:r>
      <w:r w:rsidR="00694A05">
        <w:t>6 of International Agreement Act override s</w:t>
      </w:r>
      <w:r w:rsidR="00FD4A74">
        <w:t>.</w:t>
      </w:r>
      <w:r w:rsidR="00694A05">
        <w:t xml:space="preserve">7(5) to include New Zealand residents as part of the law of Australia.  Working age residence can only be </w:t>
      </w:r>
      <w:r w:rsidR="00694A05" w:rsidRPr="00694A05">
        <w:rPr>
          <w:u w:val="single"/>
        </w:rPr>
        <w:t>applied if there was any discrepancy under article 12(1</w:t>
      </w:r>
      <w:proofErr w:type="gramStart"/>
      <w:r w:rsidR="00694A05" w:rsidRPr="00694A05">
        <w:rPr>
          <w:u w:val="single"/>
        </w:rPr>
        <w:t>)(</w:t>
      </w:r>
      <w:proofErr w:type="gramEnd"/>
      <w:r w:rsidR="00694A05" w:rsidRPr="00694A05">
        <w:rPr>
          <w:u w:val="single"/>
        </w:rPr>
        <w:t>a) of the Agreement</w:t>
      </w:r>
      <w:r w:rsidR="00694A05">
        <w:t>.</w:t>
      </w:r>
    </w:p>
    <w:p w:rsidR="00694A05" w:rsidRDefault="00694A05" w:rsidP="009619B7">
      <w:pPr>
        <w:pStyle w:val="Quote1"/>
      </w:pPr>
      <w:r>
        <w:t>The Applicants had met the required period to qualify.</w:t>
      </w:r>
    </w:p>
    <w:p w:rsidR="00694A05" w:rsidRDefault="00694A05" w:rsidP="009619B7">
      <w:pPr>
        <w:pStyle w:val="Quote1"/>
      </w:pPr>
      <w:r>
        <w:t>But the Tribunal had failed to consider whether anyone of those applies.</w:t>
      </w:r>
    </w:p>
    <w:p w:rsidR="00F9709C" w:rsidRDefault="00F9709C" w:rsidP="0026054E">
      <w:pPr>
        <w:pStyle w:val="Quote1"/>
        <w:spacing w:after="0"/>
        <w:ind w:left="1440"/>
      </w:pPr>
    </w:p>
    <w:p w:rsidR="009C3AE8" w:rsidRDefault="00F9709C" w:rsidP="009C3AE8">
      <w:pPr>
        <w:pStyle w:val="ParaNumbering"/>
      </w:pPr>
      <w:r>
        <w:t xml:space="preserve">For this submission they </w:t>
      </w:r>
      <w:r w:rsidR="00170EBD">
        <w:t xml:space="preserve">rely on </w:t>
      </w:r>
      <w:proofErr w:type="spellStart"/>
      <w:r w:rsidR="00C47A9C" w:rsidRPr="00C47A9C">
        <w:rPr>
          <w:i/>
        </w:rPr>
        <w:t>Mahrous</w:t>
      </w:r>
      <w:proofErr w:type="spellEnd"/>
      <w:r w:rsidR="00C47A9C" w:rsidRPr="00C47A9C">
        <w:rPr>
          <w:i/>
        </w:rPr>
        <w:t xml:space="preserve"> </w:t>
      </w:r>
      <w:r w:rsidR="00C47A9C" w:rsidRPr="003E5100">
        <w:t>(No 2)</w:t>
      </w:r>
      <w:r w:rsidR="00EE27C6">
        <w:t xml:space="preserve"> at </w:t>
      </w:r>
      <w:r w:rsidR="007F5C68">
        <w:t xml:space="preserve">[24] </w:t>
      </w:r>
      <w:r w:rsidR="00FD4A74">
        <w:t xml:space="preserve">(excerpted above) </w:t>
      </w:r>
      <w:r w:rsidR="007F5C68">
        <w:t xml:space="preserve">and the highlighted parts of </w:t>
      </w:r>
      <w:proofErr w:type="spellStart"/>
      <w:r w:rsidR="00694A05">
        <w:rPr>
          <w:i/>
        </w:rPr>
        <w:t>Mahrous</w:t>
      </w:r>
      <w:proofErr w:type="spellEnd"/>
      <w:r w:rsidR="00694A05">
        <w:rPr>
          <w:i/>
        </w:rPr>
        <w:t xml:space="preserve"> </w:t>
      </w:r>
      <w:r w:rsidR="00694A05">
        <w:t xml:space="preserve">(FC) at </w:t>
      </w:r>
      <w:r w:rsidR="00EE27C6">
        <w:t>[45(3)]</w:t>
      </w:r>
      <w:r w:rsidR="008D3E3F">
        <w:t>, [57]</w:t>
      </w:r>
      <w:r w:rsidR="005C6D6B">
        <w:t>, [59]</w:t>
      </w:r>
      <w:r w:rsidR="008D3E3F">
        <w:t xml:space="preserve"> and [63]</w:t>
      </w:r>
      <w:r w:rsidR="00EE27C6">
        <w:t>:</w:t>
      </w:r>
    </w:p>
    <w:p w:rsidR="00EE27C6" w:rsidRDefault="009C3AE8" w:rsidP="009C3AE8">
      <w:pPr>
        <w:pStyle w:val="Quote1"/>
        <w:ind w:left="1440" w:hanging="703"/>
        <w:rPr>
          <w:b/>
        </w:rPr>
      </w:pPr>
      <w:r>
        <w:t>45(3)</w:t>
      </w:r>
      <w:r>
        <w:tab/>
      </w:r>
      <w:proofErr w:type="gramStart"/>
      <w:r w:rsidR="00EE27C6" w:rsidRPr="00EE27C6">
        <w:t>Other</w:t>
      </w:r>
      <w:proofErr w:type="gramEnd"/>
      <w:r w:rsidR="00EE27C6" w:rsidRPr="00EE27C6">
        <w:t xml:space="preserve"> provisions of the Agreement expressly identify the circumstances in which a period of residence in one State party may be included in the calculation of residence in another State party, or specifically vary the requirements for the acquisition of resident status. For example, Art 12(1)</w:t>
      </w:r>
      <w:r w:rsidR="00FD4A74">
        <w:t xml:space="preserve"> to </w:t>
      </w:r>
      <w:r w:rsidR="00EE27C6" w:rsidRPr="00EE27C6">
        <w:t xml:space="preserve">(3) specifically provide for circumstances in which a “period of working age residence in New Zealand shall be deemed to be a period in which that person was an Australian resident … for the purposes of meeting any minimum qualifying periods for [a] benefit set out in the social security law of Australia”. </w:t>
      </w:r>
      <w:r w:rsidR="00EE27C6" w:rsidRPr="00EE27C6">
        <w:rPr>
          <w:b/>
        </w:rPr>
        <w:t xml:space="preserve">Another example is Art 5(1), which provides for an extended meaning of “Australian resident” beyond that in s 7(2) of the </w:t>
      </w:r>
      <w:r w:rsidR="00EE27C6" w:rsidRPr="0010062F">
        <w:rPr>
          <w:b/>
          <w:i/>
        </w:rPr>
        <w:t>Social Security Act</w:t>
      </w:r>
      <w:r w:rsidR="00EE27C6" w:rsidRPr="00EE27C6">
        <w:rPr>
          <w:b/>
        </w:rPr>
        <w:t>, with the effect that the expression not only has the meaning given by the social security law of Australia “but for the purposes of the Agreement also includes a New Zealand citizen who is not the holder of an Australian permanent visa but is lawfully residing in Australia”, having regard to six enumerated factors. That is, for the purposes of the Agreement, there is no need to fall within s 7(2</w:t>
      </w:r>
      <w:proofErr w:type="gramStart"/>
      <w:r w:rsidR="00EE27C6" w:rsidRPr="00EE27C6">
        <w:rPr>
          <w:b/>
        </w:rPr>
        <w:t>)(</w:t>
      </w:r>
      <w:proofErr w:type="gramEnd"/>
      <w:r w:rsidR="00EE27C6" w:rsidRPr="00EE27C6">
        <w:rPr>
          <w:b/>
        </w:rPr>
        <w:t xml:space="preserve">b) of the </w:t>
      </w:r>
      <w:r w:rsidR="00EE27C6" w:rsidRPr="00EE27C6">
        <w:rPr>
          <w:b/>
        </w:rPr>
        <w:lastRenderedPageBreak/>
        <w:t>Social Security Act.</w:t>
      </w:r>
    </w:p>
    <w:p w:rsidR="008D3E3F" w:rsidRPr="0010062F" w:rsidRDefault="00FD4A74" w:rsidP="009C3AE8">
      <w:pPr>
        <w:pStyle w:val="Quote2"/>
      </w:pPr>
      <w:r w:rsidRPr="0010062F">
        <w:t>…</w:t>
      </w:r>
    </w:p>
    <w:p w:rsidR="008D3E3F" w:rsidRDefault="008D3E3F" w:rsidP="009C3AE8">
      <w:pPr>
        <w:pStyle w:val="Quote1"/>
        <w:ind w:left="1440" w:hanging="703"/>
        <w:rPr>
          <w:b/>
        </w:rPr>
      </w:pPr>
      <w:r>
        <w:t>57</w:t>
      </w:r>
      <w:r>
        <w:tab/>
      </w:r>
      <w:r w:rsidRPr="008D3E3F">
        <w:t xml:space="preserve">We turn first to the text of Art 12(4) and to related articles. Article 12(4) provides “[n]o person shall be entitled to claim a disability support pension under this Agreement unless” he or she satisfies the residence criterion stipulated in it. Accordingly, if he or she satisfies that criterion because he or she has “accumulated an aggregate of more than 10 years of residence in Australia and/or New Zealand”, then he or she is, by virtue of Art 12(4), “entitled to claim a disability support pension under this Agreement”. </w:t>
      </w:r>
      <w:r w:rsidRPr="008D3E3F">
        <w:rPr>
          <w:b/>
        </w:rPr>
        <w:t xml:space="preserve">This residence criterion refers to a person who has accumulated a period of 10 years residence in either Australia or in New Zealand or an aggregate of more than 10 years derived from a combination of residence in Australia and residence in New Zealand. This is signified by the word “aggregate” and the words “and/or”. </w:t>
      </w:r>
      <w:r w:rsidRPr="00BE41C1">
        <w:rPr>
          <w:b/>
          <w:u w:val="single"/>
        </w:rPr>
        <w:t xml:space="preserve">Our preferred construction also permits the provision to fall comfortably within the description “Totalisation for Australia”, which </w:t>
      </w:r>
      <w:proofErr w:type="gramStart"/>
      <w:r w:rsidRPr="00BE41C1">
        <w:rPr>
          <w:b/>
          <w:u w:val="single"/>
        </w:rPr>
        <w:t>is the heading</w:t>
      </w:r>
      <w:proofErr w:type="gramEnd"/>
      <w:r w:rsidRPr="00BE41C1">
        <w:rPr>
          <w:b/>
          <w:u w:val="single"/>
        </w:rPr>
        <w:t xml:space="preserve"> borne by the whole of Art 12.</w:t>
      </w:r>
    </w:p>
    <w:p w:rsidR="008D3E3F" w:rsidRPr="008D3E3F" w:rsidRDefault="008D3E3F" w:rsidP="009C3AE8">
      <w:pPr>
        <w:pStyle w:val="Quote2"/>
      </w:pPr>
      <w:r w:rsidRPr="008D3E3F">
        <w:t>…</w:t>
      </w:r>
    </w:p>
    <w:p w:rsidR="005C6D6B" w:rsidRDefault="005C6D6B" w:rsidP="009C3AE8">
      <w:pPr>
        <w:pStyle w:val="Quote1"/>
        <w:ind w:left="1440" w:hanging="703"/>
      </w:pPr>
      <w:r w:rsidRPr="005C6D6B">
        <w:t>59</w:t>
      </w:r>
      <w:r>
        <w:tab/>
      </w:r>
      <w:r w:rsidRPr="005C6D6B">
        <w:t>Whil</w:t>
      </w:r>
      <w:r w:rsidR="004E7AE6">
        <w:t>st</w:t>
      </w:r>
      <w:r w:rsidRPr="005C6D6B">
        <w:t xml:space="preserve"> the use of the word “unless” would in some other contexts indicate a limitation, in the case of Art 12(4), we consider that it does no more than set out the boundaries of, or limit, the extent to which s</w:t>
      </w:r>
      <w:r w:rsidR="004E7AE6">
        <w:t> </w:t>
      </w:r>
      <w:r w:rsidRPr="005C6D6B">
        <w:t xml:space="preserve">94(1)(e)(ii) is “overridden”. </w:t>
      </w:r>
      <w:r w:rsidRPr="0010062F">
        <w:rPr>
          <w:b/>
        </w:rPr>
        <w:t xml:space="preserve">The effect of Art 12(4) is that, where a person has “accumulated an aggregate of more than 10 years residence in Australia and/or New Zealand” in the sense discussed above, he or she is “entitled to claim a disability support pension”. To say a person is entitled to claim a benefit would ordinarily and naturally mean that that person has acquired some entitlement to the benefit, as opposed to having acquired merely a right to claim, in the sense of “request”, the benefit. Indeed, reference to the </w:t>
      </w:r>
      <w:r w:rsidRPr="0010062F">
        <w:rPr>
          <w:b/>
          <w:i/>
        </w:rPr>
        <w:t>Macquarie Dictionary</w:t>
      </w:r>
      <w:r w:rsidRPr="0010062F">
        <w:rPr>
          <w:b/>
        </w:rPr>
        <w:t xml:space="preserve"> on-line and in print (Macquarie, 2008</w:t>
      </w:r>
      <w:r w:rsidR="00FD4A74" w:rsidRPr="0010062F">
        <w:rPr>
          <w:b/>
        </w:rPr>
        <w:t>)</w:t>
      </w:r>
      <w:r w:rsidRPr="0010062F">
        <w:rPr>
          <w:b/>
        </w:rPr>
        <w:t xml:space="preserve"> p 317 indicates that this is in fact the ordinary and natural meaning of the expression “entitled to claim”. Thus, this Dictionary gives the verb “to claim” the primarily meaning of “to demand by or as by virtue of a right; </w:t>
      </w:r>
      <w:r w:rsidRPr="0010062F">
        <w:rPr>
          <w:b/>
          <w:i/>
        </w:rPr>
        <w:t>demand as a right or as due</w:t>
      </w:r>
      <w:r w:rsidRPr="0010062F">
        <w:rPr>
          <w:b/>
        </w:rPr>
        <w:t>” (emphasis added).</w:t>
      </w:r>
      <w:r>
        <w:t xml:space="preserve"> [Emphasis in judgment]</w:t>
      </w:r>
    </w:p>
    <w:p w:rsidR="005C6D6B" w:rsidRDefault="005C6D6B" w:rsidP="009C3AE8">
      <w:pPr>
        <w:pStyle w:val="Quote2"/>
      </w:pPr>
      <w:r>
        <w:t>…</w:t>
      </w:r>
    </w:p>
    <w:p w:rsidR="008D3E3F" w:rsidRDefault="008D3E3F" w:rsidP="009C3AE8">
      <w:pPr>
        <w:pStyle w:val="Quote1"/>
        <w:ind w:left="1440" w:hanging="703"/>
      </w:pPr>
      <w:r>
        <w:t>63</w:t>
      </w:r>
      <w:r>
        <w:tab/>
      </w:r>
      <w:r w:rsidRPr="008D3E3F">
        <w:t xml:space="preserve">In conformity with Art 31 of the Vienna Convention, Art 12(4) should be construed so far as appropriate (having regard to the text and other contextual factors) in conformity with the preamble, “to enhance the equitable access by people” covered by the Agreement to disability support pensions. We have already referred to other provisions that are clearly designed to enhance this “equitable access”. Thus, for example, </w:t>
      </w:r>
      <w:r w:rsidRPr="008D3E3F">
        <w:rPr>
          <w:b/>
        </w:rPr>
        <w:t>Art 5(1) broadens the definition of “Australian resident” for the purposes of the Agreement. Other provisions enable periods of residence in both countries to be combined, with the effect that the total period of residence is deemed to be residence in the country in which the benefit is sought</w:t>
      </w:r>
      <w:r w:rsidRPr="008D3E3F">
        <w:t xml:space="preserve">: see Art 12(1)–(3). If Art 12(4) is construed in the manner we have indicated (see [51] above), then Art 12(4) will enhance the equitable access to disability support pensions, as the preamble contemplates, because Art 12(4) will ensure that, providing Art 2(2)(c) is satisfied, </w:t>
      </w:r>
      <w:r w:rsidRPr="008D3E3F">
        <w:rPr>
          <w:b/>
        </w:rPr>
        <w:t xml:space="preserve">whether a person’s residence was in Australia or in New Zealand is immaterial: all that will matter is that </w:t>
      </w:r>
      <w:r w:rsidRPr="008D3E3F">
        <w:rPr>
          <w:b/>
        </w:rPr>
        <w:lastRenderedPageBreak/>
        <w:t>that person has accumulated an aggregate of more than 10 years residence, whether in Australia, in New Zealand or in both countries</w:t>
      </w:r>
      <w:r>
        <w:t>.</w:t>
      </w:r>
    </w:p>
    <w:p w:rsidR="007F5C68" w:rsidRDefault="00930F1E" w:rsidP="0026054E">
      <w:pPr>
        <w:pStyle w:val="ParaNumbering"/>
      </w:pPr>
      <w:r>
        <w:t xml:space="preserve">The appellants </w:t>
      </w:r>
      <w:r w:rsidR="00F9709C">
        <w:t xml:space="preserve">contend </w:t>
      </w:r>
      <w:r>
        <w:t>that</w:t>
      </w:r>
      <w:r w:rsidR="0026054E">
        <w:t>,</w:t>
      </w:r>
      <w:r>
        <w:t xml:space="preserve"> </w:t>
      </w:r>
      <w:r w:rsidR="00F9709C">
        <w:t xml:space="preserve">by concluding that the appellants could not satisfy s 43 of the </w:t>
      </w:r>
      <w:r w:rsidR="00F9709C" w:rsidRPr="004E7AE6">
        <w:rPr>
          <w:i/>
        </w:rPr>
        <w:t>Social Security</w:t>
      </w:r>
      <w:r w:rsidR="00F9709C">
        <w:t xml:space="preserve"> </w:t>
      </w:r>
      <w:r w:rsidR="00F9709C">
        <w:rPr>
          <w:i/>
        </w:rPr>
        <w:t>Act</w:t>
      </w:r>
      <w:r w:rsidR="00BD4736">
        <w:t>, Flick J failed to consider that the</w:t>
      </w:r>
      <w:r w:rsidR="00F9709C">
        <w:t>ir</w:t>
      </w:r>
      <w:r w:rsidR="00BD4736">
        <w:t xml:space="preserve"> claim</w:t>
      </w:r>
      <w:r w:rsidR="00F9709C">
        <w:t>s</w:t>
      </w:r>
      <w:r w:rsidR="00BD4736">
        <w:t xml:space="preserve"> arose under the </w:t>
      </w:r>
      <w:r w:rsidR="00BD4736">
        <w:rPr>
          <w:i/>
        </w:rPr>
        <w:t xml:space="preserve">International Agreements </w:t>
      </w:r>
      <w:r w:rsidR="00BD4736" w:rsidRPr="0010062F">
        <w:rPr>
          <w:i/>
        </w:rPr>
        <w:t>Act</w:t>
      </w:r>
      <w:r w:rsidR="00BD4736">
        <w:t xml:space="preserve">.  </w:t>
      </w:r>
      <w:r>
        <w:t xml:space="preserve">They </w:t>
      </w:r>
      <w:r w:rsidR="00F9709C">
        <w:t xml:space="preserve">also complain that </w:t>
      </w:r>
      <w:r w:rsidR="007F5C68">
        <w:t xml:space="preserve">Flick </w:t>
      </w:r>
      <w:r>
        <w:t xml:space="preserve">J </w:t>
      </w:r>
      <w:r w:rsidR="007F5C68">
        <w:t xml:space="preserve">did </w:t>
      </w:r>
      <w:r w:rsidR="00E9368C">
        <w:t xml:space="preserve">not afford them a fair hearing because he did not permit Mr </w:t>
      </w:r>
      <w:proofErr w:type="spellStart"/>
      <w:r w:rsidR="00E9368C">
        <w:t>Charan</w:t>
      </w:r>
      <w:proofErr w:type="spellEnd"/>
      <w:r w:rsidR="00E9368C">
        <w:t xml:space="preserve"> to continue with his oral submissions and he did </w:t>
      </w:r>
      <w:r w:rsidR="007F5C68">
        <w:t xml:space="preserve">not consider their written submissions </w:t>
      </w:r>
      <w:r w:rsidR="003A2B63">
        <w:t xml:space="preserve">dated </w:t>
      </w:r>
      <w:r w:rsidR="003E264D">
        <w:t>22</w:t>
      </w:r>
      <w:r w:rsidR="003A2B63">
        <w:t xml:space="preserve"> March 2016 </w:t>
      </w:r>
      <w:r w:rsidR="007F5C68">
        <w:t xml:space="preserve">because he did not consider </w:t>
      </w:r>
      <w:r w:rsidR="00F9709C">
        <w:t>Mr </w:t>
      </w:r>
      <w:proofErr w:type="spellStart"/>
      <w:r w:rsidR="00F9709C">
        <w:t>Ma</w:t>
      </w:r>
      <w:r w:rsidR="0026054E">
        <w:t>h</w:t>
      </w:r>
      <w:r w:rsidR="00F9709C">
        <w:t>rous’s</w:t>
      </w:r>
      <w:proofErr w:type="spellEnd"/>
      <w:r w:rsidR="00F9709C">
        <w:t xml:space="preserve"> position </w:t>
      </w:r>
      <w:r w:rsidR="007F5C68">
        <w:t xml:space="preserve">in </w:t>
      </w:r>
      <w:proofErr w:type="spellStart"/>
      <w:r w:rsidR="007F5C68" w:rsidRPr="00170EBD">
        <w:rPr>
          <w:i/>
        </w:rPr>
        <w:t>Mahrous</w:t>
      </w:r>
      <w:proofErr w:type="spellEnd"/>
      <w:r w:rsidR="007F5C68" w:rsidRPr="00170EBD">
        <w:rPr>
          <w:i/>
        </w:rPr>
        <w:t xml:space="preserve"> </w:t>
      </w:r>
      <w:r w:rsidR="00361266">
        <w:t xml:space="preserve">(FC). </w:t>
      </w:r>
    </w:p>
    <w:p w:rsidR="005C6D6B" w:rsidRDefault="005C6D6B" w:rsidP="005C6D6B">
      <w:pPr>
        <w:pStyle w:val="Heading1"/>
      </w:pPr>
      <w:r>
        <w:t>Consideration</w:t>
      </w:r>
    </w:p>
    <w:p w:rsidR="00E9368C" w:rsidRDefault="00F9709C" w:rsidP="00E9368C">
      <w:pPr>
        <w:pStyle w:val="ParaNumbering"/>
      </w:pPr>
      <w:r>
        <w:t>The following matters are uncontentious.</w:t>
      </w:r>
    </w:p>
    <w:p w:rsidR="004A6B50" w:rsidRDefault="00E9368C" w:rsidP="0026054E">
      <w:pPr>
        <w:pStyle w:val="ParaNumbering"/>
      </w:pPr>
      <w:r>
        <w:t xml:space="preserve">Neither of the appellants is eligible to apply for an age pension </w:t>
      </w:r>
      <w:r w:rsidR="003A2B63">
        <w:t xml:space="preserve">“directly” </w:t>
      </w:r>
      <w:r w:rsidR="004E0398">
        <w:t xml:space="preserve">under Australian domestic law because they fail to meet the qualification criteria in s 43(1)(a) or (b) of the </w:t>
      </w:r>
      <w:r w:rsidR="004E0398" w:rsidRPr="00F9709C">
        <w:rPr>
          <w:i/>
        </w:rPr>
        <w:t>Social Security Act</w:t>
      </w:r>
      <w:r w:rsidR="004E0398">
        <w:t xml:space="preserve"> </w:t>
      </w:r>
      <w:r w:rsidR="003E264D">
        <w:t xml:space="preserve">as they do not have </w:t>
      </w:r>
      <w:r w:rsidR="004E0398">
        <w:t>“10 years qualifying Australian residence” or “a qualifying residence exemption for an age pension”</w:t>
      </w:r>
      <w:r>
        <w:t>.  This is because</w:t>
      </w:r>
      <w:r w:rsidR="004A6B50">
        <w:t xml:space="preserve">, although they </w:t>
      </w:r>
      <w:r w:rsidR="00C9067C">
        <w:t xml:space="preserve">have </w:t>
      </w:r>
      <w:r w:rsidR="004A6B50">
        <w:t>reside</w:t>
      </w:r>
      <w:r w:rsidR="00FD4A74">
        <w:t>d</w:t>
      </w:r>
      <w:r w:rsidR="004A6B50">
        <w:t xml:space="preserve"> in Australia</w:t>
      </w:r>
      <w:r w:rsidR="004E0398">
        <w:t xml:space="preserve"> lawfully </w:t>
      </w:r>
      <w:r w:rsidR="00C9067C">
        <w:t xml:space="preserve">since 2014 </w:t>
      </w:r>
      <w:r w:rsidR="004E0398">
        <w:t>and have reached pensionable age</w:t>
      </w:r>
      <w:r w:rsidR="004A6B50">
        <w:t>,</w:t>
      </w:r>
      <w:r>
        <w:t xml:space="preserve"> they are not Australian citizens, permanent visa holders or protected SCV holders, so they do not meet the definition of “</w:t>
      </w:r>
      <w:r w:rsidRPr="00F9709C">
        <w:rPr>
          <w:i/>
        </w:rPr>
        <w:t>Australian resident</w:t>
      </w:r>
      <w:r>
        <w:t>” in s 7(2</w:t>
      </w:r>
      <w:proofErr w:type="gramStart"/>
      <w:r>
        <w:t>)</w:t>
      </w:r>
      <w:r w:rsidR="004A6B50">
        <w:t>(</w:t>
      </w:r>
      <w:proofErr w:type="gramEnd"/>
      <w:r w:rsidR="004A6B50">
        <w:t>b)</w:t>
      </w:r>
      <w:r>
        <w:t xml:space="preserve"> of the </w:t>
      </w:r>
      <w:r w:rsidRPr="00F9709C">
        <w:rPr>
          <w:i/>
        </w:rPr>
        <w:t>Social Security Act</w:t>
      </w:r>
      <w:r w:rsidR="003A2B63">
        <w:t xml:space="preserve"> and therefore fail to meet the </w:t>
      </w:r>
      <w:r w:rsidR="004E7AE6">
        <w:t xml:space="preserve">definition of </w:t>
      </w:r>
      <w:r w:rsidR="004A6B50">
        <w:t xml:space="preserve">10 years of </w:t>
      </w:r>
      <w:r w:rsidR="004E7AE6">
        <w:t>“</w:t>
      </w:r>
      <w:r w:rsidR="004E7AE6" w:rsidRPr="00F9709C">
        <w:rPr>
          <w:i/>
        </w:rPr>
        <w:t xml:space="preserve">qualifying </w:t>
      </w:r>
      <w:r w:rsidR="004A6B50" w:rsidRPr="00F9709C">
        <w:rPr>
          <w:i/>
        </w:rPr>
        <w:t xml:space="preserve">Australian </w:t>
      </w:r>
      <w:r w:rsidR="004E7AE6" w:rsidRPr="00F9709C">
        <w:rPr>
          <w:i/>
        </w:rPr>
        <w:t>residence</w:t>
      </w:r>
      <w:r w:rsidR="004A6B50">
        <w:t>” in s 7(5)</w:t>
      </w:r>
      <w:r w:rsidR="004A6B50" w:rsidRPr="00F9709C">
        <w:rPr>
          <w:i/>
        </w:rPr>
        <w:t xml:space="preserve">.  </w:t>
      </w:r>
      <w:r w:rsidR="00E70C4C">
        <w:t>Neither is</w:t>
      </w:r>
      <w:r w:rsidR="004A6B50">
        <w:t xml:space="preserve"> a refugee or a former refugee, </w:t>
      </w:r>
      <w:r w:rsidR="00E70C4C">
        <w:t xml:space="preserve">so </w:t>
      </w:r>
      <w:r w:rsidR="004A6B50">
        <w:t>as to meet the definition of “</w:t>
      </w:r>
      <w:r w:rsidR="004A6B50" w:rsidRPr="00F9709C">
        <w:rPr>
          <w:i/>
        </w:rPr>
        <w:t>qualifying residence exemption</w:t>
      </w:r>
      <w:r w:rsidR="004A6B50">
        <w:t xml:space="preserve">” in </w:t>
      </w:r>
      <w:r w:rsidR="004E0398">
        <w:t>s</w:t>
      </w:r>
      <w:r w:rsidR="00FA0396">
        <w:t xml:space="preserve"> 7(6). </w:t>
      </w:r>
    </w:p>
    <w:p w:rsidR="00E9368C" w:rsidRDefault="00E9368C" w:rsidP="0026054E">
      <w:pPr>
        <w:pStyle w:val="ParaNumbering"/>
      </w:pPr>
      <w:r>
        <w:t xml:space="preserve">The appellants’ eligibility to apply for an age pension is to be determined having regard to the s 6 of the </w:t>
      </w:r>
      <w:r w:rsidRPr="00185EAD">
        <w:rPr>
          <w:i/>
        </w:rPr>
        <w:t>International Agreements Act</w:t>
      </w:r>
      <w:r>
        <w:t xml:space="preserve"> and the </w:t>
      </w:r>
      <w:r w:rsidRPr="00185EAD">
        <w:rPr>
          <w:i/>
        </w:rPr>
        <w:t>Agreement</w:t>
      </w:r>
      <w:r>
        <w:t>.</w:t>
      </w:r>
    </w:p>
    <w:p w:rsidR="00E9368C" w:rsidRDefault="00E9368C" w:rsidP="0026054E">
      <w:pPr>
        <w:pStyle w:val="ParaNumbering"/>
      </w:pPr>
      <w:r>
        <w:t xml:space="preserve">The </w:t>
      </w:r>
      <w:r>
        <w:rPr>
          <w:i/>
        </w:rPr>
        <w:t>Agreement</w:t>
      </w:r>
      <w:r>
        <w:t xml:space="preserve"> has effect pursuant to s 6(1) of the </w:t>
      </w:r>
      <w:r>
        <w:rPr>
          <w:i/>
        </w:rPr>
        <w:t>International Agreements Act</w:t>
      </w:r>
      <w:r>
        <w:t xml:space="preserve"> as discussed in </w:t>
      </w:r>
      <w:proofErr w:type="spellStart"/>
      <w:r>
        <w:rPr>
          <w:i/>
        </w:rPr>
        <w:t>Mahrous</w:t>
      </w:r>
      <w:proofErr w:type="spellEnd"/>
      <w:r>
        <w:t xml:space="preserve"> (FC) at [39]:</w:t>
      </w:r>
    </w:p>
    <w:p w:rsidR="00E9368C" w:rsidRDefault="00E9368C" w:rsidP="009C3AE8">
      <w:pPr>
        <w:pStyle w:val="Quote1"/>
        <w:rPr>
          <w:lang w:val="en"/>
        </w:rPr>
      </w:pPr>
      <w:r>
        <w:rPr>
          <w:lang w:val="en"/>
        </w:rPr>
        <w:t xml:space="preserve">Section 6 of the International Agreements Act provides that the provisions of scheduled agreements, such as the Agreement with which this appeal is concerned, “have effect despite anything in the social security law”, although “only in so far as the provision is in force and affects the operation of the social security law”. As already noted, the term “social security law” includes the </w:t>
      </w:r>
      <w:r w:rsidRPr="0010062F">
        <w:rPr>
          <w:i/>
          <w:lang w:val="en"/>
        </w:rPr>
        <w:t>Social Security Act</w:t>
      </w:r>
      <w:r>
        <w:rPr>
          <w:lang w:val="en"/>
        </w:rPr>
        <w:t xml:space="preserve"> and the Administration Act. Hence, by virtue of s 6 of the International Agreements Act, where the provisions of the agreement are in force and affect the provisions of the </w:t>
      </w:r>
      <w:r w:rsidRPr="0010062F">
        <w:rPr>
          <w:i/>
          <w:lang w:val="en"/>
        </w:rPr>
        <w:t>Social Security Act</w:t>
      </w:r>
      <w:r>
        <w:rPr>
          <w:lang w:val="en"/>
        </w:rPr>
        <w:t xml:space="preserve"> or the Administration Act (or, indeed, any other part of the social security law), the provisions of the agreement override the provisions of those enactments. The effect of s 6 of the International Agreements Act is, in this way, to enact the overriding provisions of the Agreement as part of the law of Australia.</w:t>
      </w:r>
    </w:p>
    <w:p w:rsidR="00E85B9F" w:rsidRDefault="00E70C4C" w:rsidP="0026054E">
      <w:pPr>
        <w:pStyle w:val="ParaNumbering"/>
      </w:pPr>
      <w:r>
        <w:lastRenderedPageBreak/>
        <w:t xml:space="preserve">Relevantly the </w:t>
      </w:r>
      <w:r w:rsidR="00E85B9F">
        <w:t xml:space="preserve">purpose of the </w:t>
      </w:r>
      <w:r w:rsidR="00E85B9F">
        <w:rPr>
          <w:i/>
        </w:rPr>
        <w:t>Agreement</w:t>
      </w:r>
      <w:r w:rsidR="00E85B9F">
        <w:t xml:space="preserve"> is set out in Part A</w:t>
      </w:r>
      <w:r w:rsidR="000F377E">
        <w:t xml:space="preserve"> </w:t>
      </w:r>
      <w:r w:rsidR="00FD4A74">
        <w:t>of</w:t>
      </w:r>
      <w:r w:rsidR="00E85B9F">
        <w:t xml:space="preserve"> the </w:t>
      </w:r>
      <w:r w:rsidR="00E85B9F">
        <w:rPr>
          <w:i/>
        </w:rPr>
        <w:t>Agreement</w:t>
      </w:r>
      <w:r w:rsidR="00E85B9F">
        <w:t>:</w:t>
      </w:r>
    </w:p>
    <w:p w:rsidR="00E85B9F" w:rsidRDefault="00E85B9F" w:rsidP="009C3AE8">
      <w:pPr>
        <w:pStyle w:val="Quote1"/>
      </w:pPr>
      <w:r>
        <w:t>WISHING to strengthen the existing friendly relations between the two countries; and</w:t>
      </w:r>
    </w:p>
    <w:p w:rsidR="00E85B9F" w:rsidRDefault="00E85B9F" w:rsidP="009C3AE8">
      <w:pPr>
        <w:pStyle w:val="Quote1"/>
      </w:pPr>
      <w:r>
        <w:t xml:space="preserve">DESIRING to coordinate the operation of their respective social security systems and to enhance the equitable access by people covered by this Agreement to specified social security benefits provided for under the laws of both </w:t>
      </w:r>
      <w:proofErr w:type="gramStart"/>
      <w:r>
        <w:t>countries,</w:t>
      </w:r>
      <w:r w:rsidR="00FD4A74">
        <w:t xml:space="preserve"> </w:t>
      </w:r>
      <w:r w:rsidR="00E70C4C">
        <w:t>…</w:t>
      </w:r>
      <w:proofErr w:type="gramEnd"/>
    </w:p>
    <w:p w:rsidR="004E0398" w:rsidRDefault="004E0398" w:rsidP="0026054E">
      <w:pPr>
        <w:pStyle w:val="ParaNumbering"/>
      </w:pPr>
      <w:r>
        <w:t xml:space="preserve">The </w:t>
      </w:r>
      <w:r w:rsidR="00694A05">
        <w:rPr>
          <w:i/>
        </w:rPr>
        <w:t xml:space="preserve">Agreement </w:t>
      </w:r>
      <w:r w:rsidR="00694A05">
        <w:t>is</w:t>
      </w:r>
      <w:r>
        <w:t xml:space="preserve"> to be interpreted in accordance with the principles which guide the interpretation of international agreements as set </w:t>
      </w:r>
      <w:r w:rsidR="00D21A27">
        <w:t xml:space="preserve">out </w:t>
      </w:r>
      <w:r>
        <w:t xml:space="preserve">in </w:t>
      </w:r>
      <w:proofErr w:type="spellStart"/>
      <w:r>
        <w:rPr>
          <w:i/>
        </w:rPr>
        <w:t>Marous</w:t>
      </w:r>
      <w:proofErr w:type="spellEnd"/>
      <w:r>
        <w:rPr>
          <w:i/>
        </w:rPr>
        <w:t xml:space="preserve"> </w:t>
      </w:r>
      <w:r w:rsidR="00C9067C">
        <w:t>(FC).</w:t>
      </w:r>
    </w:p>
    <w:p w:rsidR="005C526A" w:rsidRDefault="00F7725D" w:rsidP="002C0541">
      <w:pPr>
        <w:pStyle w:val="ParaNumbering"/>
      </w:pPr>
      <w:r>
        <w:t xml:space="preserve">However, the appellants’ </w:t>
      </w:r>
      <w:r w:rsidR="0041398A">
        <w:t xml:space="preserve">argument as to the </w:t>
      </w:r>
      <w:r w:rsidR="00E70C4C">
        <w:t xml:space="preserve">relevance </w:t>
      </w:r>
      <w:r w:rsidR="0041398A">
        <w:t xml:space="preserve">of </w:t>
      </w:r>
      <w:proofErr w:type="spellStart"/>
      <w:r w:rsidRPr="003E3D86">
        <w:rPr>
          <w:i/>
        </w:rPr>
        <w:t>Mahrous</w:t>
      </w:r>
      <w:proofErr w:type="spellEnd"/>
      <w:r w:rsidR="0041398A">
        <w:rPr>
          <w:i/>
        </w:rPr>
        <w:t xml:space="preserve"> </w:t>
      </w:r>
      <w:r w:rsidR="00FD4A74">
        <w:t xml:space="preserve">(FC) and </w:t>
      </w:r>
      <w:proofErr w:type="spellStart"/>
      <w:r w:rsidR="00FD4A74">
        <w:rPr>
          <w:i/>
        </w:rPr>
        <w:t>Mahrous</w:t>
      </w:r>
      <w:proofErr w:type="spellEnd"/>
      <w:r w:rsidR="00FD4A74">
        <w:rPr>
          <w:i/>
        </w:rPr>
        <w:t xml:space="preserve"> </w:t>
      </w:r>
      <w:r w:rsidR="00FD4A74" w:rsidRPr="003E5100">
        <w:t>(No 2)</w:t>
      </w:r>
      <w:r w:rsidRPr="00FA0396">
        <w:t xml:space="preserve"> </w:t>
      </w:r>
      <w:r w:rsidR="00E70C4C">
        <w:t xml:space="preserve">to, </w:t>
      </w:r>
      <w:r>
        <w:t xml:space="preserve">and the impact of the </w:t>
      </w:r>
      <w:r w:rsidRPr="003E3D86">
        <w:rPr>
          <w:i/>
        </w:rPr>
        <w:t>Agreement</w:t>
      </w:r>
      <w:r>
        <w:t xml:space="preserve"> </w:t>
      </w:r>
      <w:r w:rsidR="009769A5">
        <w:t>on</w:t>
      </w:r>
      <w:r w:rsidR="00E70C4C">
        <w:t>,</w:t>
      </w:r>
      <w:r w:rsidR="009769A5">
        <w:t xml:space="preserve"> </w:t>
      </w:r>
      <w:r>
        <w:t xml:space="preserve">their eligibility </w:t>
      </w:r>
      <w:r w:rsidR="00E70C4C">
        <w:t xml:space="preserve">for </w:t>
      </w:r>
      <w:r w:rsidR="00D21A27">
        <w:t xml:space="preserve">the </w:t>
      </w:r>
      <w:r>
        <w:t>age pension in Australia cannot be accepted.</w:t>
      </w:r>
      <w:r w:rsidR="003E3D86">
        <w:t xml:space="preserve">  </w:t>
      </w:r>
      <w:r w:rsidR="00CB7E55">
        <w:t>I</w:t>
      </w:r>
      <w:r w:rsidR="00D65AC5">
        <w:t xml:space="preserve">n seeking to draw propositions of general application from the decisions </w:t>
      </w:r>
      <w:r w:rsidR="006516A6">
        <w:t xml:space="preserve">in </w:t>
      </w:r>
      <w:r w:rsidR="00E70C4C">
        <w:t>the two judgments,</w:t>
      </w:r>
      <w:r w:rsidR="00D65AC5">
        <w:t xml:space="preserve"> </w:t>
      </w:r>
      <w:r w:rsidR="00D65AC5" w:rsidRPr="003E264D">
        <w:t xml:space="preserve">the appellants have </w:t>
      </w:r>
      <w:r w:rsidR="0041398A" w:rsidRPr="003E264D">
        <w:t xml:space="preserve">ignored the context of Mr </w:t>
      </w:r>
      <w:proofErr w:type="spellStart"/>
      <w:r w:rsidR="0041398A" w:rsidRPr="003E264D">
        <w:t>Mahrous</w:t>
      </w:r>
      <w:proofErr w:type="spellEnd"/>
      <w:r w:rsidR="0041398A" w:rsidRPr="003E264D">
        <w:t xml:space="preserve">’ claims and </w:t>
      </w:r>
      <w:r w:rsidR="00D65AC5" w:rsidRPr="003E264D">
        <w:t>cherry</w:t>
      </w:r>
      <w:r w:rsidR="00E70C4C">
        <w:t>-</w:t>
      </w:r>
      <w:r w:rsidR="00D65AC5" w:rsidRPr="003E264D">
        <w:t>picked language</w:t>
      </w:r>
      <w:r w:rsidR="005C526A" w:rsidRPr="003E264D">
        <w:t xml:space="preserve"> </w:t>
      </w:r>
      <w:r w:rsidR="0041398A" w:rsidRPr="003E264D">
        <w:t>to support their claims</w:t>
      </w:r>
      <w:r w:rsidR="00D65AC5">
        <w:t xml:space="preserve">.  So much can be seen </w:t>
      </w:r>
      <w:r w:rsidR="002B5550">
        <w:t>fr</w:t>
      </w:r>
      <w:r w:rsidR="00026882">
        <w:t>o</w:t>
      </w:r>
      <w:r w:rsidR="002B5550">
        <w:t>m</w:t>
      </w:r>
      <w:r w:rsidR="00D65AC5">
        <w:t xml:space="preserve"> the full text of the paragraphs of the judgments</w:t>
      </w:r>
      <w:r w:rsidR="002B5550">
        <w:t xml:space="preserve"> set out above</w:t>
      </w:r>
      <w:r w:rsidR="00D65AC5">
        <w:t xml:space="preserve">, rather than </w:t>
      </w:r>
      <w:r w:rsidR="006516A6">
        <w:t xml:space="preserve">just </w:t>
      </w:r>
      <w:r w:rsidR="00D65AC5">
        <w:t xml:space="preserve">the highlighted material on which the appellants relied.  </w:t>
      </w:r>
    </w:p>
    <w:p w:rsidR="006A3A35" w:rsidRDefault="004E0398" w:rsidP="005737B3">
      <w:pPr>
        <w:pStyle w:val="ParaNumbering"/>
      </w:pPr>
      <w:r>
        <w:t xml:space="preserve">The issue in </w:t>
      </w:r>
      <w:r w:rsidR="00E70C4C">
        <w:t xml:space="preserve">both </w:t>
      </w:r>
      <w:proofErr w:type="spellStart"/>
      <w:r w:rsidRPr="006A3A35">
        <w:rPr>
          <w:i/>
        </w:rPr>
        <w:t>Mahrous</w:t>
      </w:r>
      <w:proofErr w:type="spellEnd"/>
      <w:r>
        <w:t xml:space="preserve"> </w:t>
      </w:r>
      <w:r w:rsidR="00E70C4C">
        <w:t xml:space="preserve">cases </w:t>
      </w:r>
      <w:r>
        <w:t xml:space="preserve">was whether a </w:t>
      </w:r>
      <w:r w:rsidR="00E70C4C">
        <w:t xml:space="preserve">severely disabled </w:t>
      </w:r>
      <w:r w:rsidR="00694A05">
        <w:t xml:space="preserve">New Zealand citizen lawfully resident in Australia </w:t>
      </w:r>
      <w:r w:rsidR="000921FF">
        <w:t>would</w:t>
      </w:r>
      <w:r w:rsidR="00E70C4C">
        <w:t xml:space="preserve"> </w:t>
      </w:r>
      <w:r w:rsidR="000921FF">
        <w:t>be entitled to a disability pension</w:t>
      </w:r>
      <w:r w:rsidR="00E70C4C">
        <w:t xml:space="preserve"> when he turned 16</w:t>
      </w:r>
      <w:r w:rsidR="000921FF">
        <w:t xml:space="preserve">.  </w:t>
      </w:r>
      <w:r w:rsidR="001600FA">
        <w:t>Mr</w:t>
      </w:r>
      <w:r w:rsidR="00E70C4C">
        <w:t> </w:t>
      </w:r>
      <w:proofErr w:type="spellStart"/>
      <w:r w:rsidR="001600FA">
        <w:t>Mahrous</w:t>
      </w:r>
      <w:proofErr w:type="spellEnd"/>
      <w:r w:rsidR="001600FA">
        <w:t xml:space="preserve"> </w:t>
      </w:r>
      <w:r w:rsidR="00BB2D57">
        <w:t xml:space="preserve">was born in Egypt.  He </w:t>
      </w:r>
      <w:r w:rsidR="000921FF">
        <w:t xml:space="preserve">had lived in </w:t>
      </w:r>
      <w:r w:rsidR="001600FA">
        <w:t xml:space="preserve">New </w:t>
      </w:r>
      <w:r w:rsidR="000921FF">
        <w:t xml:space="preserve">Zealand </w:t>
      </w:r>
      <w:r w:rsidR="001600FA">
        <w:t xml:space="preserve">(from age 3) and in Australia (from age </w:t>
      </w:r>
      <w:r w:rsidR="00874413">
        <w:t>8</w:t>
      </w:r>
      <w:r w:rsidR="001600FA">
        <w:t xml:space="preserve">) </w:t>
      </w:r>
      <w:r w:rsidR="000921FF">
        <w:t xml:space="preserve">for an aggregate period of more than 10 years when he made the claim, but he </w:t>
      </w:r>
      <w:r>
        <w:t xml:space="preserve">had no “working age </w:t>
      </w:r>
      <w:r w:rsidR="000921FF">
        <w:t>residence” in New Zealand</w:t>
      </w:r>
      <w:r w:rsidR="00930F1E">
        <w:t>.  He</w:t>
      </w:r>
      <w:r w:rsidR="000921FF">
        <w:t xml:space="preserve"> could not</w:t>
      </w:r>
      <w:r w:rsidR="00930F1E">
        <w:t xml:space="preserve"> have “working age </w:t>
      </w:r>
      <w:r w:rsidR="00094A9D">
        <w:t>residence</w:t>
      </w:r>
      <w:r w:rsidR="00930F1E">
        <w:t>”</w:t>
      </w:r>
      <w:r w:rsidR="000921FF">
        <w:t xml:space="preserve"> because he was less than 20</w:t>
      </w:r>
      <w:r w:rsidR="00874413">
        <w:t xml:space="preserve"> years old</w:t>
      </w:r>
      <w:r w:rsidR="000921FF">
        <w:t>.  The AAT had concluded that he did meet the residence requirement in s 94(1</w:t>
      </w:r>
      <w:proofErr w:type="gramStart"/>
      <w:r w:rsidR="000921FF">
        <w:t>)(</w:t>
      </w:r>
      <w:proofErr w:type="gramEnd"/>
      <w:r w:rsidR="000921FF">
        <w:t xml:space="preserve">e)(ii) of the </w:t>
      </w:r>
      <w:r w:rsidR="000921FF" w:rsidRPr="006A3A35">
        <w:rPr>
          <w:i/>
        </w:rPr>
        <w:t>Social Security Act</w:t>
      </w:r>
      <w:r w:rsidR="006A3A35">
        <w:t xml:space="preserve"> (</w:t>
      </w:r>
      <w:r w:rsidR="00DA28CD">
        <w:t xml:space="preserve">which is </w:t>
      </w:r>
      <w:r w:rsidR="006A3A35">
        <w:t>to the same effect as s 43(1)(a) and (b)</w:t>
      </w:r>
      <w:r w:rsidR="004720C0">
        <w:t xml:space="preserve">) because article 12(4) of the </w:t>
      </w:r>
      <w:r w:rsidR="004720C0">
        <w:rPr>
          <w:i/>
        </w:rPr>
        <w:t>Agreement</w:t>
      </w:r>
      <w:r w:rsidR="004720C0">
        <w:t xml:space="preserve"> modified the definition of “Australian resident” in s 7(2) of the </w:t>
      </w:r>
      <w:r w:rsidR="004720C0">
        <w:rPr>
          <w:i/>
        </w:rPr>
        <w:t xml:space="preserve">Social Security Act </w:t>
      </w:r>
      <w:r w:rsidR="004720C0">
        <w:t xml:space="preserve">by operation of s 6 of the </w:t>
      </w:r>
      <w:r w:rsidR="004720C0" w:rsidRPr="004720C0">
        <w:rPr>
          <w:i/>
        </w:rPr>
        <w:t>International Agreements Act</w:t>
      </w:r>
      <w:r w:rsidR="00930F1E">
        <w:t xml:space="preserve"> in relation to a claim for a disability support pension</w:t>
      </w:r>
      <w:r w:rsidR="006A3A35">
        <w:t xml:space="preserve">.  The issue on appeal was whether Mr </w:t>
      </w:r>
      <w:proofErr w:type="spellStart"/>
      <w:r w:rsidR="006A3A35">
        <w:t>Mahrous</w:t>
      </w:r>
      <w:proofErr w:type="spellEnd"/>
      <w:r w:rsidR="006A3A35">
        <w:t xml:space="preserve"> satisfied the residence requirement </w:t>
      </w:r>
      <w:r>
        <w:t xml:space="preserve">by virtue of </w:t>
      </w:r>
      <w:r w:rsidR="006A3A35">
        <w:t xml:space="preserve">article 12(4) or whether, as contended by the Secretary, article 12(4) was a provision of limitation and Mr </w:t>
      </w:r>
      <w:proofErr w:type="spellStart"/>
      <w:r w:rsidR="006A3A35">
        <w:t>Mahrous</w:t>
      </w:r>
      <w:proofErr w:type="spellEnd"/>
      <w:r w:rsidR="006A3A35">
        <w:t xml:space="preserve"> had to satisfy article</w:t>
      </w:r>
      <w:r w:rsidR="00874413">
        <w:t>s</w:t>
      </w:r>
      <w:r w:rsidR="006A3A35">
        <w:t xml:space="preserve"> 12(1</w:t>
      </w:r>
      <w:r w:rsidR="00260140">
        <w:t>)–(</w:t>
      </w:r>
      <w:r w:rsidR="006A3A35">
        <w:t xml:space="preserve">3).  </w:t>
      </w:r>
    </w:p>
    <w:p w:rsidR="00C17215" w:rsidRDefault="006A3A35" w:rsidP="005737B3">
      <w:pPr>
        <w:pStyle w:val="ParaNumbering"/>
      </w:pPr>
      <w:r>
        <w:t xml:space="preserve">The </w:t>
      </w:r>
      <w:r w:rsidR="00CB7E55">
        <w:t xml:space="preserve">Full </w:t>
      </w:r>
      <w:r>
        <w:t>Court (Kenny, Flick and Kerr JJ)</w:t>
      </w:r>
      <w:r w:rsidR="00CB7E55">
        <w:t xml:space="preserve"> </w:t>
      </w:r>
      <w:r>
        <w:t>found that</w:t>
      </w:r>
      <w:r w:rsidR="00BB2D57">
        <w:t xml:space="preserve"> by virtue of</w:t>
      </w:r>
      <w:r>
        <w:t xml:space="preserve"> </w:t>
      </w:r>
      <w:r w:rsidR="004E0398">
        <w:t xml:space="preserve">s 6 of the </w:t>
      </w:r>
      <w:r w:rsidR="004E0398" w:rsidRPr="006A3A35">
        <w:rPr>
          <w:i/>
        </w:rPr>
        <w:t>International Agreements Act</w:t>
      </w:r>
      <w:r w:rsidR="008A1747">
        <w:t>, article 12(4)</w:t>
      </w:r>
      <w:r w:rsidR="004E0398">
        <w:t xml:space="preserve"> </w:t>
      </w:r>
      <w:r w:rsidR="008A1747">
        <w:t>(</w:t>
      </w:r>
      <w:r w:rsidR="004E0398">
        <w:t xml:space="preserve">read with other articles of the </w:t>
      </w:r>
      <w:r w:rsidR="004E0398" w:rsidRPr="006A3A35">
        <w:rPr>
          <w:i/>
        </w:rPr>
        <w:t>Agreement</w:t>
      </w:r>
      <w:r w:rsidR="008A1747">
        <w:t>)</w:t>
      </w:r>
      <w:r w:rsidR="004E0398">
        <w:t xml:space="preserve"> effectively override</w:t>
      </w:r>
      <w:r w:rsidR="00BB2D57">
        <w:t>s</w:t>
      </w:r>
      <w:r w:rsidR="004E0398">
        <w:t xml:space="preserve"> s 94(1)(e)(ii) of the </w:t>
      </w:r>
      <w:r w:rsidR="004E0398" w:rsidRPr="006A3A35">
        <w:rPr>
          <w:i/>
        </w:rPr>
        <w:t>Social Security Act</w:t>
      </w:r>
      <w:r w:rsidR="004E0398">
        <w:t xml:space="preserve">: </w:t>
      </w:r>
      <w:proofErr w:type="spellStart"/>
      <w:r w:rsidR="004E0398" w:rsidRPr="006A3A35">
        <w:rPr>
          <w:i/>
        </w:rPr>
        <w:t>Mahrous</w:t>
      </w:r>
      <w:proofErr w:type="spellEnd"/>
      <w:r w:rsidR="004E0398" w:rsidRPr="006A3A35">
        <w:rPr>
          <w:i/>
        </w:rPr>
        <w:t xml:space="preserve"> </w:t>
      </w:r>
      <w:r w:rsidR="004E0398">
        <w:t>(FC) at [</w:t>
      </w:r>
      <w:r w:rsidR="00874413">
        <w:t>51</w:t>
      </w:r>
      <w:r w:rsidR="004E0398">
        <w:t>].  The Court found that article</w:t>
      </w:r>
      <w:r w:rsidR="008A1747">
        <w:t>s</w:t>
      </w:r>
      <w:r w:rsidR="004E0398">
        <w:t xml:space="preserve"> 12(1</w:t>
      </w:r>
      <w:r w:rsidR="00260140">
        <w:t>)–(</w:t>
      </w:r>
      <w:r w:rsidR="004E0398">
        <w:t xml:space="preserve">3) </w:t>
      </w:r>
      <w:r w:rsidR="00275D06">
        <w:t xml:space="preserve">are </w:t>
      </w:r>
      <w:r w:rsidR="0055020D">
        <w:t xml:space="preserve">general provisions which apply to an “Australian benefit” </w:t>
      </w:r>
      <w:r w:rsidR="00874413">
        <w:t xml:space="preserve">claimed under the </w:t>
      </w:r>
      <w:r w:rsidR="00874413" w:rsidRPr="00902E9D">
        <w:rPr>
          <w:i/>
        </w:rPr>
        <w:t>Agreement</w:t>
      </w:r>
      <w:r w:rsidR="00902E9D">
        <w:t>.  However,</w:t>
      </w:r>
      <w:r w:rsidR="0055020D">
        <w:t xml:space="preserve"> article 12(4) is a specific provision which applies </w:t>
      </w:r>
      <w:r w:rsidR="0055020D">
        <w:rPr>
          <w:i/>
        </w:rPr>
        <w:t>only</w:t>
      </w:r>
      <w:r w:rsidR="0055020D">
        <w:t xml:space="preserve"> to a disability </w:t>
      </w:r>
      <w:r w:rsidR="0055020D">
        <w:lastRenderedPageBreak/>
        <w:t>support pension claim</w:t>
      </w:r>
      <w:r w:rsidR="000F377E">
        <w:t xml:space="preserve">. </w:t>
      </w:r>
      <w:r w:rsidR="00902E9D">
        <w:t xml:space="preserve"> </w:t>
      </w:r>
      <w:r w:rsidR="000F377E">
        <w:t>A</w:t>
      </w:r>
      <w:r w:rsidR="00874413">
        <w:t xml:space="preserve">ccordingly, it is always open to </w:t>
      </w:r>
      <w:r w:rsidR="00902E9D">
        <w:t xml:space="preserve">a </w:t>
      </w:r>
      <w:r w:rsidR="00874413">
        <w:t xml:space="preserve">claimant </w:t>
      </w:r>
      <w:r w:rsidR="00902E9D">
        <w:t xml:space="preserve">for a disability support pension </w:t>
      </w:r>
      <w:r w:rsidR="00874413">
        <w:t xml:space="preserve">to rely on article 12(4), </w:t>
      </w:r>
      <w:r w:rsidR="00902E9D">
        <w:t xml:space="preserve">and </w:t>
      </w:r>
      <w:r w:rsidR="0055020D">
        <w:t>article</w:t>
      </w:r>
      <w:r w:rsidR="00874413">
        <w:t>s</w:t>
      </w:r>
      <w:r w:rsidR="0055020D">
        <w:t xml:space="preserve"> 12(1</w:t>
      </w:r>
      <w:r w:rsidR="00260140">
        <w:t>)–(</w:t>
      </w:r>
      <w:r w:rsidR="0055020D">
        <w:t>3) will be immaterial</w:t>
      </w:r>
      <w:r w:rsidR="00874413">
        <w:t xml:space="preserve"> </w:t>
      </w:r>
      <w:r w:rsidR="00902E9D">
        <w:t xml:space="preserve">to that </w:t>
      </w:r>
      <w:r w:rsidR="00874413">
        <w:t>claim</w:t>
      </w:r>
      <w:r w:rsidR="0055020D">
        <w:t xml:space="preserve">.  </w:t>
      </w:r>
      <w:r w:rsidR="00BB2D57">
        <w:t>In support of that view</w:t>
      </w:r>
      <w:r w:rsidR="00930F1E">
        <w:t>,</w:t>
      </w:r>
      <w:r w:rsidR="00BB2D57">
        <w:t xml:space="preserve"> t</w:t>
      </w:r>
      <w:r w:rsidR="0055020D">
        <w:t>he</w:t>
      </w:r>
      <w:r w:rsidR="00BB2D57">
        <w:t xml:space="preserve"> Court</w:t>
      </w:r>
      <w:r w:rsidR="0055020D">
        <w:t xml:space="preserve"> noted that article 12(5) is “similarly directed to one class of </w:t>
      </w:r>
      <w:r w:rsidR="00874413">
        <w:t>benefit</w:t>
      </w:r>
      <w:r w:rsidR="00BB2D57">
        <w:t>”</w:t>
      </w:r>
      <w:r w:rsidR="00874413">
        <w:t xml:space="preserve"> (</w:t>
      </w:r>
      <w:r w:rsidR="00800F9C">
        <w:t xml:space="preserve">i.e. </w:t>
      </w:r>
      <w:r w:rsidR="00874413">
        <w:t>the age pension).</w:t>
      </w:r>
      <w:r w:rsidR="0055020D">
        <w:t xml:space="preserve">  Further, by virtue of article 5(5), the </w:t>
      </w:r>
      <w:r w:rsidR="00930F1E">
        <w:t>“</w:t>
      </w:r>
      <w:r w:rsidR="0055020D">
        <w:t>working age residence</w:t>
      </w:r>
      <w:r w:rsidR="00930F1E">
        <w:t>”</w:t>
      </w:r>
      <w:r w:rsidR="0055020D">
        <w:t xml:space="preserve"> provisions of article</w:t>
      </w:r>
      <w:r w:rsidR="00C12E86">
        <w:t>s</w:t>
      </w:r>
      <w:r w:rsidR="0055020D">
        <w:t xml:space="preserve"> 12(1</w:t>
      </w:r>
      <w:r w:rsidR="00260140">
        <w:t>)–(</w:t>
      </w:r>
      <w:r w:rsidR="0055020D">
        <w:t>3) do not apply to people under 20</w:t>
      </w:r>
      <w:r w:rsidR="00C12E86">
        <w:t>.  U</w:t>
      </w:r>
      <w:r w:rsidR="0055020D">
        <w:t>nder the social security law of Australia</w:t>
      </w:r>
      <w:r w:rsidR="00C12E86">
        <w:t>, a person need only be 16 to qualify for a disability support pension (see s 94(1</w:t>
      </w:r>
      <w:proofErr w:type="gramStart"/>
      <w:r w:rsidR="00C12E86">
        <w:t>)(</w:t>
      </w:r>
      <w:proofErr w:type="gramEnd"/>
      <w:r w:rsidR="00C12E86">
        <w:t xml:space="preserve">d) of the </w:t>
      </w:r>
      <w:r w:rsidR="00C12E86">
        <w:rPr>
          <w:i/>
        </w:rPr>
        <w:t>Social Security Act</w:t>
      </w:r>
      <w:r w:rsidR="00C12E86">
        <w:t>)</w:t>
      </w:r>
      <w:r w:rsidR="000F377E">
        <w:t>; a</w:t>
      </w:r>
      <w:r w:rsidR="00800F9C">
        <w:t>rticles</w:t>
      </w:r>
      <w:r w:rsidR="00902E9D">
        <w:t xml:space="preserve"> 12</w:t>
      </w:r>
      <w:r w:rsidR="00800F9C">
        <w:t>(1</w:t>
      </w:r>
      <w:r w:rsidR="00260140">
        <w:t>)–(</w:t>
      </w:r>
      <w:r w:rsidR="00C12E86">
        <w:t xml:space="preserve">3) would therefore </w:t>
      </w:r>
      <w:r w:rsidR="00902E9D">
        <w:t xml:space="preserve">not </w:t>
      </w:r>
      <w:r w:rsidR="00C12E86">
        <w:t>benefit any claimant for a disability support pension aged 16</w:t>
      </w:r>
      <w:r w:rsidR="000F377E">
        <w:t xml:space="preserve"> or over</w:t>
      </w:r>
      <w:r w:rsidR="00C12E86">
        <w:t xml:space="preserve"> and less than 20. </w:t>
      </w:r>
      <w:r w:rsidR="0055020D">
        <w:t xml:space="preserve"> There is nothing in the </w:t>
      </w:r>
      <w:r w:rsidR="0055020D">
        <w:rPr>
          <w:i/>
        </w:rPr>
        <w:t xml:space="preserve">Agreement </w:t>
      </w:r>
      <w:r w:rsidR="0055020D">
        <w:t xml:space="preserve">which would justify an inference that persons younger </w:t>
      </w:r>
      <w:r w:rsidR="00DA28CD">
        <w:t xml:space="preserve">than 20 </w:t>
      </w:r>
      <w:r w:rsidR="00C12E86">
        <w:t xml:space="preserve">were intended to </w:t>
      </w:r>
      <w:r w:rsidR="0055020D">
        <w:t>be disadvantaged</w:t>
      </w:r>
      <w:r w:rsidR="00DA28CD">
        <w:t xml:space="preserve"> and such an inference</w:t>
      </w:r>
      <w:r w:rsidR="00C12E86">
        <w:t xml:space="preserve"> </w:t>
      </w:r>
      <w:r w:rsidR="0055020D">
        <w:t xml:space="preserve">is inconsistent with the preamble to the </w:t>
      </w:r>
      <w:r w:rsidR="0055020D">
        <w:rPr>
          <w:i/>
        </w:rPr>
        <w:t>Agreement</w:t>
      </w:r>
      <w:r w:rsidR="0055020D">
        <w:t xml:space="preserve">: </w:t>
      </w:r>
      <w:proofErr w:type="spellStart"/>
      <w:r w:rsidR="0055020D">
        <w:rPr>
          <w:i/>
        </w:rPr>
        <w:t>Mahrous</w:t>
      </w:r>
      <w:proofErr w:type="spellEnd"/>
      <w:r w:rsidR="0055020D">
        <w:rPr>
          <w:i/>
        </w:rPr>
        <w:t xml:space="preserve"> </w:t>
      </w:r>
      <w:r w:rsidR="0026760F">
        <w:t>(FC) at [47]–</w:t>
      </w:r>
      <w:r w:rsidR="0055020D">
        <w:t>[</w:t>
      </w:r>
      <w:r w:rsidR="00C12E86">
        <w:t>48</w:t>
      </w:r>
      <w:r w:rsidR="0055020D">
        <w:t>].</w:t>
      </w:r>
      <w:r w:rsidR="00C17215">
        <w:t xml:space="preserve">  </w:t>
      </w:r>
    </w:p>
    <w:p w:rsidR="004E0398" w:rsidRDefault="00C17215" w:rsidP="005737B3">
      <w:pPr>
        <w:pStyle w:val="ParaNumbering"/>
      </w:pPr>
      <w:r>
        <w:t xml:space="preserve">The Court found that article 12(4) of the </w:t>
      </w:r>
      <w:r>
        <w:rPr>
          <w:i/>
        </w:rPr>
        <w:t>Agreement</w:t>
      </w:r>
      <w:r>
        <w:t xml:space="preserve"> “</w:t>
      </w:r>
      <w:r>
        <w:rPr>
          <w:i/>
        </w:rPr>
        <w:t>both describes</w:t>
      </w:r>
      <w:r>
        <w:t xml:space="preserve"> the category of person who are entitled to claim a disability support pension </w:t>
      </w:r>
      <w:r>
        <w:rPr>
          <w:i/>
        </w:rPr>
        <w:t>and identifies</w:t>
      </w:r>
      <w:r>
        <w:t xml:space="preserve"> those who would satisfy the residence qualification for such a benefit once a claim can be made” (emphasis in the original).  The Court therefore construed article 12(4) to provide that if a person “had accumulated an aggregate of more than 10 years of residence in Australia and New Zealand”, then that person can not only claim a disability support pension but </w:t>
      </w:r>
      <w:r w:rsidR="00930F1E">
        <w:t xml:space="preserve">the person </w:t>
      </w:r>
      <w:r>
        <w:t xml:space="preserve">has also satisfied the residence criterion.  </w:t>
      </w:r>
      <w:r w:rsidR="001600FA">
        <w:t xml:space="preserve">As part of Australian law, </w:t>
      </w:r>
      <w:r>
        <w:t xml:space="preserve">by virtue of s 6 of the </w:t>
      </w:r>
      <w:r>
        <w:rPr>
          <w:i/>
        </w:rPr>
        <w:t>International Agreements Act</w:t>
      </w:r>
      <w:r w:rsidR="008A1747">
        <w:t>,</w:t>
      </w:r>
      <w:r>
        <w:t xml:space="preserve"> </w:t>
      </w:r>
      <w:r w:rsidR="001600FA">
        <w:t xml:space="preserve">article 12(4) affected and overrode the residence criterion in </w:t>
      </w:r>
      <w:r>
        <w:t xml:space="preserve">both s 94(1)(e)(ii) of the </w:t>
      </w:r>
      <w:r>
        <w:rPr>
          <w:i/>
        </w:rPr>
        <w:t>Social Security Act</w:t>
      </w:r>
      <w:r>
        <w:t xml:space="preserve"> and </w:t>
      </w:r>
      <w:r w:rsidR="00260140">
        <w:t xml:space="preserve">the following two sections of the of the </w:t>
      </w:r>
      <w:r w:rsidR="00260140" w:rsidRPr="00930F1E">
        <w:rPr>
          <w:i/>
        </w:rPr>
        <w:t>Administration Act</w:t>
      </w:r>
      <w:r w:rsidR="00260140">
        <w:t xml:space="preserve">:  </w:t>
      </w:r>
      <w:r>
        <w:t>s</w:t>
      </w:r>
      <w:r w:rsidR="001600FA">
        <w:t> </w:t>
      </w:r>
      <w:r>
        <w:t xml:space="preserve">11 </w:t>
      </w:r>
      <w:r w:rsidR="001600FA">
        <w:t>(</w:t>
      </w:r>
      <w:r w:rsidR="007E5D6A">
        <w:t>the requirement to make a claim</w:t>
      </w:r>
      <w:r w:rsidR="001600FA">
        <w:t xml:space="preserve">) </w:t>
      </w:r>
      <w:r>
        <w:t xml:space="preserve">and </w:t>
      </w:r>
      <w:r w:rsidR="001600FA">
        <w:t>s </w:t>
      </w:r>
      <w:r>
        <w:t xml:space="preserve">29 </w:t>
      </w:r>
      <w:r w:rsidR="001600FA">
        <w:t xml:space="preserve">(the requirement that a claim can only be made, among others, </w:t>
      </w:r>
      <w:r w:rsidR="00260140">
        <w:t xml:space="preserve">by </w:t>
      </w:r>
      <w:r w:rsidR="001600FA">
        <w:t>an “Australian resident”)</w:t>
      </w:r>
      <w:r w:rsidRPr="00930F1E">
        <w:t>:</w:t>
      </w:r>
      <w:r>
        <w:t xml:space="preserve"> </w:t>
      </w:r>
      <w:proofErr w:type="spellStart"/>
      <w:r>
        <w:rPr>
          <w:i/>
        </w:rPr>
        <w:t>Mahrous</w:t>
      </w:r>
      <w:proofErr w:type="spellEnd"/>
      <w:r>
        <w:rPr>
          <w:i/>
        </w:rPr>
        <w:t xml:space="preserve"> </w:t>
      </w:r>
      <w:r w:rsidR="00D21A27">
        <w:t xml:space="preserve">(FC) at </w:t>
      </w:r>
      <w:r w:rsidR="001600FA">
        <w:t xml:space="preserve">[43], </w:t>
      </w:r>
      <w:r>
        <w:t>[51]</w:t>
      </w:r>
      <w:r w:rsidR="001600FA">
        <w:t xml:space="preserve"> and [66].</w:t>
      </w:r>
    </w:p>
    <w:p w:rsidR="00711987" w:rsidRDefault="00275D06" w:rsidP="005737B3">
      <w:pPr>
        <w:pStyle w:val="ParaNumbering"/>
      </w:pPr>
      <w:r>
        <w:t xml:space="preserve">Turning to the appellants’ </w:t>
      </w:r>
      <w:r w:rsidR="00260140">
        <w:t>contentions</w:t>
      </w:r>
      <w:r>
        <w:t>, i</w:t>
      </w:r>
      <w:r w:rsidR="00BB2D57">
        <w:t>n contrast to article 12(4), article 12(5) only specifies the class of person who is entitled to claim an age pension.  It does not identify those who would satisfy the residence requirement.  As found by Flick J, tha</w:t>
      </w:r>
      <w:r w:rsidR="00094A9D">
        <w:t>t work is to be done by article </w:t>
      </w:r>
      <w:r w:rsidR="00BB2D57">
        <w:t>12(1), having regard to the definition of “Australian resident” in article 5(1)</w:t>
      </w:r>
      <w:r w:rsidR="00711987">
        <w:t>:</w:t>
      </w:r>
      <w:r w:rsidR="00711987" w:rsidRPr="00711987">
        <w:t xml:space="preserve"> </w:t>
      </w:r>
      <w:r w:rsidR="00711987">
        <w:t xml:space="preserve">see </w:t>
      </w:r>
      <w:proofErr w:type="gramStart"/>
      <w:r w:rsidR="00711987">
        <w:t>J[</w:t>
      </w:r>
      <w:proofErr w:type="gramEnd"/>
      <w:r w:rsidR="00711987">
        <w:t xml:space="preserve">22].   </w:t>
      </w:r>
    </w:p>
    <w:p w:rsidR="002A1E4D" w:rsidRDefault="00711987" w:rsidP="005737B3">
      <w:pPr>
        <w:pStyle w:val="ParaNumbering"/>
      </w:pPr>
      <w:r>
        <w:t xml:space="preserve">In their submissions, the appellants provided </w:t>
      </w:r>
      <w:r w:rsidR="00260140">
        <w:t>“</w:t>
      </w:r>
      <w:r>
        <w:t>worked examples</w:t>
      </w:r>
      <w:r w:rsidR="00260140">
        <w:t>”</w:t>
      </w:r>
      <w:r>
        <w:t xml:space="preserve"> of how article 12(1) applied to them on the assumption that article 5(1) was to be const</w:t>
      </w:r>
      <w:r w:rsidR="002A1E4D">
        <w:t xml:space="preserve">rued so as to deem all residence in New Zealand to be residence in Australia.  One </w:t>
      </w:r>
      <w:r w:rsidR="00260140">
        <w:t xml:space="preserve">such </w:t>
      </w:r>
      <w:r w:rsidR="002A1E4D">
        <w:t xml:space="preserve">example is in the </w:t>
      </w:r>
      <w:r w:rsidR="00904DE8">
        <w:t>“A</w:t>
      </w:r>
      <w:r w:rsidR="002A1E4D">
        <w:t xml:space="preserve">ppellants’ </w:t>
      </w:r>
      <w:r w:rsidR="00275D06">
        <w:t xml:space="preserve">final </w:t>
      </w:r>
      <w:r w:rsidR="002A1E4D">
        <w:t>oral submissions on appeal</w:t>
      </w:r>
      <w:r w:rsidR="00275D06">
        <w:t>” document (as written)</w:t>
      </w:r>
      <w:r w:rsidR="002A1E4D">
        <w:t>:</w:t>
      </w:r>
    </w:p>
    <w:p w:rsidR="002A1E4D" w:rsidRDefault="00076D79" w:rsidP="009C3AE8">
      <w:pPr>
        <w:pStyle w:val="Quote1"/>
        <w:ind w:left="1440" w:hanging="703"/>
      </w:pPr>
      <w:r>
        <w:rPr>
          <w:b/>
        </w:rPr>
        <w:t>1.</w:t>
      </w:r>
      <w:r>
        <w:rPr>
          <w:b/>
        </w:rPr>
        <w:tab/>
        <w:t>W</w:t>
      </w:r>
      <w:r w:rsidR="006D13D5" w:rsidRPr="00C9067C">
        <w:rPr>
          <w:b/>
        </w:rPr>
        <w:t xml:space="preserve">here </w:t>
      </w:r>
      <w:r w:rsidR="002A1E4D" w:rsidRPr="00C9067C">
        <w:rPr>
          <w:b/>
        </w:rPr>
        <w:t>a person to whom this Agreement applies</w:t>
      </w:r>
      <w:r w:rsidR="002A1E4D">
        <w:t xml:space="preserve"> [</w:t>
      </w:r>
      <w:r w:rsidR="002A1E4D" w:rsidRPr="00904DE8">
        <w:rPr>
          <w:u w:val="single"/>
        </w:rPr>
        <w:t xml:space="preserve">Mrs </w:t>
      </w:r>
      <w:proofErr w:type="spellStart"/>
      <w:r w:rsidR="002A1E4D" w:rsidRPr="00904DE8">
        <w:rPr>
          <w:u w:val="single"/>
        </w:rPr>
        <w:t>Charan</w:t>
      </w:r>
      <w:proofErr w:type="spellEnd"/>
      <w:r w:rsidR="002A1E4D">
        <w:t xml:space="preserve">] </w:t>
      </w:r>
      <w:r w:rsidR="002A1E4D" w:rsidRPr="00C9067C">
        <w:rPr>
          <w:b/>
        </w:rPr>
        <w:t xml:space="preserve">has </w:t>
      </w:r>
      <w:r w:rsidR="002A1E4D" w:rsidRPr="009C3AE8">
        <w:rPr>
          <w:b/>
        </w:rPr>
        <w:lastRenderedPageBreak/>
        <w:t>claimed an Australian benefit</w:t>
      </w:r>
      <w:r w:rsidR="002A1E4D" w:rsidRPr="009C3AE8">
        <w:t xml:space="preserve"> [</w:t>
      </w:r>
      <w:r w:rsidR="002A1E4D" w:rsidRPr="009C3AE8">
        <w:rPr>
          <w:u w:val="single"/>
        </w:rPr>
        <w:t>age pension under Article 12(5)</w:t>
      </w:r>
      <w:r w:rsidR="002A1E4D" w:rsidRPr="009C3AE8">
        <w:t>]</w:t>
      </w:r>
      <w:r w:rsidR="002A1E4D">
        <w:t xml:space="preserve"> </w:t>
      </w:r>
      <w:r w:rsidR="002A1E4D" w:rsidRPr="00C9067C">
        <w:rPr>
          <w:b/>
        </w:rPr>
        <w:t>under this Agreement and has accumulated</w:t>
      </w:r>
      <w:r w:rsidR="002A1E4D">
        <w:t xml:space="preserve"> </w:t>
      </w:r>
      <w:r w:rsidR="00C9067C">
        <w:t>[</w:t>
      </w:r>
      <w:r w:rsidR="00C9067C" w:rsidRPr="00904DE8">
        <w:rPr>
          <w:u w:val="single"/>
        </w:rPr>
        <w:t>10 years of residence</w:t>
      </w:r>
      <w:r w:rsidR="00C9067C">
        <w:t>]:</w:t>
      </w:r>
    </w:p>
    <w:p w:rsidR="00C9067C" w:rsidRDefault="006D13D5" w:rsidP="00682F10">
      <w:pPr>
        <w:pStyle w:val="Quote2"/>
        <w:ind w:left="2160" w:hanging="720"/>
      </w:pPr>
      <w:r>
        <w:rPr>
          <w:b/>
        </w:rPr>
        <w:t>(a)</w:t>
      </w:r>
      <w:r>
        <w:rPr>
          <w:b/>
        </w:rPr>
        <w:tab/>
      </w:r>
      <w:proofErr w:type="gramStart"/>
      <w:r w:rsidR="00C9067C" w:rsidRPr="00C9067C">
        <w:rPr>
          <w:b/>
        </w:rPr>
        <w:t>a</w:t>
      </w:r>
      <w:proofErr w:type="gramEnd"/>
      <w:r w:rsidR="00C9067C" w:rsidRPr="00C9067C">
        <w:rPr>
          <w:b/>
        </w:rPr>
        <w:t xml:space="preserve"> period as an Australian resident</w:t>
      </w:r>
      <w:r w:rsidR="00C9067C">
        <w:t xml:space="preserve"> [</w:t>
      </w:r>
      <w:r w:rsidR="00C9067C" w:rsidRPr="00904DE8">
        <w:t>a combined or totalised residence of New Zealand and Australian from 1 January 2005 to 1</w:t>
      </w:r>
      <w:r>
        <w:t> </w:t>
      </w:r>
      <w:r w:rsidR="00C9067C" w:rsidRPr="00904DE8">
        <w:t>January 2015</w:t>
      </w:r>
      <w:r w:rsidR="00C9067C">
        <w:t>];</w:t>
      </w:r>
    </w:p>
    <w:p w:rsidR="00C9067C" w:rsidRPr="00682F10" w:rsidRDefault="00C9067C" w:rsidP="00682F10">
      <w:pPr>
        <w:pStyle w:val="Quote3"/>
        <w:rPr>
          <w:b/>
        </w:rPr>
      </w:pPr>
      <w:proofErr w:type="gramStart"/>
      <w:r w:rsidRPr="00682F10">
        <w:rPr>
          <w:b/>
        </w:rPr>
        <w:t>that</w:t>
      </w:r>
      <w:proofErr w:type="gramEnd"/>
      <w:r w:rsidRPr="00682F10">
        <w:rPr>
          <w:b/>
        </w:rPr>
        <w:t xml:space="preserve"> is less than the period required to qualify that person, on that ground under social security law of Australia for a benefit;</w:t>
      </w:r>
    </w:p>
    <w:p w:rsidR="00C9067C" w:rsidRDefault="006D13D5" w:rsidP="00682F10">
      <w:pPr>
        <w:pStyle w:val="Quote2"/>
        <w:ind w:left="2160" w:hanging="720"/>
        <w:rPr>
          <w:b/>
        </w:rPr>
      </w:pPr>
      <w:r>
        <w:rPr>
          <w:b/>
        </w:rPr>
        <w:t>(b)</w:t>
      </w:r>
      <w:r>
        <w:rPr>
          <w:b/>
        </w:rPr>
        <w:tab/>
      </w:r>
      <w:proofErr w:type="gramStart"/>
      <w:r w:rsidR="00C9067C">
        <w:rPr>
          <w:b/>
        </w:rPr>
        <w:t>a</w:t>
      </w:r>
      <w:proofErr w:type="gramEnd"/>
      <w:r w:rsidR="00C9067C">
        <w:rPr>
          <w:b/>
        </w:rPr>
        <w:t xml:space="preserve"> period of working age residence in Australia equal to or greater than the period identified in accordance with paragraph</w:t>
      </w:r>
      <w:r>
        <w:rPr>
          <w:b/>
        </w:rPr>
        <w:t> </w:t>
      </w:r>
      <w:r w:rsidR="00C9067C">
        <w:rPr>
          <w:b/>
        </w:rPr>
        <w:t>3; and</w:t>
      </w:r>
    </w:p>
    <w:p w:rsidR="006D13D5" w:rsidRDefault="006D13D5" w:rsidP="00682F10">
      <w:pPr>
        <w:pStyle w:val="Quote2"/>
        <w:ind w:left="2160" w:hanging="720"/>
        <w:rPr>
          <w:b/>
        </w:rPr>
      </w:pPr>
      <w:r>
        <w:rPr>
          <w:b/>
        </w:rPr>
        <w:t>(c)</w:t>
      </w:r>
      <w:r>
        <w:rPr>
          <w:b/>
        </w:rPr>
        <w:tab/>
      </w:r>
      <w:proofErr w:type="gramStart"/>
      <w:r w:rsidR="00C9067C">
        <w:rPr>
          <w:b/>
        </w:rPr>
        <w:t>a</w:t>
      </w:r>
      <w:proofErr w:type="gramEnd"/>
      <w:r w:rsidR="00C9067C">
        <w:rPr>
          <w:b/>
        </w:rPr>
        <w:t xml:space="preserve"> period of working age residence in New Zealand.</w:t>
      </w:r>
    </w:p>
    <w:p w:rsidR="002A1E4D" w:rsidRDefault="006D13D5" w:rsidP="005737B3">
      <w:pPr>
        <w:pStyle w:val="ParaNumbering"/>
      </w:pPr>
      <w:r>
        <w:t>The</w:t>
      </w:r>
      <w:r w:rsidR="002A1E4D">
        <w:t xml:space="preserve"> example </w:t>
      </w:r>
      <w:r w:rsidR="00D111A8">
        <w:t>makes no sense either grammatically or legally</w:t>
      </w:r>
      <w:r w:rsidR="002A1E4D">
        <w:t xml:space="preserve">. </w:t>
      </w:r>
      <w:r w:rsidR="00BA0372">
        <w:t xml:space="preserve"> </w:t>
      </w:r>
      <w:r w:rsidR="002A1E4D">
        <w:t>A</w:t>
      </w:r>
      <w:r w:rsidR="002B5550">
        <w:t>rticle 5(1) cannot be construed</w:t>
      </w:r>
      <w:r w:rsidR="008A1747">
        <w:t xml:space="preserve"> to include as residence in Australia </w:t>
      </w:r>
      <w:r w:rsidR="00904DE8">
        <w:t xml:space="preserve">the </w:t>
      </w:r>
      <w:r w:rsidR="008A1747">
        <w:t>periods in which the appellants were resident in New Zealand</w:t>
      </w:r>
      <w:r w:rsidR="002B5550">
        <w:t xml:space="preserve">.  </w:t>
      </w:r>
      <w:r w:rsidR="00AD4C82">
        <w:t xml:space="preserve">The fact that article 12(4) provides for that expressly </w:t>
      </w:r>
      <w:r w:rsidR="00904DE8">
        <w:t xml:space="preserve">in relation to disability support benefits </w:t>
      </w:r>
      <w:r w:rsidR="00AD4C82">
        <w:t xml:space="preserve">does not </w:t>
      </w:r>
      <w:r w:rsidR="00EC028E">
        <w:t>assist the appellants</w:t>
      </w:r>
      <w:r w:rsidR="00AD4C82">
        <w:t>.</w:t>
      </w:r>
      <w:r w:rsidR="00EC028E">
        <w:t xml:space="preserve"> </w:t>
      </w:r>
    </w:p>
    <w:p w:rsidR="005737B3" w:rsidRDefault="002B5550" w:rsidP="005737B3">
      <w:pPr>
        <w:pStyle w:val="ParaNumbering"/>
      </w:pPr>
      <w:r>
        <w:t>It is clear from the language used in article 5(1)</w:t>
      </w:r>
      <w:r w:rsidR="004C0F3A">
        <w:t xml:space="preserve"> that</w:t>
      </w:r>
      <w:r w:rsidR="005737B3">
        <w:t xml:space="preserve">, generally, the term “Australian resident” has the meaning given to it in the social security law, for instance, s 7(2) of the </w:t>
      </w:r>
      <w:r w:rsidR="005737B3" w:rsidRPr="002A1E4D">
        <w:rPr>
          <w:i/>
        </w:rPr>
        <w:t>Social Security Act</w:t>
      </w:r>
      <w:r w:rsidR="005737B3">
        <w:t xml:space="preserve">.  But “for the purposes of the </w:t>
      </w:r>
      <w:r w:rsidR="005737B3" w:rsidRPr="002A1E4D">
        <w:rPr>
          <w:i/>
        </w:rPr>
        <w:t>Agreement</w:t>
      </w:r>
      <w:r w:rsidR="005737B3">
        <w:t>” it extends the definition to include “a New Zealand citizen who is not the holder of an Australian visa but is lawfully residing in Australia”.  I</w:t>
      </w:r>
      <w:r w:rsidR="004C0F3A">
        <w:t>ts focus is on the nature of the New Zealand</w:t>
      </w:r>
      <w:r w:rsidR="005737B3">
        <w:t xml:space="preserve"> citizen</w:t>
      </w:r>
      <w:r w:rsidR="004C0F3A">
        <w:t xml:space="preserve">’s residence in Australia.  See, for instance, </w:t>
      </w:r>
      <w:r w:rsidR="00653B87">
        <w:t>article</w:t>
      </w:r>
      <w:r w:rsidR="00904DE8">
        <w:t xml:space="preserve"> </w:t>
      </w:r>
      <w:r w:rsidR="00653B87">
        <w:t>5</w:t>
      </w:r>
      <w:r w:rsidR="004C0F3A">
        <w:t>(1</w:t>
      </w:r>
      <w:proofErr w:type="gramStart"/>
      <w:r w:rsidR="004C0F3A">
        <w:t>)(</w:t>
      </w:r>
      <w:proofErr w:type="gramEnd"/>
      <w:r w:rsidR="004C0F3A">
        <w:t>a) “nature of the accommodation used by the person in Australia</w:t>
      </w:r>
      <w:r w:rsidR="00F30A6C">
        <w:t>”</w:t>
      </w:r>
      <w:r w:rsidR="004C0F3A">
        <w:t xml:space="preserve">; </w:t>
      </w:r>
      <w:r w:rsidR="00F12F56">
        <w:t xml:space="preserve">article </w:t>
      </w:r>
      <w:r w:rsidR="00904DE8">
        <w:t>5</w:t>
      </w:r>
      <w:r w:rsidR="004C0F3A">
        <w:t xml:space="preserve">(1)(e) “frequency and duration of the person’s travel outside Australia” and </w:t>
      </w:r>
      <w:r w:rsidR="00F12F56">
        <w:t xml:space="preserve">article </w:t>
      </w:r>
      <w:r w:rsidR="00653B87">
        <w:t>5</w:t>
      </w:r>
      <w:r w:rsidR="004C0F3A">
        <w:t xml:space="preserve">(1)(f) “any other matter relevant to determining whether the person intends to remain permanently in Australia”.  Such language is simply not apt to </w:t>
      </w:r>
      <w:r w:rsidR="00653B87">
        <w:t xml:space="preserve">cover </w:t>
      </w:r>
      <w:r w:rsidR="004C0F3A">
        <w:t>a person who is a New Zealand citizen</w:t>
      </w:r>
      <w:r w:rsidR="00DA28CD">
        <w:t xml:space="preserve"> and</w:t>
      </w:r>
      <w:r w:rsidR="004C0F3A">
        <w:t xml:space="preserve"> resident in New Zealand at a time before they </w:t>
      </w:r>
      <w:r w:rsidR="006D13D5">
        <w:t xml:space="preserve">set </w:t>
      </w:r>
      <w:r w:rsidR="004C0F3A">
        <w:t xml:space="preserve">foot in Australia.  </w:t>
      </w:r>
      <w:r w:rsidR="00F12F56">
        <w:t xml:space="preserve">Like the AAT, </w:t>
      </w:r>
      <w:r w:rsidR="005737B3">
        <w:t xml:space="preserve">Flick </w:t>
      </w:r>
      <w:r w:rsidR="00F12F56">
        <w:t>J was</w:t>
      </w:r>
      <w:r w:rsidR="005737B3">
        <w:t xml:space="preserve"> correct </w:t>
      </w:r>
      <w:r w:rsidR="009D0540">
        <w:t>in concluding</w:t>
      </w:r>
      <w:r w:rsidR="00F12F56">
        <w:t xml:space="preserve"> at J[23]</w:t>
      </w:r>
      <w:r w:rsidR="005737B3">
        <w:t>:</w:t>
      </w:r>
    </w:p>
    <w:p w:rsidR="005737B3" w:rsidRDefault="005737B3" w:rsidP="002932A5">
      <w:pPr>
        <w:pStyle w:val="Quote1"/>
        <w:spacing w:after="0"/>
      </w:pPr>
      <w:r>
        <w:t>Article 5(1) does not deem all New Zealand residents to be Australian residents.  Nor does it render all periods of residency in New Zealand as periods of residency in Australia.  The Article clearly states that it extends the definition of an Australian resident to include New Zealand citizens who are “</w:t>
      </w:r>
      <w:r>
        <w:rPr>
          <w:i/>
        </w:rPr>
        <w:t>lawfully residing in Australia</w:t>
      </w:r>
      <w:r>
        <w:t>”.</w:t>
      </w:r>
    </w:p>
    <w:p w:rsidR="006D13D5" w:rsidRDefault="006D13D5" w:rsidP="002932A5">
      <w:pPr>
        <w:pStyle w:val="Quote1"/>
        <w:spacing w:after="0"/>
      </w:pPr>
    </w:p>
    <w:p w:rsidR="004D6ABF" w:rsidRDefault="004D6ABF" w:rsidP="0009148B">
      <w:pPr>
        <w:pStyle w:val="ParaNumbering"/>
      </w:pPr>
      <w:r>
        <w:t>Further, the fact that the words “at any time” are used in s 7(5</w:t>
      </w:r>
      <w:proofErr w:type="gramStart"/>
      <w:r>
        <w:t>)</w:t>
      </w:r>
      <w:r w:rsidR="00FE59FA">
        <w:t>(</w:t>
      </w:r>
      <w:proofErr w:type="gramEnd"/>
      <w:r w:rsidR="00FE59FA">
        <w:t>a)</w:t>
      </w:r>
      <w:r>
        <w:t xml:space="preserve"> does not </w:t>
      </w:r>
      <w:r w:rsidR="00FE59FA">
        <w:t xml:space="preserve">advance the appellants claims.  </w:t>
      </w:r>
      <w:r w:rsidR="00275D06">
        <w:t>The requirement in s 7(5</w:t>
      </w:r>
      <w:proofErr w:type="gramStart"/>
      <w:r w:rsidR="00275D06">
        <w:t>)(</w:t>
      </w:r>
      <w:proofErr w:type="gramEnd"/>
      <w:r w:rsidR="00275D06">
        <w:t>a) is that the person “has</w:t>
      </w:r>
      <w:r w:rsidR="00653B87">
        <w:t>,</w:t>
      </w:r>
      <w:r w:rsidR="00275D06">
        <w:t xml:space="preserve"> at any time, </w:t>
      </w:r>
      <w:r w:rsidR="00275D06" w:rsidRPr="00F12F56">
        <w:rPr>
          <w:u w:val="single"/>
        </w:rPr>
        <w:t xml:space="preserve">been an Australian resident </w:t>
      </w:r>
      <w:r w:rsidR="00275D06" w:rsidRPr="00AD4C82">
        <w:rPr>
          <w:u w:val="single"/>
        </w:rPr>
        <w:t>for a continuous period of not less than 10 years</w:t>
      </w:r>
      <w:r w:rsidR="00275D06">
        <w:t>”</w:t>
      </w:r>
      <w:r w:rsidR="00AD4C82">
        <w:t xml:space="preserve">, not </w:t>
      </w:r>
      <w:r w:rsidR="00DA28CD">
        <w:t xml:space="preserve">that </w:t>
      </w:r>
      <w:r w:rsidR="00AD4C82">
        <w:t>the person has resided in Australia for some time “at any time”.</w:t>
      </w:r>
    </w:p>
    <w:p w:rsidR="001A28F6" w:rsidRDefault="00CB7E55" w:rsidP="0009148B">
      <w:pPr>
        <w:pStyle w:val="ParaNumbering"/>
      </w:pPr>
      <w:r>
        <w:lastRenderedPageBreak/>
        <w:t>A</w:t>
      </w:r>
      <w:r w:rsidR="005D05D3">
        <w:t>rticle</w:t>
      </w:r>
      <w:r w:rsidR="00275D06">
        <w:t>s</w:t>
      </w:r>
      <w:r w:rsidR="005D05D3">
        <w:t xml:space="preserve"> 12</w:t>
      </w:r>
      <w:r w:rsidR="001A28F6">
        <w:t>(</w:t>
      </w:r>
      <w:r>
        <w:t>1)</w:t>
      </w:r>
      <w:r w:rsidR="001A28F6">
        <w:t xml:space="preserve"> and </w:t>
      </w:r>
      <w:r w:rsidR="00395B9D">
        <w:t>12</w:t>
      </w:r>
      <w:r w:rsidR="001A28F6">
        <w:t>(5)</w:t>
      </w:r>
      <w:r w:rsidR="005D05D3">
        <w:t xml:space="preserve"> as now in force set out the preconditions that a New Zealand citizen lawfully residing in Australia </w:t>
      </w:r>
      <w:r w:rsidR="00FE59FA">
        <w:t>without a permanent visa and not being a</w:t>
      </w:r>
      <w:r w:rsidR="0026760F">
        <w:t xml:space="preserve"> protected SCV holder</w:t>
      </w:r>
      <w:r w:rsidR="00FE59FA">
        <w:t xml:space="preserve"> </w:t>
      </w:r>
      <w:r w:rsidR="005D05D3">
        <w:t>must satisfy to be able to claim an age pension</w:t>
      </w:r>
      <w:r w:rsidR="00A50789">
        <w:t xml:space="preserve">.  </w:t>
      </w:r>
      <w:r w:rsidR="00FE59FA">
        <w:t xml:space="preserve">Each </w:t>
      </w:r>
      <w:r w:rsidR="00D238A3">
        <w:t>of those preconditions must be met</w:t>
      </w:r>
      <w:r w:rsidR="001A28F6">
        <w:t xml:space="preserve">, having regard also to articles 12(2) and </w:t>
      </w:r>
      <w:r w:rsidR="00395B9D">
        <w:t>12</w:t>
      </w:r>
      <w:r w:rsidR="001A28F6">
        <w:t>(3)</w:t>
      </w:r>
      <w:r w:rsidR="00D238A3">
        <w:t xml:space="preserve">.  </w:t>
      </w:r>
    </w:p>
    <w:p w:rsidR="00FF28B2" w:rsidRDefault="001A28F6" w:rsidP="0009148B">
      <w:pPr>
        <w:pStyle w:val="ParaNumbering"/>
      </w:pPr>
      <w:r>
        <w:t>A</w:t>
      </w:r>
      <w:r w:rsidR="00D238A3">
        <w:t xml:space="preserve"> </w:t>
      </w:r>
      <w:r w:rsidR="00D02EA5">
        <w:t xml:space="preserve">person to whom the </w:t>
      </w:r>
      <w:r w:rsidR="00D02EA5">
        <w:rPr>
          <w:i/>
        </w:rPr>
        <w:t xml:space="preserve">Agreement </w:t>
      </w:r>
      <w:r w:rsidR="00D02EA5">
        <w:t>applies</w:t>
      </w:r>
      <w:r w:rsidR="00D238A3">
        <w:t xml:space="preserve"> </w:t>
      </w:r>
      <w:r w:rsidR="00A50789">
        <w:t xml:space="preserve">must have reached the age of 65: article 12(5).  </w:t>
      </w:r>
      <w:r>
        <w:t>The</w:t>
      </w:r>
      <w:r w:rsidR="006D13D5">
        <w:t> </w:t>
      </w:r>
      <w:r>
        <w:t>appel</w:t>
      </w:r>
      <w:r w:rsidR="00AA67EB">
        <w:t>lants satisfy that criterion</w:t>
      </w:r>
      <w:r>
        <w:t>.</w:t>
      </w:r>
      <w:r w:rsidR="00AA67EB">
        <w:t xml:space="preserve">  However, there is nothing in article 12(5) which addresses the residence criterion.</w:t>
      </w:r>
      <w:r w:rsidR="00943A59">
        <w:t xml:space="preserve">  </w:t>
      </w:r>
      <w:r w:rsidR="00636337">
        <w:t>It would be an absurd interpretation of article 12(5) to take the fact that there is no reference to a period of residence to mean that none is required</w:t>
      </w:r>
      <w:r w:rsidR="00FF28B2">
        <w:t xml:space="preserve">.  </w:t>
      </w:r>
      <w:r w:rsidR="00636337">
        <w:t xml:space="preserve">The fact that a period of residence is specified in relation to disability </w:t>
      </w:r>
      <w:r w:rsidR="00904DE8">
        <w:t xml:space="preserve">support </w:t>
      </w:r>
      <w:r w:rsidR="00636337">
        <w:t xml:space="preserve">benefits under article 12(4) could not </w:t>
      </w:r>
      <w:r w:rsidR="00BA0372">
        <w:t xml:space="preserve">justify </w:t>
      </w:r>
      <w:r w:rsidR="00636337">
        <w:t xml:space="preserve">such an interpretation.  </w:t>
      </w:r>
    </w:p>
    <w:p w:rsidR="001A28F6" w:rsidRDefault="00636337" w:rsidP="0009148B">
      <w:pPr>
        <w:pStyle w:val="ParaNumbering"/>
      </w:pPr>
      <w:r>
        <w:t>A</w:t>
      </w:r>
      <w:r w:rsidR="00943A59">
        <w:t xml:space="preserve">rticle </w:t>
      </w:r>
      <w:r>
        <w:t>1</w:t>
      </w:r>
      <w:r w:rsidR="00943A59">
        <w:t>2(1)</w:t>
      </w:r>
      <w:r>
        <w:t xml:space="preserve"> applies </w:t>
      </w:r>
      <w:r w:rsidR="003C4D83">
        <w:t xml:space="preserve">to a person </w:t>
      </w:r>
      <w:r w:rsidR="006D13D5">
        <w:t xml:space="preserve">who </w:t>
      </w:r>
      <w:r w:rsidR="003C4D83">
        <w:t xml:space="preserve">has claimed an Australian benefit under the </w:t>
      </w:r>
      <w:r w:rsidR="003C4D83" w:rsidRPr="00904DE8">
        <w:rPr>
          <w:i/>
        </w:rPr>
        <w:t>Agreement</w:t>
      </w:r>
      <w:r w:rsidR="003C4D83">
        <w:t>.</w:t>
      </w:r>
      <w:r w:rsidR="00BA0372">
        <w:t xml:space="preserve">  </w:t>
      </w:r>
      <w:r w:rsidR="00AD4C82">
        <w:t>The age pension is a “benefit”</w:t>
      </w:r>
      <w:r w:rsidR="003C4D83">
        <w:t>:</w:t>
      </w:r>
      <w:r w:rsidR="00AD4C82">
        <w:t xml:space="preserve"> </w:t>
      </w:r>
      <w:r w:rsidR="003C4D83">
        <w:t>see a</w:t>
      </w:r>
      <w:r w:rsidR="00BA0372">
        <w:t xml:space="preserve">rticle 2(1) </w:t>
      </w:r>
      <w:r w:rsidR="00AD4C82">
        <w:t xml:space="preserve">of </w:t>
      </w:r>
      <w:r w:rsidR="00BA0372">
        <w:t xml:space="preserve">the </w:t>
      </w:r>
      <w:r w:rsidR="00BA0372">
        <w:rPr>
          <w:i/>
        </w:rPr>
        <w:t>Agreement</w:t>
      </w:r>
      <w:r w:rsidR="00943A59">
        <w:t>.</w:t>
      </w:r>
      <w:r w:rsidR="00BA0372">
        <w:t xml:space="preserve">  </w:t>
      </w:r>
    </w:p>
    <w:p w:rsidR="001A28F6" w:rsidRDefault="00943A59" w:rsidP="0009148B">
      <w:pPr>
        <w:pStyle w:val="ParaNumbering"/>
      </w:pPr>
      <w:r>
        <w:t>Article 12(1</w:t>
      </w:r>
      <w:proofErr w:type="gramStart"/>
      <w:r>
        <w:t>)(</w:t>
      </w:r>
      <w:proofErr w:type="gramEnd"/>
      <w:r>
        <w:t>a) applies to the appellants</w:t>
      </w:r>
      <w:r w:rsidR="00CB7E55">
        <w:t xml:space="preserve"> because they cannot satisfy s 43(1)(a) </w:t>
      </w:r>
      <w:r w:rsidR="00AA67EB">
        <w:t xml:space="preserve">even though the definitions of “Australian resident” in s 7(2) and “10 years </w:t>
      </w:r>
      <w:r w:rsidR="00AA67EB">
        <w:rPr>
          <w:i/>
        </w:rPr>
        <w:t xml:space="preserve">qualifying Australian residence” </w:t>
      </w:r>
      <w:r w:rsidR="00AA67EB">
        <w:t xml:space="preserve">in s 7(5) </w:t>
      </w:r>
      <w:r>
        <w:t xml:space="preserve">are </w:t>
      </w:r>
      <w:r w:rsidR="00AA67EB">
        <w:t xml:space="preserve">affected by the definition of “Australian resident” </w:t>
      </w:r>
      <w:r w:rsidR="003C4D83">
        <w:t>by virtue of</w:t>
      </w:r>
      <w:r w:rsidR="00CB7E55">
        <w:t xml:space="preserve"> s 6 of the </w:t>
      </w:r>
      <w:r w:rsidR="00CB7E55">
        <w:rPr>
          <w:i/>
        </w:rPr>
        <w:t>International Agreements Act</w:t>
      </w:r>
      <w:r w:rsidR="00CB7E55">
        <w:t xml:space="preserve"> </w:t>
      </w:r>
      <w:r>
        <w:t xml:space="preserve">and </w:t>
      </w:r>
      <w:r w:rsidR="00AA67EB">
        <w:t xml:space="preserve">article 5(1) of the </w:t>
      </w:r>
      <w:r w:rsidR="00CB7E55">
        <w:rPr>
          <w:i/>
        </w:rPr>
        <w:t>Agreement</w:t>
      </w:r>
      <w:r w:rsidR="00AA67EB">
        <w:t xml:space="preserve">.  </w:t>
      </w:r>
      <w:r w:rsidR="006D13D5">
        <w:t>They cannot satisfy s 43(1</w:t>
      </w:r>
      <w:proofErr w:type="gramStart"/>
      <w:r w:rsidR="006D13D5">
        <w:t>)(</w:t>
      </w:r>
      <w:proofErr w:type="gramEnd"/>
      <w:r w:rsidR="006D13D5">
        <w:t>a)</w:t>
      </w:r>
      <w:r w:rsidR="00AA67EB">
        <w:t xml:space="preserve"> because, at the time they applied for the age pension in October 2014, they had been lawfully resident in Australia for less than 10 years.</w:t>
      </w:r>
      <w:r w:rsidR="00CB7E55">
        <w:t xml:space="preserve">  </w:t>
      </w:r>
      <w:r>
        <w:t xml:space="preserve">At that date Mrs </w:t>
      </w:r>
      <w:proofErr w:type="spellStart"/>
      <w:r>
        <w:t>Charan</w:t>
      </w:r>
      <w:proofErr w:type="spellEnd"/>
      <w:r>
        <w:t xml:space="preserve"> had </w:t>
      </w:r>
      <w:r w:rsidR="00FF28B2">
        <w:t xml:space="preserve">resided in Australia for </w:t>
      </w:r>
      <w:r w:rsidR="003565B7">
        <w:t xml:space="preserve">eight </w:t>
      </w:r>
      <w:r>
        <w:t xml:space="preserve">months and Mr </w:t>
      </w:r>
      <w:proofErr w:type="spellStart"/>
      <w:r>
        <w:t>Charan</w:t>
      </w:r>
      <w:proofErr w:type="spellEnd"/>
      <w:r>
        <w:t xml:space="preserve"> </w:t>
      </w:r>
      <w:r w:rsidR="00FF28B2">
        <w:t xml:space="preserve">for </w:t>
      </w:r>
      <w:r w:rsidR="00904DE8">
        <w:t xml:space="preserve">six </w:t>
      </w:r>
      <w:r w:rsidR="00FF28B2">
        <w:t>months.</w:t>
      </w:r>
    </w:p>
    <w:p w:rsidR="001A28F6" w:rsidRDefault="00F80B5F" w:rsidP="0009148B">
      <w:pPr>
        <w:pStyle w:val="ParaNumbering"/>
      </w:pPr>
      <w:r>
        <w:t>A</w:t>
      </w:r>
      <w:r w:rsidR="001A28F6">
        <w:t>rticle 12(1</w:t>
      </w:r>
      <w:proofErr w:type="gramStart"/>
      <w:r w:rsidR="001A28F6">
        <w:t>)(</w:t>
      </w:r>
      <w:proofErr w:type="gramEnd"/>
      <w:r w:rsidR="001A28F6">
        <w:t xml:space="preserve">b) </w:t>
      </w:r>
      <w:r>
        <w:t>h</w:t>
      </w:r>
      <w:r w:rsidR="001A28F6">
        <w:t xml:space="preserve">as no </w:t>
      </w:r>
      <w:r>
        <w:t xml:space="preserve">application because there is now no minimum </w:t>
      </w:r>
      <w:r w:rsidR="00FF28B2">
        <w:t xml:space="preserve">period of </w:t>
      </w:r>
      <w:r w:rsidR="001A28F6">
        <w:t>“working age residence” in Australia required</w:t>
      </w:r>
      <w:r w:rsidR="00FF28B2">
        <w:t xml:space="preserve"> as a precondition to the operation of article 12(1).  A</w:t>
      </w:r>
      <w:r w:rsidR="008B706E">
        <w:t>rticle </w:t>
      </w:r>
      <w:r w:rsidR="001A28F6">
        <w:t xml:space="preserve">12(3) was amended in </w:t>
      </w:r>
      <w:r w:rsidR="00943A59">
        <w:t xml:space="preserve">March </w:t>
      </w:r>
      <w:r w:rsidR="001A28F6">
        <w:t>2001</w:t>
      </w:r>
      <w:r w:rsidR="005471FB">
        <w:t>;</w:t>
      </w:r>
      <w:r w:rsidR="001A28F6">
        <w:t xml:space="preserve"> article 12(3</w:t>
      </w:r>
      <w:proofErr w:type="gramStart"/>
      <w:r w:rsidR="001A28F6">
        <w:t>)(</w:t>
      </w:r>
      <w:proofErr w:type="gramEnd"/>
      <w:r w:rsidR="001A28F6">
        <w:t xml:space="preserve">b) </w:t>
      </w:r>
      <w:r w:rsidR="005471FB">
        <w:t xml:space="preserve">now </w:t>
      </w:r>
      <w:r w:rsidR="00FF28B2">
        <w:t xml:space="preserve">provides </w:t>
      </w:r>
      <w:r w:rsidR="001A28F6">
        <w:t xml:space="preserve">that “for the purposes of an Australian benefit payable to an Australian resident, there will be no minimum period”.  </w:t>
      </w:r>
    </w:p>
    <w:p w:rsidR="00BB5BFA" w:rsidRDefault="001A28F6" w:rsidP="0009148B">
      <w:pPr>
        <w:pStyle w:val="ParaNumbering"/>
      </w:pPr>
      <w:r>
        <w:t>The appellants have period</w:t>
      </w:r>
      <w:r w:rsidR="00BB5BFA">
        <w:t>s</w:t>
      </w:r>
      <w:r>
        <w:t xml:space="preserve"> of “working age residence” in New Zealand </w:t>
      </w:r>
      <w:r w:rsidR="00DA28CD">
        <w:t xml:space="preserve">as mentioned in </w:t>
      </w:r>
      <w:r>
        <w:t>article 12(1</w:t>
      </w:r>
      <w:proofErr w:type="gramStart"/>
      <w:r>
        <w:t>)(</w:t>
      </w:r>
      <w:proofErr w:type="gramEnd"/>
      <w:r>
        <w:t>c).  As found by the AAT, at the time of their claim</w:t>
      </w:r>
      <w:r w:rsidR="006D13D5">
        <w:t>s</w:t>
      </w:r>
      <w:r w:rsidR="0026760F">
        <w:t xml:space="preserve"> in October 2014, Mrs </w:t>
      </w:r>
      <w:proofErr w:type="spellStart"/>
      <w:r>
        <w:t>Charan</w:t>
      </w:r>
      <w:proofErr w:type="spellEnd"/>
      <w:r>
        <w:t xml:space="preserve"> had approximately 73 months of working age residence in New Zealand a</w:t>
      </w:r>
      <w:r w:rsidR="00AA67EB">
        <w:t xml:space="preserve">nd </w:t>
      </w:r>
      <w:r>
        <w:t>Mr</w:t>
      </w:r>
      <w:r w:rsidR="006D13D5">
        <w:t> </w:t>
      </w:r>
      <w:proofErr w:type="spellStart"/>
      <w:r>
        <w:t>Charan</w:t>
      </w:r>
      <w:proofErr w:type="spellEnd"/>
      <w:r>
        <w:t xml:space="preserve"> 32 months</w:t>
      </w:r>
      <w:r w:rsidR="00AA67EB">
        <w:t>.</w:t>
      </w:r>
      <w:r w:rsidR="00943A59">
        <w:t xml:space="preserve">  </w:t>
      </w:r>
    </w:p>
    <w:p w:rsidR="00F5037D" w:rsidRDefault="00943A59" w:rsidP="0009148B">
      <w:pPr>
        <w:pStyle w:val="ParaNumbering"/>
      </w:pPr>
      <w:r>
        <w:t xml:space="preserve">The words after “then” in article 12(1) deem “working age residence” in New Zealand to be a period in which </w:t>
      </w:r>
      <w:r w:rsidR="00BB5BFA">
        <w:t>each of the appellants was</w:t>
      </w:r>
      <w:r>
        <w:t xml:space="preserve"> an </w:t>
      </w:r>
      <w:r w:rsidR="00BB5BFA">
        <w:t>“</w:t>
      </w:r>
      <w:r>
        <w:t xml:space="preserve">Australian resident” for the purpose of </w:t>
      </w:r>
      <w:r w:rsidR="00BB5BFA">
        <w:t xml:space="preserve">meeting </w:t>
      </w:r>
      <w:r>
        <w:t>the minimum qualifying period for the age pension under s 43(1)(a)</w:t>
      </w:r>
      <w:r w:rsidR="00804703">
        <w:t>.</w:t>
      </w:r>
      <w:r w:rsidR="00BB5BFA">
        <w:t xml:space="preserve"> </w:t>
      </w:r>
    </w:p>
    <w:p w:rsidR="00B70656" w:rsidRDefault="00AA67EB" w:rsidP="00D238A3">
      <w:pPr>
        <w:pStyle w:val="ParaNumbering"/>
      </w:pPr>
      <w:r>
        <w:lastRenderedPageBreak/>
        <w:t>There is no period in which the appellants had “working age residence” in both Australia and New Zealand, so article 12(2) has no work to do to avoid double counting under article 12(1).</w:t>
      </w:r>
    </w:p>
    <w:p w:rsidR="00F5037D" w:rsidRDefault="00943A59" w:rsidP="00943A59">
      <w:pPr>
        <w:pStyle w:val="ParaNumbering"/>
      </w:pPr>
      <w:r>
        <w:t xml:space="preserve">The “totalisation” performed by article 12(1) is </w:t>
      </w:r>
      <w:r w:rsidR="00EC3C36">
        <w:t xml:space="preserve">to </w:t>
      </w:r>
      <w:r>
        <w:t xml:space="preserve">combine the period in which the appellants were actually and lawfully resident in Australia </w:t>
      </w:r>
      <w:r w:rsidR="00E14B1E">
        <w:t>(deemed to be “Australian residence” under ss</w:t>
      </w:r>
      <w:r w:rsidR="00F12F56">
        <w:t> </w:t>
      </w:r>
      <w:r w:rsidR="00E14B1E">
        <w:t xml:space="preserve">7(2) and </w:t>
      </w:r>
      <w:r w:rsidR="00395B9D">
        <w:t>7 </w:t>
      </w:r>
      <w:r w:rsidR="00E14B1E">
        <w:t xml:space="preserve">(5) having regard to article 5(1)) together </w:t>
      </w:r>
      <w:r>
        <w:t>with the period of their “working age residence” in New Zealand</w:t>
      </w:r>
      <w:r w:rsidR="00EC3C36">
        <w:t xml:space="preserve"> </w:t>
      </w:r>
      <w:r w:rsidR="00BB5BFA">
        <w:t xml:space="preserve">to </w:t>
      </w:r>
      <w:r w:rsidR="00EC3C36">
        <w:t xml:space="preserve">see if </w:t>
      </w:r>
      <w:r w:rsidR="00BA0372">
        <w:t xml:space="preserve">that </w:t>
      </w:r>
      <w:r w:rsidR="00EC3C36">
        <w:t>amount</w:t>
      </w:r>
      <w:r w:rsidR="00BA0372">
        <w:t>s</w:t>
      </w:r>
      <w:r w:rsidR="00EC3C36">
        <w:t xml:space="preserve"> to </w:t>
      </w:r>
      <w:r w:rsidR="00BA0372">
        <w:t xml:space="preserve">the </w:t>
      </w:r>
      <w:r w:rsidR="005935D1">
        <w:t>“</w:t>
      </w:r>
      <w:r w:rsidR="00EC3C36">
        <w:t>10 years</w:t>
      </w:r>
      <w:r w:rsidR="00BA0372">
        <w:t xml:space="preserve"> </w:t>
      </w:r>
      <w:r w:rsidR="00BA0372" w:rsidRPr="00F80B5F">
        <w:rPr>
          <w:i/>
        </w:rPr>
        <w:t>qualifying Australian residence</w:t>
      </w:r>
      <w:r w:rsidR="00BA0372">
        <w:t>” required by s 43(1</w:t>
      </w:r>
      <w:proofErr w:type="gramStart"/>
      <w:r w:rsidR="00BA0372">
        <w:t>)(</w:t>
      </w:r>
      <w:proofErr w:type="gramEnd"/>
      <w:r w:rsidR="00BA0372">
        <w:t>a)</w:t>
      </w:r>
      <w:r>
        <w:t xml:space="preserve">.  The AAT and the primary judge were not in error in their </w:t>
      </w:r>
      <w:r w:rsidR="00BB5BFA">
        <w:t xml:space="preserve">interpretation of </w:t>
      </w:r>
      <w:r>
        <w:t>articles 5 and 12</w:t>
      </w:r>
      <w:r w:rsidR="00BB5BFA">
        <w:t xml:space="preserve"> or their approach to the impact of those articles of the </w:t>
      </w:r>
      <w:r w:rsidR="00BB5BFA" w:rsidRPr="00BB5BFA">
        <w:rPr>
          <w:i/>
        </w:rPr>
        <w:t xml:space="preserve">Agreement </w:t>
      </w:r>
      <w:r w:rsidR="00BB5BFA">
        <w:t xml:space="preserve">on ss 7(2), 7(5) and 43(1)(a) of the </w:t>
      </w:r>
      <w:r w:rsidR="00BB5BFA">
        <w:rPr>
          <w:i/>
        </w:rPr>
        <w:t xml:space="preserve">Social Security Act </w:t>
      </w:r>
      <w:r w:rsidR="00BB5BFA">
        <w:t xml:space="preserve">by reason of s 6 of the </w:t>
      </w:r>
      <w:r w:rsidR="00BB5BFA">
        <w:rPr>
          <w:i/>
        </w:rPr>
        <w:t>International Agreements Act</w:t>
      </w:r>
      <w:r>
        <w:t xml:space="preserve">.  </w:t>
      </w:r>
      <w:r w:rsidR="00F12F56">
        <w:t xml:space="preserve">A period of residence in New Zealand after attaining the age of 65 is not included in </w:t>
      </w:r>
      <w:r w:rsidR="008B706E">
        <w:t xml:space="preserve">that </w:t>
      </w:r>
      <w:r w:rsidR="00F12F56">
        <w:t>calculation.</w:t>
      </w:r>
    </w:p>
    <w:p w:rsidR="00EC3C36" w:rsidRDefault="00EC3C36" w:rsidP="00EC3C36">
      <w:pPr>
        <w:pStyle w:val="ParaNumbering"/>
      </w:pPr>
      <w:r>
        <w:t>That interpretation of article</w:t>
      </w:r>
      <w:r w:rsidR="00BB5BFA">
        <w:t>s</w:t>
      </w:r>
      <w:r>
        <w:t xml:space="preserve"> </w:t>
      </w:r>
      <w:r w:rsidR="00BB5BFA">
        <w:t xml:space="preserve">5 </w:t>
      </w:r>
      <w:r w:rsidR="00E14B1E">
        <w:t xml:space="preserve">and </w:t>
      </w:r>
      <w:r>
        <w:t xml:space="preserve">12 is consistent with the purpose of the </w:t>
      </w:r>
      <w:r>
        <w:rPr>
          <w:i/>
        </w:rPr>
        <w:t>Agreement</w:t>
      </w:r>
      <w:r w:rsidR="0026760F">
        <w:t>.  The </w:t>
      </w:r>
      <w:r>
        <w:t>Secretary correctly conceded that</w:t>
      </w:r>
      <w:r w:rsidR="006D13D5">
        <w:t>,</w:t>
      </w:r>
      <w:r>
        <w:t xml:space="preserve"> if the appellants remain legally resident in Australia, when the appellants</w:t>
      </w:r>
      <w:r w:rsidR="0026760F">
        <w:t>’</w:t>
      </w:r>
      <w:r>
        <w:t xml:space="preserve"> period of </w:t>
      </w:r>
      <w:r w:rsidR="00636337">
        <w:t>“</w:t>
      </w:r>
      <w:r>
        <w:t>residence in Australia</w:t>
      </w:r>
      <w:r w:rsidR="00636337">
        <w:t>”</w:t>
      </w:r>
      <w:r>
        <w:t xml:space="preserve"> taken with their periods of “working age residence” in New Zealand reaches 120 months, they will be entitled to claim an age pension, even if </w:t>
      </w:r>
      <w:r w:rsidR="006D13D5">
        <w:t xml:space="preserve">at that time </w:t>
      </w:r>
      <w:r>
        <w:t>they do not satisfy s 7(2)(b) or s 43(1)(a)</w:t>
      </w:r>
      <w:r w:rsidR="009D0540">
        <w:t xml:space="preserve"> (having regard to s 7(5))</w:t>
      </w:r>
      <w:r>
        <w:t xml:space="preserve"> “directly”</w:t>
      </w:r>
      <w:r w:rsidR="00636337">
        <w:t>, assuming the law remains the same</w:t>
      </w:r>
      <w:r w:rsidR="00533F05">
        <w:t xml:space="preserve">. </w:t>
      </w:r>
    </w:p>
    <w:p w:rsidR="00EC3C36" w:rsidRDefault="00BA0372" w:rsidP="00EC3C36">
      <w:pPr>
        <w:pStyle w:val="ParaNumbering"/>
      </w:pPr>
      <w:r>
        <w:t>For completeness, to address issues mentioned by the appellants, article 13(4) has no relevance to the appellants</w:t>
      </w:r>
      <w:r w:rsidR="00BB5BFA">
        <w:t>’</w:t>
      </w:r>
      <w:r>
        <w:t xml:space="preserve"> claim to an Australian age pension</w:t>
      </w:r>
      <w:r w:rsidR="004D6ABF">
        <w:t xml:space="preserve"> since they made their claims in Australia, not New Zealand.  No submissions made to the SSAT are relevant in this appeal</w:t>
      </w:r>
      <w:r>
        <w:t>.  In the circum</w:t>
      </w:r>
      <w:r w:rsidR="004D6ABF">
        <w:t>stances, it was unnecessary for Flick J to deal with the question of whether Mr</w:t>
      </w:r>
      <w:r w:rsidR="006D13D5">
        <w:t> </w:t>
      </w:r>
      <w:proofErr w:type="spellStart"/>
      <w:r w:rsidR="004D6ABF">
        <w:t>Charan’s</w:t>
      </w:r>
      <w:proofErr w:type="spellEnd"/>
      <w:r w:rsidR="004D6ABF">
        <w:t xml:space="preserve"> application was premature </w:t>
      </w:r>
      <w:r w:rsidR="00D02EA5">
        <w:t xml:space="preserve">under clause 4 of Schedule 2 of the </w:t>
      </w:r>
      <w:r w:rsidR="00D02EA5">
        <w:rPr>
          <w:i/>
        </w:rPr>
        <w:t xml:space="preserve">Administration Act </w:t>
      </w:r>
      <w:r w:rsidR="004D6ABF">
        <w:t>when he made it in October 2014.</w:t>
      </w:r>
      <w:r>
        <w:t xml:space="preserve"> </w:t>
      </w:r>
      <w:r w:rsidR="00121D36">
        <w:t xml:space="preserve"> Justice Flick did not “fail to justify” his findings which had the result that the appellants’ residence in New Zealand after </w:t>
      </w:r>
      <w:r w:rsidR="00F12F56">
        <w:t xml:space="preserve">reaching </w:t>
      </w:r>
      <w:r w:rsidR="00121D36">
        <w:t>the age of 65 was not included in the calculation of 10 years of “</w:t>
      </w:r>
      <w:r w:rsidR="00121D36">
        <w:rPr>
          <w:i/>
        </w:rPr>
        <w:t>qualifying Australian residence</w:t>
      </w:r>
      <w:r w:rsidR="00121D36">
        <w:t>” because it was not “</w:t>
      </w:r>
      <w:r w:rsidR="00121D36">
        <w:rPr>
          <w:i/>
        </w:rPr>
        <w:t>working age residence</w:t>
      </w:r>
      <w:r w:rsidR="00121D36">
        <w:t>”; that the appellants do not accept the explanation does not mean that none was given.</w:t>
      </w:r>
    </w:p>
    <w:p w:rsidR="00D02EA5" w:rsidRDefault="00D02EA5" w:rsidP="00EC3C36">
      <w:pPr>
        <w:pStyle w:val="ParaNumbering"/>
      </w:pPr>
      <w:r>
        <w:t xml:space="preserve">We reject the appellants’ contention that Flick J failed to afford them a fair hearing by </w:t>
      </w:r>
      <w:r w:rsidR="007A1DFD">
        <w:t>asking</w:t>
      </w:r>
      <w:r>
        <w:t xml:space="preserve"> Mr </w:t>
      </w:r>
      <w:proofErr w:type="spellStart"/>
      <w:r>
        <w:t>Charan</w:t>
      </w:r>
      <w:proofErr w:type="spellEnd"/>
      <w:r>
        <w:t xml:space="preserve"> to cease making oral submissions on s 7(5) </w:t>
      </w:r>
      <w:r w:rsidR="008B706E">
        <w:t xml:space="preserve">of the </w:t>
      </w:r>
      <w:r w:rsidR="008B706E">
        <w:rPr>
          <w:i/>
        </w:rPr>
        <w:t xml:space="preserve">Social Security Act </w:t>
      </w:r>
      <w:r>
        <w:t xml:space="preserve">and giving him an opportunity to provide </w:t>
      </w:r>
      <w:r w:rsidR="007A1DFD">
        <w:t xml:space="preserve">further </w:t>
      </w:r>
      <w:r>
        <w:t xml:space="preserve">written submissions.  The appellants </w:t>
      </w:r>
      <w:r w:rsidR="009E14BF">
        <w:t xml:space="preserve">were </w:t>
      </w:r>
      <w:r>
        <w:t xml:space="preserve">given a full and fair opportunity to make their argument.  </w:t>
      </w:r>
      <w:r w:rsidR="008A77F0">
        <w:t>His Honour</w:t>
      </w:r>
      <w:r>
        <w:t xml:space="preserve"> afforded them procedural fairness </w:t>
      </w:r>
      <w:r w:rsidR="00F80B5F">
        <w:t xml:space="preserve">by </w:t>
      </w:r>
      <w:r>
        <w:t xml:space="preserve">allowing them to provide </w:t>
      </w:r>
      <w:r w:rsidR="00F80B5F">
        <w:t xml:space="preserve">further </w:t>
      </w:r>
      <w:r>
        <w:t xml:space="preserve">written submissions of </w:t>
      </w:r>
      <w:r w:rsidR="005935D1">
        <w:t xml:space="preserve">27 pages (together with </w:t>
      </w:r>
      <w:r w:rsidR="005935D1">
        <w:lastRenderedPageBreak/>
        <w:t>attachments).  This was in addition to the</w:t>
      </w:r>
      <w:r w:rsidR="00560E88">
        <w:t xml:space="preserve"> written </w:t>
      </w:r>
      <w:r w:rsidR="005935D1">
        <w:t>submission</w:t>
      </w:r>
      <w:r w:rsidR="00560E88">
        <w:t>s</w:t>
      </w:r>
      <w:r w:rsidR="005935D1">
        <w:t xml:space="preserve"> filed</w:t>
      </w:r>
      <w:r w:rsidR="00560E88">
        <w:t xml:space="preserve"> by the </w:t>
      </w:r>
      <w:r w:rsidR="00DB657D">
        <w:t xml:space="preserve">appellants </w:t>
      </w:r>
      <w:r w:rsidR="005935D1">
        <w:t>prior to the hearing on 4 February 2016 (7</w:t>
      </w:r>
      <w:r w:rsidR="00642858">
        <w:t> </w:t>
      </w:r>
      <w:r w:rsidR="00565EE6">
        <w:t>pages) and 19 February 2016 (19</w:t>
      </w:r>
      <w:r w:rsidR="005935D1">
        <w:t xml:space="preserve"> pages).  </w:t>
      </w:r>
      <w:r>
        <w:t>Having regard to the issues addressed in the written submissions and in Flick J’s reasons, we do not accept that he failed to take those submissions into account</w:t>
      </w:r>
      <w:r w:rsidR="00642858">
        <w:t>,</w:t>
      </w:r>
      <w:r>
        <w:t xml:space="preserve"> he simply did not agree with them.</w:t>
      </w:r>
    </w:p>
    <w:p w:rsidR="00F5037D" w:rsidRDefault="00D02EA5" w:rsidP="00D02EA5">
      <w:pPr>
        <w:pStyle w:val="Heading1"/>
      </w:pPr>
      <w:r>
        <w:t>Disposition</w:t>
      </w:r>
    </w:p>
    <w:p w:rsidR="00A12AE0" w:rsidRDefault="00742765" w:rsidP="00A12AE0">
      <w:pPr>
        <w:pStyle w:val="ParaNumbering"/>
      </w:pPr>
      <w:r>
        <w:t xml:space="preserve">None of the grounds of appeal </w:t>
      </w:r>
      <w:r w:rsidR="008A77F0">
        <w:t xml:space="preserve">has </w:t>
      </w:r>
      <w:r>
        <w:t xml:space="preserve">been made out.  </w:t>
      </w:r>
      <w:r w:rsidR="00D02EA5">
        <w:t xml:space="preserve">The appeal </w:t>
      </w:r>
      <w:r w:rsidR="00680C69">
        <w:t>must</w:t>
      </w:r>
      <w:r w:rsidR="008A77F0">
        <w:t xml:space="preserve"> be </w:t>
      </w:r>
      <w:r w:rsidR="00D02EA5">
        <w:t>dismissed with costs.</w:t>
      </w:r>
    </w:p>
    <w:p w:rsidR="00A12AE0" w:rsidRDefault="00A12AE0" w:rsidP="00815065">
      <w:pPr>
        <w:pStyle w:val="BodyText"/>
      </w:pPr>
      <w:bookmarkStart w:id="22" w:name="Certification"/>
    </w:p>
    <w:tbl>
      <w:tblPr>
        <w:tblW w:w="0" w:type="auto"/>
        <w:tblLook w:val="04A0" w:firstRow="1" w:lastRow="0" w:firstColumn="1" w:lastColumn="0" w:noHBand="0" w:noVBand="1"/>
      </w:tblPr>
      <w:tblGrid>
        <w:gridCol w:w="3794"/>
      </w:tblGrid>
      <w:tr w:rsidR="00A12AE0" w:rsidRPr="00A12AE0">
        <w:tc>
          <w:tcPr>
            <w:tcW w:w="3794" w:type="dxa"/>
            <w:shd w:val="clear" w:color="auto" w:fill="auto"/>
          </w:tcPr>
          <w:p w:rsidR="00A12AE0" w:rsidRPr="00A12AE0" w:rsidRDefault="00A12AE0" w:rsidP="00A12AE0">
            <w:pPr>
              <w:pStyle w:val="Normal1linespace"/>
            </w:pPr>
            <w:r w:rsidRPr="00A12AE0">
              <w:t xml:space="preserve">I certify that the preceding </w:t>
            </w:r>
            <w:bookmarkStart w:id="23" w:name="NumberWord"/>
            <w:r>
              <w:t>sixty-f</w:t>
            </w:r>
            <w:r w:rsidR="00345144">
              <w:t>ive</w:t>
            </w:r>
            <w:bookmarkEnd w:id="23"/>
            <w:r w:rsidRPr="00A12AE0">
              <w:t xml:space="preserve"> (</w:t>
            </w:r>
            <w:bookmarkStart w:id="24" w:name="NumberNumeral"/>
            <w:r>
              <w:t>6</w:t>
            </w:r>
            <w:r w:rsidR="00B10227">
              <w:t>5</w:t>
            </w:r>
            <w:bookmarkEnd w:id="24"/>
            <w:r w:rsidRPr="00A12AE0">
              <w:t xml:space="preserve">) numbered </w:t>
            </w:r>
            <w:bookmarkStart w:id="25" w:name="CertPara"/>
            <w:r>
              <w:t>paragraphs are</w:t>
            </w:r>
            <w:bookmarkEnd w:id="25"/>
            <w:r w:rsidRPr="00A12AE0">
              <w:t xml:space="preserve"> a true copy of the Reasons for Judgment herein of the Honourable </w:t>
            </w:r>
            <w:bookmarkStart w:id="26" w:name="Justice"/>
            <w:r>
              <w:t>Justice Collier, Katzmann and Farrell</w:t>
            </w:r>
            <w:bookmarkEnd w:id="26"/>
            <w:r w:rsidRPr="00A12AE0">
              <w:t>.</w:t>
            </w:r>
          </w:p>
        </w:tc>
      </w:tr>
    </w:tbl>
    <w:p w:rsidR="00A12AE0" w:rsidRDefault="00A12AE0" w:rsidP="00815065">
      <w:pPr>
        <w:pStyle w:val="BodyText"/>
      </w:pPr>
    </w:p>
    <w:p w:rsidR="00A12AE0" w:rsidRDefault="00A12AE0" w:rsidP="00815065">
      <w:pPr>
        <w:pStyle w:val="BodyText"/>
      </w:pPr>
      <w:bookmarkStart w:id="27" w:name="_GoBack"/>
      <w:bookmarkEnd w:id="27"/>
    </w:p>
    <w:p w:rsidR="00A12AE0" w:rsidRDefault="00A12AE0" w:rsidP="00815065">
      <w:pPr>
        <w:pStyle w:val="BodyText"/>
      </w:pPr>
      <w:r>
        <w:t>Associate:</w:t>
      </w:r>
    </w:p>
    <w:p w:rsidR="00A12AE0" w:rsidRDefault="00A12AE0" w:rsidP="00815065">
      <w:pPr>
        <w:pStyle w:val="BodyText"/>
      </w:pPr>
    </w:p>
    <w:p w:rsidR="00A12AE0" w:rsidRDefault="00A12AE0" w:rsidP="00815065">
      <w:pPr>
        <w:pStyle w:val="BodyText"/>
        <w:tabs>
          <w:tab w:val="left" w:pos="1134"/>
        </w:tabs>
      </w:pPr>
      <w:r>
        <w:t>Dated:</w:t>
      </w:r>
      <w:r>
        <w:tab/>
      </w:r>
      <w:bookmarkStart w:id="28" w:name="CertifyDated"/>
      <w:r>
        <w:t>13 December 2016</w:t>
      </w:r>
      <w:bookmarkEnd w:id="28"/>
    </w:p>
    <w:p w:rsidR="00A12AE0" w:rsidRDefault="00A12AE0" w:rsidP="00815065">
      <w:pPr>
        <w:pStyle w:val="BodyText"/>
      </w:pPr>
    </w:p>
    <w:bookmarkEnd w:id="22"/>
    <w:p w:rsidR="00A12AE0" w:rsidRPr="00D02EA5" w:rsidRDefault="00A12AE0" w:rsidP="00A12AE0">
      <w:pPr>
        <w:pStyle w:val="BodyText"/>
      </w:pPr>
    </w:p>
    <w:sectPr w:rsidR="00A12AE0" w:rsidRPr="00D02EA5">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98" w:rsidRDefault="00C55298">
      <w:pPr>
        <w:spacing w:line="20" w:lineRule="exact"/>
      </w:pPr>
    </w:p>
    <w:p w:rsidR="00C55298" w:rsidRDefault="00C55298"/>
    <w:p w:rsidR="00C55298" w:rsidRDefault="00C55298"/>
  </w:endnote>
  <w:endnote w:type="continuationSeparator" w:id="0">
    <w:p w:rsidR="00C55298" w:rsidRDefault="00C55298">
      <w:r>
        <w:t xml:space="preserve"> </w:t>
      </w:r>
    </w:p>
    <w:p w:rsidR="00C55298" w:rsidRDefault="00C55298"/>
    <w:p w:rsidR="00C55298" w:rsidRDefault="00C55298"/>
  </w:endnote>
  <w:endnote w:type="continuationNotice" w:id="1">
    <w:p w:rsidR="00C55298" w:rsidRDefault="00C55298">
      <w:r>
        <w:t xml:space="preserve"> </w:t>
      </w:r>
    </w:p>
    <w:p w:rsidR="00C55298" w:rsidRDefault="00C55298"/>
    <w:p w:rsidR="00C55298" w:rsidRDefault="00C55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9C" w:rsidRDefault="00F9709C">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9C" w:rsidRPr="00624520" w:rsidRDefault="00F9709C"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9C" w:rsidRDefault="00F9709C"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98" w:rsidRDefault="00C55298"/>
    <w:p w:rsidR="00C55298" w:rsidRDefault="00C55298"/>
    <w:p w:rsidR="00C55298" w:rsidRDefault="00C55298"/>
  </w:footnote>
  <w:footnote w:type="continuationSeparator" w:id="0">
    <w:p w:rsidR="00C55298" w:rsidRDefault="00C55298">
      <w:r>
        <w:continuationSeparator/>
      </w:r>
    </w:p>
    <w:p w:rsidR="00C55298" w:rsidRDefault="00C55298"/>
    <w:p w:rsidR="00C55298" w:rsidRDefault="00C55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9C" w:rsidRDefault="00F9709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9C" w:rsidRDefault="00F9709C">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9C" w:rsidRDefault="00F9709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9C" w:rsidRDefault="00F9709C">
    <w:pPr>
      <w:tabs>
        <w:tab w:val="center" w:pos="4512"/>
      </w:tabs>
      <w:suppressAutoHyphens/>
    </w:pPr>
    <w:r>
      <w:tab/>
      <w:t xml:space="preserve">- </w:t>
    </w:r>
    <w:r>
      <w:fldChar w:fldCharType="begin"/>
    </w:r>
    <w:r>
      <w:instrText>page \* arabic</w:instrText>
    </w:r>
    <w:r>
      <w:fldChar w:fldCharType="separate"/>
    </w:r>
    <w:r w:rsidR="00870A96">
      <w:rPr>
        <w:noProof/>
      </w:rPr>
      <w:t>21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9C" w:rsidRDefault="00F9709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71596"/>
    <w:multiLevelType w:val="hybridMultilevel"/>
    <w:tmpl w:val="BD10B1EE"/>
    <w:lvl w:ilvl="0" w:tplc="2C3E958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BC37795"/>
    <w:multiLevelType w:val="hybridMultilevel"/>
    <w:tmpl w:val="951CBE70"/>
    <w:lvl w:ilvl="0" w:tplc="6978A2E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2B87A93"/>
    <w:multiLevelType w:val="hybridMultilevel"/>
    <w:tmpl w:val="08B2CF44"/>
    <w:lvl w:ilvl="0" w:tplc="4B24FA2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3C443340"/>
    <w:multiLevelType w:val="hybridMultilevel"/>
    <w:tmpl w:val="D564E808"/>
    <w:lvl w:ilvl="0" w:tplc="D5E0753A">
      <w:start w:val="1"/>
      <w:numFmt w:val="decimal"/>
      <w:lvlText w:val="%1."/>
      <w:lvlJc w:val="left"/>
      <w:pPr>
        <w:ind w:left="1211"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6FE19C4"/>
    <w:multiLevelType w:val="hybridMultilevel"/>
    <w:tmpl w:val="1BA01884"/>
    <w:lvl w:ilvl="0" w:tplc="D382C92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9012207"/>
    <w:multiLevelType w:val="hybridMultilevel"/>
    <w:tmpl w:val="4B5A30D8"/>
    <w:lvl w:ilvl="0" w:tplc="7646C424">
      <w:start w:val="5"/>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nsid w:val="77DF06C1"/>
    <w:multiLevelType w:val="hybridMultilevel"/>
    <w:tmpl w:val="982085C8"/>
    <w:lvl w:ilvl="0" w:tplc="84401D4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2"/>
  </w:num>
  <w:num w:numId="16">
    <w:abstractNumId w:val="28"/>
  </w:num>
  <w:num w:numId="17">
    <w:abstractNumId w:val="14"/>
  </w:num>
  <w:num w:numId="18">
    <w:abstractNumId w:val="26"/>
  </w:num>
  <w:num w:numId="19">
    <w:abstractNumId w:val="11"/>
  </w:num>
  <w:num w:numId="20">
    <w:abstractNumId w:val="18"/>
  </w:num>
  <w:num w:numId="21">
    <w:abstractNumId w:val="20"/>
  </w:num>
  <w:num w:numId="22">
    <w:abstractNumId w:val="16"/>
  </w:num>
  <w:num w:numId="23">
    <w:abstractNumId w:val="16"/>
  </w:num>
  <w:num w:numId="24">
    <w:abstractNumId w:val="12"/>
  </w:num>
  <w:num w:numId="25">
    <w:abstractNumId w:val="23"/>
  </w:num>
  <w:num w:numId="26">
    <w:abstractNumId w:val="17"/>
  </w:num>
  <w:num w:numId="27">
    <w:abstractNumId w:val="10"/>
  </w:num>
  <w:num w:numId="28">
    <w:abstractNumId w:val="19"/>
  </w:num>
  <w:num w:numId="29">
    <w:abstractNumId w:val="27"/>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 w:ilvl="0">
        <w:start w:val="1"/>
        <w:numFmt w:val="decimal"/>
        <w:pStyle w:val="ListNo1"/>
        <w:lvlText w:val=""/>
        <w:lvlJc w:val="left"/>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2">
    <w:abstractNumId w:val="15"/>
  </w:num>
  <w:num w:numId="3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nuradha Charan|Suresh Chara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834 of 2016"/>
    <w:docVar w:name="HearingDate" w:val="2 November 2016"/>
    <w:docVar w:name="Initiators" w:val="(and another named in the Schedule)"/>
    <w:docVar w:name="Judgdate" w:val="13 December 2016"/>
    <w:docVar w:name="Judge" w:val="Collier, Katzmann and Farrell JJ"/>
    <w:docVar w:name="Justices" w:val="Justice"/>
    <w:docVar w:name="lstEntryList" w:val="-1"/>
    <w:docVar w:name="myEntryList" w:val="Counsel for the Appellants=The appellants appeared in person|Counsel for the Respondent=Mr T Reilly|Solicitor for the Respondent=Mills Oakley Lawyers"/>
    <w:docVar w:name="NSD" w:val="NSD "/>
    <w:docVar w:name="NumApps" w:val="2"/>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Secretary, Department of Social Services"/>
    <w:docVar w:name="ResState" w:val="New South Wales"/>
    <w:docVar w:name="SubArea" w:val="[none]"/>
  </w:docVars>
  <w:rsids>
    <w:rsidRoot w:val="00BD7F45"/>
    <w:rsid w:val="00006EEA"/>
    <w:rsid w:val="000076C2"/>
    <w:rsid w:val="000139BD"/>
    <w:rsid w:val="0001417A"/>
    <w:rsid w:val="0001469E"/>
    <w:rsid w:val="00015993"/>
    <w:rsid w:val="00015FF0"/>
    <w:rsid w:val="000202A2"/>
    <w:rsid w:val="00022289"/>
    <w:rsid w:val="00026882"/>
    <w:rsid w:val="00032F9F"/>
    <w:rsid w:val="00041C07"/>
    <w:rsid w:val="000431D4"/>
    <w:rsid w:val="00045BB7"/>
    <w:rsid w:val="00055719"/>
    <w:rsid w:val="000558F0"/>
    <w:rsid w:val="0005641B"/>
    <w:rsid w:val="00060CBD"/>
    <w:rsid w:val="0006169D"/>
    <w:rsid w:val="00062D5C"/>
    <w:rsid w:val="00064923"/>
    <w:rsid w:val="000649AC"/>
    <w:rsid w:val="0007368B"/>
    <w:rsid w:val="00076D79"/>
    <w:rsid w:val="00081497"/>
    <w:rsid w:val="0009148B"/>
    <w:rsid w:val="000921FF"/>
    <w:rsid w:val="000937C8"/>
    <w:rsid w:val="00094A9D"/>
    <w:rsid w:val="0009752A"/>
    <w:rsid w:val="000A2E76"/>
    <w:rsid w:val="000A4807"/>
    <w:rsid w:val="000A4BE4"/>
    <w:rsid w:val="000C023E"/>
    <w:rsid w:val="000C38C8"/>
    <w:rsid w:val="000C5195"/>
    <w:rsid w:val="000C62EF"/>
    <w:rsid w:val="000D1C93"/>
    <w:rsid w:val="000D2137"/>
    <w:rsid w:val="000D38F9"/>
    <w:rsid w:val="000D3FD2"/>
    <w:rsid w:val="000E150B"/>
    <w:rsid w:val="000E4FAB"/>
    <w:rsid w:val="000E51F1"/>
    <w:rsid w:val="000E61E9"/>
    <w:rsid w:val="000E7BAE"/>
    <w:rsid w:val="000F0FBB"/>
    <w:rsid w:val="000F133D"/>
    <w:rsid w:val="000F377E"/>
    <w:rsid w:val="000F596B"/>
    <w:rsid w:val="0010062F"/>
    <w:rsid w:val="00103C28"/>
    <w:rsid w:val="0010536B"/>
    <w:rsid w:val="0011145C"/>
    <w:rsid w:val="001128BD"/>
    <w:rsid w:val="00114043"/>
    <w:rsid w:val="0011419D"/>
    <w:rsid w:val="00115DDB"/>
    <w:rsid w:val="001214CF"/>
    <w:rsid w:val="00121D36"/>
    <w:rsid w:val="001318F4"/>
    <w:rsid w:val="00132054"/>
    <w:rsid w:val="00143E54"/>
    <w:rsid w:val="001600FA"/>
    <w:rsid w:val="001668C3"/>
    <w:rsid w:val="00170EBD"/>
    <w:rsid w:val="001727A4"/>
    <w:rsid w:val="0017300E"/>
    <w:rsid w:val="0017376C"/>
    <w:rsid w:val="001738AB"/>
    <w:rsid w:val="001740FC"/>
    <w:rsid w:val="001765E0"/>
    <w:rsid w:val="00177284"/>
    <w:rsid w:val="00177759"/>
    <w:rsid w:val="001845B5"/>
    <w:rsid w:val="00185E6B"/>
    <w:rsid w:val="00185EAD"/>
    <w:rsid w:val="00187BBC"/>
    <w:rsid w:val="0019066B"/>
    <w:rsid w:val="00191130"/>
    <w:rsid w:val="00191CF3"/>
    <w:rsid w:val="001932F3"/>
    <w:rsid w:val="001A28F6"/>
    <w:rsid w:val="001A4309"/>
    <w:rsid w:val="001B1053"/>
    <w:rsid w:val="001B14AC"/>
    <w:rsid w:val="001B6BEE"/>
    <w:rsid w:val="001B737D"/>
    <w:rsid w:val="001B7940"/>
    <w:rsid w:val="001C0DCF"/>
    <w:rsid w:val="001C37CA"/>
    <w:rsid w:val="001D4303"/>
    <w:rsid w:val="001D6746"/>
    <w:rsid w:val="001E32D0"/>
    <w:rsid w:val="001E3B49"/>
    <w:rsid w:val="001E4FE5"/>
    <w:rsid w:val="001E61CE"/>
    <w:rsid w:val="001E7388"/>
    <w:rsid w:val="001F13DD"/>
    <w:rsid w:val="001F2DBC"/>
    <w:rsid w:val="0020255B"/>
    <w:rsid w:val="0020262C"/>
    <w:rsid w:val="00205B3D"/>
    <w:rsid w:val="00211ADE"/>
    <w:rsid w:val="0021375F"/>
    <w:rsid w:val="002158F7"/>
    <w:rsid w:val="00224537"/>
    <w:rsid w:val="00227DB2"/>
    <w:rsid w:val="00235956"/>
    <w:rsid w:val="0024703B"/>
    <w:rsid w:val="00247C9A"/>
    <w:rsid w:val="0025160C"/>
    <w:rsid w:val="002535D0"/>
    <w:rsid w:val="002539B3"/>
    <w:rsid w:val="00257C3E"/>
    <w:rsid w:val="00260140"/>
    <w:rsid w:val="002602C2"/>
    <w:rsid w:val="0026054E"/>
    <w:rsid w:val="00261072"/>
    <w:rsid w:val="002627E9"/>
    <w:rsid w:val="002666C9"/>
    <w:rsid w:val="0026760F"/>
    <w:rsid w:val="00270136"/>
    <w:rsid w:val="00270F5D"/>
    <w:rsid w:val="002745A5"/>
    <w:rsid w:val="00274F5B"/>
    <w:rsid w:val="00275D06"/>
    <w:rsid w:val="00280836"/>
    <w:rsid w:val="00282E1A"/>
    <w:rsid w:val="00283B9D"/>
    <w:rsid w:val="0029113B"/>
    <w:rsid w:val="00292E20"/>
    <w:rsid w:val="002932A5"/>
    <w:rsid w:val="002934C0"/>
    <w:rsid w:val="00294275"/>
    <w:rsid w:val="002A1B50"/>
    <w:rsid w:val="002A1E4D"/>
    <w:rsid w:val="002A4C07"/>
    <w:rsid w:val="002B0E91"/>
    <w:rsid w:val="002B5550"/>
    <w:rsid w:val="002B6779"/>
    <w:rsid w:val="002B71C0"/>
    <w:rsid w:val="002B7A34"/>
    <w:rsid w:val="002C0541"/>
    <w:rsid w:val="002C066A"/>
    <w:rsid w:val="002C086C"/>
    <w:rsid w:val="002C2A27"/>
    <w:rsid w:val="002C31AD"/>
    <w:rsid w:val="002C6CE4"/>
    <w:rsid w:val="002C72B2"/>
    <w:rsid w:val="002C7385"/>
    <w:rsid w:val="002D2DBB"/>
    <w:rsid w:val="002D54A6"/>
    <w:rsid w:val="002D758D"/>
    <w:rsid w:val="002E080C"/>
    <w:rsid w:val="002E1E63"/>
    <w:rsid w:val="002E5BC2"/>
    <w:rsid w:val="002E6A7A"/>
    <w:rsid w:val="002F0686"/>
    <w:rsid w:val="002F1E49"/>
    <w:rsid w:val="002F3237"/>
    <w:rsid w:val="002F4E9C"/>
    <w:rsid w:val="00304E64"/>
    <w:rsid w:val="00306A20"/>
    <w:rsid w:val="0031256C"/>
    <w:rsid w:val="00314D6C"/>
    <w:rsid w:val="00316D2A"/>
    <w:rsid w:val="00322A7C"/>
    <w:rsid w:val="003325E6"/>
    <w:rsid w:val="003337EF"/>
    <w:rsid w:val="0033531F"/>
    <w:rsid w:val="003402D3"/>
    <w:rsid w:val="00343ABC"/>
    <w:rsid w:val="0034407F"/>
    <w:rsid w:val="00345144"/>
    <w:rsid w:val="003463FE"/>
    <w:rsid w:val="003554B3"/>
    <w:rsid w:val="003565B7"/>
    <w:rsid w:val="00356632"/>
    <w:rsid w:val="00361266"/>
    <w:rsid w:val="00361327"/>
    <w:rsid w:val="003845A9"/>
    <w:rsid w:val="00384CF5"/>
    <w:rsid w:val="00390883"/>
    <w:rsid w:val="00391186"/>
    <w:rsid w:val="003922F8"/>
    <w:rsid w:val="003934F0"/>
    <w:rsid w:val="00393603"/>
    <w:rsid w:val="00395B24"/>
    <w:rsid w:val="00395B9D"/>
    <w:rsid w:val="003A21A0"/>
    <w:rsid w:val="003A2B63"/>
    <w:rsid w:val="003A2D38"/>
    <w:rsid w:val="003A4DF1"/>
    <w:rsid w:val="003A54BF"/>
    <w:rsid w:val="003A7ECC"/>
    <w:rsid w:val="003B2C72"/>
    <w:rsid w:val="003C1333"/>
    <w:rsid w:val="003C20FF"/>
    <w:rsid w:val="003C23D9"/>
    <w:rsid w:val="003C4D83"/>
    <w:rsid w:val="003D2650"/>
    <w:rsid w:val="003D560C"/>
    <w:rsid w:val="003D6419"/>
    <w:rsid w:val="003E264D"/>
    <w:rsid w:val="003E3D86"/>
    <w:rsid w:val="003E4DCE"/>
    <w:rsid w:val="003E5100"/>
    <w:rsid w:val="003E5874"/>
    <w:rsid w:val="003F0DC1"/>
    <w:rsid w:val="003F193E"/>
    <w:rsid w:val="003F34F1"/>
    <w:rsid w:val="00400793"/>
    <w:rsid w:val="00403DDD"/>
    <w:rsid w:val="004042E6"/>
    <w:rsid w:val="00411AE8"/>
    <w:rsid w:val="0041398A"/>
    <w:rsid w:val="00413B74"/>
    <w:rsid w:val="00414153"/>
    <w:rsid w:val="004211BB"/>
    <w:rsid w:val="00435C5F"/>
    <w:rsid w:val="00435E39"/>
    <w:rsid w:val="00441A32"/>
    <w:rsid w:val="00441E98"/>
    <w:rsid w:val="00450481"/>
    <w:rsid w:val="004532F7"/>
    <w:rsid w:val="00461E51"/>
    <w:rsid w:val="004627AB"/>
    <w:rsid w:val="00472027"/>
    <w:rsid w:val="004720C0"/>
    <w:rsid w:val="0047570E"/>
    <w:rsid w:val="004804CF"/>
    <w:rsid w:val="00484962"/>
    <w:rsid w:val="00484F6D"/>
    <w:rsid w:val="0049338A"/>
    <w:rsid w:val="0049417F"/>
    <w:rsid w:val="004A133B"/>
    <w:rsid w:val="004A29F3"/>
    <w:rsid w:val="004A57FC"/>
    <w:rsid w:val="004A6B50"/>
    <w:rsid w:val="004B3EFA"/>
    <w:rsid w:val="004B4987"/>
    <w:rsid w:val="004B6A89"/>
    <w:rsid w:val="004C0F3A"/>
    <w:rsid w:val="004C2A87"/>
    <w:rsid w:val="004C4ED3"/>
    <w:rsid w:val="004D1503"/>
    <w:rsid w:val="004D2EA5"/>
    <w:rsid w:val="004D32A6"/>
    <w:rsid w:val="004D4C77"/>
    <w:rsid w:val="004D53E5"/>
    <w:rsid w:val="004D6ABF"/>
    <w:rsid w:val="004E0398"/>
    <w:rsid w:val="004E22F9"/>
    <w:rsid w:val="004E3C28"/>
    <w:rsid w:val="004E5EE9"/>
    <w:rsid w:val="004E6AC4"/>
    <w:rsid w:val="004E7AE6"/>
    <w:rsid w:val="00501A12"/>
    <w:rsid w:val="0050748D"/>
    <w:rsid w:val="0051314D"/>
    <w:rsid w:val="0051346D"/>
    <w:rsid w:val="00513EAE"/>
    <w:rsid w:val="00513F4E"/>
    <w:rsid w:val="00515608"/>
    <w:rsid w:val="00515D72"/>
    <w:rsid w:val="005160A2"/>
    <w:rsid w:val="00516806"/>
    <w:rsid w:val="0052080C"/>
    <w:rsid w:val="00520CBE"/>
    <w:rsid w:val="00521756"/>
    <w:rsid w:val="00525A49"/>
    <w:rsid w:val="0053271B"/>
    <w:rsid w:val="00533F05"/>
    <w:rsid w:val="00535613"/>
    <w:rsid w:val="005359EB"/>
    <w:rsid w:val="005408DF"/>
    <w:rsid w:val="005408E8"/>
    <w:rsid w:val="005420A8"/>
    <w:rsid w:val="0054254A"/>
    <w:rsid w:val="0054384E"/>
    <w:rsid w:val="005466B5"/>
    <w:rsid w:val="005471FB"/>
    <w:rsid w:val="0055020D"/>
    <w:rsid w:val="00552258"/>
    <w:rsid w:val="00552ADE"/>
    <w:rsid w:val="00554852"/>
    <w:rsid w:val="00560E88"/>
    <w:rsid w:val="005629B3"/>
    <w:rsid w:val="00565EE6"/>
    <w:rsid w:val="005737B3"/>
    <w:rsid w:val="00573AC4"/>
    <w:rsid w:val="005801FC"/>
    <w:rsid w:val="00590814"/>
    <w:rsid w:val="005935D1"/>
    <w:rsid w:val="00595016"/>
    <w:rsid w:val="005965C3"/>
    <w:rsid w:val="00597AAE"/>
    <w:rsid w:val="005A222C"/>
    <w:rsid w:val="005A4DF8"/>
    <w:rsid w:val="005B1426"/>
    <w:rsid w:val="005B796D"/>
    <w:rsid w:val="005C0A8E"/>
    <w:rsid w:val="005C1767"/>
    <w:rsid w:val="005C42EF"/>
    <w:rsid w:val="005C526A"/>
    <w:rsid w:val="005C6D66"/>
    <w:rsid w:val="005C6D6B"/>
    <w:rsid w:val="005C7D91"/>
    <w:rsid w:val="005D05D3"/>
    <w:rsid w:val="005D716A"/>
    <w:rsid w:val="005E02F5"/>
    <w:rsid w:val="005E0510"/>
    <w:rsid w:val="005E176E"/>
    <w:rsid w:val="005E218E"/>
    <w:rsid w:val="005E32E3"/>
    <w:rsid w:val="005E35A0"/>
    <w:rsid w:val="005F0D1B"/>
    <w:rsid w:val="005F1865"/>
    <w:rsid w:val="006007BD"/>
    <w:rsid w:val="006013C8"/>
    <w:rsid w:val="0060270D"/>
    <w:rsid w:val="00604611"/>
    <w:rsid w:val="006112DE"/>
    <w:rsid w:val="00611586"/>
    <w:rsid w:val="006126C9"/>
    <w:rsid w:val="0061304B"/>
    <w:rsid w:val="0061529D"/>
    <w:rsid w:val="00621887"/>
    <w:rsid w:val="0062331D"/>
    <w:rsid w:val="00624520"/>
    <w:rsid w:val="00632BB7"/>
    <w:rsid w:val="00635B36"/>
    <w:rsid w:val="00636337"/>
    <w:rsid w:val="00636871"/>
    <w:rsid w:val="00640F4E"/>
    <w:rsid w:val="00642858"/>
    <w:rsid w:val="00643DE0"/>
    <w:rsid w:val="00644E85"/>
    <w:rsid w:val="006516A6"/>
    <w:rsid w:val="00653B87"/>
    <w:rsid w:val="0066063F"/>
    <w:rsid w:val="00662BB0"/>
    <w:rsid w:val="00663878"/>
    <w:rsid w:val="00665199"/>
    <w:rsid w:val="00667773"/>
    <w:rsid w:val="00670743"/>
    <w:rsid w:val="00680C69"/>
    <w:rsid w:val="00682F10"/>
    <w:rsid w:val="006841E9"/>
    <w:rsid w:val="00690EE2"/>
    <w:rsid w:val="00694A05"/>
    <w:rsid w:val="006A0E20"/>
    <w:rsid w:val="006A3A35"/>
    <w:rsid w:val="006A5695"/>
    <w:rsid w:val="006B3904"/>
    <w:rsid w:val="006B54F5"/>
    <w:rsid w:val="006B5B7D"/>
    <w:rsid w:val="006B70CA"/>
    <w:rsid w:val="006D0ECF"/>
    <w:rsid w:val="006D13D5"/>
    <w:rsid w:val="006D26B1"/>
    <w:rsid w:val="006D4C92"/>
    <w:rsid w:val="006D4EB6"/>
    <w:rsid w:val="006D6524"/>
    <w:rsid w:val="006E35BF"/>
    <w:rsid w:val="006E563E"/>
    <w:rsid w:val="006E7850"/>
    <w:rsid w:val="006F1F55"/>
    <w:rsid w:val="006F3FA3"/>
    <w:rsid w:val="006F5FD9"/>
    <w:rsid w:val="006F7FDE"/>
    <w:rsid w:val="007028D9"/>
    <w:rsid w:val="0070368B"/>
    <w:rsid w:val="00707218"/>
    <w:rsid w:val="00711987"/>
    <w:rsid w:val="00712B1D"/>
    <w:rsid w:val="00717612"/>
    <w:rsid w:val="00730F24"/>
    <w:rsid w:val="007325D9"/>
    <w:rsid w:val="007354CB"/>
    <w:rsid w:val="007360CA"/>
    <w:rsid w:val="00742765"/>
    <w:rsid w:val="00743862"/>
    <w:rsid w:val="00745D05"/>
    <w:rsid w:val="0075506F"/>
    <w:rsid w:val="00755541"/>
    <w:rsid w:val="0076221E"/>
    <w:rsid w:val="00762291"/>
    <w:rsid w:val="00771422"/>
    <w:rsid w:val="00772A0D"/>
    <w:rsid w:val="00775F37"/>
    <w:rsid w:val="0078003A"/>
    <w:rsid w:val="00780771"/>
    <w:rsid w:val="00786F32"/>
    <w:rsid w:val="007929CF"/>
    <w:rsid w:val="0079670E"/>
    <w:rsid w:val="007A1DFD"/>
    <w:rsid w:val="007A6F28"/>
    <w:rsid w:val="007B03C6"/>
    <w:rsid w:val="007B0DB1"/>
    <w:rsid w:val="007B6A28"/>
    <w:rsid w:val="007C00FF"/>
    <w:rsid w:val="007C4972"/>
    <w:rsid w:val="007D2EF8"/>
    <w:rsid w:val="007D561F"/>
    <w:rsid w:val="007D6636"/>
    <w:rsid w:val="007D7315"/>
    <w:rsid w:val="007D7FD2"/>
    <w:rsid w:val="007E13D9"/>
    <w:rsid w:val="007E1760"/>
    <w:rsid w:val="007E4DB6"/>
    <w:rsid w:val="007E533C"/>
    <w:rsid w:val="007E5D6A"/>
    <w:rsid w:val="007E68AD"/>
    <w:rsid w:val="007E7CD4"/>
    <w:rsid w:val="007F4590"/>
    <w:rsid w:val="007F5C68"/>
    <w:rsid w:val="00800300"/>
    <w:rsid w:val="00800F9C"/>
    <w:rsid w:val="00801800"/>
    <w:rsid w:val="00801B5B"/>
    <w:rsid w:val="00804703"/>
    <w:rsid w:val="008069C6"/>
    <w:rsid w:val="008276B4"/>
    <w:rsid w:val="008300EA"/>
    <w:rsid w:val="00831927"/>
    <w:rsid w:val="00835289"/>
    <w:rsid w:val="008403B2"/>
    <w:rsid w:val="00841BD3"/>
    <w:rsid w:val="0084273D"/>
    <w:rsid w:val="00844E3F"/>
    <w:rsid w:val="00845A83"/>
    <w:rsid w:val="0085432E"/>
    <w:rsid w:val="008555A3"/>
    <w:rsid w:val="0086274B"/>
    <w:rsid w:val="0086399F"/>
    <w:rsid w:val="008706EB"/>
    <w:rsid w:val="00870A96"/>
    <w:rsid w:val="008712BB"/>
    <w:rsid w:val="00874413"/>
    <w:rsid w:val="00875BD6"/>
    <w:rsid w:val="00876389"/>
    <w:rsid w:val="00884F3A"/>
    <w:rsid w:val="00890C6F"/>
    <w:rsid w:val="00892E24"/>
    <w:rsid w:val="008A1747"/>
    <w:rsid w:val="008A2484"/>
    <w:rsid w:val="008A387D"/>
    <w:rsid w:val="008A77F0"/>
    <w:rsid w:val="008B0883"/>
    <w:rsid w:val="008B706E"/>
    <w:rsid w:val="008C03EB"/>
    <w:rsid w:val="008C26D9"/>
    <w:rsid w:val="008C6D50"/>
    <w:rsid w:val="008C7167"/>
    <w:rsid w:val="008C7503"/>
    <w:rsid w:val="008D1617"/>
    <w:rsid w:val="008D3E3F"/>
    <w:rsid w:val="008E1649"/>
    <w:rsid w:val="008E6315"/>
    <w:rsid w:val="008F11E0"/>
    <w:rsid w:val="008F74A8"/>
    <w:rsid w:val="008F78BC"/>
    <w:rsid w:val="008F7B63"/>
    <w:rsid w:val="008F7D6A"/>
    <w:rsid w:val="00902E9D"/>
    <w:rsid w:val="00904DE8"/>
    <w:rsid w:val="009054CB"/>
    <w:rsid w:val="00912F94"/>
    <w:rsid w:val="0092590B"/>
    <w:rsid w:val="00925E60"/>
    <w:rsid w:val="00926473"/>
    <w:rsid w:val="009264B3"/>
    <w:rsid w:val="00930F1E"/>
    <w:rsid w:val="00936BB2"/>
    <w:rsid w:val="00942BA2"/>
    <w:rsid w:val="00943A59"/>
    <w:rsid w:val="00944C86"/>
    <w:rsid w:val="00945CC5"/>
    <w:rsid w:val="00951663"/>
    <w:rsid w:val="009523ED"/>
    <w:rsid w:val="0095531F"/>
    <w:rsid w:val="00957C19"/>
    <w:rsid w:val="00957DE8"/>
    <w:rsid w:val="00960ECB"/>
    <w:rsid w:val="009613ED"/>
    <w:rsid w:val="009615D6"/>
    <w:rsid w:val="009619B7"/>
    <w:rsid w:val="00967855"/>
    <w:rsid w:val="00973AC9"/>
    <w:rsid w:val="009769A5"/>
    <w:rsid w:val="00980736"/>
    <w:rsid w:val="00981A39"/>
    <w:rsid w:val="00987097"/>
    <w:rsid w:val="0099237C"/>
    <w:rsid w:val="009B046C"/>
    <w:rsid w:val="009B13FA"/>
    <w:rsid w:val="009B1E2D"/>
    <w:rsid w:val="009C3AE8"/>
    <w:rsid w:val="009C59FB"/>
    <w:rsid w:val="009C6F3B"/>
    <w:rsid w:val="009D0356"/>
    <w:rsid w:val="009D0540"/>
    <w:rsid w:val="009D0A61"/>
    <w:rsid w:val="009D0B8B"/>
    <w:rsid w:val="009D0E44"/>
    <w:rsid w:val="009E0C7E"/>
    <w:rsid w:val="009E14BF"/>
    <w:rsid w:val="009E4FA6"/>
    <w:rsid w:val="009E7D93"/>
    <w:rsid w:val="009F3ECE"/>
    <w:rsid w:val="009F5C33"/>
    <w:rsid w:val="009F6AF4"/>
    <w:rsid w:val="00A03EAC"/>
    <w:rsid w:val="00A03EFB"/>
    <w:rsid w:val="00A05C71"/>
    <w:rsid w:val="00A11CA6"/>
    <w:rsid w:val="00A12AE0"/>
    <w:rsid w:val="00A154F3"/>
    <w:rsid w:val="00A17241"/>
    <w:rsid w:val="00A20C49"/>
    <w:rsid w:val="00A213D8"/>
    <w:rsid w:val="00A267E0"/>
    <w:rsid w:val="00A269CA"/>
    <w:rsid w:val="00A30DE2"/>
    <w:rsid w:val="00A35071"/>
    <w:rsid w:val="00A359AC"/>
    <w:rsid w:val="00A40204"/>
    <w:rsid w:val="00A41413"/>
    <w:rsid w:val="00A419E6"/>
    <w:rsid w:val="00A451CF"/>
    <w:rsid w:val="00A45FB1"/>
    <w:rsid w:val="00A46CCC"/>
    <w:rsid w:val="00A50789"/>
    <w:rsid w:val="00A51CFE"/>
    <w:rsid w:val="00A52CFB"/>
    <w:rsid w:val="00A67AC6"/>
    <w:rsid w:val="00A75AE6"/>
    <w:rsid w:val="00A764F5"/>
    <w:rsid w:val="00A76C13"/>
    <w:rsid w:val="00A86692"/>
    <w:rsid w:val="00A86BC5"/>
    <w:rsid w:val="00A92E79"/>
    <w:rsid w:val="00A950B6"/>
    <w:rsid w:val="00AA67EB"/>
    <w:rsid w:val="00AA6D7D"/>
    <w:rsid w:val="00AB2E95"/>
    <w:rsid w:val="00AB41C1"/>
    <w:rsid w:val="00AB53E5"/>
    <w:rsid w:val="00AC6017"/>
    <w:rsid w:val="00AC7768"/>
    <w:rsid w:val="00AD12A8"/>
    <w:rsid w:val="00AD309B"/>
    <w:rsid w:val="00AD4C82"/>
    <w:rsid w:val="00AD5652"/>
    <w:rsid w:val="00AE0ED0"/>
    <w:rsid w:val="00AE7005"/>
    <w:rsid w:val="00AF3577"/>
    <w:rsid w:val="00AF35F9"/>
    <w:rsid w:val="00B0426D"/>
    <w:rsid w:val="00B05C7D"/>
    <w:rsid w:val="00B10227"/>
    <w:rsid w:val="00B143ED"/>
    <w:rsid w:val="00B17564"/>
    <w:rsid w:val="00B254F0"/>
    <w:rsid w:val="00B346C3"/>
    <w:rsid w:val="00B3570E"/>
    <w:rsid w:val="00B427D8"/>
    <w:rsid w:val="00B4471C"/>
    <w:rsid w:val="00B44DAE"/>
    <w:rsid w:val="00B451A6"/>
    <w:rsid w:val="00B551E2"/>
    <w:rsid w:val="00B70656"/>
    <w:rsid w:val="00B722DE"/>
    <w:rsid w:val="00B7286B"/>
    <w:rsid w:val="00B76C44"/>
    <w:rsid w:val="00B8274E"/>
    <w:rsid w:val="00B83884"/>
    <w:rsid w:val="00B83F87"/>
    <w:rsid w:val="00B85201"/>
    <w:rsid w:val="00B90407"/>
    <w:rsid w:val="00B955D0"/>
    <w:rsid w:val="00BA0372"/>
    <w:rsid w:val="00BA2EFA"/>
    <w:rsid w:val="00BA3DBC"/>
    <w:rsid w:val="00BA5890"/>
    <w:rsid w:val="00BB2D57"/>
    <w:rsid w:val="00BB2DA2"/>
    <w:rsid w:val="00BB3D3A"/>
    <w:rsid w:val="00BB56DC"/>
    <w:rsid w:val="00BB5BFA"/>
    <w:rsid w:val="00BB6255"/>
    <w:rsid w:val="00BC5F4A"/>
    <w:rsid w:val="00BD404F"/>
    <w:rsid w:val="00BD4736"/>
    <w:rsid w:val="00BD7EE6"/>
    <w:rsid w:val="00BD7F45"/>
    <w:rsid w:val="00BE183D"/>
    <w:rsid w:val="00BE41C1"/>
    <w:rsid w:val="00BE5D0E"/>
    <w:rsid w:val="00BE73FA"/>
    <w:rsid w:val="00BF5D7A"/>
    <w:rsid w:val="00C128AC"/>
    <w:rsid w:val="00C12E86"/>
    <w:rsid w:val="00C1360D"/>
    <w:rsid w:val="00C16F4C"/>
    <w:rsid w:val="00C17215"/>
    <w:rsid w:val="00C20384"/>
    <w:rsid w:val="00C27E86"/>
    <w:rsid w:val="00C36442"/>
    <w:rsid w:val="00C400CE"/>
    <w:rsid w:val="00C410FD"/>
    <w:rsid w:val="00C41897"/>
    <w:rsid w:val="00C42588"/>
    <w:rsid w:val="00C4470C"/>
    <w:rsid w:val="00C47A9C"/>
    <w:rsid w:val="00C52ED1"/>
    <w:rsid w:val="00C539FB"/>
    <w:rsid w:val="00C55298"/>
    <w:rsid w:val="00C55AF9"/>
    <w:rsid w:val="00C57675"/>
    <w:rsid w:val="00C62BFA"/>
    <w:rsid w:val="00C71292"/>
    <w:rsid w:val="00C73202"/>
    <w:rsid w:val="00C9067C"/>
    <w:rsid w:val="00C91474"/>
    <w:rsid w:val="00C92347"/>
    <w:rsid w:val="00CA246D"/>
    <w:rsid w:val="00CB4455"/>
    <w:rsid w:val="00CB5636"/>
    <w:rsid w:val="00CB7E55"/>
    <w:rsid w:val="00CE70C6"/>
    <w:rsid w:val="00CE75E5"/>
    <w:rsid w:val="00CF3A78"/>
    <w:rsid w:val="00D02EA5"/>
    <w:rsid w:val="00D10A76"/>
    <w:rsid w:val="00D10F21"/>
    <w:rsid w:val="00D111A8"/>
    <w:rsid w:val="00D21A27"/>
    <w:rsid w:val="00D238A3"/>
    <w:rsid w:val="00D33135"/>
    <w:rsid w:val="00D338DE"/>
    <w:rsid w:val="00D34040"/>
    <w:rsid w:val="00D34E69"/>
    <w:rsid w:val="00D375EE"/>
    <w:rsid w:val="00D62699"/>
    <w:rsid w:val="00D65AC5"/>
    <w:rsid w:val="00D66524"/>
    <w:rsid w:val="00D70616"/>
    <w:rsid w:val="00D82620"/>
    <w:rsid w:val="00D928FB"/>
    <w:rsid w:val="00D941C1"/>
    <w:rsid w:val="00D9725F"/>
    <w:rsid w:val="00DA01B1"/>
    <w:rsid w:val="00DA11A2"/>
    <w:rsid w:val="00DA14ED"/>
    <w:rsid w:val="00DA28CD"/>
    <w:rsid w:val="00DA661B"/>
    <w:rsid w:val="00DB2EF1"/>
    <w:rsid w:val="00DB3DE1"/>
    <w:rsid w:val="00DB5DA0"/>
    <w:rsid w:val="00DB657D"/>
    <w:rsid w:val="00DB716C"/>
    <w:rsid w:val="00DC3728"/>
    <w:rsid w:val="00DC5432"/>
    <w:rsid w:val="00DC5C85"/>
    <w:rsid w:val="00DD4236"/>
    <w:rsid w:val="00DD44F1"/>
    <w:rsid w:val="00DD531C"/>
    <w:rsid w:val="00DE2C7D"/>
    <w:rsid w:val="00DE3067"/>
    <w:rsid w:val="00E00D2C"/>
    <w:rsid w:val="00E027BC"/>
    <w:rsid w:val="00E03CDA"/>
    <w:rsid w:val="00E14B1E"/>
    <w:rsid w:val="00E14EA5"/>
    <w:rsid w:val="00E21133"/>
    <w:rsid w:val="00E22D2F"/>
    <w:rsid w:val="00E2327E"/>
    <w:rsid w:val="00E266EF"/>
    <w:rsid w:val="00E465A8"/>
    <w:rsid w:val="00E47428"/>
    <w:rsid w:val="00E66B9F"/>
    <w:rsid w:val="00E70C4C"/>
    <w:rsid w:val="00E710D6"/>
    <w:rsid w:val="00E73B28"/>
    <w:rsid w:val="00E74115"/>
    <w:rsid w:val="00E7659A"/>
    <w:rsid w:val="00E76E45"/>
    <w:rsid w:val="00E777C9"/>
    <w:rsid w:val="00E81DA6"/>
    <w:rsid w:val="00E84212"/>
    <w:rsid w:val="00E848E4"/>
    <w:rsid w:val="00E85B9F"/>
    <w:rsid w:val="00E9086C"/>
    <w:rsid w:val="00E91446"/>
    <w:rsid w:val="00E91A0F"/>
    <w:rsid w:val="00E9368C"/>
    <w:rsid w:val="00E94A71"/>
    <w:rsid w:val="00E95B71"/>
    <w:rsid w:val="00EA03CE"/>
    <w:rsid w:val="00EA23E5"/>
    <w:rsid w:val="00EA4E2E"/>
    <w:rsid w:val="00EB2CCB"/>
    <w:rsid w:val="00EB5A70"/>
    <w:rsid w:val="00EB73A4"/>
    <w:rsid w:val="00EC028E"/>
    <w:rsid w:val="00EC3C36"/>
    <w:rsid w:val="00EC57A7"/>
    <w:rsid w:val="00ED0817"/>
    <w:rsid w:val="00ED7DD9"/>
    <w:rsid w:val="00EE27C6"/>
    <w:rsid w:val="00EE4AAE"/>
    <w:rsid w:val="00EF2818"/>
    <w:rsid w:val="00EF2B35"/>
    <w:rsid w:val="00EF30A2"/>
    <w:rsid w:val="00EF3113"/>
    <w:rsid w:val="00EF3F84"/>
    <w:rsid w:val="00F01214"/>
    <w:rsid w:val="00F07884"/>
    <w:rsid w:val="00F12BF9"/>
    <w:rsid w:val="00F12F56"/>
    <w:rsid w:val="00F136E9"/>
    <w:rsid w:val="00F176AC"/>
    <w:rsid w:val="00F2111B"/>
    <w:rsid w:val="00F27714"/>
    <w:rsid w:val="00F30A6C"/>
    <w:rsid w:val="00F32169"/>
    <w:rsid w:val="00F3276E"/>
    <w:rsid w:val="00F335EE"/>
    <w:rsid w:val="00F33D3C"/>
    <w:rsid w:val="00F37A91"/>
    <w:rsid w:val="00F4058F"/>
    <w:rsid w:val="00F45CF5"/>
    <w:rsid w:val="00F47DB0"/>
    <w:rsid w:val="00F5037D"/>
    <w:rsid w:val="00F50E34"/>
    <w:rsid w:val="00F53A05"/>
    <w:rsid w:val="00F53EF7"/>
    <w:rsid w:val="00F54BF2"/>
    <w:rsid w:val="00F7725D"/>
    <w:rsid w:val="00F80B5F"/>
    <w:rsid w:val="00F81F7F"/>
    <w:rsid w:val="00F861E8"/>
    <w:rsid w:val="00F92355"/>
    <w:rsid w:val="00F93963"/>
    <w:rsid w:val="00F94291"/>
    <w:rsid w:val="00F952F7"/>
    <w:rsid w:val="00F95367"/>
    <w:rsid w:val="00F9709C"/>
    <w:rsid w:val="00FA0396"/>
    <w:rsid w:val="00FA2000"/>
    <w:rsid w:val="00FA3D2A"/>
    <w:rsid w:val="00FB2341"/>
    <w:rsid w:val="00FB7982"/>
    <w:rsid w:val="00FC0734"/>
    <w:rsid w:val="00FC0FC5"/>
    <w:rsid w:val="00FC588F"/>
    <w:rsid w:val="00FD01BE"/>
    <w:rsid w:val="00FD0FB1"/>
    <w:rsid w:val="00FD495C"/>
    <w:rsid w:val="00FD4A74"/>
    <w:rsid w:val="00FD52E6"/>
    <w:rsid w:val="00FD5D33"/>
    <w:rsid w:val="00FE1B30"/>
    <w:rsid w:val="00FE1E9C"/>
    <w:rsid w:val="00FE5735"/>
    <w:rsid w:val="00FE59FA"/>
    <w:rsid w:val="00FE60DC"/>
    <w:rsid w:val="00FE7B44"/>
    <w:rsid w:val="00FF28B2"/>
    <w:rsid w:val="00FF2BD0"/>
    <w:rsid w:val="00FF6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62331D"/>
    <w:pPr>
      <w:ind w:left="720"/>
      <w:contextualSpacing/>
    </w:pPr>
  </w:style>
  <w:style w:type="character" w:customStyle="1" w:styleId="bold1">
    <w:name w:val="bold1"/>
    <w:basedOn w:val="DefaultParagraphFont"/>
    <w:rsid w:val="0086399F"/>
    <w:rPr>
      <w:b/>
      <w:bCs/>
    </w:rPr>
  </w:style>
  <w:style w:type="paragraph" w:styleId="Revision">
    <w:name w:val="Revision"/>
    <w:hidden/>
    <w:uiPriority w:val="99"/>
    <w:semiHidden/>
    <w:rsid w:val="00E22D2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62331D"/>
    <w:pPr>
      <w:ind w:left="720"/>
      <w:contextualSpacing/>
    </w:pPr>
  </w:style>
  <w:style w:type="character" w:customStyle="1" w:styleId="bold1">
    <w:name w:val="bold1"/>
    <w:basedOn w:val="DefaultParagraphFont"/>
    <w:rsid w:val="0086399F"/>
    <w:rPr>
      <w:b/>
      <w:bCs/>
    </w:rPr>
  </w:style>
  <w:style w:type="paragraph" w:styleId="Revision">
    <w:name w:val="Revision"/>
    <w:hidden/>
    <w:uiPriority w:val="99"/>
    <w:semiHidden/>
    <w:rsid w:val="00E22D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6603">
      <w:bodyDiv w:val="1"/>
      <w:marLeft w:val="0"/>
      <w:marRight w:val="0"/>
      <w:marTop w:val="0"/>
      <w:marBottom w:val="0"/>
      <w:divBdr>
        <w:top w:val="none" w:sz="0" w:space="0" w:color="auto"/>
        <w:left w:val="none" w:sz="0" w:space="0" w:color="auto"/>
        <w:bottom w:val="none" w:sz="0" w:space="0" w:color="auto"/>
        <w:right w:val="none" w:sz="0" w:space="0" w:color="auto"/>
      </w:divBdr>
    </w:div>
    <w:div w:id="758646940">
      <w:bodyDiv w:val="1"/>
      <w:marLeft w:val="0"/>
      <w:marRight w:val="0"/>
      <w:marTop w:val="0"/>
      <w:marBottom w:val="0"/>
      <w:divBdr>
        <w:top w:val="none" w:sz="0" w:space="0" w:color="auto"/>
        <w:left w:val="none" w:sz="0" w:space="0" w:color="auto"/>
        <w:bottom w:val="none" w:sz="0" w:space="0" w:color="auto"/>
        <w:right w:val="none" w:sz="0" w:space="0" w:color="auto"/>
      </w:divBdr>
    </w:div>
    <w:div w:id="995917594">
      <w:bodyDiv w:val="1"/>
      <w:marLeft w:val="0"/>
      <w:marRight w:val="0"/>
      <w:marTop w:val="0"/>
      <w:marBottom w:val="0"/>
      <w:divBdr>
        <w:top w:val="none" w:sz="0" w:space="0" w:color="auto"/>
        <w:left w:val="none" w:sz="0" w:space="0" w:color="auto"/>
        <w:bottom w:val="none" w:sz="0" w:space="0" w:color="auto"/>
        <w:right w:val="none" w:sz="0" w:space="0" w:color="auto"/>
      </w:divBdr>
      <w:divsChild>
        <w:div w:id="73210113">
          <w:marLeft w:val="0"/>
          <w:marRight w:val="0"/>
          <w:marTop w:val="0"/>
          <w:marBottom w:val="0"/>
          <w:divBdr>
            <w:top w:val="none" w:sz="0" w:space="0" w:color="auto"/>
            <w:left w:val="none" w:sz="0" w:space="0" w:color="auto"/>
            <w:bottom w:val="none" w:sz="0" w:space="0" w:color="auto"/>
            <w:right w:val="none" w:sz="0" w:space="0" w:color="auto"/>
          </w:divBdr>
          <w:divsChild>
            <w:div w:id="1939827953">
              <w:marLeft w:val="0"/>
              <w:marRight w:val="0"/>
              <w:marTop w:val="0"/>
              <w:marBottom w:val="0"/>
              <w:divBdr>
                <w:top w:val="none" w:sz="0" w:space="0" w:color="auto"/>
                <w:left w:val="single" w:sz="6" w:space="0" w:color="E4E4E4"/>
                <w:bottom w:val="none" w:sz="0" w:space="0" w:color="auto"/>
                <w:right w:val="none" w:sz="0" w:space="0" w:color="auto"/>
              </w:divBdr>
              <w:divsChild>
                <w:div w:id="1146315622">
                  <w:marLeft w:val="0"/>
                  <w:marRight w:val="0"/>
                  <w:marTop w:val="0"/>
                  <w:marBottom w:val="0"/>
                  <w:divBdr>
                    <w:top w:val="none" w:sz="0" w:space="0" w:color="auto"/>
                    <w:left w:val="none" w:sz="0" w:space="0" w:color="auto"/>
                    <w:bottom w:val="none" w:sz="0" w:space="0" w:color="auto"/>
                    <w:right w:val="none" w:sz="0" w:space="0" w:color="auto"/>
                  </w:divBdr>
                  <w:divsChild>
                    <w:div w:id="855195294">
                      <w:marLeft w:val="0"/>
                      <w:marRight w:val="0"/>
                      <w:marTop w:val="0"/>
                      <w:marBottom w:val="0"/>
                      <w:divBdr>
                        <w:top w:val="none" w:sz="0" w:space="0" w:color="auto"/>
                        <w:left w:val="none" w:sz="0" w:space="0" w:color="auto"/>
                        <w:bottom w:val="none" w:sz="0" w:space="0" w:color="auto"/>
                        <w:right w:val="none" w:sz="0" w:space="0" w:color="auto"/>
                      </w:divBdr>
                      <w:divsChild>
                        <w:div w:id="1788502064">
                          <w:marLeft w:val="0"/>
                          <w:marRight w:val="0"/>
                          <w:marTop w:val="0"/>
                          <w:marBottom w:val="105"/>
                          <w:divBdr>
                            <w:top w:val="none" w:sz="0" w:space="0" w:color="auto"/>
                            <w:left w:val="none" w:sz="0" w:space="0" w:color="auto"/>
                            <w:bottom w:val="none" w:sz="0" w:space="0" w:color="auto"/>
                            <w:right w:val="none" w:sz="0" w:space="0" w:color="auto"/>
                          </w:divBdr>
                          <w:divsChild>
                            <w:div w:id="1119758899">
                              <w:marLeft w:val="0"/>
                              <w:marRight w:val="0"/>
                              <w:marTop w:val="105"/>
                              <w:marBottom w:val="0"/>
                              <w:divBdr>
                                <w:top w:val="none" w:sz="0" w:space="0" w:color="auto"/>
                                <w:left w:val="none" w:sz="0" w:space="0" w:color="auto"/>
                                <w:bottom w:val="none" w:sz="0" w:space="0" w:color="auto"/>
                                <w:right w:val="none" w:sz="0" w:space="0" w:color="auto"/>
                              </w:divBdr>
                              <w:divsChild>
                                <w:div w:id="1410080375">
                                  <w:marLeft w:val="0"/>
                                  <w:marRight w:val="0"/>
                                  <w:marTop w:val="0"/>
                                  <w:marBottom w:val="105"/>
                                  <w:divBdr>
                                    <w:top w:val="none" w:sz="0" w:space="0" w:color="auto"/>
                                    <w:left w:val="none" w:sz="0" w:space="0" w:color="auto"/>
                                    <w:bottom w:val="none" w:sz="0" w:space="0" w:color="auto"/>
                                    <w:right w:val="none" w:sz="0" w:space="0" w:color="auto"/>
                                  </w:divBdr>
                                  <w:divsChild>
                                    <w:div w:id="865021914">
                                      <w:marLeft w:val="0"/>
                                      <w:marRight w:val="0"/>
                                      <w:marTop w:val="105"/>
                                      <w:marBottom w:val="0"/>
                                      <w:divBdr>
                                        <w:top w:val="none" w:sz="0" w:space="0" w:color="auto"/>
                                        <w:left w:val="none" w:sz="0" w:space="0" w:color="auto"/>
                                        <w:bottom w:val="none" w:sz="0" w:space="0" w:color="auto"/>
                                        <w:right w:val="none" w:sz="0" w:space="0" w:color="auto"/>
                                      </w:divBdr>
                                      <w:divsChild>
                                        <w:div w:id="460459234">
                                          <w:marLeft w:val="0"/>
                                          <w:marRight w:val="0"/>
                                          <w:marTop w:val="0"/>
                                          <w:marBottom w:val="105"/>
                                          <w:divBdr>
                                            <w:top w:val="none" w:sz="0" w:space="0" w:color="auto"/>
                                            <w:left w:val="none" w:sz="0" w:space="0" w:color="auto"/>
                                            <w:bottom w:val="none" w:sz="0" w:space="0" w:color="auto"/>
                                            <w:right w:val="none" w:sz="0" w:space="0" w:color="auto"/>
                                          </w:divBdr>
                                          <w:divsChild>
                                            <w:div w:id="507907340">
                                              <w:marLeft w:val="0"/>
                                              <w:marRight w:val="0"/>
                                              <w:marTop w:val="105"/>
                                              <w:marBottom w:val="0"/>
                                              <w:divBdr>
                                                <w:top w:val="none" w:sz="0" w:space="0" w:color="auto"/>
                                                <w:left w:val="none" w:sz="0" w:space="0" w:color="auto"/>
                                                <w:bottom w:val="none" w:sz="0" w:space="0" w:color="auto"/>
                                                <w:right w:val="none" w:sz="0" w:space="0" w:color="auto"/>
                                              </w:divBdr>
                                              <w:divsChild>
                                                <w:div w:id="388922654">
                                                  <w:marLeft w:val="0"/>
                                                  <w:marRight w:val="0"/>
                                                  <w:marTop w:val="0"/>
                                                  <w:marBottom w:val="105"/>
                                                  <w:divBdr>
                                                    <w:top w:val="none" w:sz="0" w:space="0" w:color="auto"/>
                                                    <w:left w:val="none" w:sz="0" w:space="0" w:color="auto"/>
                                                    <w:bottom w:val="none" w:sz="0" w:space="0" w:color="auto"/>
                                                    <w:right w:val="none" w:sz="0" w:space="0" w:color="auto"/>
                                                  </w:divBdr>
                                                  <w:divsChild>
                                                    <w:div w:id="12915949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840524">
      <w:bodyDiv w:val="1"/>
      <w:marLeft w:val="0"/>
      <w:marRight w:val="0"/>
      <w:marTop w:val="0"/>
      <w:marBottom w:val="0"/>
      <w:divBdr>
        <w:top w:val="none" w:sz="0" w:space="0" w:color="auto"/>
        <w:left w:val="none" w:sz="0" w:space="0" w:color="auto"/>
        <w:bottom w:val="none" w:sz="0" w:space="0" w:color="auto"/>
        <w:right w:val="none" w:sz="0" w:space="0" w:color="auto"/>
      </w:divBdr>
    </w:div>
    <w:div w:id="1331641461">
      <w:bodyDiv w:val="1"/>
      <w:marLeft w:val="0"/>
      <w:marRight w:val="0"/>
      <w:marTop w:val="0"/>
      <w:marBottom w:val="0"/>
      <w:divBdr>
        <w:top w:val="none" w:sz="0" w:space="0" w:color="auto"/>
        <w:left w:val="none" w:sz="0" w:space="0" w:color="auto"/>
        <w:bottom w:val="none" w:sz="0" w:space="0" w:color="auto"/>
        <w:right w:val="none" w:sz="0" w:space="0" w:color="auto"/>
      </w:divBdr>
      <w:divsChild>
        <w:div w:id="1306466294">
          <w:marLeft w:val="0"/>
          <w:marRight w:val="0"/>
          <w:marTop w:val="0"/>
          <w:marBottom w:val="0"/>
          <w:divBdr>
            <w:top w:val="none" w:sz="0" w:space="0" w:color="auto"/>
            <w:left w:val="none" w:sz="0" w:space="0" w:color="auto"/>
            <w:bottom w:val="none" w:sz="0" w:space="0" w:color="auto"/>
            <w:right w:val="none" w:sz="0" w:space="0" w:color="auto"/>
          </w:divBdr>
          <w:divsChild>
            <w:div w:id="856237648">
              <w:marLeft w:val="0"/>
              <w:marRight w:val="0"/>
              <w:marTop w:val="0"/>
              <w:marBottom w:val="0"/>
              <w:divBdr>
                <w:top w:val="none" w:sz="0" w:space="0" w:color="auto"/>
                <w:left w:val="single" w:sz="6" w:space="0" w:color="E4E4E4"/>
                <w:bottom w:val="none" w:sz="0" w:space="0" w:color="auto"/>
                <w:right w:val="none" w:sz="0" w:space="0" w:color="auto"/>
              </w:divBdr>
              <w:divsChild>
                <w:div w:id="484053315">
                  <w:marLeft w:val="0"/>
                  <w:marRight w:val="0"/>
                  <w:marTop w:val="0"/>
                  <w:marBottom w:val="0"/>
                  <w:divBdr>
                    <w:top w:val="none" w:sz="0" w:space="0" w:color="auto"/>
                    <w:left w:val="none" w:sz="0" w:space="0" w:color="auto"/>
                    <w:bottom w:val="none" w:sz="0" w:space="0" w:color="auto"/>
                    <w:right w:val="none" w:sz="0" w:space="0" w:color="auto"/>
                  </w:divBdr>
                  <w:divsChild>
                    <w:div w:id="1634167396">
                      <w:marLeft w:val="0"/>
                      <w:marRight w:val="0"/>
                      <w:marTop w:val="0"/>
                      <w:marBottom w:val="0"/>
                      <w:divBdr>
                        <w:top w:val="none" w:sz="0" w:space="0" w:color="auto"/>
                        <w:left w:val="none" w:sz="0" w:space="0" w:color="auto"/>
                        <w:bottom w:val="none" w:sz="0" w:space="0" w:color="auto"/>
                        <w:right w:val="none" w:sz="0" w:space="0" w:color="auto"/>
                      </w:divBdr>
                      <w:divsChild>
                        <w:div w:id="142353156">
                          <w:marLeft w:val="0"/>
                          <w:marRight w:val="0"/>
                          <w:marTop w:val="0"/>
                          <w:marBottom w:val="105"/>
                          <w:divBdr>
                            <w:top w:val="none" w:sz="0" w:space="0" w:color="auto"/>
                            <w:left w:val="none" w:sz="0" w:space="0" w:color="auto"/>
                            <w:bottom w:val="none" w:sz="0" w:space="0" w:color="auto"/>
                            <w:right w:val="none" w:sz="0" w:space="0" w:color="auto"/>
                          </w:divBdr>
                          <w:divsChild>
                            <w:div w:id="27295740">
                              <w:marLeft w:val="0"/>
                              <w:marRight w:val="0"/>
                              <w:marTop w:val="105"/>
                              <w:marBottom w:val="0"/>
                              <w:divBdr>
                                <w:top w:val="none" w:sz="0" w:space="0" w:color="auto"/>
                                <w:left w:val="none" w:sz="0" w:space="0" w:color="auto"/>
                                <w:bottom w:val="none" w:sz="0" w:space="0" w:color="auto"/>
                                <w:right w:val="none" w:sz="0" w:space="0" w:color="auto"/>
                              </w:divBdr>
                              <w:divsChild>
                                <w:div w:id="1673147836">
                                  <w:marLeft w:val="0"/>
                                  <w:marRight w:val="0"/>
                                  <w:marTop w:val="0"/>
                                  <w:marBottom w:val="105"/>
                                  <w:divBdr>
                                    <w:top w:val="none" w:sz="0" w:space="0" w:color="auto"/>
                                    <w:left w:val="none" w:sz="0" w:space="0" w:color="auto"/>
                                    <w:bottom w:val="none" w:sz="0" w:space="0" w:color="auto"/>
                                    <w:right w:val="none" w:sz="0" w:space="0" w:color="auto"/>
                                  </w:divBdr>
                                  <w:divsChild>
                                    <w:div w:id="2079597036">
                                      <w:marLeft w:val="0"/>
                                      <w:marRight w:val="0"/>
                                      <w:marTop w:val="105"/>
                                      <w:marBottom w:val="0"/>
                                      <w:divBdr>
                                        <w:top w:val="none" w:sz="0" w:space="0" w:color="auto"/>
                                        <w:left w:val="none" w:sz="0" w:space="0" w:color="auto"/>
                                        <w:bottom w:val="none" w:sz="0" w:space="0" w:color="auto"/>
                                        <w:right w:val="none" w:sz="0" w:space="0" w:color="auto"/>
                                      </w:divBdr>
                                      <w:divsChild>
                                        <w:div w:id="1280184584">
                                          <w:marLeft w:val="0"/>
                                          <w:marRight w:val="0"/>
                                          <w:marTop w:val="0"/>
                                          <w:marBottom w:val="105"/>
                                          <w:divBdr>
                                            <w:top w:val="none" w:sz="0" w:space="0" w:color="auto"/>
                                            <w:left w:val="none" w:sz="0" w:space="0" w:color="auto"/>
                                            <w:bottom w:val="none" w:sz="0" w:space="0" w:color="auto"/>
                                            <w:right w:val="none" w:sz="0" w:space="0" w:color="auto"/>
                                          </w:divBdr>
                                          <w:divsChild>
                                            <w:div w:id="545335981">
                                              <w:marLeft w:val="0"/>
                                              <w:marRight w:val="0"/>
                                              <w:marTop w:val="105"/>
                                              <w:marBottom w:val="0"/>
                                              <w:divBdr>
                                                <w:top w:val="none" w:sz="0" w:space="0" w:color="auto"/>
                                                <w:left w:val="none" w:sz="0" w:space="0" w:color="auto"/>
                                                <w:bottom w:val="none" w:sz="0" w:space="0" w:color="auto"/>
                                                <w:right w:val="none" w:sz="0" w:space="0" w:color="auto"/>
                                              </w:divBdr>
                                              <w:divsChild>
                                                <w:div w:id="294062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768028">
      <w:bodyDiv w:val="1"/>
      <w:marLeft w:val="0"/>
      <w:marRight w:val="0"/>
      <w:marTop w:val="0"/>
      <w:marBottom w:val="0"/>
      <w:divBdr>
        <w:top w:val="none" w:sz="0" w:space="0" w:color="auto"/>
        <w:left w:val="none" w:sz="0" w:space="0" w:color="auto"/>
        <w:bottom w:val="none" w:sz="0" w:space="0" w:color="auto"/>
        <w:right w:val="none" w:sz="0" w:space="0" w:color="auto"/>
      </w:divBdr>
    </w:div>
    <w:div w:id="2026899437">
      <w:bodyDiv w:val="1"/>
      <w:marLeft w:val="0"/>
      <w:marRight w:val="0"/>
      <w:marTop w:val="0"/>
      <w:marBottom w:val="0"/>
      <w:divBdr>
        <w:top w:val="none" w:sz="0" w:space="0" w:color="auto"/>
        <w:left w:val="none" w:sz="0" w:space="0" w:color="auto"/>
        <w:bottom w:val="none" w:sz="0" w:space="0" w:color="auto"/>
        <w:right w:val="none" w:sz="0" w:space="0" w:color="auto"/>
      </w:divBdr>
      <w:divsChild>
        <w:div w:id="1771659227">
          <w:marLeft w:val="0"/>
          <w:marRight w:val="0"/>
          <w:marTop w:val="0"/>
          <w:marBottom w:val="0"/>
          <w:divBdr>
            <w:top w:val="none" w:sz="0" w:space="0" w:color="auto"/>
            <w:left w:val="none" w:sz="0" w:space="0" w:color="auto"/>
            <w:bottom w:val="none" w:sz="0" w:space="0" w:color="auto"/>
            <w:right w:val="none" w:sz="0" w:space="0" w:color="auto"/>
          </w:divBdr>
          <w:divsChild>
            <w:div w:id="180046162">
              <w:marLeft w:val="0"/>
              <w:marRight w:val="0"/>
              <w:marTop w:val="0"/>
              <w:marBottom w:val="0"/>
              <w:divBdr>
                <w:top w:val="none" w:sz="0" w:space="0" w:color="auto"/>
                <w:left w:val="single" w:sz="6" w:space="0" w:color="E4E4E4"/>
                <w:bottom w:val="none" w:sz="0" w:space="0" w:color="auto"/>
                <w:right w:val="none" w:sz="0" w:space="0" w:color="auto"/>
              </w:divBdr>
              <w:divsChild>
                <w:div w:id="39209102">
                  <w:marLeft w:val="0"/>
                  <w:marRight w:val="0"/>
                  <w:marTop w:val="0"/>
                  <w:marBottom w:val="0"/>
                  <w:divBdr>
                    <w:top w:val="none" w:sz="0" w:space="0" w:color="auto"/>
                    <w:left w:val="none" w:sz="0" w:space="0" w:color="auto"/>
                    <w:bottom w:val="none" w:sz="0" w:space="0" w:color="auto"/>
                    <w:right w:val="none" w:sz="0" w:space="0" w:color="auto"/>
                  </w:divBdr>
                  <w:divsChild>
                    <w:div w:id="122697248">
                      <w:marLeft w:val="0"/>
                      <w:marRight w:val="0"/>
                      <w:marTop w:val="0"/>
                      <w:marBottom w:val="0"/>
                      <w:divBdr>
                        <w:top w:val="none" w:sz="0" w:space="0" w:color="auto"/>
                        <w:left w:val="none" w:sz="0" w:space="0" w:color="auto"/>
                        <w:bottom w:val="none" w:sz="0" w:space="0" w:color="auto"/>
                        <w:right w:val="none" w:sz="0" w:space="0" w:color="auto"/>
                      </w:divBdr>
                      <w:divsChild>
                        <w:div w:id="1936204355">
                          <w:marLeft w:val="0"/>
                          <w:marRight w:val="0"/>
                          <w:marTop w:val="0"/>
                          <w:marBottom w:val="105"/>
                          <w:divBdr>
                            <w:top w:val="none" w:sz="0" w:space="0" w:color="auto"/>
                            <w:left w:val="none" w:sz="0" w:space="0" w:color="auto"/>
                            <w:bottom w:val="none" w:sz="0" w:space="0" w:color="auto"/>
                            <w:right w:val="none" w:sz="0" w:space="0" w:color="auto"/>
                          </w:divBdr>
                          <w:divsChild>
                            <w:div w:id="197359204">
                              <w:marLeft w:val="0"/>
                              <w:marRight w:val="0"/>
                              <w:marTop w:val="105"/>
                              <w:marBottom w:val="0"/>
                              <w:divBdr>
                                <w:top w:val="none" w:sz="0" w:space="0" w:color="auto"/>
                                <w:left w:val="none" w:sz="0" w:space="0" w:color="auto"/>
                                <w:bottom w:val="none" w:sz="0" w:space="0" w:color="auto"/>
                                <w:right w:val="none" w:sz="0" w:space="0" w:color="auto"/>
                              </w:divBdr>
                              <w:divsChild>
                                <w:div w:id="534929588">
                                  <w:marLeft w:val="0"/>
                                  <w:marRight w:val="0"/>
                                  <w:marTop w:val="0"/>
                                  <w:marBottom w:val="105"/>
                                  <w:divBdr>
                                    <w:top w:val="none" w:sz="0" w:space="0" w:color="auto"/>
                                    <w:left w:val="none" w:sz="0" w:space="0" w:color="auto"/>
                                    <w:bottom w:val="none" w:sz="0" w:space="0" w:color="auto"/>
                                    <w:right w:val="none" w:sz="0" w:space="0" w:color="auto"/>
                                  </w:divBdr>
                                  <w:divsChild>
                                    <w:div w:id="1311667532">
                                      <w:marLeft w:val="0"/>
                                      <w:marRight w:val="0"/>
                                      <w:marTop w:val="105"/>
                                      <w:marBottom w:val="0"/>
                                      <w:divBdr>
                                        <w:top w:val="none" w:sz="0" w:space="0" w:color="auto"/>
                                        <w:left w:val="none" w:sz="0" w:space="0" w:color="auto"/>
                                        <w:bottom w:val="none" w:sz="0" w:space="0" w:color="auto"/>
                                        <w:right w:val="none" w:sz="0" w:space="0" w:color="auto"/>
                                      </w:divBdr>
                                      <w:divsChild>
                                        <w:div w:id="283198527">
                                          <w:marLeft w:val="0"/>
                                          <w:marRight w:val="0"/>
                                          <w:marTop w:val="0"/>
                                          <w:marBottom w:val="105"/>
                                          <w:divBdr>
                                            <w:top w:val="none" w:sz="0" w:space="0" w:color="auto"/>
                                            <w:left w:val="none" w:sz="0" w:space="0" w:color="auto"/>
                                            <w:bottom w:val="none" w:sz="0" w:space="0" w:color="auto"/>
                                            <w:right w:val="none" w:sz="0" w:space="0" w:color="auto"/>
                                          </w:divBdr>
                                          <w:divsChild>
                                            <w:div w:id="919023990">
                                              <w:marLeft w:val="0"/>
                                              <w:marRight w:val="0"/>
                                              <w:marTop w:val="105"/>
                                              <w:marBottom w:val="0"/>
                                              <w:divBdr>
                                                <w:top w:val="none" w:sz="0" w:space="0" w:color="auto"/>
                                                <w:left w:val="none" w:sz="0" w:space="0" w:color="auto"/>
                                                <w:bottom w:val="none" w:sz="0" w:space="0" w:color="auto"/>
                                                <w:right w:val="none" w:sz="0" w:space="0" w:color="auto"/>
                                              </w:divBdr>
                                              <w:divsChild>
                                                <w:div w:id="151167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18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BDB3-E2D0-489B-BD29-DCDA17A0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24</Pages>
  <Words>9338</Words>
  <Characters>46182</Characters>
  <Application>Microsoft Office Word</Application>
  <DocSecurity>0</DocSecurity>
  <Lines>905</Lines>
  <Paragraphs>319</Paragraphs>
  <ScaleCrop>false</ScaleCrop>
  <HeadingPairs>
    <vt:vector size="2" baseType="variant">
      <vt:variant>
        <vt:lpstr>Title</vt:lpstr>
      </vt:variant>
      <vt:variant>
        <vt:i4>1</vt:i4>
      </vt:variant>
    </vt:vector>
  </HeadingPairs>
  <TitlesOfParts>
    <vt:vector size="1" baseType="lpstr">
      <vt:lpstr>Charan v Secretary, Department of Social Services [2016] FCAFC 175</vt:lpstr>
    </vt:vector>
  </TitlesOfParts>
  <Company>Federal Court of Australia</Company>
  <LinksUpToDate>false</LinksUpToDate>
  <CharactersWithSpaces>55201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Charan v Secretary, Department of Social Services [2016] FCAFC 175</dc:title>
  <dc:creator>Imogen Nolan</dc:creator>
  <cp:lastModifiedBy>Anna Masters</cp:lastModifiedBy>
  <cp:revision>3</cp:revision>
  <cp:lastPrinted>2016-12-15T00:31:00Z</cp:lastPrinted>
  <dcterms:created xsi:type="dcterms:W3CDTF">2016-12-15T01:09:00Z</dcterms:created>
  <dcterms:modified xsi:type="dcterms:W3CDTF">2016-12-15T01:10:00Z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KATZMANN AND FARRELL JJ</vt:lpwstr>
  </property>
  <property fmtid="{D5CDD505-2E9C-101B-9397-08002B2CF9AE}" pid="4" name="Judgment_dated" linkTarget="Judgment_dated">
    <vt:lpwstr>13 December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