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726B04">
      <w:pPr>
        <w:pStyle w:val="MediaNeutralStyle"/>
      </w:pPr>
      <w:bookmarkStart w:id="0" w:name="MNC"/>
      <w:proofErr w:type="spellStart"/>
      <w:r>
        <w:t>AAX15</w:t>
      </w:r>
      <w:proofErr w:type="spellEnd"/>
      <w:r>
        <w:t xml:space="preserve"> v Minister for Immigration and Border Protection [2015] </w:t>
      </w:r>
      <w:proofErr w:type="spellStart"/>
      <w:r>
        <w:t>FCA</w:t>
      </w:r>
      <w:proofErr w:type="spellEnd"/>
      <w:r>
        <w:t xml:space="preserve"> </w:t>
      </w:r>
      <w:r w:rsidR="008C7597">
        <w:t>1206</w:t>
      </w:r>
      <w:r w:rsidR="002C7385">
        <w:t xml:space="preserve"> </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0E2E6C">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726B04" w:rsidP="008C7597">
            <w:pPr>
              <w:pStyle w:val="Normal1linespace"/>
              <w:widowControl w:val="0"/>
              <w:jc w:val="left"/>
            </w:pPr>
            <w:proofErr w:type="spellStart"/>
            <w:r>
              <w:t>AAX15</w:t>
            </w:r>
            <w:proofErr w:type="spellEnd"/>
            <w:r>
              <w:t xml:space="preserve"> v Minister for Immigration and Border Protection [2015] </w:t>
            </w:r>
            <w:proofErr w:type="spellStart"/>
            <w:r>
              <w:t>FCA</w:t>
            </w:r>
            <w:proofErr w:type="spellEnd"/>
            <w:r>
              <w:t xml:space="preserve"> </w:t>
            </w:r>
            <w:r w:rsidR="008C7597">
              <w:t>1206</w:t>
            </w:r>
          </w:p>
        </w:tc>
      </w:tr>
      <w:tr w:rsidR="00395B24" w:rsidTr="000E2E6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E2E6C">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Pr="00726B04" w:rsidRDefault="00726B04" w:rsidP="00726B04">
            <w:pPr>
              <w:pStyle w:val="Normal1linespace"/>
              <w:widowControl w:val="0"/>
              <w:rPr>
                <w:bCs/>
              </w:rPr>
            </w:pPr>
            <w:proofErr w:type="spellStart"/>
            <w:r w:rsidRPr="00726B04">
              <w:rPr>
                <w:bCs/>
              </w:rPr>
              <w:t>AAX15</w:t>
            </w:r>
            <w:proofErr w:type="spellEnd"/>
            <w:r w:rsidRPr="00726B04">
              <w:rPr>
                <w:bCs/>
              </w:rPr>
              <w:t xml:space="preserve"> v Minister for Immigration &amp; </w:t>
            </w:r>
            <w:proofErr w:type="spellStart"/>
            <w:r w:rsidRPr="00726B04">
              <w:rPr>
                <w:bCs/>
              </w:rPr>
              <w:t>Anor</w:t>
            </w:r>
            <w:proofErr w:type="spellEnd"/>
            <w:r w:rsidRPr="00726B04">
              <w:rPr>
                <w:bCs/>
              </w:rPr>
              <w:t xml:space="preserve"> [2015] </w:t>
            </w:r>
            <w:proofErr w:type="spellStart"/>
            <w:r w:rsidRPr="00726B04">
              <w:rPr>
                <w:bCs/>
              </w:rPr>
              <w:t>FCCA</w:t>
            </w:r>
            <w:proofErr w:type="spellEnd"/>
            <w:r w:rsidRPr="00726B04">
              <w:rPr>
                <w:bCs/>
              </w:rPr>
              <w:t xml:space="preserve"> 2089</w:t>
            </w:r>
          </w:p>
        </w:tc>
      </w:tr>
      <w:tr w:rsidR="00395B24" w:rsidTr="000E2E6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E2E6C">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CB6147">
            <w:pPr>
              <w:pStyle w:val="Normal1linespace"/>
              <w:widowControl w:val="0"/>
              <w:jc w:val="left"/>
              <w:rPr>
                <w:b/>
              </w:rPr>
            </w:pPr>
            <w:bookmarkStart w:id="1" w:name="JudgmentFP"/>
            <w:proofErr w:type="spellStart"/>
            <w:r>
              <w:rPr>
                <w:b/>
              </w:rPr>
              <w:t>AAX15</w:t>
            </w:r>
            <w:proofErr w:type="spellEnd"/>
            <w:r>
              <w:rPr>
                <w:b/>
              </w:rPr>
              <w:t xml:space="preserve"> v MINISTER FOR IMMIGRATION AND BORDER PROTECTION and ADMINISTRATIVE APPEALS TRIBUNAL</w:t>
            </w:r>
            <w:bookmarkEnd w:id="1"/>
          </w:p>
        </w:tc>
      </w:tr>
      <w:tr w:rsidR="00395B24" w:rsidTr="000E2E6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E2E6C">
        <w:tc>
          <w:tcPr>
            <w:tcW w:w="3085" w:type="dxa"/>
            <w:shd w:val="clear" w:color="auto" w:fill="auto"/>
          </w:tcPr>
          <w:p w:rsidR="00395B24" w:rsidRDefault="002C7385">
            <w:pPr>
              <w:pStyle w:val="Normal1linespace"/>
              <w:widowControl w:val="0"/>
            </w:pPr>
            <w:r>
              <w:t>File number(s):</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CB6147">
              <w:rPr>
                <w:szCs w:val="24"/>
              </w:rPr>
              <w:t>NSD</w:t>
            </w:r>
            <w:proofErr w:type="spellEnd"/>
            <w:r w:rsidR="00CB6147">
              <w:rPr>
                <w:szCs w:val="24"/>
              </w:rPr>
              <w:t xml:space="preserve"> 1010 of 2015</w:t>
            </w:r>
            <w:r>
              <w:rPr>
                <w:szCs w:val="24"/>
              </w:rPr>
              <w:fldChar w:fldCharType="end"/>
            </w:r>
          </w:p>
        </w:tc>
      </w:tr>
      <w:tr w:rsidR="00395B24" w:rsidTr="000E2E6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E2E6C">
        <w:tc>
          <w:tcPr>
            <w:tcW w:w="3085" w:type="dxa"/>
            <w:shd w:val="clear" w:color="auto" w:fill="auto"/>
          </w:tcPr>
          <w:p w:rsidR="00395B24" w:rsidRDefault="002C7385">
            <w:pPr>
              <w:pStyle w:val="Normal1linespace"/>
              <w:widowControl w:val="0"/>
            </w:pPr>
            <w:r>
              <w:t>Judge(s):</w:t>
            </w:r>
          </w:p>
        </w:tc>
        <w:tc>
          <w:tcPr>
            <w:tcW w:w="5989" w:type="dxa"/>
            <w:shd w:val="clear" w:color="auto" w:fill="auto"/>
          </w:tcPr>
          <w:p w:rsidR="00395B24" w:rsidRDefault="002C7385">
            <w:pPr>
              <w:pStyle w:val="Normal1linespace"/>
              <w:widowControl w:val="0"/>
              <w:jc w:val="left"/>
              <w:rPr>
                <w:b/>
              </w:rPr>
            </w:pPr>
            <w:r w:rsidRPr="00CB6147">
              <w:rPr>
                <w:b/>
              </w:rPr>
              <w:fldChar w:fldCharType="begin" w:fldLock="1"/>
            </w:r>
            <w:r w:rsidRPr="00CB6147">
              <w:rPr>
                <w:b/>
              </w:rPr>
              <w:instrText xml:space="preserve"> REF  Judge  \* MERGEFORMAT </w:instrText>
            </w:r>
            <w:r w:rsidRPr="00CB6147">
              <w:rPr>
                <w:b/>
              </w:rPr>
              <w:fldChar w:fldCharType="separate"/>
            </w:r>
            <w:r w:rsidR="00CB6147" w:rsidRPr="00CB6147">
              <w:rPr>
                <w:b/>
                <w:caps/>
                <w:szCs w:val="24"/>
              </w:rPr>
              <w:t>GRIFFITHS J</w:t>
            </w:r>
            <w:r w:rsidRPr="00CB6147">
              <w:rPr>
                <w:b/>
              </w:rPr>
              <w:fldChar w:fldCharType="end"/>
            </w:r>
          </w:p>
        </w:tc>
      </w:tr>
      <w:tr w:rsidR="00395B24" w:rsidTr="000E2E6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E2E6C">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56321B">
            <w:pPr>
              <w:pStyle w:val="Normal1linespace"/>
              <w:widowControl w:val="0"/>
              <w:jc w:val="left"/>
            </w:pPr>
            <w:bookmarkStart w:id="2" w:name="JudgmentDate"/>
            <w:bookmarkEnd w:id="2"/>
            <w:r>
              <w:t>9 November 2015</w:t>
            </w:r>
          </w:p>
        </w:tc>
      </w:tr>
      <w:tr w:rsidR="00395B24" w:rsidTr="000E2E6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E2E6C">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852946" w:rsidP="00555E74">
            <w:pPr>
              <w:pStyle w:val="Normal1linespace"/>
              <w:widowControl w:val="0"/>
              <w:jc w:val="left"/>
            </w:pPr>
            <w:bookmarkStart w:id="3" w:name="Catchwords"/>
            <w:r>
              <w:rPr>
                <w:b/>
              </w:rPr>
              <w:t xml:space="preserve">MIGRATION </w:t>
            </w:r>
            <w:r>
              <w:t>– appeal from a decision of the Federal Circuit Court of Australia (‘</w:t>
            </w:r>
            <w:proofErr w:type="spellStart"/>
            <w:r>
              <w:t>FCCA</w:t>
            </w:r>
            <w:proofErr w:type="spellEnd"/>
            <w:r>
              <w:t>’) dismissing an application for review of a decision of the Refugee Review Tribunal (‘Tribunal’) to affirm the first respondent’s refusal to grant the appellant’s protection visa</w:t>
            </w:r>
            <w:r w:rsidR="00603CF1">
              <w:t xml:space="preserve"> application</w:t>
            </w:r>
            <w:r>
              <w:t xml:space="preserve"> – where the appellant claims the </w:t>
            </w:r>
            <w:proofErr w:type="spellStart"/>
            <w:r>
              <w:t>FCCA</w:t>
            </w:r>
            <w:proofErr w:type="spellEnd"/>
            <w:r>
              <w:t xml:space="preserve"> failed to consider if the Tribunal acted in a ‘manifestly unreasonable way’</w:t>
            </w:r>
            <w:r w:rsidR="00555E74">
              <w:t xml:space="preserve"> and failed to consider the appellant’s circumstances</w:t>
            </w:r>
            <w:r>
              <w:t xml:space="preserve"> </w:t>
            </w:r>
            <w:bookmarkEnd w:id="3"/>
          </w:p>
        </w:tc>
      </w:tr>
      <w:tr w:rsidR="00395B24" w:rsidTr="000E2E6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0E2E6C">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395B24" w:rsidRDefault="00320230" w:rsidP="00320230">
            <w:pPr>
              <w:pStyle w:val="Normal1linespace"/>
              <w:widowControl w:val="0"/>
              <w:jc w:val="left"/>
            </w:pPr>
            <w:bookmarkStart w:id="4" w:name="Legislation"/>
            <w:r>
              <w:rPr>
                <w:i/>
              </w:rPr>
              <w:t xml:space="preserve">Migration Act 1958 </w:t>
            </w:r>
            <w:r>
              <w:t>(</w:t>
            </w:r>
            <w:proofErr w:type="spellStart"/>
            <w:r>
              <w:t>Cth</w:t>
            </w:r>
            <w:proofErr w:type="spellEnd"/>
            <w:r>
              <w:t xml:space="preserve">) </w:t>
            </w:r>
            <w:proofErr w:type="spellStart"/>
            <w:r>
              <w:t>ss</w:t>
            </w:r>
            <w:proofErr w:type="spellEnd"/>
            <w:r>
              <w:t xml:space="preserve"> </w:t>
            </w:r>
            <w:proofErr w:type="spellStart"/>
            <w:r>
              <w:t>91R</w:t>
            </w:r>
            <w:proofErr w:type="spellEnd"/>
            <w:r>
              <w:t xml:space="preserve">(1), </w:t>
            </w:r>
            <w:proofErr w:type="spellStart"/>
            <w:r w:rsidR="00202F86">
              <w:t>424AA</w:t>
            </w:r>
            <w:proofErr w:type="spellEnd"/>
            <w:r w:rsidR="00202F86">
              <w:t xml:space="preserve">, </w:t>
            </w:r>
            <w:proofErr w:type="spellStart"/>
            <w:r w:rsidR="00202F86">
              <w:t>424A</w:t>
            </w:r>
            <w:proofErr w:type="spellEnd"/>
            <w:r w:rsidR="00202F86">
              <w:t>, </w:t>
            </w:r>
            <w:proofErr w:type="spellStart"/>
            <w:r w:rsidR="00202F86">
              <w:t>424A</w:t>
            </w:r>
            <w:proofErr w:type="spellEnd"/>
            <w:r w:rsidR="00202F86">
              <w:t>(3)(b)</w:t>
            </w:r>
            <w:r>
              <w:t xml:space="preserve"> </w:t>
            </w:r>
            <w:bookmarkEnd w:id="4"/>
          </w:p>
        </w:tc>
      </w:tr>
      <w:tr w:rsidR="000E2E6C" w:rsidRPr="000E2E6C" w:rsidTr="000E2E6C">
        <w:tc>
          <w:tcPr>
            <w:tcW w:w="3085" w:type="dxa"/>
            <w:shd w:val="clear" w:color="auto" w:fill="auto"/>
          </w:tcPr>
          <w:p w:rsidR="000E2E6C" w:rsidRPr="000E2E6C" w:rsidRDefault="000E2E6C" w:rsidP="000E2E6C">
            <w:pPr>
              <w:pStyle w:val="Normal1linespace"/>
              <w:jc w:val="left"/>
            </w:pPr>
          </w:p>
        </w:tc>
        <w:tc>
          <w:tcPr>
            <w:tcW w:w="5989" w:type="dxa"/>
            <w:shd w:val="clear" w:color="auto" w:fill="auto"/>
          </w:tcPr>
          <w:p w:rsidR="000E2E6C" w:rsidRPr="000E2E6C" w:rsidRDefault="000E2E6C" w:rsidP="000E2E6C">
            <w:pPr>
              <w:pStyle w:val="Normal1linespace"/>
              <w:jc w:val="left"/>
            </w:pPr>
          </w:p>
        </w:tc>
      </w:tr>
      <w:tr w:rsidR="000E2E6C" w:rsidRPr="000E2E6C" w:rsidTr="000E2E6C">
        <w:tc>
          <w:tcPr>
            <w:tcW w:w="3085" w:type="dxa"/>
            <w:shd w:val="clear" w:color="auto" w:fill="auto"/>
          </w:tcPr>
          <w:p w:rsidR="000E2E6C" w:rsidRPr="000E2E6C" w:rsidRDefault="000E2E6C" w:rsidP="000E2E6C">
            <w:pPr>
              <w:pStyle w:val="Normal1linespace"/>
              <w:jc w:val="left"/>
            </w:pPr>
            <w:bookmarkStart w:id="5" w:name="CounselDate" w:colFirst="0" w:colLast="2"/>
            <w:r w:rsidRPr="000E2E6C">
              <w:t>Date of hearing:</w:t>
            </w:r>
          </w:p>
        </w:tc>
        <w:tc>
          <w:tcPr>
            <w:tcW w:w="5989" w:type="dxa"/>
            <w:shd w:val="clear" w:color="auto" w:fill="auto"/>
          </w:tcPr>
          <w:p w:rsidR="000E2E6C" w:rsidRPr="000E2E6C" w:rsidRDefault="008F3393" w:rsidP="000E2E6C">
            <w:pPr>
              <w:pStyle w:val="Normal1linespace"/>
              <w:jc w:val="left"/>
            </w:pPr>
            <w:bookmarkStart w:id="6" w:name="HearingDate"/>
            <w:r>
              <w:t>9 November 2015</w:t>
            </w:r>
            <w:bookmarkEnd w:id="6"/>
          </w:p>
        </w:tc>
      </w:tr>
      <w:bookmarkEnd w:id="5"/>
      <w:tr w:rsidR="000E2E6C" w:rsidTr="000E2E6C">
        <w:tc>
          <w:tcPr>
            <w:tcW w:w="3085" w:type="dxa"/>
            <w:shd w:val="clear" w:color="auto" w:fill="auto"/>
          </w:tcPr>
          <w:p w:rsidR="000E2E6C" w:rsidRDefault="000E2E6C" w:rsidP="000E2E6C">
            <w:pPr>
              <w:pStyle w:val="Normal1linespace"/>
              <w:widowControl w:val="0"/>
              <w:jc w:val="left"/>
            </w:pPr>
          </w:p>
        </w:tc>
        <w:tc>
          <w:tcPr>
            <w:tcW w:w="5989" w:type="dxa"/>
            <w:shd w:val="clear" w:color="auto" w:fill="auto"/>
          </w:tcPr>
          <w:p w:rsidR="000E2E6C" w:rsidRDefault="000E2E6C" w:rsidP="000E2E6C">
            <w:pPr>
              <w:pStyle w:val="Normal1linespace"/>
              <w:widowControl w:val="0"/>
              <w:jc w:val="left"/>
            </w:pPr>
          </w:p>
        </w:tc>
      </w:tr>
      <w:tr w:rsidR="000E2E6C" w:rsidTr="000E2E6C">
        <w:tc>
          <w:tcPr>
            <w:tcW w:w="3085" w:type="dxa"/>
            <w:shd w:val="clear" w:color="auto" w:fill="auto"/>
          </w:tcPr>
          <w:p w:rsidR="000E2E6C" w:rsidRDefault="000E2E6C" w:rsidP="000E2E6C">
            <w:pPr>
              <w:pStyle w:val="Normal1linespace"/>
              <w:widowControl w:val="0"/>
              <w:jc w:val="left"/>
            </w:pPr>
            <w:r>
              <w:t>Place:</w:t>
            </w:r>
          </w:p>
        </w:tc>
        <w:tc>
          <w:tcPr>
            <w:tcW w:w="5989" w:type="dxa"/>
            <w:shd w:val="clear" w:color="auto" w:fill="auto"/>
          </w:tcPr>
          <w:p w:rsidR="000E2E6C" w:rsidRDefault="00AA23F4" w:rsidP="000E2E6C">
            <w:pPr>
              <w:pStyle w:val="Normal1linespace"/>
              <w:widowControl w:val="0"/>
              <w:jc w:val="left"/>
            </w:pPr>
            <w:r>
              <w:fldChar w:fldCharType="begin"/>
            </w:r>
            <w:r>
              <w:instrText xml:space="preserve"> DOCVARIABLE  Place_SentenceCase  \* MERGEFORMAT </w:instrText>
            </w:r>
            <w:r>
              <w:fldChar w:fldCharType="separate"/>
            </w:r>
            <w:r w:rsidR="000E2E6C">
              <w:t>Sydney</w:t>
            </w:r>
            <w:r>
              <w:fldChar w:fldCharType="end"/>
            </w:r>
          </w:p>
        </w:tc>
      </w:tr>
      <w:tr w:rsidR="000E2E6C" w:rsidTr="000E2E6C">
        <w:tc>
          <w:tcPr>
            <w:tcW w:w="3085" w:type="dxa"/>
            <w:shd w:val="clear" w:color="auto" w:fill="auto"/>
          </w:tcPr>
          <w:p w:rsidR="000E2E6C" w:rsidRDefault="000E2E6C" w:rsidP="000E2E6C">
            <w:pPr>
              <w:pStyle w:val="Normal1linespace"/>
              <w:widowControl w:val="0"/>
              <w:jc w:val="left"/>
            </w:pPr>
          </w:p>
        </w:tc>
        <w:tc>
          <w:tcPr>
            <w:tcW w:w="5989" w:type="dxa"/>
            <w:shd w:val="clear" w:color="auto" w:fill="auto"/>
          </w:tcPr>
          <w:p w:rsidR="000E2E6C" w:rsidRDefault="000E2E6C" w:rsidP="000E2E6C">
            <w:pPr>
              <w:pStyle w:val="Normal1linespace"/>
              <w:widowControl w:val="0"/>
              <w:jc w:val="left"/>
            </w:pPr>
          </w:p>
        </w:tc>
      </w:tr>
      <w:tr w:rsidR="000E2E6C" w:rsidTr="000E2E6C">
        <w:tc>
          <w:tcPr>
            <w:tcW w:w="3085" w:type="dxa"/>
            <w:shd w:val="clear" w:color="auto" w:fill="auto"/>
          </w:tcPr>
          <w:p w:rsidR="000E2E6C" w:rsidRDefault="000E2E6C" w:rsidP="000E2E6C">
            <w:pPr>
              <w:pStyle w:val="Normal1linespace"/>
              <w:widowControl w:val="0"/>
              <w:jc w:val="left"/>
            </w:pPr>
            <w:r>
              <w:t>Division:</w:t>
            </w:r>
          </w:p>
        </w:tc>
        <w:tc>
          <w:tcPr>
            <w:tcW w:w="5989" w:type="dxa"/>
            <w:shd w:val="clear" w:color="auto" w:fill="auto"/>
          </w:tcPr>
          <w:p w:rsidR="000E2E6C" w:rsidRPr="00C67B37" w:rsidRDefault="000E2E6C" w:rsidP="000E2E6C">
            <w:pPr>
              <w:pStyle w:val="Normal1linespace"/>
              <w:widowControl w:val="0"/>
              <w:jc w:val="left"/>
              <w:rPr>
                <w:caps/>
              </w:rPr>
            </w:pPr>
            <w:r>
              <w:rPr>
                <w:caps/>
              </w:rPr>
              <w:fldChar w:fldCharType="begin"/>
            </w:r>
            <w:r>
              <w:rPr>
                <w:caps/>
              </w:rPr>
              <w:instrText xml:space="preserve"> REF  Division </w:instrText>
            </w:r>
            <w:r>
              <w:rPr>
                <w:caps/>
              </w:rPr>
              <w:fldChar w:fldCharType="separate"/>
            </w:r>
            <w:r w:rsidR="00BC7C17">
              <w:rPr>
                <w:caps/>
                <w:szCs w:val="24"/>
              </w:rPr>
              <w:t>GENERAL DIVISION</w:t>
            </w:r>
            <w:r>
              <w:rPr>
                <w:caps/>
              </w:rPr>
              <w:fldChar w:fldCharType="end"/>
            </w:r>
          </w:p>
        </w:tc>
      </w:tr>
      <w:tr w:rsidR="000E2E6C" w:rsidTr="000E2E6C">
        <w:tc>
          <w:tcPr>
            <w:tcW w:w="3085" w:type="dxa"/>
            <w:shd w:val="clear" w:color="auto" w:fill="auto"/>
          </w:tcPr>
          <w:p w:rsidR="000E2E6C" w:rsidRDefault="000E2E6C" w:rsidP="000E2E6C">
            <w:pPr>
              <w:pStyle w:val="Normal1linespace"/>
              <w:widowControl w:val="0"/>
              <w:jc w:val="left"/>
            </w:pPr>
          </w:p>
        </w:tc>
        <w:tc>
          <w:tcPr>
            <w:tcW w:w="5989" w:type="dxa"/>
            <w:shd w:val="clear" w:color="auto" w:fill="auto"/>
          </w:tcPr>
          <w:p w:rsidR="000E2E6C" w:rsidRDefault="000E2E6C" w:rsidP="000E2E6C">
            <w:pPr>
              <w:pStyle w:val="Normal1linespace"/>
              <w:widowControl w:val="0"/>
              <w:jc w:val="left"/>
              <w:rPr>
                <w:b/>
              </w:rPr>
            </w:pPr>
          </w:p>
        </w:tc>
      </w:tr>
      <w:tr w:rsidR="000E2E6C" w:rsidTr="000E2E6C">
        <w:tc>
          <w:tcPr>
            <w:tcW w:w="3085" w:type="dxa"/>
            <w:shd w:val="clear" w:color="auto" w:fill="auto"/>
          </w:tcPr>
          <w:p w:rsidR="000E2E6C" w:rsidRDefault="000E2E6C" w:rsidP="000E2E6C">
            <w:pPr>
              <w:pStyle w:val="Normal1linespace"/>
              <w:widowControl w:val="0"/>
              <w:jc w:val="left"/>
            </w:pPr>
            <w:r>
              <w:t>Category:</w:t>
            </w:r>
          </w:p>
        </w:tc>
        <w:tc>
          <w:tcPr>
            <w:tcW w:w="5989" w:type="dxa"/>
            <w:shd w:val="clear" w:color="auto" w:fill="auto"/>
          </w:tcPr>
          <w:p w:rsidR="000E2E6C" w:rsidRDefault="000E2E6C" w:rsidP="00852946">
            <w:pPr>
              <w:pStyle w:val="Normal1linespace"/>
              <w:widowControl w:val="0"/>
              <w:jc w:val="left"/>
            </w:pPr>
            <w:r w:rsidRPr="00852946">
              <w:t xml:space="preserve">Catchwords </w:t>
            </w:r>
          </w:p>
        </w:tc>
      </w:tr>
      <w:tr w:rsidR="000E2E6C" w:rsidTr="000E2E6C">
        <w:tc>
          <w:tcPr>
            <w:tcW w:w="3085" w:type="dxa"/>
            <w:shd w:val="clear" w:color="auto" w:fill="auto"/>
          </w:tcPr>
          <w:p w:rsidR="000E2E6C" w:rsidRDefault="000E2E6C" w:rsidP="000E2E6C">
            <w:pPr>
              <w:pStyle w:val="Normal1linespace"/>
              <w:widowControl w:val="0"/>
              <w:jc w:val="left"/>
            </w:pPr>
          </w:p>
        </w:tc>
        <w:tc>
          <w:tcPr>
            <w:tcW w:w="5989" w:type="dxa"/>
            <w:shd w:val="clear" w:color="auto" w:fill="auto"/>
          </w:tcPr>
          <w:p w:rsidR="000E2E6C" w:rsidRDefault="000E2E6C" w:rsidP="000E2E6C">
            <w:pPr>
              <w:pStyle w:val="Normal1linespace"/>
              <w:widowControl w:val="0"/>
              <w:jc w:val="left"/>
            </w:pPr>
          </w:p>
        </w:tc>
      </w:tr>
      <w:tr w:rsidR="000E2E6C" w:rsidTr="000E2E6C">
        <w:tc>
          <w:tcPr>
            <w:tcW w:w="3085" w:type="dxa"/>
            <w:shd w:val="clear" w:color="auto" w:fill="auto"/>
          </w:tcPr>
          <w:p w:rsidR="000E2E6C" w:rsidRDefault="000E2E6C" w:rsidP="000E2E6C">
            <w:pPr>
              <w:pStyle w:val="Normal1linespace"/>
              <w:widowControl w:val="0"/>
              <w:jc w:val="left"/>
            </w:pPr>
            <w:r>
              <w:t>Number of paragraphs:</w:t>
            </w:r>
          </w:p>
        </w:tc>
        <w:tc>
          <w:tcPr>
            <w:tcW w:w="5989" w:type="dxa"/>
            <w:shd w:val="clear" w:color="auto" w:fill="auto"/>
          </w:tcPr>
          <w:p w:rsidR="000E2E6C" w:rsidRDefault="008C7597" w:rsidP="000E2E6C">
            <w:pPr>
              <w:pStyle w:val="Normal1linespace"/>
              <w:widowControl w:val="0"/>
              <w:jc w:val="left"/>
            </w:pPr>
            <w:bookmarkStart w:id="7" w:name="PlaceCategoryParagraphs"/>
            <w:r>
              <w:t>20</w:t>
            </w:r>
            <w:bookmarkEnd w:id="7"/>
          </w:p>
        </w:tc>
      </w:tr>
      <w:tr w:rsidR="000E2E6C" w:rsidTr="000E2E6C">
        <w:tc>
          <w:tcPr>
            <w:tcW w:w="3085" w:type="dxa"/>
            <w:shd w:val="clear" w:color="auto" w:fill="auto"/>
          </w:tcPr>
          <w:p w:rsidR="000E2E6C" w:rsidRDefault="000E2E6C" w:rsidP="000E2E6C">
            <w:pPr>
              <w:pStyle w:val="Normal1linespace"/>
              <w:widowControl w:val="0"/>
              <w:jc w:val="left"/>
            </w:pPr>
          </w:p>
        </w:tc>
        <w:tc>
          <w:tcPr>
            <w:tcW w:w="5989" w:type="dxa"/>
            <w:shd w:val="clear" w:color="auto" w:fill="auto"/>
          </w:tcPr>
          <w:p w:rsidR="000E2E6C" w:rsidRDefault="000E2E6C" w:rsidP="000E2E6C">
            <w:pPr>
              <w:pStyle w:val="Normal1linespace"/>
              <w:widowControl w:val="0"/>
              <w:jc w:val="left"/>
            </w:pPr>
          </w:p>
        </w:tc>
      </w:tr>
      <w:tr w:rsidR="008F3393" w:rsidTr="008F3393">
        <w:tc>
          <w:tcPr>
            <w:tcW w:w="3085" w:type="dxa"/>
            <w:shd w:val="clear" w:color="auto" w:fill="auto"/>
          </w:tcPr>
          <w:p w:rsidR="008F3393" w:rsidRDefault="008F3393" w:rsidP="008F3393">
            <w:pPr>
              <w:pStyle w:val="Normal1linespace"/>
              <w:widowControl w:val="0"/>
              <w:jc w:val="left"/>
            </w:pPr>
            <w:bookmarkStart w:id="8" w:name="Counsel" w:colFirst="0" w:colLast="2"/>
            <w:r>
              <w:t>Counsel for the Appellant:</w:t>
            </w:r>
          </w:p>
        </w:tc>
        <w:tc>
          <w:tcPr>
            <w:tcW w:w="5989" w:type="dxa"/>
            <w:shd w:val="clear" w:color="auto" w:fill="auto"/>
          </w:tcPr>
          <w:p w:rsidR="008F3393" w:rsidRDefault="008F3393" w:rsidP="008F3393">
            <w:pPr>
              <w:pStyle w:val="Normal1linespace"/>
              <w:widowControl w:val="0"/>
              <w:jc w:val="left"/>
            </w:pPr>
            <w:bookmarkStart w:id="9" w:name="AppCounsel"/>
            <w:bookmarkEnd w:id="9"/>
            <w:r>
              <w:t>The appellant appeared in person</w:t>
            </w:r>
          </w:p>
        </w:tc>
      </w:tr>
      <w:bookmarkEnd w:id="8"/>
      <w:tr w:rsidR="009D05BC" w:rsidTr="009D05BC">
        <w:tc>
          <w:tcPr>
            <w:tcW w:w="3085" w:type="dxa"/>
            <w:shd w:val="clear" w:color="auto" w:fill="auto"/>
          </w:tcPr>
          <w:p w:rsidR="009D05BC" w:rsidRDefault="009D05BC" w:rsidP="009D05BC">
            <w:pPr>
              <w:pStyle w:val="Normal1linespace"/>
              <w:widowControl w:val="0"/>
              <w:jc w:val="left"/>
            </w:pPr>
          </w:p>
        </w:tc>
        <w:tc>
          <w:tcPr>
            <w:tcW w:w="5989" w:type="dxa"/>
            <w:shd w:val="clear" w:color="auto" w:fill="auto"/>
          </w:tcPr>
          <w:p w:rsidR="009D05BC" w:rsidRDefault="009D05BC" w:rsidP="009D05BC">
            <w:pPr>
              <w:pStyle w:val="Normal1linespace"/>
              <w:widowControl w:val="0"/>
              <w:jc w:val="left"/>
            </w:pPr>
          </w:p>
        </w:tc>
      </w:tr>
      <w:tr w:rsidR="000E2E6C" w:rsidTr="000E2E6C">
        <w:tc>
          <w:tcPr>
            <w:tcW w:w="3085" w:type="dxa"/>
            <w:shd w:val="clear" w:color="auto" w:fill="auto"/>
          </w:tcPr>
          <w:p w:rsidR="000E2E6C" w:rsidRDefault="008F3393" w:rsidP="000E2E6C">
            <w:pPr>
              <w:pStyle w:val="Normal1linespace"/>
              <w:widowControl w:val="0"/>
              <w:jc w:val="left"/>
            </w:pPr>
            <w:r>
              <w:t>Solicitor for the First Respondent:</w:t>
            </w:r>
          </w:p>
        </w:tc>
        <w:tc>
          <w:tcPr>
            <w:tcW w:w="5989" w:type="dxa"/>
            <w:shd w:val="clear" w:color="auto" w:fill="auto"/>
          </w:tcPr>
          <w:p w:rsidR="000E2E6C" w:rsidRDefault="008F3393" w:rsidP="000E2E6C">
            <w:pPr>
              <w:pStyle w:val="Normal1linespace"/>
              <w:widowControl w:val="0"/>
              <w:jc w:val="left"/>
            </w:pPr>
            <w:r>
              <w:t>Ms R Krishnan, Australian Government Solicitor</w:t>
            </w:r>
          </w:p>
        </w:tc>
      </w:tr>
      <w:tr w:rsidR="000E2E6C" w:rsidTr="000E2E6C">
        <w:tc>
          <w:tcPr>
            <w:tcW w:w="3085" w:type="dxa"/>
            <w:shd w:val="clear" w:color="auto" w:fill="auto"/>
          </w:tcPr>
          <w:p w:rsidR="000E2E6C" w:rsidRDefault="000E2E6C" w:rsidP="000E2E6C">
            <w:pPr>
              <w:pStyle w:val="Normal1linespace"/>
              <w:widowControl w:val="0"/>
              <w:jc w:val="left"/>
            </w:pPr>
          </w:p>
        </w:tc>
        <w:tc>
          <w:tcPr>
            <w:tcW w:w="5989" w:type="dxa"/>
            <w:shd w:val="clear" w:color="auto" w:fill="auto"/>
          </w:tcPr>
          <w:p w:rsidR="000E2E6C" w:rsidRDefault="000E2E6C" w:rsidP="000E2E6C">
            <w:pPr>
              <w:pStyle w:val="Normal1linespace"/>
              <w:widowControl w:val="0"/>
              <w:jc w:val="left"/>
            </w:pPr>
          </w:p>
        </w:tc>
      </w:tr>
      <w:tr w:rsidR="000E2E6C" w:rsidTr="000E2E6C">
        <w:tc>
          <w:tcPr>
            <w:tcW w:w="3085" w:type="dxa"/>
            <w:shd w:val="clear" w:color="auto" w:fill="auto"/>
          </w:tcPr>
          <w:p w:rsidR="000E2E6C" w:rsidRDefault="008F3393" w:rsidP="000E2E6C">
            <w:pPr>
              <w:pStyle w:val="Normal1linespace"/>
              <w:widowControl w:val="0"/>
              <w:jc w:val="left"/>
            </w:pPr>
            <w:r>
              <w:t>Counsel for the Second Respondent:</w:t>
            </w:r>
          </w:p>
        </w:tc>
        <w:tc>
          <w:tcPr>
            <w:tcW w:w="5989" w:type="dxa"/>
            <w:shd w:val="clear" w:color="auto" w:fill="auto"/>
          </w:tcPr>
          <w:p w:rsidR="000E2E6C" w:rsidRDefault="008F3393" w:rsidP="000E2E6C">
            <w:pPr>
              <w:pStyle w:val="Normal1linespace"/>
              <w:widowControl w:val="0"/>
              <w:jc w:val="left"/>
            </w:pPr>
            <w:r>
              <w:t>The second respondent submitted to any order the Court might make in the proceeding</w:t>
            </w:r>
          </w:p>
        </w:tc>
      </w:tr>
    </w:tbl>
    <w:p w:rsidR="0057634C" w:rsidRDefault="0057634C">
      <w:pPr>
        <w:pStyle w:val="Normal1linespace"/>
        <w:sectPr w:rsidR="0057634C">
          <w:headerReference w:type="default" r:id="rId8"/>
          <w:headerReference w:type="first" r:id="rId9"/>
          <w:endnotePr>
            <w:numFmt w:val="decimal"/>
          </w:endnotePr>
          <w:pgSz w:w="11907" w:h="16840" w:code="9"/>
          <w:pgMar w:top="1440" w:right="1440" w:bottom="1440" w:left="1440" w:header="851" w:footer="851" w:gutter="0"/>
          <w:pgNumType w:start="1"/>
          <w:cols w:space="720"/>
          <w:noEndnote/>
          <w:titlePg/>
        </w:sectPr>
      </w:pPr>
    </w:p>
    <w:p w:rsidR="00395B24" w:rsidRDefault="00395B24">
      <w:pPr>
        <w:pStyle w:val="Normal1linespace"/>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CB6147">
            <w:pPr>
              <w:pStyle w:val="NormalHeadings"/>
              <w:spacing w:after="120"/>
              <w:jc w:val="left"/>
              <w:rPr>
                <w:caps/>
                <w:szCs w:val="24"/>
              </w:rPr>
            </w:pPr>
            <w:bookmarkStart w:id="10" w:name="State"/>
            <w:r>
              <w:rPr>
                <w:caps/>
                <w:szCs w:val="24"/>
              </w:rPr>
              <w:t>NEW SOUTH WALES</w:t>
            </w:r>
            <w:bookmarkEnd w:id="10"/>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CB6147">
            <w:pPr>
              <w:pStyle w:val="NormalHeadings"/>
              <w:spacing w:after="120"/>
              <w:jc w:val="left"/>
              <w:rPr>
                <w:caps/>
                <w:szCs w:val="24"/>
              </w:rPr>
            </w:pPr>
            <w:bookmarkStart w:id="11" w:name="Division"/>
            <w:r>
              <w:rPr>
                <w:caps/>
                <w:szCs w:val="24"/>
              </w:rPr>
              <w:t>GENERAL DIVISION</w:t>
            </w:r>
            <w:bookmarkEnd w:id="11"/>
          </w:p>
        </w:tc>
        <w:tc>
          <w:tcPr>
            <w:tcW w:w="2471" w:type="dxa"/>
          </w:tcPr>
          <w:p w:rsidR="00395B24" w:rsidRDefault="00CB6147">
            <w:pPr>
              <w:pStyle w:val="NormalHeadings"/>
              <w:tabs>
                <w:tab w:val="right" w:pos="3609"/>
              </w:tabs>
              <w:jc w:val="right"/>
              <w:rPr>
                <w:szCs w:val="24"/>
              </w:rPr>
            </w:pPr>
            <w:bookmarkStart w:id="12" w:name="Num"/>
            <w:proofErr w:type="spellStart"/>
            <w:r>
              <w:rPr>
                <w:szCs w:val="24"/>
              </w:rPr>
              <w:t>NSD</w:t>
            </w:r>
            <w:proofErr w:type="spellEnd"/>
            <w:r>
              <w:rPr>
                <w:szCs w:val="24"/>
              </w:rPr>
              <w:t xml:space="preserve"> 1010 of 2015</w:t>
            </w:r>
            <w:bookmarkEnd w:id="12"/>
          </w:p>
        </w:tc>
      </w:tr>
    </w:tbl>
    <w:p w:rsidR="00395B24" w:rsidRDefault="00395B24">
      <w:pPr>
        <w:pStyle w:val="AppealTable"/>
      </w:pPr>
    </w:p>
    <w:tbl>
      <w:tblPr>
        <w:tblW w:w="0" w:type="auto"/>
        <w:tblLook w:val="01E0" w:firstRow="1" w:lastRow="1" w:firstColumn="1" w:lastColumn="1" w:noHBand="0" w:noVBand="0"/>
      </w:tblPr>
      <w:tblGrid>
        <w:gridCol w:w="9243"/>
      </w:tblGrid>
      <w:tr w:rsidR="00CB6147" w:rsidRPr="00CB6147">
        <w:tc>
          <w:tcPr>
            <w:tcW w:w="9243" w:type="dxa"/>
            <w:shd w:val="clear" w:color="auto" w:fill="auto"/>
          </w:tcPr>
          <w:p w:rsidR="00CB6147" w:rsidRPr="00CB6147" w:rsidRDefault="00CB6147">
            <w:pPr>
              <w:pStyle w:val="AppealTable"/>
              <w:widowControl w:val="0"/>
              <w:spacing w:line="360" w:lineRule="auto"/>
              <w:jc w:val="both"/>
              <w:rPr>
                <w:caps w:val="0"/>
                <w:sz w:val="24"/>
                <w:szCs w:val="20"/>
                <w:lang w:eastAsia="en-AU"/>
              </w:rPr>
            </w:pPr>
            <w:bookmarkStart w:id="13" w:name="Appeal"/>
            <w:bookmarkStart w:id="14" w:name="AppealTable"/>
            <w:r w:rsidRPr="00CB6147">
              <w:rPr>
                <w:caps w:val="0"/>
                <w:sz w:val="24"/>
                <w:szCs w:val="20"/>
                <w:lang w:eastAsia="en-AU"/>
              </w:rPr>
              <w:t>ON APPEAL FROM THE FEDERAL CIRCUIT COURT OF AUSTRALIA</w:t>
            </w:r>
            <w:bookmarkEnd w:id="13"/>
          </w:p>
        </w:tc>
      </w:tr>
      <w:bookmarkEnd w:id="14"/>
    </w:tbl>
    <w:p w:rsidR="00CB6147" w:rsidRDefault="00CB6147">
      <w:pPr>
        <w:pStyle w:val="AppealTable"/>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CB6147" w:rsidRDefault="00CB6147">
            <w:pPr>
              <w:pStyle w:val="NormalHeadings"/>
              <w:jc w:val="left"/>
              <w:rPr>
                <w:szCs w:val="24"/>
              </w:rPr>
            </w:pPr>
            <w:bookmarkStart w:id="16" w:name="Applicant"/>
            <w:proofErr w:type="spellStart"/>
            <w:r>
              <w:rPr>
                <w:szCs w:val="24"/>
              </w:rPr>
              <w:t>AAX15</w:t>
            </w:r>
            <w:proofErr w:type="spellEnd"/>
          </w:p>
          <w:p w:rsidR="00CB6147" w:rsidRDefault="00CB6147">
            <w:pPr>
              <w:pStyle w:val="NormalHeadings"/>
              <w:jc w:val="left"/>
              <w:rPr>
                <w:szCs w:val="24"/>
              </w:rPr>
            </w:pPr>
            <w:r>
              <w:rPr>
                <w:szCs w:val="24"/>
              </w:rPr>
              <w:t>Appellant</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CB6147" w:rsidRDefault="00CB6147">
            <w:pPr>
              <w:pStyle w:val="NormalHeadings"/>
              <w:jc w:val="left"/>
              <w:rPr>
                <w:szCs w:val="24"/>
              </w:rPr>
            </w:pPr>
            <w:bookmarkStart w:id="17" w:name="Respondent"/>
            <w:r>
              <w:rPr>
                <w:szCs w:val="24"/>
              </w:rPr>
              <w:t>MINISTER FOR IMMIGRATION AND BORDER PROTECTION</w:t>
            </w:r>
          </w:p>
          <w:p w:rsidR="00CB6147" w:rsidRDefault="00CB6147">
            <w:pPr>
              <w:pStyle w:val="NormalHeadings"/>
              <w:jc w:val="left"/>
              <w:rPr>
                <w:szCs w:val="24"/>
              </w:rPr>
            </w:pPr>
            <w:r>
              <w:rPr>
                <w:szCs w:val="24"/>
              </w:rPr>
              <w:t>First Respondent</w:t>
            </w:r>
          </w:p>
          <w:p w:rsidR="00CB6147" w:rsidRDefault="00CB6147">
            <w:pPr>
              <w:pStyle w:val="NormalHeadings"/>
              <w:jc w:val="left"/>
              <w:rPr>
                <w:szCs w:val="24"/>
              </w:rPr>
            </w:pPr>
          </w:p>
          <w:p w:rsidR="00CB6147" w:rsidRDefault="00CB6147">
            <w:pPr>
              <w:pStyle w:val="NormalHeadings"/>
              <w:jc w:val="left"/>
              <w:rPr>
                <w:szCs w:val="24"/>
              </w:rPr>
            </w:pPr>
            <w:r>
              <w:rPr>
                <w:szCs w:val="24"/>
              </w:rPr>
              <w:t>ADMINISTRATIVE APPEALS TRIBUNAL</w:t>
            </w:r>
          </w:p>
          <w:p w:rsidR="00CB6147" w:rsidRDefault="00CB6147">
            <w:pPr>
              <w:pStyle w:val="NormalHeadings"/>
              <w:jc w:val="left"/>
              <w:rPr>
                <w:szCs w:val="24"/>
              </w:rPr>
            </w:pPr>
            <w:r>
              <w:rPr>
                <w:szCs w:val="24"/>
              </w:rPr>
              <w:t>Second Respondent</w:t>
            </w:r>
          </w:p>
          <w:bookmarkEnd w:id="17"/>
          <w:p w:rsidR="00395B24" w:rsidRDefault="00395B24">
            <w:pPr>
              <w:pStyle w:val="NormalHeadings"/>
              <w:jc w:val="left"/>
              <w:rPr>
                <w:szCs w:val="24"/>
              </w:rPr>
            </w:pP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CB6147">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0E2E6C">
            <w:pPr>
              <w:pStyle w:val="NormalHeadings"/>
              <w:jc w:val="left"/>
              <w:rPr>
                <w:caps/>
                <w:szCs w:val="24"/>
              </w:rPr>
            </w:pPr>
            <w:bookmarkStart w:id="19" w:name="Judge"/>
            <w:r>
              <w:rPr>
                <w:caps/>
                <w:szCs w:val="24"/>
              </w:rPr>
              <w:t>GRIFFITHS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56321B">
            <w:pPr>
              <w:pStyle w:val="NormalHeadings"/>
              <w:jc w:val="left"/>
              <w:rPr>
                <w:caps/>
                <w:szCs w:val="24"/>
              </w:rPr>
            </w:pPr>
            <w:bookmarkStart w:id="20" w:name="Judgment_Dated"/>
            <w:bookmarkEnd w:id="20"/>
            <w:r>
              <w:rPr>
                <w:caps/>
                <w:szCs w:val="24"/>
              </w:rPr>
              <w:t>9 November 2015</w:t>
            </w:r>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CB6147">
            <w:pPr>
              <w:pStyle w:val="NormalHeadings"/>
              <w:jc w:val="left"/>
              <w:rPr>
                <w:caps/>
                <w:szCs w:val="24"/>
              </w:rPr>
            </w:pPr>
            <w:bookmarkStart w:id="21" w:name="Place"/>
            <w:r>
              <w:rPr>
                <w:caps/>
                <w:szCs w:val="24"/>
              </w:rPr>
              <w:t>SYDNEY</w:t>
            </w:r>
            <w:bookmarkEnd w:id="21"/>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482CF7" w:rsidP="00274F5B">
      <w:pPr>
        <w:pStyle w:val="Order1"/>
      </w:pPr>
      <w:bookmarkStart w:id="22" w:name="Order_Start_Text"/>
      <w:bookmarkEnd w:id="22"/>
      <w:r>
        <w:t>The appeal be dismissed.</w:t>
      </w:r>
    </w:p>
    <w:p w:rsidR="00482CF7" w:rsidRDefault="00482CF7" w:rsidP="00274F5B">
      <w:pPr>
        <w:pStyle w:val="Order1"/>
      </w:pPr>
      <w:r>
        <w:t xml:space="preserve">The appellant pay the first respondent’s costs as agreed or assessed.  </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CB6147">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CB6147">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CB6147" w:rsidRPr="00CB6147">
              <w:rPr>
                <w:caps/>
                <w:szCs w:val="24"/>
              </w:rPr>
              <w:t>NSD</w:t>
            </w:r>
            <w:proofErr w:type="spellEnd"/>
            <w:r w:rsidR="00CB6147">
              <w:rPr>
                <w:szCs w:val="24"/>
              </w:rPr>
              <w:t xml:space="preserve"> 1010 of 2015</w:t>
            </w:r>
            <w:r>
              <w:rPr>
                <w:caps/>
                <w:szCs w:val="24"/>
              </w:rPr>
              <w:fldChar w:fldCharType="end"/>
            </w:r>
          </w:p>
        </w:tc>
      </w:tr>
    </w:tbl>
    <w:p w:rsidR="00CB6147" w:rsidRDefault="002C7385">
      <w:pPr>
        <w:pStyle w:val="AppealTable"/>
        <w:rPr>
          <w:b w:val="0"/>
          <w:caps w:val="0"/>
          <w:sz w:val="20"/>
          <w:szCs w:val="20"/>
          <w:lang w:eastAsia="en-AU"/>
        </w:rPr>
      </w:pPr>
      <w:r>
        <w:fldChar w:fldCharType="begin" w:fldLock="1"/>
      </w:r>
      <w:r>
        <w:instrText xml:space="preserve"> Ref AppealTable  \* MERGEFORMAT </w:instrText>
      </w:r>
      <w:r>
        <w:fldChar w:fldCharType="separate"/>
      </w:r>
    </w:p>
    <w:tbl>
      <w:tblPr>
        <w:tblW w:w="0" w:type="auto"/>
        <w:tblLook w:val="01E0" w:firstRow="1" w:lastRow="1" w:firstColumn="1" w:lastColumn="1" w:noHBand="0" w:noVBand="0"/>
      </w:tblPr>
      <w:tblGrid>
        <w:gridCol w:w="9243"/>
      </w:tblGrid>
      <w:tr w:rsidR="00CB6147" w:rsidRPr="00CB6147">
        <w:tc>
          <w:tcPr>
            <w:tcW w:w="9243" w:type="dxa"/>
            <w:shd w:val="clear" w:color="auto" w:fill="auto"/>
          </w:tcPr>
          <w:p w:rsidR="00CB6147" w:rsidRPr="00CB6147" w:rsidRDefault="00CB6147">
            <w:pPr>
              <w:pStyle w:val="AppealTable"/>
              <w:widowControl w:val="0"/>
              <w:spacing w:line="360" w:lineRule="auto"/>
              <w:jc w:val="both"/>
              <w:rPr>
                <w:caps w:val="0"/>
                <w:sz w:val="24"/>
                <w:szCs w:val="20"/>
                <w:lang w:eastAsia="en-AU"/>
              </w:rPr>
            </w:pPr>
            <w:r w:rsidRPr="00CB6147">
              <w:rPr>
                <w:caps w:val="0"/>
                <w:sz w:val="24"/>
                <w:szCs w:val="20"/>
                <w:lang w:eastAsia="en-AU"/>
              </w:rPr>
              <w:t>ON APPEAL FROM THE FEDERAL CIRCUIT COURT OF AUSTRALIA</w:t>
            </w:r>
          </w:p>
        </w:tc>
      </w:tr>
    </w:tbl>
    <w:p w:rsidR="00395B24" w:rsidRDefault="002C7385">
      <w:pPr>
        <w:pStyle w:val="AppealTable"/>
      </w:pPr>
      <w:r>
        <w:fldChar w:fldCharType="end"/>
      </w: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r>
              <w:rPr>
                <w:caps/>
                <w:szCs w:val="24"/>
              </w:rPr>
              <w:t>BETWEEN:</w:t>
            </w:r>
          </w:p>
        </w:tc>
        <w:tc>
          <w:tcPr>
            <w:tcW w:w="6866" w:type="dxa"/>
          </w:tcPr>
          <w:p w:rsidR="00CB6147"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CB6147" w:rsidRPr="00CB6147">
              <w:rPr>
                <w:caps/>
                <w:szCs w:val="24"/>
              </w:rPr>
              <w:t>AAX15</w:t>
            </w:r>
            <w:proofErr w:type="spellEnd"/>
          </w:p>
          <w:p w:rsidR="00CB6147" w:rsidRDefault="00CB6147">
            <w:pPr>
              <w:pStyle w:val="NormalHeadings"/>
              <w:jc w:val="left"/>
              <w:rPr>
                <w:szCs w:val="24"/>
              </w:rPr>
            </w:pPr>
            <w:r>
              <w:rPr>
                <w:szCs w:val="24"/>
              </w:rPr>
              <w:t>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CB6147"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CB6147" w:rsidRPr="00CB6147">
              <w:rPr>
                <w:caps/>
                <w:szCs w:val="24"/>
              </w:rPr>
              <w:t>MINISTER</w:t>
            </w:r>
            <w:r w:rsidR="00CB6147">
              <w:rPr>
                <w:szCs w:val="24"/>
              </w:rPr>
              <w:t xml:space="preserve"> FOR IMMIGRATION AND BORDER PROTECTION</w:t>
            </w:r>
          </w:p>
          <w:p w:rsidR="00CB6147" w:rsidRDefault="00CB6147">
            <w:pPr>
              <w:pStyle w:val="NormalHeadings"/>
              <w:jc w:val="left"/>
              <w:rPr>
                <w:szCs w:val="24"/>
              </w:rPr>
            </w:pPr>
            <w:r>
              <w:rPr>
                <w:szCs w:val="24"/>
              </w:rPr>
              <w:t>First Respondent</w:t>
            </w:r>
          </w:p>
          <w:p w:rsidR="00CB6147" w:rsidRDefault="00CB6147">
            <w:pPr>
              <w:pStyle w:val="NormalHeadings"/>
              <w:jc w:val="left"/>
              <w:rPr>
                <w:szCs w:val="24"/>
              </w:rPr>
            </w:pPr>
          </w:p>
          <w:p w:rsidR="00CB6147" w:rsidRDefault="00CB6147">
            <w:pPr>
              <w:pStyle w:val="NormalHeadings"/>
              <w:jc w:val="left"/>
              <w:rPr>
                <w:szCs w:val="24"/>
              </w:rPr>
            </w:pPr>
            <w:r>
              <w:rPr>
                <w:szCs w:val="24"/>
              </w:rPr>
              <w:t>ADMINISTRATIVE APPEALS TRIBUNAL</w:t>
            </w:r>
          </w:p>
          <w:p w:rsidR="00CB6147" w:rsidRDefault="00CB6147">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CB6147">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CB6147">
              <w:rPr>
                <w:caps/>
                <w:szCs w:val="24"/>
              </w:rPr>
              <w:t>GRIFFITHS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56321B">
            <w:pPr>
              <w:pStyle w:val="NormalHeadings"/>
              <w:rPr>
                <w:caps/>
                <w:szCs w:val="24"/>
              </w:rPr>
            </w:pPr>
            <w:r>
              <w:rPr>
                <w:caps/>
                <w:szCs w:val="24"/>
              </w:rPr>
              <w:t>9 November 2015</w:t>
            </w:r>
            <w:r w:rsidR="002C7385">
              <w:rPr>
                <w:caps/>
                <w:szCs w:val="24"/>
              </w:rPr>
              <w:fldChar w:fldCharType="begin" w:fldLock="1"/>
            </w:r>
            <w:r w:rsidR="002C7385">
              <w:rPr>
                <w:caps/>
                <w:szCs w:val="24"/>
              </w:rPr>
              <w:instrText xml:space="preserve"> REF Judgment_Dated  \* MERGEFORMAT </w:instrText>
            </w:r>
            <w:r w:rsidR="002C7385">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CB6147">
              <w:rPr>
                <w:caps/>
                <w:szCs w:val="24"/>
              </w:rPr>
              <w:t>SYDNEY</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624520" w:rsidRDefault="00CB6147" w:rsidP="00CB6147">
      <w:pPr>
        <w:pStyle w:val="ParaNumbering"/>
      </w:pPr>
      <w:r>
        <w:t>This is an appeal from a judgment of the Federal Circuit Court of Australia (</w:t>
      </w:r>
      <w:proofErr w:type="spellStart"/>
      <w:r>
        <w:rPr>
          <w:b/>
        </w:rPr>
        <w:t>FCCA</w:t>
      </w:r>
      <w:proofErr w:type="spellEnd"/>
      <w:r>
        <w:t xml:space="preserve">) delivered on 7 August 2015 in which the </w:t>
      </w:r>
      <w:proofErr w:type="spellStart"/>
      <w:r>
        <w:t>FCCA</w:t>
      </w:r>
      <w:proofErr w:type="spellEnd"/>
      <w:r>
        <w:t xml:space="preserve"> dismissed an application for judicial review of </w:t>
      </w:r>
      <w:r w:rsidR="0056321B">
        <w:t xml:space="preserve">a decision of </w:t>
      </w:r>
      <w:r>
        <w:t xml:space="preserve">the Refugee Review Tribunal (now the Administrative Appeals Tribunal: the </w:t>
      </w:r>
      <w:r>
        <w:rPr>
          <w:b/>
        </w:rPr>
        <w:t>Tribunal</w:t>
      </w:r>
      <w:r>
        <w:t xml:space="preserve">).  The Tribunal affirmed a decision of the Minister’s delegate to refuse to grant the appellant a Protection (Class </w:t>
      </w:r>
      <w:proofErr w:type="spellStart"/>
      <w:r>
        <w:t>XA</w:t>
      </w:r>
      <w:proofErr w:type="spellEnd"/>
      <w:r>
        <w:t>) visa (</w:t>
      </w:r>
      <w:r>
        <w:rPr>
          <w:b/>
        </w:rPr>
        <w:t>protection visa</w:t>
      </w:r>
      <w:r>
        <w:t xml:space="preserve">).  </w:t>
      </w:r>
    </w:p>
    <w:p w:rsidR="00CB6147" w:rsidRDefault="00CB6147" w:rsidP="00CB6147">
      <w:pPr>
        <w:pStyle w:val="Heading2"/>
      </w:pPr>
      <w:r>
        <w:t>Summary of background facts</w:t>
      </w:r>
    </w:p>
    <w:p w:rsidR="00CB6147" w:rsidRDefault="00CB6147" w:rsidP="00CB6147">
      <w:pPr>
        <w:pStyle w:val="ParaNumbering"/>
      </w:pPr>
      <w:r>
        <w:t xml:space="preserve">The appellant is a 28 year old citizen of Pakistan who arrived in Australia on a student visa in March 2009.  His student visa was extended in July 2010 but he was unsuccessful in obtaining a third student visa.  </w:t>
      </w:r>
    </w:p>
    <w:p w:rsidR="00CB6147" w:rsidRDefault="00CB6147" w:rsidP="00CB6147">
      <w:pPr>
        <w:pStyle w:val="ParaNumbering"/>
      </w:pPr>
      <w:r>
        <w:t xml:space="preserve">On 5 July 2013, the appellant’s </w:t>
      </w:r>
      <w:r w:rsidR="00A20E66">
        <w:t xml:space="preserve">father </w:t>
      </w:r>
      <w:r>
        <w:t xml:space="preserve">shot and killed his mother in Pakistan.  On 30 August 2013 the appellant applied for a protection visa.  He claimed to fear harm from his father and his father’s associates for reasons including his membership of a particular social group (his family), religion and political opinion.  The delegate refused his protection visa application on 3 March 2014.  He applied to the Tribunal for a review of that decision on 1 April 2014.  </w:t>
      </w:r>
      <w:r>
        <w:lastRenderedPageBreak/>
        <w:t xml:space="preserve">At the Tribunal hearing, the Tribunal heard evidence from the appellant and also obtained oral evidence from his uncle by telephone.  </w:t>
      </w:r>
    </w:p>
    <w:p w:rsidR="00CB6147" w:rsidRDefault="00850597" w:rsidP="00CB6147">
      <w:pPr>
        <w:pStyle w:val="ParaNumbering"/>
      </w:pPr>
      <w:r>
        <w:t xml:space="preserve">The Tribunal affirmed the decision of the delegate on 2 February 2015.  It accepted that the appellant’s father had killed his mother </w:t>
      </w:r>
      <w:r w:rsidR="005B5838">
        <w:t xml:space="preserve">in July 2013 </w:t>
      </w:r>
      <w:r>
        <w:t xml:space="preserve">and that the father had possibly been violent towards the appellant and his brother.  It concluded, however, that the appellant had fabricated the other aspects of his claims for a protection visa in order to remain in Australia after he had failed to obtain a further student visa.  </w:t>
      </w:r>
      <w:r w:rsidR="005B5838">
        <w:t>At [21] of its reasons for decision, the Tribunal stated:</w:t>
      </w:r>
    </w:p>
    <w:p w:rsidR="005B5838" w:rsidRDefault="005B5838" w:rsidP="005B5838">
      <w:pPr>
        <w:pStyle w:val="Quote1"/>
      </w:pPr>
      <w:r>
        <w:t xml:space="preserve">However, the Tribunal does not accept any of the applicant’s other claims in relation to his father’s connection to extremist groups; he killed the applicant’s mother because of this or because of his “atheist” beliefs; or that the applicant’s brother is in hiding in Karachi.  The Tribunal considers that the applicant has manufactured aspects of his claims in an attempt to provide a basis for protection due to his desire to remain in Australia where he has resided for some time following the cessation of his studies… </w:t>
      </w:r>
    </w:p>
    <w:p w:rsidR="005B5838" w:rsidRDefault="005B5838" w:rsidP="005B5838">
      <w:pPr>
        <w:pStyle w:val="Quote1"/>
      </w:pPr>
    </w:p>
    <w:p w:rsidR="005B5838" w:rsidRDefault="005B5838" w:rsidP="005B5838">
      <w:pPr>
        <w:pStyle w:val="ParaNumbering"/>
      </w:pPr>
      <w:r>
        <w:t>The Tribunal then provided a more detailed explanation for reaching those conclusions.  They in</w:t>
      </w:r>
      <w:r w:rsidR="00B243A0">
        <w:t>cluded a finding that the appell</w:t>
      </w:r>
      <w:r>
        <w:t>ant’s father would not seek him out if he were to return to Pakistan and attempt to harm him, particularly given that</w:t>
      </w:r>
      <w:r w:rsidR="00726B04">
        <w:t xml:space="preserve"> the </w:t>
      </w:r>
      <w:r w:rsidR="0056321B">
        <w:t xml:space="preserve">appellant </w:t>
      </w:r>
      <w:r w:rsidR="00726B04">
        <w:t>is in his late twentie</w:t>
      </w:r>
      <w:r>
        <w:t xml:space="preserve">s and has lived apart from his father for some years.  The Tribunal did not accept that there was evidence which supported the claim that his father wished to harm </w:t>
      </w:r>
      <w:r w:rsidR="00B243A0">
        <w:t>the appell</w:t>
      </w:r>
      <w:r>
        <w:t xml:space="preserve">ant.  </w:t>
      </w:r>
    </w:p>
    <w:p w:rsidR="005B5838" w:rsidRDefault="005B5838" w:rsidP="005B5838">
      <w:pPr>
        <w:pStyle w:val="ParaNumbering"/>
      </w:pPr>
      <w:r>
        <w:t xml:space="preserve">The Tribunal then considered and rejected the appellant’s claim under s 36(2)(aa) of the </w:t>
      </w:r>
      <w:r>
        <w:rPr>
          <w:i/>
        </w:rPr>
        <w:t>Act</w:t>
      </w:r>
      <w:r>
        <w:t xml:space="preserve">.  </w:t>
      </w:r>
    </w:p>
    <w:p w:rsidR="00850597" w:rsidRDefault="00850597" w:rsidP="00850597">
      <w:pPr>
        <w:pStyle w:val="Heading2"/>
      </w:pPr>
      <w:r>
        <w:t xml:space="preserve">The </w:t>
      </w:r>
      <w:proofErr w:type="spellStart"/>
      <w:r>
        <w:t>FCCA</w:t>
      </w:r>
      <w:proofErr w:type="spellEnd"/>
      <w:r>
        <w:t xml:space="preserve"> proceedings</w:t>
      </w:r>
    </w:p>
    <w:p w:rsidR="00850597" w:rsidRDefault="00850597" w:rsidP="00850597">
      <w:pPr>
        <w:pStyle w:val="ParaNumbering"/>
      </w:pPr>
      <w:r>
        <w:t xml:space="preserve">On 25 February 2015 the appellant sought judicial review of the Tribunal’s decision in the </w:t>
      </w:r>
      <w:proofErr w:type="spellStart"/>
      <w:r>
        <w:t>FCCA</w:t>
      </w:r>
      <w:proofErr w:type="spellEnd"/>
      <w:r>
        <w:t>.  His amended application dated 12 May 2015 contained the following five grounds of review (errors in original):</w:t>
      </w:r>
    </w:p>
    <w:p w:rsidR="00850597" w:rsidRDefault="00850597" w:rsidP="00A20E66">
      <w:pPr>
        <w:pStyle w:val="Quote1"/>
        <w:spacing w:before="120"/>
        <w:ind w:left="1440" w:hanging="703"/>
      </w:pPr>
      <w:r>
        <w:t>1.</w:t>
      </w:r>
      <w:r>
        <w:tab/>
        <w:t>The Second Respondent committed jurisdictional error by failing to address the applicant’s claims in the way it was made</w:t>
      </w:r>
      <w:r w:rsidR="00A20E66">
        <w:t>;</w:t>
      </w:r>
    </w:p>
    <w:p w:rsidR="00A20E66" w:rsidRDefault="00A20E66" w:rsidP="00A20E66">
      <w:pPr>
        <w:pStyle w:val="Quote2"/>
        <w:spacing w:before="120"/>
        <w:ind w:left="2160" w:hanging="720"/>
      </w:pPr>
      <w:r>
        <w:t>a.</w:t>
      </w:r>
      <w:r>
        <w:tab/>
        <w:t>The applicant stated in his protection visa that his father has links with terrorist groups.</w:t>
      </w:r>
    </w:p>
    <w:p w:rsidR="00A20E66" w:rsidRDefault="00A20E66" w:rsidP="00A20E66">
      <w:pPr>
        <w:pStyle w:val="Quote2"/>
        <w:spacing w:before="120"/>
        <w:ind w:left="2160" w:hanging="720"/>
      </w:pPr>
      <w:r>
        <w:t>b.</w:t>
      </w:r>
      <w:r>
        <w:tab/>
        <w:t>The applicant’s father has murdered his mother.</w:t>
      </w:r>
    </w:p>
    <w:p w:rsidR="00A20E66" w:rsidRDefault="00A20E66" w:rsidP="00A20E66">
      <w:pPr>
        <w:pStyle w:val="Quote2"/>
        <w:spacing w:before="120"/>
        <w:ind w:left="2160" w:hanging="720"/>
      </w:pPr>
      <w:r>
        <w:t>c.</w:t>
      </w:r>
      <w:r>
        <w:tab/>
        <w:t>The Tribunal did not consider the way that applicant’s father controlling behaviour prevent him from studying.</w:t>
      </w:r>
    </w:p>
    <w:p w:rsidR="00A20E66" w:rsidRDefault="00A20E66" w:rsidP="00A20E66">
      <w:pPr>
        <w:pStyle w:val="Quote2"/>
        <w:spacing w:before="120"/>
        <w:ind w:left="2160" w:hanging="720"/>
      </w:pPr>
      <w:r>
        <w:t>d.</w:t>
      </w:r>
      <w:r>
        <w:tab/>
        <w:t>The Tribunal did not consider that the applicant is genuinely fearful that his father will seek him out upon his return to Pakistan.</w:t>
      </w:r>
    </w:p>
    <w:p w:rsidR="00850597" w:rsidRDefault="00850597" w:rsidP="00A20E66">
      <w:pPr>
        <w:pStyle w:val="Quote1"/>
        <w:spacing w:before="120"/>
        <w:ind w:left="1440" w:hanging="703"/>
      </w:pPr>
      <w:r>
        <w:t>2.</w:t>
      </w:r>
      <w:r>
        <w:tab/>
        <w:t xml:space="preserve">The second respondent failed to comply with the mandatory requirement </w:t>
      </w:r>
      <w:r>
        <w:lastRenderedPageBreak/>
        <w:t xml:space="preserve">under section </w:t>
      </w:r>
      <w:proofErr w:type="spellStart"/>
      <w:r>
        <w:t>424A</w:t>
      </w:r>
      <w:proofErr w:type="spellEnd"/>
      <w:r>
        <w:t xml:space="preserve"> (read with section </w:t>
      </w:r>
      <w:proofErr w:type="spellStart"/>
      <w:r>
        <w:t>424AA</w:t>
      </w:r>
      <w:proofErr w:type="spellEnd"/>
      <w:r>
        <w:t>) of the Migration Act to give the applicant clear particulars of information it considered would be part of the reason for affirming the decision under review, to ensure the applicant understood why that information was relevant to the review and the consequence of its being relied upon, and to invite the applicant to comment upon or respond to that information.</w:t>
      </w:r>
    </w:p>
    <w:p w:rsidR="00A20E66" w:rsidRDefault="00A20E66" w:rsidP="00A20E66">
      <w:pPr>
        <w:pStyle w:val="Quote2"/>
        <w:spacing w:before="120"/>
      </w:pPr>
      <w:r>
        <w:t>Particular:</w:t>
      </w:r>
    </w:p>
    <w:p w:rsidR="00A20E66" w:rsidRDefault="00A20E66" w:rsidP="00A20E66">
      <w:pPr>
        <w:pStyle w:val="Quote2"/>
        <w:spacing w:before="120"/>
      </w:pPr>
      <w:r>
        <w:t xml:space="preserve">The Tribunal did not issue any written invitation under section </w:t>
      </w:r>
      <w:proofErr w:type="spellStart"/>
      <w:r>
        <w:t>424A</w:t>
      </w:r>
      <w:proofErr w:type="spellEnd"/>
      <w:r>
        <w:t xml:space="preserve"> of the Act and, made no attempt to, and did not, comply with the requirements set out in section </w:t>
      </w:r>
      <w:proofErr w:type="spellStart"/>
      <w:r>
        <w:t>424AA</w:t>
      </w:r>
      <w:proofErr w:type="spellEnd"/>
      <w:r>
        <w:t xml:space="preserve"> of the Act.</w:t>
      </w:r>
    </w:p>
    <w:p w:rsidR="00850597" w:rsidRDefault="00850597" w:rsidP="00A20E66">
      <w:pPr>
        <w:pStyle w:val="Quote1"/>
        <w:spacing w:before="120"/>
      </w:pPr>
      <w:r>
        <w:t>3.</w:t>
      </w:r>
      <w:r>
        <w:tab/>
        <w:t>The Tribunal constructively fail</w:t>
      </w:r>
      <w:r w:rsidR="00A20E66">
        <w:t>ed to exercise its jurisdiction;</w:t>
      </w:r>
    </w:p>
    <w:p w:rsidR="00A20E66" w:rsidRDefault="00A20E66" w:rsidP="00A20E66">
      <w:pPr>
        <w:pStyle w:val="Quote2"/>
        <w:spacing w:before="120"/>
      </w:pPr>
      <w:r>
        <w:t>Particular:</w:t>
      </w:r>
    </w:p>
    <w:p w:rsidR="00A20E66" w:rsidRDefault="00A20E66" w:rsidP="00A20E66">
      <w:pPr>
        <w:pStyle w:val="Quote2"/>
        <w:spacing w:before="120"/>
      </w:pPr>
      <w:r>
        <w:t xml:space="preserve">The applicant provided documents to the Tribunal to corroborate his claims.  The Tribunal failed to engage in an active intellectual process of </w:t>
      </w:r>
      <w:proofErr w:type="spellStart"/>
      <w:r>
        <w:t>thee</w:t>
      </w:r>
      <w:proofErr w:type="spellEnd"/>
      <w:r>
        <w:t xml:space="preserve"> documents.  The Tribunal ultimately gave the documents no weight on the basis of credit findings.  It was an error for the Tribunal to place no weight on the documents without engaging to the contents of these documents.  It was an error for the Tribunal to assess the applicant’s credit without first assessing whether the substance of the documents corroborated his claims.</w:t>
      </w:r>
    </w:p>
    <w:p w:rsidR="00850597" w:rsidRDefault="00850597" w:rsidP="00A20E66">
      <w:pPr>
        <w:pStyle w:val="Quote1"/>
        <w:spacing w:before="120"/>
        <w:ind w:left="1440" w:hanging="703"/>
      </w:pPr>
      <w:r>
        <w:t>[4.]</w:t>
      </w:r>
      <w:r>
        <w:tab/>
        <w:t xml:space="preserve">The Tribunal failed to consider properly the test whether the applicant would suffer serious harm as per </w:t>
      </w:r>
      <w:proofErr w:type="spellStart"/>
      <w:r>
        <w:t>s91R</w:t>
      </w:r>
      <w:proofErr w:type="spellEnd"/>
      <w:r>
        <w:t>(2)(a) of the Migration Act.</w:t>
      </w:r>
    </w:p>
    <w:p w:rsidR="00850597" w:rsidRDefault="00850597" w:rsidP="00A20E66">
      <w:pPr>
        <w:pStyle w:val="Quote1"/>
        <w:spacing w:before="120"/>
        <w:ind w:left="1440" w:hanging="703"/>
      </w:pPr>
      <w:r>
        <w:t>[5.]</w:t>
      </w:r>
      <w:r>
        <w:tab/>
        <w:t>The Tribunal had no jurisdiction to make the said decision because its “reasonable satisfaction” was not arrived in accordance with the provisions of the Migration Act.</w:t>
      </w:r>
    </w:p>
    <w:p w:rsidR="00850597" w:rsidRDefault="00850597" w:rsidP="00850597">
      <w:pPr>
        <w:pStyle w:val="Quote1"/>
        <w:ind w:left="1440" w:hanging="703"/>
      </w:pPr>
    </w:p>
    <w:p w:rsidR="00850597" w:rsidRDefault="00850597" w:rsidP="00850597">
      <w:pPr>
        <w:pStyle w:val="ParaNumbering"/>
      </w:pPr>
      <w:r>
        <w:t>The primary judge’s reasons for rejecting each of these grounds of review may be summarised as follows.</w:t>
      </w:r>
    </w:p>
    <w:p w:rsidR="00850597" w:rsidRDefault="00850597" w:rsidP="00850597">
      <w:pPr>
        <w:pStyle w:val="ParaNumbering"/>
      </w:pPr>
      <w:r>
        <w:t>As to ground 1, the primary judge found that the Tribunal had in fact considered all of his claim</w:t>
      </w:r>
      <w:r w:rsidR="005B5838">
        <w:t>s</w:t>
      </w:r>
      <w:r>
        <w:t xml:space="preserve">.  </w:t>
      </w:r>
    </w:p>
    <w:p w:rsidR="00850597" w:rsidRDefault="00850597" w:rsidP="00850597">
      <w:pPr>
        <w:pStyle w:val="ParaNumbering"/>
      </w:pPr>
      <w:r>
        <w:t>As to ground 2, the primary judge noted that the appellant had not particularised the relevant information for the purposes of his argument concerning s </w:t>
      </w:r>
      <w:proofErr w:type="spellStart"/>
      <w:r>
        <w:t>424A</w:t>
      </w:r>
      <w:proofErr w:type="spellEnd"/>
      <w:r>
        <w:t xml:space="preserve"> of the </w:t>
      </w:r>
      <w:r>
        <w:rPr>
          <w:i/>
        </w:rPr>
        <w:t xml:space="preserve">Migration Act 1958 </w:t>
      </w:r>
      <w:r>
        <w:t>(</w:t>
      </w:r>
      <w:proofErr w:type="spellStart"/>
      <w:r>
        <w:t>Cth</w:t>
      </w:r>
      <w:proofErr w:type="spellEnd"/>
      <w:r>
        <w:t>) (</w:t>
      </w:r>
      <w:r>
        <w:rPr>
          <w:b/>
          <w:i/>
        </w:rPr>
        <w:t>Act</w:t>
      </w:r>
      <w:r>
        <w:rPr>
          <w:i/>
        </w:rPr>
        <w:t xml:space="preserve">).  </w:t>
      </w:r>
      <w:r>
        <w:t>Moreover, his Honour found that the only information which might arguably be caught by that provision fell within the exception in s </w:t>
      </w:r>
      <w:proofErr w:type="spellStart"/>
      <w:r>
        <w:t>424A</w:t>
      </w:r>
      <w:proofErr w:type="spellEnd"/>
      <w:r>
        <w:t xml:space="preserve">(3)(b).  This was because the appellant’s </w:t>
      </w:r>
      <w:r w:rsidR="00207746">
        <w:t>migration</w:t>
      </w:r>
      <w:r>
        <w:t xml:space="preserve"> history, including the refusal to grant him a third student visa and his unsuccessful appeal therefrom</w:t>
      </w:r>
      <w:r w:rsidR="005B5838">
        <w:t>,</w:t>
      </w:r>
      <w:r>
        <w:t xml:space="preserve"> was set out in the delegate’s decision record which had been provided to him.  </w:t>
      </w:r>
    </w:p>
    <w:p w:rsidR="00850597" w:rsidRDefault="00207746" w:rsidP="00850597">
      <w:pPr>
        <w:pStyle w:val="ParaNumbering"/>
      </w:pPr>
      <w:r>
        <w:t xml:space="preserve">The primary judge approached ground 3 on a bifurcated basis.  First, on the basis that </w:t>
      </w:r>
      <w:r w:rsidR="005B5838">
        <w:t xml:space="preserve">it was contended that </w:t>
      </w:r>
      <w:r>
        <w:t xml:space="preserve">the Tribunal had erred by placing no weight on documents without engaging </w:t>
      </w:r>
      <w:r w:rsidR="004920DF">
        <w:t xml:space="preserve">with </w:t>
      </w:r>
      <w:r>
        <w:t xml:space="preserve">their contents.  Secondly, that it </w:t>
      </w:r>
      <w:r w:rsidR="005B5838">
        <w:t xml:space="preserve">allegedly </w:t>
      </w:r>
      <w:r>
        <w:t xml:space="preserve">erred by assessing the appellant’s credit without first assessing whether the substance of the documents corroborated his claims.  Both </w:t>
      </w:r>
      <w:r>
        <w:lastRenderedPageBreak/>
        <w:t>contentions were rejected by the primary judge by reference to</w:t>
      </w:r>
      <w:r w:rsidR="00A20E66">
        <w:t xml:space="preserve"> the</w:t>
      </w:r>
      <w:r>
        <w:t xml:space="preserve"> Tribunal’s consideration and analysis of the relevant </w:t>
      </w:r>
      <w:r w:rsidR="00482CF7">
        <w:t>documents</w:t>
      </w:r>
      <w:r>
        <w:t xml:space="preserve">.  </w:t>
      </w:r>
    </w:p>
    <w:p w:rsidR="00207746" w:rsidRDefault="00207746" w:rsidP="00850597">
      <w:pPr>
        <w:pStyle w:val="ParaNumbering"/>
      </w:pPr>
      <w:r>
        <w:t>As to ground 4, the primary judge found that the Tribunal was not obliged to consider whether the harm the appellant claimed to fear amounted to serious harm under s </w:t>
      </w:r>
      <w:proofErr w:type="spellStart"/>
      <w:r>
        <w:t>91R</w:t>
      </w:r>
      <w:proofErr w:type="spellEnd"/>
      <w:r>
        <w:t xml:space="preserve">(1) of the </w:t>
      </w:r>
      <w:r>
        <w:rPr>
          <w:i/>
        </w:rPr>
        <w:t>Act</w:t>
      </w:r>
      <w:r>
        <w:t xml:space="preserve"> because it had already found that there was no real chance of harm were he to return to Pakistan and also that the appellant did not have any genuine fear of such harm.  </w:t>
      </w:r>
    </w:p>
    <w:p w:rsidR="00207746" w:rsidRDefault="00207746" w:rsidP="00850597">
      <w:pPr>
        <w:pStyle w:val="ParaNumbering"/>
      </w:pPr>
      <w:r>
        <w:t xml:space="preserve">As to ground 5, the primary judge held that the appellant had </w:t>
      </w:r>
      <w:r w:rsidR="00482CF7">
        <w:t>failed</w:t>
      </w:r>
      <w:r>
        <w:t xml:space="preserve"> to establish any basis for challenging the Tribunal’s statement that it was not satisfied that he met the criteria for a protection visa.  </w:t>
      </w:r>
    </w:p>
    <w:p w:rsidR="00207746" w:rsidRDefault="00482CF7" w:rsidP="00482CF7">
      <w:pPr>
        <w:pStyle w:val="Heading2"/>
      </w:pPr>
      <w:r>
        <w:t>The appeal</w:t>
      </w:r>
    </w:p>
    <w:p w:rsidR="00482CF7" w:rsidRDefault="00482CF7" w:rsidP="00482CF7">
      <w:pPr>
        <w:pStyle w:val="ParaNumbering"/>
      </w:pPr>
      <w:r>
        <w:t>The two grounds raised in the notice of appeal are</w:t>
      </w:r>
      <w:r w:rsidR="005B5838">
        <w:t xml:space="preserve"> (errors in original)</w:t>
      </w:r>
      <w:r>
        <w:t>:</w:t>
      </w:r>
    </w:p>
    <w:p w:rsidR="00482CF7" w:rsidRDefault="00482CF7" w:rsidP="00482CF7">
      <w:pPr>
        <w:pStyle w:val="Quote1"/>
        <w:spacing w:before="120"/>
        <w:ind w:left="1440" w:hanging="703"/>
      </w:pPr>
      <w:r>
        <w:t>1.</w:t>
      </w:r>
      <w:r>
        <w:tab/>
        <w:t xml:space="preserve">The FM failed to consider that the Tribunal acted in a manifestly unreasonable way when dealing with the applicant claim and ignoring the aspect of persecution and harm in terms of </w:t>
      </w:r>
      <w:proofErr w:type="spellStart"/>
      <w:r>
        <w:t>Sec.91R</w:t>
      </w:r>
      <w:proofErr w:type="spellEnd"/>
      <w:r>
        <w:t xml:space="preserve"> of the Act. The Tribunal failed to observe the obligations amounted to a breach of Statutory Obligation.</w:t>
      </w:r>
    </w:p>
    <w:p w:rsidR="00482CF7" w:rsidRDefault="00482CF7" w:rsidP="00482CF7">
      <w:pPr>
        <w:pStyle w:val="Quote1"/>
        <w:spacing w:before="120"/>
        <w:ind w:left="1440" w:hanging="703"/>
      </w:pPr>
      <w:r>
        <w:t>2.</w:t>
      </w:r>
      <w:r>
        <w:tab/>
        <w:t>The Federal Circuit Court failed to take into consideration that the Tribunal’s decision was unjust and was made without taking into account the full gravity of my circumstances and consequences of the claim.</w:t>
      </w:r>
    </w:p>
    <w:p w:rsidR="00482CF7" w:rsidRDefault="00482CF7" w:rsidP="00482CF7">
      <w:pPr>
        <w:pStyle w:val="Quote1"/>
      </w:pPr>
    </w:p>
    <w:p w:rsidR="00A02C56" w:rsidRDefault="005B5838" w:rsidP="00482CF7">
      <w:pPr>
        <w:pStyle w:val="ParaNumbering"/>
      </w:pPr>
      <w:r>
        <w:t>Notwithstanding the directions which were made on 27 August 2015, t</w:t>
      </w:r>
      <w:r w:rsidR="00482CF7">
        <w:t>he appellant failed to provide any written submi</w:t>
      </w:r>
      <w:r w:rsidR="0056321B">
        <w:t xml:space="preserve">ssions in support of his appeal.  At the hearing of the appeal, the appellant represented himself.  He was </w:t>
      </w:r>
      <w:r w:rsidR="00BC7C17">
        <w:t>invited</w:t>
      </w:r>
      <w:r w:rsidR="00A02C56">
        <w:t xml:space="preserve"> to make </w:t>
      </w:r>
      <w:r w:rsidR="00BC7C17">
        <w:t>oral</w:t>
      </w:r>
      <w:r w:rsidR="00A02C56">
        <w:t xml:space="preserve"> submissions in respect of his appeal.  In broad terms, the appellant’s </w:t>
      </w:r>
      <w:r w:rsidR="00BC7C17">
        <w:t xml:space="preserve">oral </w:t>
      </w:r>
      <w:r w:rsidR="00A02C56">
        <w:t>submissions were as follows:</w:t>
      </w:r>
    </w:p>
    <w:p w:rsidR="00A02C56" w:rsidRDefault="00A02C56" w:rsidP="00A02C56">
      <w:pPr>
        <w:pStyle w:val="ListNo2"/>
        <w:tabs>
          <w:tab w:val="clear" w:pos="1440"/>
          <w:tab w:val="num" w:pos="993"/>
        </w:tabs>
        <w:ind w:left="709"/>
      </w:pPr>
      <w:r>
        <w:t xml:space="preserve">he was not satisfied with the decision of the Tribunal or the </w:t>
      </w:r>
      <w:proofErr w:type="spellStart"/>
      <w:r>
        <w:t>FCCA</w:t>
      </w:r>
      <w:proofErr w:type="spellEnd"/>
      <w:r>
        <w:t>;</w:t>
      </w:r>
    </w:p>
    <w:p w:rsidR="00A02C56" w:rsidRDefault="00A02C56" w:rsidP="00A02C56">
      <w:pPr>
        <w:pStyle w:val="ListNo2"/>
        <w:tabs>
          <w:tab w:val="clear" w:pos="1440"/>
          <w:tab w:val="num" w:pos="993"/>
        </w:tabs>
        <w:ind w:left="709"/>
      </w:pPr>
      <w:r>
        <w:t>he has lived in Australia for the past eight years; and</w:t>
      </w:r>
    </w:p>
    <w:p w:rsidR="00482CF7" w:rsidRDefault="00A02C56" w:rsidP="00A02C56">
      <w:pPr>
        <w:pStyle w:val="ListNo2"/>
        <w:tabs>
          <w:tab w:val="clear" w:pos="1440"/>
          <w:tab w:val="num" w:pos="993"/>
        </w:tabs>
        <w:ind w:left="709"/>
      </w:pPr>
      <w:r>
        <w:t>he feared losing his life if he were to return to Pakistan.</w:t>
      </w:r>
    </w:p>
    <w:p w:rsidR="00A02C56" w:rsidRDefault="00A02C56" w:rsidP="00482CF7">
      <w:pPr>
        <w:pStyle w:val="ParaNumbering"/>
      </w:pPr>
      <w:r>
        <w:t xml:space="preserve">None of these matters raised by the appellant constitutes an </w:t>
      </w:r>
      <w:proofErr w:type="spellStart"/>
      <w:r>
        <w:t>appellable</w:t>
      </w:r>
      <w:proofErr w:type="spellEnd"/>
      <w:r>
        <w:t xml:space="preserve"> error which would justify this Court interfering with the orders made by the </w:t>
      </w:r>
      <w:proofErr w:type="spellStart"/>
      <w:r>
        <w:t>FCCA</w:t>
      </w:r>
      <w:proofErr w:type="spellEnd"/>
      <w:r>
        <w:t xml:space="preserve"> below.</w:t>
      </w:r>
    </w:p>
    <w:p w:rsidR="00482CF7" w:rsidRDefault="00482CF7" w:rsidP="00482CF7">
      <w:pPr>
        <w:pStyle w:val="ParaNumbering"/>
      </w:pPr>
      <w:r>
        <w:t xml:space="preserve">I accept the Minister’s submissions that, even if the appellant were permitted to raise these grounds (which were not run below) they are without foundation.  </w:t>
      </w:r>
    </w:p>
    <w:p w:rsidR="00482CF7" w:rsidRDefault="00482CF7" w:rsidP="00482CF7">
      <w:pPr>
        <w:pStyle w:val="ParaNumbering"/>
      </w:pPr>
      <w:r>
        <w:lastRenderedPageBreak/>
        <w:t xml:space="preserve">The </w:t>
      </w:r>
      <w:proofErr w:type="spellStart"/>
      <w:r>
        <w:t>FCCA</w:t>
      </w:r>
      <w:proofErr w:type="spellEnd"/>
      <w:r>
        <w:t xml:space="preserve"> cannot be criticised for failing to consider whether the Tribunal acted in a “manifestly unreasonable way” when no such contention was advanced before it to that effect by the appellant.  In any event, it is evident from [25] of the </w:t>
      </w:r>
      <w:proofErr w:type="spellStart"/>
      <w:r>
        <w:t>FCCA’s</w:t>
      </w:r>
      <w:proofErr w:type="spellEnd"/>
      <w:r>
        <w:t xml:space="preserve"> reasons for judgment that the primary judge correctly understood and applied s </w:t>
      </w:r>
      <w:proofErr w:type="spellStart"/>
      <w:r>
        <w:t>91R</w:t>
      </w:r>
      <w:proofErr w:type="spellEnd"/>
      <w:r>
        <w:t xml:space="preserve"> of the </w:t>
      </w:r>
      <w:r>
        <w:rPr>
          <w:i/>
        </w:rPr>
        <w:t>Act</w:t>
      </w:r>
      <w:r>
        <w:t xml:space="preserve">.  </w:t>
      </w:r>
    </w:p>
    <w:p w:rsidR="00482CF7" w:rsidRDefault="00482CF7" w:rsidP="00482CF7">
      <w:pPr>
        <w:pStyle w:val="ParaNumbering"/>
      </w:pPr>
      <w:r>
        <w:t xml:space="preserve">As to ground 2, in substance this ground invites the Court to step into the shoes of the </w:t>
      </w:r>
      <w:proofErr w:type="spellStart"/>
      <w:r>
        <w:t>FCCA</w:t>
      </w:r>
      <w:proofErr w:type="spellEnd"/>
      <w:r>
        <w:t xml:space="preserve"> and conduct a merits review of the Tribunal’s decision.  That is plainly not the function of the </w:t>
      </w:r>
      <w:proofErr w:type="spellStart"/>
      <w:r>
        <w:t>FCCA</w:t>
      </w:r>
      <w:proofErr w:type="spellEnd"/>
      <w:r>
        <w:t xml:space="preserve"> in conducting a judicial review, nor is it the function of this Court in hearing an appeal from a decision of the </w:t>
      </w:r>
      <w:proofErr w:type="spellStart"/>
      <w:r>
        <w:t>FCCA</w:t>
      </w:r>
      <w:proofErr w:type="spellEnd"/>
      <w:r>
        <w:t xml:space="preserve">.  To the extent that this ground purports to </w:t>
      </w:r>
      <w:proofErr w:type="spellStart"/>
      <w:r>
        <w:t>reagitate</w:t>
      </w:r>
      <w:proofErr w:type="spellEnd"/>
      <w:r>
        <w:t xml:space="preserve"> ground 1 of the amended application for judicial review in the </w:t>
      </w:r>
      <w:proofErr w:type="spellStart"/>
      <w:r>
        <w:t>FCCA</w:t>
      </w:r>
      <w:proofErr w:type="spellEnd"/>
      <w:r>
        <w:t xml:space="preserve"> (i.e. a failure to address the appellant’s claims), no </w:t>
      </w:r>
      <w:proofErr w:type="spellStart"/>
      <w:r>
        <w:t>appellable</w:t>
      </w:r>
      <w:proofErr w:type="spellEnd"/>
      <w:r>
        <w:t xml:space="preserve"> error has been established in respect of the primary judge’s explanation for rejecting that ground.  </w:t>
      </w:r>
    </w:p>
    <w:p w:rsidR="00482CF7" w:rsidRDefault="00482CF7" w:rsidP="00482CF7">
      <w:pPr>
        <w:pStyle w:val="Heading2"/>
      </w:pPr>
      <w:r>
        <w:t>Conclusion</w:t>
      </w:r>
    </w:p>
    <w:p w:rsidR="000E2E6C" w:rsidRDefault="00482CF7" w:rsidP="000E2E6C">
      <w:pPr>
        <w:pStyle w:val="ParaNumbering"/>
      </w:pPr>
      <w:r>
        <w:t xml:space="preserve">For these reasons, the appeal must be dismissed and the appellant ordered to pay the Minister’s costs.  </w:t>
      </w:r>
      <w:bookmarkStart w:id="24" w:name="Certification"/>
    </w:p>
    <w:tbl>
      <w:tblPr>
        <w:tblW w:w="0" w:type="auto"/>
        <w:tblLook w:val="04A0" w:firstRow="1" w:lastRow="0" w:firstColumn="1" w:lastColumn="0" w:noHBand="0" w:noVBand="1"/>
      </w:tblPr>
      <w:tblGrid>
        <w:gridCol w:w="3794"/>
      </w:tblGrid>
      <w:tr w:rsidR="000E2E6C" w:rsidRPr="000E2E6C">
        <w:tc>
          <w:tcPr>
            <w:tcW w:w="3794" w:type="dxa"/>
            <w:shd w:val="clear" w:color="auto" w:fill="auto"/>
          </w:tcPr>
          <w:p w:rsidR="000E2E6C" w:rsidRPr="000E2E6C" w:rsidRDefault="000E2E6C" w:rsidP="000E2E6C">
            <w:pPr>
              <w:pStyle w:val="Normal1linespace"/>
            </w:pPr>
            <w:r w:rsidRPr="000E2E6C">
              <w:t xml:space="preserve">I certify that the preceding </w:t>
            </w:r>
            <w:bookmarkStart w:id="25" w:name="NumberWord"/>
            <w:r w:rsidR="008C7597">
              <w:t>twenty</w:t>
            </w:r>
            <w:bookmarkEnd w:id="25"/>
            <w:r w:rsidRPr="000E2E6C">
              <w:t xml:space="preserve"> (</w:t>
            </w:r>
            <w:bookmarkStart w:id="26" w:name="NumberNumeral"/>
            <w:r w:rsidR="008C7597">
              <w:t>20</w:t>
            </w:r>
            <w:bookmarkEnd w:id="26"/>
            <w:r w:rsidRPr="000E2E6C">
              <w:t xml:space="preserve">) numbered </w:t>
            </w:r>
            <w:bookmarkStart w:id="27" w:name="CertPara"/>
            <w:r w:rsidR="008C7597">
              <w:t>paragraphs are</w:t>
            </w:r>
            <w:bookmarkEnd w:id="27"/>
            <w:r w:rsidRPr="000E2E6C">
              <w:t xml:space="preserve"> a true copy of the Reasons for Judgment herein of the Honourable </w:t>
            </w:r>
            <w:bookmarkStart w:id="28" w:name="Justice"/>
            <w:r>
              <w:t>Justice Griffiths</w:t>
            </w:r>
            <w:bookmarkEnd w:id="28"/>
            <w:r w:rsidRPr="000E2E6C">
              <w:t>.</w:t>
            </w:r>
          </w:p>
        </w:tc>
      </w:tr>
    </w:tbl>
    <w:p w:rsidR="000E2E6C" w:rsidRDefault="000E2E6C" w:rsidP="00815065">
      <w:pPr>
        <w:pStyle w:val="BodyText"/>
      </w:pPr>
    </w:p>
    <w:p w:rsidR="000E2E6C" w:rsidRDefault="000E2E6C" w:rsidP="00815065">
      <w:pPr>
        <w:pStyle w:val="BodyText"/>
      </w:pPr>
      <w:r>
        <w:t>Associate:</w:t>
      </w:r>
      <w:r w:rsidR="00A02C56">
        <w:t xml:space="preserve"> </w:t>
      </w:r>
      <w:bookmarkStart w:id="29" w:name="_GoBack"/>
      <w:bookmarkEnd w:id="29"/>
    </w:p>
    <w:p w:rsidR="000E2E6C" w:rsidRDefault="000E2E6C" w:rsidP="00815065">
      <w:pPr>
        <w:pStyle w:val="BodyText"/>
      </w:pPr>
    </w:p>
    <w:p w:rsidR="000E2E6C" w:rsidRDefault="000E2E6C" w:rsidP="00815065">
      <w:pPr>
        <w:pStyle w:val="BodyText"/>
        <w:tabs>
          <w:tab w:val="left" w:pos="1134"/>
        </w:tabs>
      </w:pPr>
      <w:r>
        <w:t>Dated:</w:t>
      </w:r>
      <w:r>
        <w:tab/>
      </w:r>
      <w:bookmarkStart w:id="30" w:name="CertifyDated"/>
      <w:bookmarkEnd w:id="30"/>
      <w:r w:rsidR="00A02C56">
        <w:t>9 November 2015</w:t>
      </w:r>
    </w:p>
    <w:p w:rsidR="000E2E6C" w:rsidRDefault="000E2E6C" w:rsidP="00815065">
      <w:pPr>
        <w:pStyle w:val="BodyText"/>
      </w:pPr>
    </w:p>
    <w:bookmarkEnd w:id="24"/>
    <w:p w:rsidR="00482CF7" w:rsidRPr="0056321B" w:rsidRDefault="00482CF7" w:rsidP="000E2E6C">
      <w:pPr>
        <w:pStyle w:val="ParaNumbering"/>
        <w:numPr>
          <w:ilvl w:val="0"/>
          <w:numId w:val="0"/>
        </w:numPr>
        <w:rPr>
          <w:highlight w:val="yellow"/>
        </w:rPr>
      </w:pPr>
    </w:p>
    <w:sectPr w:rsidR="00482CF7" w:rsidRPr="0056321B">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147" w:rsidRDefault="00CB6147">
      <w:pPr>
        <w:spacing w:line="20" w:lineRule="exact"/>
      </w:pPr>
    </w:p>
    <w:p w:rsidR="00CB6147" w:rsidRDefault="00CB6147"/>
    <w:p w:rsidR="00CB6147" w:rsidRDefault="00CB6147"/>
  </w:endnote>
  <w:endnote w:type="continuationSeparator" w:id="0">
    <w:p w:rsidR="00CB6147" w:rsidRDefault="00CB6147">
      <w:r>
        <w:t xml:space="preserve"> </w:t>
      </w:r>
    </w:p>
    <w:p w:rsidR="00CB6147" w:rsidRDefault="00CB6147"/>
    <w:p w:rsidR="00CB6147" w:rsidRDefault="00CB6147"/>
  </w:endnote>
  <w:endnote w:type="continuationNotice" w:id="1">
    <w:p w:rsidR="00CB6147" w:rsidRDefault="00CB6147">
      <w:r>
        <w:t xml:space="preserve"> </w:t>
      </w:r>
    </w:p>
    <w:p w:rsidR="00CB6147" w:rsidRDefault="00CB6147"/>
    <w:p w:rsidR="00CB6147" w:rsidRDefault="00CB614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E¡Ë¢çEcE¡Ë¢çE¢®EcE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C778C2" w:rsidRDefault="00395B24" w:rsidP="00C778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C778C2" w:rsidRDefault="002F1E49" w:rsidP="00C778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147" w:rsidRDefault="00CB6147"/>
    <w:p w:rsidR="00CB6147" w:rsidRDefault="00CB6147"/>
    <w:p w:rsidR="00CB6147" w:rsidRDefault="00CB6147"/>
  </w:footnote>
  <w:footnote w:type="continuationSeparator" w:id="0">
    <w:p w:rsidR="00CB6147" w:rsidRDefault="00CB6147">
      <w:r>
        <w:continuationSeparator/>
      </w:r>
    </w:p>
    <w:p w:rsidR="00CB6147" w:rsidRDefault="00CB6147"/>
    <w:p w:rsidR="00CB6147" w:rsidRDefault="00CB614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57634C">
      <w:rPr>
        <w:noProof/>
      </w:rPr>
      <w:t>2</w:t>
    </w:r>
    <w: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AA23F4">
      <w:rPr>
        <w:noProof/>
      </w:rPr>
      <w:t>5</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6">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7">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8">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9">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1">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94817A7"/>
    <w:multiLevelType w:val="multilevel"/>
    <w:tmpl w:val="0F0EC90E"/>
    <w:numStyleLink w:val="FCListNo"/>
  </w:abstractNum>
  <w:abstractNum w:abstractNumId="23">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5">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8">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9">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7"/>
  </w:num>
  <w:num w:numId="2">
    <w:abstractNumId w:val="2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 w:numId="15">
    <w:abstractNumId w:val="21"/>
  </w:num>
  <w:num w:numId="16">
    <w:abstractNumId w:val="28"/>
  </w:num>
  <w:num w:numId="17">
    <w:abstractNumId w:val="20"/>
  </w:num>
  <w:num w:numId="18">
    <w:abstractNumId w:val="20"/>
  </w:num>
  <w:num w:numId="19">
    <w:abstractNumId w:val="26"/>
  </w:num>
  <w:num w:numId="20">
    <w:abstractNumId w:val="23"/>
  </w:num>
  <w:num w:numId="21">
    <w:abstractNumId w:val="24"/>
  </w:num>
  <w:num w:numId="22">
    <w:abstractNumId w:val="29"/>
  </w:num>
  <w:num w:numId="23">
    <w:abstractNumId w:val="29"/>
  </w:num>
  <w:num w:numId="24">
    <w:abstractNumId w:val="29"/>
  </w:num>
  <w:num w:numId="25">
    <w:abstractNumId w:val="29"/>
  </w:num>
  <w:num w:numId="26">
    <w:abstractNumId w:val="29"/>
  </w:num>
  <w:num w:numId="27">
    <w:abstractNumId w:val="15"/>
  </w:num>
  <w:num w:numId="28">
    <w:abstractNumId w:val="16"/>
  </w:num>
  <w:num w:numId="29">
    <w:abstractNumId w:val="10"/>
  </w:num>
  <w:num w:numId="30">
    <w:abstractNumId w:val="14"/>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11"/>
  </w:num>
  <w:num w:numId="34">
    <w:abstractNumId w:val="19"/>
  </w:num>
  <w:num w:numId="35">
    <w:abstractNumId w:val="22"/>
  </w:num>
  <w:num w:numId="36">
    <w:abstractNumId w:val="22"/>
  </w:num>
  <w:num w:numId="37">
    <w:abstractNumId w:val="22"/>
  </w:num>
  <w:num w:numId="38">
    <w:abstractNumId w:val="14"/>
  </w:num>
  <w:num w:numId="39">
    <w:abstractNumId w:val="22"/>
  </w:num>
  <w:num w:numId="40">
    <w:abstractNumId w:val="22"/>
  </w:num>
  <w:num w:numId="41">
    <w:abstractNumId w:val="22"/>
  </w:num>
  <w:num w:numId="42">
    <w:abstractNumId w:val="18"/>
  </w:num>
  <w:num w:numId="43">
    <w:abstractNumId w:val="18"/>
  </w:num>
  <w:num w:numId="44">
    <w:abstractNumId w:val="18"/>
  </w:num>
  <w:num w:numId="45">
    <w:abstractNumId w:val="18"/>
  </w:num>
  <w:num w:numId="46">
    <w:abstractNumId w:val="18"/>
  </w:num>
  <w:num w:numId="47">
    <w:abstractNumId w:val="18"/>
  </w:num>
  <w:num w:numId="48">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AU" w:vendorID="8" w:dllVersion="513" w:checkStyle="1"/>
  <w:proofState w:spelling="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20481"/>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FCCA"/>
    <w:docVar w:name="Appellant" w:val="AAX15"/>
    <w:docVar w:name="CounselParties" w:val="Appellant"/>
    <w:docVar w:name="CounselType" w:val="Counsel for the "/>
    <w:docVar w:name="Division" w:val="GENERAL DIVISION"/>
    <w:docVar w:name="DocCreated" w:val="True"/>
    <w:docVar w:name="EntryList" w:val="Counsel for the Appellant"/>
    <w:docVar w:name="FileNumbers" w:val="NSD 1010 of 2015"/>
    <w:docVar w:name="FullCourt" w:val="False"/>
    <w:docVar w:name="HearingDate" w:val="9 November 2015"/>
    <w:docVar w:name="Judge" w:val="Griffiths"/>
    <w:docVar w:name="JudgePlace" w:val="SYDNEY"/>
    <w:docVar w:name="lstEntryList" w:val="0"/>
    <w:docVar w:name="myEntryList" w:val="Counsel for the Appellant=There appellant appeared in person|Solicitor for the First Respondent=Ms R Krishnan, Australian Government Solicitor|Counsel for the Second Respondent=The second respondent submitted to any order the Court might make in the proceeding"/>
    <w:docVar w:name="NSD" w:val="NSD NSD 1010 of 2015"/>
    <w:docVar w:name="NumApps" w:val="2"/>
    <w:docVar w:name="NumApps_" w:val="1"/>
    <w:docVar w:name="NumJudges" w:val="Single Judge"/>
    <w:docVar w:name="Parties" w:val="Respondent"/>
    <w:docVar w:name="Place_SentenceCase" w:val="Sydney"/>
    <w:docVar w:name="Respondent" w:val="Minister for Immigration and Border Protection|Administrative Appeals Tribunal"/>
    <w:docVar w:name="ResState" w:val="NEW SOUTH WALES"/>
    <w:docVar w:name="Single" w:val="True"/>
  </w:docVars>
  <w:rsids>
    <w:rsidRoot w:val="00CB6147"/>
    <w:rsid w:val="00016502"/>
    <w:rsid w:val="000D2137"/>
    <w:rsid w:val="000E2E6C"/>
    <w:rsid w:val="001128BD"/>
    <w:rsid w:val="001727A4"/>
    <w:rsid w:val="001738AB"/>
    <w:rsid w:val="00187BBC"/>
    <w:rsid w:val="0019006E"/>
    <w:rsid w:val="001B14AC"/>
    <w:rsid w:val="001B7940"/>
    <w:rsid w:val="001E3B49"/>
    <w:rsid w:val="001E7388"/>
    <w:rsid w:val="00202F86"/>
    <w:rsid w:val="00207746"/>
    <w:rsid w:val="002535D0"/>
    <w:rsid w:val="002602C2"/>
    <w:rsid w:val="00274F5B"/>
    <w:rsid w:val="00280836"/>
    <w:rsid w:val="002A1B50"/>
    <w:rsid w:val="002B0E91"/>
    <w:rsid w:val="002C31AD"/>
    <w:rsid w:val="002C7385"/>
    <w:rsid w:val="002F1E49"/>
    <w:rsid w:val="002F4E9C"/>
    <w:rsid w:val="00320230"/>
    <w:rsid w:val="003463FE"/>
    <w:rsid w:val="00356632"/>
    <w:rsid w:val="003845A9"/>
    <w:rsid w:val="00390883"/>
    <w:rsid w:val="00395B24"/>
    <w:rsid w:val="003A2D38"/>
    <w:rsid w:val="003B2C72"/>
    <w:rsid w:val="003C20FF"/>
    <w:rsid w:val="003F193E"/>
    <w:rsid w:val="00472027"/>
    <w:rsid w:val="00482CF7"/>
    <w:rsid w:val="004920DF"/>
    <w:rsid w:val="0049417F"/>
    <w:rsid w:val="004D53E5"/>
    <w:rsid w:val="0051346D"/>
    <w:rsid w:val="00513EAE"/>
    <w:rsid w:val="005359EB"/>
    <w:rsid w:val="0054254A"/>
    <w:rsid w:val="005466B5"/>
    <w:rsid w:val="00555E74"/>
    <w:rsid w:val="0056321B"/>
    <w:rsid w:val="0057634C"/>
    <w:rsid w:val="005A4DF8"/>
    <w:rsid w:val="005B5838"/>
    <w:rsid w:val="005C1767"/>
    <w:rsid w:val="005C42EF"/>
    <w:rsid w:val="005E02F5"/>
    <w:rsid w:val="005E176E"/>
    <w:rsid w:val="005E35A0"/>
    <w:rsid w:val="00603CF1"/>
    <w:rsid w:val="00624520"/>
    <w:rsid w:val="00636871"/>
    <w:rsid w:val="00643DE0"/>
    <w:rsid w:val="00644E85"/>
    <w:rsid w:val="00662BB0"/>
    <w:rsid w:val="006A5695"/>
    <w:rsid w:val="006B3904"/>
    <w:rsid w:val="006B5B7D"/>
    <w:rsid w:val="006D0ECF"/>
    <w:rsid w:val="00707218"/>
    <w:rsid w:val="00712B1D"/>
    <w:rsid w:val="00726B04"/>
    <w:rsid w:val="007325D9"/>
    <w:rsid w:val="007929CF"/>
    <w:rsid w:val="007D561F"/>
    <w:rsid w:val="00831927"/>
    <w:rsid w:val="0084273D"/>
    <w:rsid w:val="00845A83"/>
    <w:rsid w:val="00850597"/>
    <w:rsid w:val="00852946"/>
    <w:rsid w:val="008C6D50"/>
    <w:rsid w:val="008C7597"/>
    <w:rsid w:val="008E6315"/>
    <w:rsid w:val="008F3393"/>
    <w:rsid w:val="009054CB"/>
    <w:rsid w:val="00967855"/>
    <w:rsid w:val="00980736"/>
    <w:rsid w:val="009B13FA"/>
    <w:rsid w:val="009B1E2D"/>
    <w:rsid w:val="009D05BC"/>
    <w:rsid w:val="009E4FA6"/>
    <w:rsid w:val="009E7D93"/>
    <w:rsid w:val="00A02C56"/>
    <w:rsid w:val="00A03EAC"/>
    <w:rsid w:val="00A11CA6"/>
    <w:rsid w:val="00A20C49"/>
    <w:rsid w:val="00A20E66"/>
    <w:rsid w:val="00A359AC"/>
    <w:rsid w:val="00A950B6"/>
    <w:rsid w:val="00AA23F4"/>
    <w:rsid w:val="00AB41C1"/>
    <w:rsid w:val="00B243A0"/>
    <w:rsid w:val="00BA3DBC"/>
    <w:rsid w:val="00BB2DA2"/>
    <w:rsid w:val="00BB56DC"/>
    <w:rsid w:val="00BC7C17"/>
    <w:rsid w:val="00C143BD"/>
    <w:rsid w:val="00C36442"/>
    <w:rsid w:val="00C778C2"/>
    <w:rsid w:val="00CB6147"/>
    <w:rsid w:val="00D10F21"/>
    <w:rsid w:val="00D375EE"/>
    <w:rsid w:val="00D9725F"/>
    <w:rsid w:val="00DA14ED"/>
    <w:rsid w:val="00DB3DE1"/>
    <w:rsid w:val="00DB716C"/>
    <w:rsid w:val="00DD4236"/>
    <w:rsid w:val="00E027BC"/>
    <w:rsid w:val="00E14EA5"/>
    <w:rsid w:val="00E76E45"/>
    <w:rsid w:val="00EA4E2E"/>
    <w:rsid w:val="00EB2CCB"/>
    <w:rsid w:val="00ED7DD9"/>
    <w:rsid w:val="00EF3113"/>
    <w:rsid w:val="00EF3F84"/>
    <w:rsid w:val="00F176AC"/>
    <w:rsid w:val="00F27714"/>
    <w:rsid w:val="00F50E34"/>
    <w:rsid w:val="00FB0E8C"/>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0E2E6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character" w:customStyle="1" w:styleId="BodyTextChar">
    <w:name w:val="Body Text Char"/>
    <w:basedOn w:val="DefaultParagraphFont"/>
    <w:link w:val="BodyText"/>
    <w:rsid w:val="000E2E6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17973">
      <w:bodyDiv w:val="1"/>
      <w:marLeft w:val="0"/>
      <w:marRight w:val="0"/>
      <w:marTop w:val="0"/>
      <w:marBottom w:val="0"/>
      <w:divBdr>
        <w:top w:val="none" w:sz="0" w:space="0" w:color="auto"/>
        <w:left w:val="none" w:sz="0" w:space="0" w:color="auto"/>
        <w:bottom w:val="none" w:sz="0" w:space="0" w:color="auto"/>
        <w:right w:val="none" w:sz="0" w:space="0" w:color="auto"/>
      </w:divBdr>
    </w:div>
    <w:div w:id="1180506870">
      <w:bodyDiv w:val="1"/>
      <w:marLeft w:val="0"/>
      <w:marRight w:val="0"/>
      <w:marTop w:val="0"/>
      <w:marBottom w:val="0"/>
      <w:divBdr>
        <w:top w:val="none" w:sz="0" w:space="0" w:color="auto"/>
        <w:left w:val="none" w:sz="0" w:space="0" w:color="auto"/>
        <w:bottom w:val="none" w:sz="0" w:space="0" w:color="auto"/>
        <w:right w:val="none" w:sz="0" w:space="0" w:color="auto"/>
      </w:divBdr>
    </w:div>
    <w:div w:id="121623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Judgment.dotx</Template>
  <TotalTime>1</TotalTime>
  <Pages>7</Pages>
  <Words>1980</Words>
  <Characters>10625</Characters>
  <Application>Microsoft Office Word</Application>
  <DocSecurity>0</DocSecurity>
  <Lines>321</Lines>
  <Paragraphs>153</Paragraphs>
  <ScaleCrop>false</ScaleCrop>
  <HeadingPairs>
    <vt:vector size="2" baseType="variant">
      <vt:variant>
        <vt:lpstr>Title</vt:lpstr>
      </vt:variant>
      <vt:variant>
        <vt:i4>1</vt:i4>
      </vt:variant>
    </vt:vector>
  </HeadingPairs>
  <TitlesOfParts>
    <vt:vector size="1" baseType="lpstr">
      <vt:lpstr>AAX15 v Minister for Immigration and Border Protection [2015] FCA 1206</vt:lpstr>
    </vt:vector>
  </TitlesOfParts>
  <Company>Federal Court of Australia</Company>
  <LinksUpToDate>false</LinksUpToDate>
  <CharactersWithSpaces>12452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AAX15 v Minister for Immigration and Border Protection [2015] FCA 1206</dc:title>
  <dc:creator>Christina Costello</dc:creator>
  <cp:lastModifiedBy>Anna Masters</cp:lastModifiedBy>
  <cp:revision>3</cp:revision>
  <cp:lastPrinted>2015-11-09T00:36:00Z</cp:lastPrinted>
  <dcterms:created xsi:type="dcterms:W3CDTF">2015-11-09T04:10:00Z</dcterms:created>
  <dcterms:modified xsi:type="dcterms:W3CDTF">2015-11-09T04:10:00Z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GRIFFITHS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1010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