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C94469">
      <w:pPr>
        <w:pStyle w:val="MediaNeutralStyle"/>
      </w:pPr>
      <w:bookmarkStart w:id="0" w:name="MNC"/>
      <w:proofErr w:type="spellStart"/>
      <w:r>
        <w:t>Francuziak</w:t>
      </w:r>
      <w:proofErr w:type="spellEnd"/>
      <w:r>
        <w:t xml:space="preserve"> v Minister for Justice [2015] FCAFC </w:t>
      </w:r>
      <w:r w:rsidR="00A02FE4">
        <w:t>162</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972F2F">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A058E8" w:rsidP="00A02FE4">
            <w:pPr>
              <w:pStyle w:val="Normal1linespace"/>
              <w:widowControl w:val="0"/>
              <w:jc w:val="left"/>
            </w:pPr>
            <w:proofErr w:type="spellStart"/>
            <w:r>
              <w:t>Francuziak</w:t>
            </w:r>
            <w:proofErr w:type="spellEnd"/>
            <w:r>
              <w:t xml:space="preserve"> v Minister for Justice [2015] FCAFC </w:t>
            </w:r>
            <w:r w:rsidR="00A02FE4">
              <w:t>162</w:t>
            </w:r>
          </w:p>
        </w:tc>
      </w:tr>
      <w:tr w:rsidR="00395B24" w:rsidTr="00972F2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972F2F">
        <w:tc>
          <w:tcPr>
            <w:tcW w:w="3085" w:type="dxa"/>
            <w:shd w:val="clear" w:color="auto" w:fill="auto"/>
          </w:tcPr>
          <w:p w:rsidR="00395B24" w:rsidRDefault="002C7385">
            <w:pPr>
              <w:pStyle w:val="Normal1linespace"/>
              <w:widowControl w:val="0"/>
            </w:pPr>
            <w:r>
              <w:t>Appeal from:</w:t>
            </w:r>
          </w:p>
        </w:tc>
        <w:tc>
          <w:tcPr>
            <w:tcW w:w="5989" w:type="dxa"/>
            <w:shd w:val="clear" w:color="auto" w:fill="auto"/>
          </w:tcPr>
          <w:p w:rsidR="00395B24" w:rsidRDefault="00C94469" w:rsidP="000232F2">
            <w:pPr>
              <w:pStyle w:val="Normal1linespace"/>
              <w:widowControl w:val="0"/>
              <w:jc w:val="left"/>
            </w:pPr>
            <w:proofErr w:type="spellStart"/>
            <w:r>
              <w:t>Francuziak</w:t>
            </w:r>
            <w:proofErr w:type="spellEnd"/>
            <w:r>
              <w:t xml:space="preserve"> v</w:t>
            </w:r>
            <w:r w:rsidR="00BA20E9">
              <w:t xml:space="preserve"> </w:t>
            </w:r>
            <w:r w:rsidR="00AE7C86">
              <w:t xml:space="preserve">The Honourable Michael </w:t>
            </w:r>
            <w:r w:rsidR="000232F2">
              <w:t>Keenan</w:t>
            </w:r>
            <w:r w:rsidR="00AE7C86">
              <w:t xml:space="preserve"> MP, Minister for Justice</w:t>
            </w:r>
            <w:r w:rsidR="000232F2">
              <w:t xml:space="preserve"> </w:t>
            </w:r>
            <w:r>
              <w:t>[2015</w:t>
            </w:r>
            <w:r w:rsidR="00A058E8">
              <w:t>]</w:t>
            </w:r>
            <w:r>
              <w:t xml:space="preserve"> FCA 464</w:t>
            </w:r>
          </w:p>
        </w:tc>
      </w:tr>
      <w:tr w:rsidR="00395B24" w:rsidTr="00972F2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972F2F">
        <w:tc>
          <w:tcPr>
            <w:tcW w:w="3085" w:type="dxa"/>
            <w:shd w:val="clear" w:color="auto" w:fill="auto"/>
          </w:tcPr>
          <w:p w:rsidR="00395B24" w:rsidRDefault="002C7385" w:rsidP="00E7096F">
            <w:pPr>
              <w:pStyle w:val="Normal1linespace"/>
              <w:widowControl w:val="0"/>
              <w:tabs>
                <w:tab w:val="left" w:pos="204"/>
              </w:tabs>
            </w:pPr>
            <w:r>
              <w:t>Parties:</w:t>
            </w:r>
          </w:p>
        </w:tc>
        <w:tc>
          <w:tcPr>
            <w:tcW w:w="5989" w:type="dxa"/>
            <w:shd w:val="clear" w:color="auto" w:fill="auto"/>
          </w:tcPr>
          <w:p w:rsidR="00395B24" w:rsidRDefault="00E11DBB" w:rsidP="00BA20E9">
            <w:pPr>
              <w:pStyle w:val="Normal1linespace"/>
              <w:widowControl w:val="0"/>
              <w:jc w:val="left"/>
              <w:rPr>
                <w:b/>
              </w:rPr>
            </w:pPr>
            <w:bookmarkStart w:id="1" w:name="JudgmentFP"/>
            <w:r>
              <w:rPr>
                <w:b/>
              </w:rPr>
              <w:t>PAWEL FRANCUZIAK v MINISTER FOR JUSTICE</w:t>
            </w:r>
            <w:bookmarkEnd w:id="1"/>
          </w:p>
        </w:tc>
      </w:tr>
      <w:tr w:rsidR="00395B24" w:rsidTr="00972F2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972F2F">
        <w:tc>
          <w:tcPr>
            <w:tcW w:w="3085" w:type="dxa"/>
            <w:shd w:val="clear" w:color="auto" w:fill="auto"/>
          </w:tcPr>
          <w:p w:rsidR="00395B24" w:rsidRDefault="003B2538" w:rsidP="003B2538">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E11DBB">
              <w:rPr>
                <w:szCs w:val="24"/>
              </w:rPr>
              <w:t>WAD 265 of 2015</w:t>
            </w:r>
            <w:r>
              <w:rPr>
                <w:szCs w:val="24"/>
              </w:rPr>
              <w:fldChar w:fldCharType="end"/>
            </w:r>
          </w:p>
        </w:tc>
      </w:tr>
      <w:tr w:rsidR="00395B24" w:rsidTr="00972F2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972F2F">
        <w:tc>
          <w:tcPr>
            <w:tcW w:w="3085" w:type="dxa"/>
            <w:shd w:val="clear" w:color="auto" w:fill="auto"/>
          </w:tcPr>
          <w:p w:rsidR="00395B24" w:rsidRDefault="003B2538" w:rsidP="003B2538">
            <w:pPr>
              <w:pStyle w:val="Normal1linespace"/>
              <w:widowControl w:val="0"/>
            </w:pPr>
            <w:r>
              <w:t>Judge</w:t>
            </w:r>
            <w:r w:rsidR="002C7385">
              <w:t>s:</w:t>
            </w:r>
          </w:p>
        </w:tc>
        <w:tc>
          <w:tcPr>
            <w:tcW w:w="5989" w:type="dxa"/>
            <w:shd w:val="clear" w:color="auto" w:fill="auto"/>
          </w:tcPr>
          <w:p w:rsidR="00395B24" w:rsidRDefault="002C7385">
            <w:pPr>
              <w:pStyle w:val="Normal1linespace"/>
              <w:widowControl w:val="0"/>
              <w:jc w:val="left"/>
              <w:rPr>
                <w:b/>
              </w:rPr>
            </w:pPr>
            <w:r w:rsidRPr="00E11DBB">
              <w:rPr>
                <w:b/>
              </w:rPr>
              <w:fldChar w:fldCharType="begin" w:fldLock="1"/>
            </w:r>
            <w:r w:rsidRPr="00E11DBB">
              <w:rPr>
                <w:b/>
              </w:rPr>
              <w:instrText xml:space="preserve"> REF  Judge  \* MERGEFORMAT </w:instrText>
            </w:r>
            <w:r w:rsidRPr="00E11DBB">
              <w:rPr>
                <w:b/>
              </w:rPr>
              <w:fldChar w:fldCharType="separate"/>
            </w:r>
            <w:proofErr w:type="spellStart"/>
            <w:r w:rsidR="00E11DBB" w:rsidRPr="00E11DBB">
              <w:rPr>
                <w:b/>
                <w:caps/>
                <w:szCs w:val="24"/>
              </w:rPr>
              <w:t>SIOPIS</w:t>
            </w:r>
            <w:proofErr w:type="spellEnd"/>
            <w:r w:rsidR="00E11DBB" w:rsidRPr="00E11DBB">
              <w:rPr>
                <w:b/>
                <w:caps/>
                <w:szCs w:val="24"/>
              </w:rPr>
              <w:t xml:space="preserve">, FLICK AND KATZMANN </w:t>
            </w:r>
            <w:proofErr w:type="spellStart"/>
            <w:r w:rsidR="00E11DBB" w:rsidRPr="00E11DBB">
              <w:rPr>
                <w:b/>
                <w:caps/>
                <w:szCs w:val="24"/>
              </w:rPr>
              <w:t>JJ</w:t>
            </w:r>
            <w:proofErr w:type="spellEnd"/>
            <w:r w:rsidRPr="00E11DBB">
              <w:rPr>
                <w:b/>
              </w:rPr>
              <w:fldChar w:fldCharType="end"/>
            </w:r>
          </w:p>
        </w:tc>
      </w:tr>
      <w:tr w:rsidR="00395B24" w:rsidTr="00972F2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972F2F">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D30FAC" w:rsidP="00D30FAC">
            <w:pPr>
              <w:pStyle w:val="Normal1linespace"/>
              <w:widowControl w:val="0"/>
              <w:jc w:val="left"/>
            </w:pPr>
            <w:bookmarkStart w:id="2" w:name="JudgmentDate"/>
            <w:r>
              <w:t>16</w:t>
            </w:r>
            <w:r w:rsidR="00E11DBB">
              <w:t xml:space="preserve"> November 2015</w:t>
            </w:r>
            <w:bookmarkEnd w:id="2"/>
          </w:p>
        </w:tc>
      </w:tr>
      <w:tr w:rsidR="00395B24" w:rsidTr="00972F2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972F2F">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EA5D6A" w:rsidRDefault="00270340" w:rsidP="00270340">
            <w:pPr>
              <w:pStyle w:val="Normal1linespace"/>
              <w:widowControl w:val="0"/>
              <w:jc w:val="left"/>
            </w:pPr>
            <w:bookmarkStart w:id="3" w:name="Catchwords"/>
            <w:r>
              <w:rPr>
                <w:b/>
              </w:rPr>
              <w:t xml:space="preserve">PRACTICE AND PROCEDURE – </w:t>
            </w:r>
            <w:r>
              <w:t xml:space="preserve">leave to raise new argument on appeal – grounds relied upon before </w:t>
            </w:r>
            <w:r w:rsidR="001B4C19">
              <w:t>primary J</w:t>
            </w:r>
            <w:r w:rsidR="00475E8E">
              <w:t>udge</w:t>
            </w:r>
            <w:r>
              <w:t xml:space="preserve"> abandoned – leave refused – appellant bound by the conduct of his case</w:t>
            </w:r>
            <w:r w:rsidR="00576F4B">
              <w:t xml:space="preserve"> </w:t>
            </w:r>
          </w:p>
          <w:p w:rsidR="00EA5D6A" w:rsidRDefault="00EA5D6A" w:rsidP="00270340">
            <w:pPr>
              <w:pStyle w:val="Normal1linespace"/>
              <w:widowControl w:val="0"/>
              <w:jc w:val="left"/>
            </w:pPr>
          </w:p>
          <w:p w:rsidR="00576F4B" w:rsidRDefault="00EA5D6A" w:rsidP="00270340">
            <w:pPr>
              <w:pStyle w:val="Normal1linespace"/>
              <w:widowControl w:val="0"/>
              <w:jc w:val="left"/>
            </w:pPr>
            <w:r>
              <w:rPr>
                <w:b/>
              </w:rPr>
              <w:t xml:space="preserve">PRACTICE AND PROCEDURE </w:t>
            </w:r>
            <w:r>
              <w:t xml:space="preserve">– duty on </w:t>
            </w:r>
            <w:r w:rsidR="001B4C19">
              <w:t>primary J</w:t>
            </w:r>
            <w:r w:rsidR="00475E8E">
              <w:t>udge</w:t>
            </w:r>
            <w:r>
              <w:t xml:space="preserve"> to go beyond factual and legal issues identified by the parties in public law litigation</w:t>
            </w:r>
            <w:r w:rsidR="00576F4B">
              <w:t xml:space="preserve"> </w:t>
            </w:r>
          </w:p>
          <w:p w:rsidR="00576F4B" w:rsidRDefault="00576F4B" w:rsidP="00270340">
            <w:pPr>
              <w:pStyle w:val="Normal1linespace"/>
              <w:widowControl w:val="0"/>
              <w:jc w:val="left"/>
            </w:pPr>
          </w:p>
          <w:p w:rsidR="00576F4B" w:rsidRDefault="00576F4B" w:rsidP="00576F4B">
            <w:pPr>
              <w:pStyle w:val="Normal1linespace"/>
              <w:widowControl w:val="0"/>
              <w:jc w:val="left"/>
            </w:pPr>
            <w:r>
              <w:rPr>
                <w:b/>
              </w:rPr>
              <w:t xml:space="preserve">EXTRADITION – </w:t>
            </w:r>
            <w:r>
              <w:t xml:space="preserve">departmental brief – claim for privilege over parts – no denial of procedural fairness </w:t>
            </w:r>
          </w:p>
          <w:p w:rsidR="00576F4B" w:rsidRDefault="00576F4B" w:rsidP="00576F4B">
            <w:pPr>
              <w:pStyle w:val="Normal1linespace"/>
              <w:widowControl w:val="0"/>
              <w:jc w:val="left"/>
            </w:pPr>
          </w:p>
          <w:p w:rsidR="00E15C7B" w:rsidRPr="00E15C7B" w:rsidRDefault="00576F4B" w:rsidP="008D0F3F">
            <w:pPr>
              <w:pStyle w:val="Normal1linespace"/>
              <w:widowControl w:val="0"/>
              <w:jc w:val="left"/>
              <w:rPr>
                <w:b/>
              </w:rPr>
            </w:pPr>
            <w:r>
              <w:rPr>
                <w:b/>
              </w:rPr>
              <w:t>ADMINISTRATIVE LAW</w:t>
            </w:r>
            <w:r w:rsidRPr="00576F4B">
              <w:t xml:space="preserve"> </w:t>
            </w:r>
            <w:r w:rsidRPr="00E15C7B">
              <w:t>– public law litigation – duty placed on Judge to go beyond legal and factual issues as identified by the parties</w:t>
            </w:r>
            <w:r>
              <w:t xml:space="preserve"> </w:t>
            </w:r>
            <w:r w:rsidR="00270340">
              <w:t xml:space="preserve"> </w:t>
            </w:r>
            <w:bookmarkEnd w:id="3"/>
          </w:p>
        </w:tc>
      </w:tr>
      <w:tr w:rsidR="00395B24" w:rsidTr="00972F2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972F2F">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8B51BA" w:rsidRPr="004F69BC" w:rsidRDefault="008B51BA" w:rsidP="008B51BA">
            <w:pPr>
              <w:spacing w:line="240" w:lineRule="auto"/>
              <w:rPr>
                <w:szCs w:val="24"/>
              </w:rPr>
            </w:pPr>
            <w:bookmarkStart w:id="4" w:name="Legislation"/>
            <w:r w:rsidRPr="004F69BC">
              <w:rPr>
                <w:i/>
                <w:szCs w:val="24"/>
              </w:rPr>
              <w:t>Extradition Act</w:t>
            </w:r>
            <w:r w:rsidRPr="004F69BC">
              <w:rPr>
                <w:szCs w:val="24"/>
              </w:rPr>
              <w:t xml:space="preserve"> </w:t>
            </w:r>
            <w:r w:rsidRPr="004F69BC">
              <w:rPr>
                <w:i/>
                <w:szCs w:val="24"/>
              </w:rPr>
              <w:t>1988</w:t>
            </w:r>
            <w:r w:rsidRPr="004F69BC">
              <w:rPr>
                <w:szCs w:val="24"/>
              </w:rPr>
              <w:t xml:space="preserve"> (Cth), s 22(3)(b)</w:t>
            </w:r>
          </w:p>
          <w:p w:rsidR="008B51BA" w:rsidRPr="004F69BC" w:rsidRDefault="008B51BA" w:rsidP="008B51BA">
            <w:pPr>
              <w:spacing w:line="240" w:lineRule="auto"/>
              <w:rPr>
                <w:szCs w:val="24"/>
              </w:rPr>
            </w:pPr>
            <w:r w:rsidRPr="004F69BC">
              <w:rPr>
                <w:i/>
                <w:szCs w:val="24"/>
              </w:rPr>
              <w:t>Judiciary Act</w:t>
            </w:r>
            <w:r w:rsidRPr="004F69BC">
              <w:rPr>
                <w:szCs w:val="24"/>
              </w:rPr>
              <w:t xml:space="preserve"> </w:t>
            </w:r>
            <w:r w:rsidRPr="004F69BC">
              <w:rPr>
                <w:i/>
                <w:szCs w:val="24"/>
              </w:rPr>
              <w:t>1903</w:t>
            </w:r>
            <w:r w:rsidRPr="004F69BC">
              <w:rPr>
                <w:szCs w:val="24"/>
              </w:rPr>
              <w:t xml:space="preserve"> (</w:t>
            </w:r>
            <w:proofErr w:type="spellStart"/>
            <w:r w:rsidRPr="004F69BC">
              <w:rPr>
                <w:szCs w:val="24"/>
              </w:rPr>
              <w:t>Cth</w:t>
            </w:r>
            <w:proofErr w:type="spellEnd"/>
            <w:r w:rsidRPr="004F69BC">
              <w:rPr>
                <w:szCs w:val="24"/>
              </w:rPr>
              <w:t>), s </w:t>
            </w:r>
            <w:proofErr w:type="spellStart"/>
            <w:r w:rsidRPr="004F69BC">
              <w:rPr>
                <w:szCs w:val="24"/>
              </w:rPr>
              <w:t>39B</w:t>
            </w:r>
            <w:proofErr w:type="spellEnd"/>
          </w:p>
          <w:p w:rsidR="008B51BA" w:rsidRPr="004F69BC" w:rsidRDefault="008B51BA" w:rsidP="008B51BA">
            <w:pPr>
              <w:spacing w:line="240" w:lineRule="auto"/>
              <w:rPr>
                <w:szCs w:val="24"/>
              </w:rPr>
            </w:pPr>
            <w:r w:rsidRPr="004F69BC">
              <w:rPr>
                <w:i/>
                <w:szCs w:val="24"/>
              </w:rPr>
              <w:t>Federal Court Rules</w:t>
            </w:r>
            <w:r w:rsidRPr="004F69BC">
              <w:rPr>
                <w:szCs w:val="24"/>
              </w:rPr>
              <w:t xml:space="preserve"> </w:t>
            </w:r>
            <w:r w:rsidRPr="004F69BC">
              <w:rPr>
                <w:i/>
                <w:szCs w:val="24"/>
              </w:rPr>
              <w:t>2011</w:t>
            </w:r>
            <w:r w:rsidRPr="004F69BC">
              <w:rPr>
                <w:szCs w:val="24"/>
              </w:rPr>
              <w:t xml:space="preserve"> (Cth), r 20.35</w:t>
            </w:r>
          </w:p>
          <w:p w:rsidR="00395B24" w:rsidRDefault="008B51BA" w:rsidP="00576F4B">
            <w:pPr>
              <w:pStyle w:val="Normal1linespace"/>
              <w:widowControl w:val="0"/>
              <w:jc w:val="left"/>
            </w:pPr>
            <w:r w:rsidRPr="004F69BC">
              <w:rPr>
                <w:i/>
                <w:szCs w:val="24"/>
              </w:rPr>
              <w:t xml:space="preserve">Legal Services Directions 2005 </w:t>
            </w:r>
            <w:r w:rsidRPr="004F69BC">
              <w:rPr>
                <w:szCs w:val="24"/>
              </w:rPr>
              <w:t>(Cth), App</w:t>
            </w:r>
            <w:r>
              <w:rPr>
                <w:szCs w:val="24"/>
              </w:rPr>
              <w:t xml:space="preserve"> B, item 2, note</w:t>
            </w:r>
            <w:r w:rsidR="00576F4B">
              <w:rPr>
                <w:szCs w:val="24"/>
              </w:rPr>
              <w:t> </w:t>
            </w:r>
            <w:r w:rsidRPr="004F69BC">
              <w:rPr>
                <w:szCs w:val="24"/>
              </w:rPr>
              <w:t>4</w:t>
            </w:r>
            <w:r w:rsidR="00576F4B">
              <w:rPr>
                <w:szCs w:val="24"/>
              </w:rPr>
              <w:t xml:space="preserve"> </w:t>
            </w:r>
            <w:r w:rsidR="002C7385">
              <w:t xml:space="preserve"> </w:t>
            </w:r>
            <w:bookmarkEnd w:id="4"/>
          </w:p>
        </w:tc>
      </w:tr>
      <w:tr w:rsidR="00395B24" w:rsidTr="00972F2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972F2F">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8B51BA" w:rsidRPr="004F69BC" w:rsidRDefault="008B51BA" w:rsidP="008B51BA">
            <w:pPr>
              <w:spacing w:line="240" w:lineRule="auto"/>
              <w:rPr>
                <w:szCs w:val="24"/>
              </w:rPr>
            </w:pPr>
            <w:bookmarkStart w:id="5" w:name="Cases_Cited"/>
            <w:r w:rsidRPr="004F69BC">
              <w:rPr>
                <w:i/>
                <w:szCs w:val="24"/>
              </w:rPr>
              <w:t xml:space="preserve">Assistant Treasurer v Cathay Pacific Airways Ltd </w:t>
            </w:r>
            <w:r w:rsidRPr="004F69BC">
              <w:rPr>
                <w:szCs w:val="24"/>
              </w:rPr>
              <w:t>[2009] FCAFC 105, (2009) 179 FCR 323</w:t>
            </w:r>
          </w:p>
          <w:p w:rsidR="008B51BA" w:rsidRPr="004F69BC" w:rsidRDefault="008B51BA" w:rsidP="008B51BA">
            <w:pPr>
              <w:spacing w:line="240" w:lineRule="auto"/>
              <w:rPr>
                <w:szCs w:val="24"/>
              </w:rPr>
            </w:pPr>
            <w:r w:rsidRPr="004F69BC">
              <w:rPr>
                <w:i/>
                <w:szCs w:val="24"/>
              </w:rPr>
              <w:t xml:space="preserve">Escobar v </w:t>
            </w:r>
            <w:proofErr w:type="spellStart"/>
            <w:r w:rsidRPr="004F69BC">
              <w:rPr>
                <w:i/>
                <w:szCs w:val="24"/>
              </w:rPr>
              <w:t>Spindaleri</w:t>
            </w:r>
            <w:proofErr w:type="spellEnd"/>
            <w:r w:rsidRPr="004F69BC">
              <w:rPr>
                <w:szCs w:val="24"/>
              </w:rPr>
              <w:t xml:space="preserve"> (1986) 7 NSWLR 51</w:t>
            </w:r>
          </w:p>
          <w:p w:rsidR="008B51BA" w:rsidRPr="004F69BC" w:rsidRDefault="008B51BA" w:rsidP="008B51BA">
            <w:pPr>
              <w:spacing w:line="240" w:lineRule="auto"/>
              <w:rPr>
                <w:szCs w:val="24"/>
              </w:rPr>
            </w:pPr>
            <w:proofErr w:type="spellStart"/>
            <w:r w:rsidRPr="004F69BC">
              <w:rPr>
                <w:i/>
                <w:szCs w:val="24"/>
              </w:rPr>
              <w:t>Hamod</w:t>
            </w:r>
            <w:proofErr w:type="spellEnd"/>
            <w:r w:rsidRPr="004F69BC">
              <w:rPr>
                <w:i/>
                <w:szCs w:val="24"/>
              </w:rPr>
              <w:t xml:space="preserve"> v New South Wales</w:t>
            </w:r>
            <w:r w:rsidRPr="004F69BC">
              <w:rPr>
                <w:szCs w:val="24"/>
              </w:rPr>
              <w:t xml:space="preserve"> [2011] NSWCA 375</w:t>
            </w:r>
          </w:p>
          <w:p w:rsidR="008B51BA" w:rsidRPr="004F69BC" w:rsidRDefault="008B51BA" w:rsidP="008B51BA">
            <w:pPr>
              <w:spacing w:line="240" w:lineRule="auto"/>
              <w:rPr>
                <w:szCs w:val="24"/>
              </w:rPr>
            </w:pPr>
            <w:proofErr w:type="spellStart"/>
            <w:r w:rsidRPr="004F69BC">
              <w:rPr>
                <w:i/>
                <w:szCs w:val="24"/>
              </w:rPr>
              <w:t>Iyer</w:t>
            </w:r>
            <w:proofErr w:type="spellEnd"/>
            <w:r w:rsidRPr="004F69BC">
              <w:rPr>
                <w:i/>
                <w:szCs w:val="24"/>
              </w:rPr>
              <w:t xml:space="preserve"> v Minister for Immigration and Multicultural Affairs </w:t>
            </w:r>
            <w:r w:rsidRPr="004F69BC">
              <w:rPr>
                <w:szCs w:val="24"/>
              </w:rPr>
              <w:t>[2001] FCA 929, (2001) 64 ALD 9</w:t>
            </w:r>
          </w:p>
          <w:p w:rsidR="008B51BA" w:rsidRPr="004F69BC" w:rsidRDefault="008B51BA" w:rsidP="008B51BA">
            <w:pPr>
              <w:spacing w:line="240" w:lineRule="auto"/>
              <w:rPr>
                <w:szCs w:val="24"/>
              </w:rPr>
            </w:pPr>
            <w:proofErr w:type="spellStart"/>
            <w:r w:rsidRPr="004F69BC">
              <w:rPr>
                <w:i/>
                <w:szCs w:val="24"/>
              </w:rPr>
              <w:t>Metwally</w:t>
            </w:r>
            <w:proofErr w:type="spellEnd"/>
            <w:r w:rsidRPr="004F69BC">
              <w:rPr>
                <w:i/>
                <w:szCs w:val="24"/>
              </w:rPr>
              <w:t xml:space="preserve"> v University of Wollongong </w:t>
            </w:r>
            <w:r w:rsidRPr="004F69BC">
              <w:rPr>
                <w:szCs w:val="24"/>
              </w:rPr>
              <w:t>(1985) 59 ALJR 481</w:t>
            </w:r>
          </w:p>
          <w:p w:rsidR="008B51BA" w:rsidRPr="004F69BC" w:rsidRDefault="008B51BA" w:rsidP="008B51BA">
            <w:pPr>
              <w:spacing w:line="240" w:lineRule="auto"/>
              <w:rPr>
                <w:szCs w:val="24"/>
              </w:rPr>
            </w:pPr>
            <w:r w:rsidRPr="004F69BC">
              <w:rPr>
                <w:i/>
                <w:iCs/>
                <w:szCs w:val="24"/>
              </w:rPr>
              <w:t>Re</w:t>
            </w:r>
            <w:r w:rsidRPr="004F69BC">
              <w:rPr>
                <w:szCs w:val="24"/>
              </w:rPr>
              <w:t xml:space="preserve"> </w:t>
            </w:r>
            <w:r w:rsidRPr="004F69BC">
              <w:rPr>
                <w:i/>
                <w:iCs/>
                <w:szCs w:val="24"/>
              </w:rPr>
              <w:t xml:space="preserve">Minister for Immigration and Multicultural and Indigenous Affairs; Ex parte Lam </w:t>
            </w:r>
            <w:r w:rsidRPr="004F69BC">
              <w:rPr>
                <w:iCs/>
                <w:szCs w:val="24"/>
              </w:rPr>
              <w:t>[2003] HCA 6, (</w:t>
            </w:r>
            <w:r w:rsidRPr="004F69BC">
              <w:rPr>
                <w:szCs w:val="24"/>
              </w:rPr>
              <w:t>2003) 214 CLR 1</w:t>
            </w:r>
          </w:p>
          <w:p w:rsidR="008B51BA" w:rsidRPr="004F69BC" w:rsidRDefault="008B51BA" w:rsidP="008B51BA">
            <w:pPr>
              <w:spacing w:line="240" w:lineRule="auto"/>
              <w:rPr>
                <w:szCs w:val="24"/>
              </w:rPr>
            </w:pPr>
            <w:r w:rsidRPr="004F69BC">
              <w:rPr>
                <w:i/>
                <w:szCs w:val="24"/>
              </w:rPr>
              <w:lastRenderedPageBreak/>
              <w:t>Neil v Nott</w:t>
            </w:r>
            <w:r w:rsidRPr="004F69BC">
              <w:rPr>
                <w:szCs w:val="24"/>
              </w:rPr>
              <w:t xml:space="preserve"> (1994) 68 ALJR 509</w:t>
            </w:r>
          </w:p>
          <w:p w:rsidR="008B51BA" w:rsidRPr="004F69BC" w:rsidRDefault="008B51BA" w:rsidP="008B51BA">
            <w:pPr>
              <w:spacing w:line="240" w:lineRule="auto"/>
              <w:rPr>
                <w:szCs w:val="24"/>
              </w:rPr>
            </w:pPr>
            <w:r w:rsidRPr="004F69BC">
              <w:rPr>
                <w:i/>
                <w:szCs w:val="24"/>
              </w:rPr>
              <w:t xml:space="preserve">Summers v Repatriation Commission </w:t>
            </w:r>
            <w:r w:rsidRPr="004F69BC">
              <w:rPr>
                <w:szCs w:val="24"/>
              </w:rPr>
              <w:t>[2015] FCAFC 36, (2015) 145 ALD 30</w:t>
            </w:r>
          </w:p>
          <w:p w:rsidR="008B51BA" w:rsidRPr="004F69BC" w:rsidRDefault="008B51BA" w:rsidP="008B51BA">
            <w:pPr>
              <w:spacing w:line="240" w:lineRule="auto"/>
              <w:rPr>
                <w:szCs w:val="24"/>
              </w:rPr>
            </w:pPr>
            <w:r w:rsidRPr="004F69BC">
              <w:rPr>
                <w:i/>
                <w:szCs w:val="24"/>
              </w:rPr>
              <w:t xml:space="preserve">SZIAI v Minister for Immigration and Citizenship </w:t>
            </w:r>
            <w:r w:rsidRPr="004F69BC">
              <w:rPr>
                <w:szCs w:val="24"/>
              </w:rPr>
              <w:t>[2008] FCA 1372, (2008) 104 ALD 22</w:t>
            </w:r>
          </w:p>
          <w:p w:rsidR="008B51BA" w:rsidRDefault="008B51BA" w:rsidP="008B51BA">
            <w:pPr>
              <w:spacing w:line="240" w:lineRule="auto"/>
              <w:rPr>
                <w:szCs w:val="24"/>
              </w:rPr>
            </w:pPr>
            <w:r w:rsidRPr="004F69BC">
              <w:rPr>
                <w:i/>
                <w:szCs w:val="24"/>
              </w:rPr>
              <w:t>SZKMS v Minister for Immigration and Citizenship</w:t>
            </w:r>
            <w:r w:rsidRPr="004F69BC">
              <w:rPr>
                <w:szCs w:val="24"/>
              </w:rPr>
              <w:t xml:space="preserve"> [2008] FCA 499</w:t>
            </w:r>
          </w:p>
          <w:p w:rsidR="008B51BA" w:rsidRPr="004F69BC" w:rsidRDefault="008B51BA" w:rsidP="008B51BA">
            <w:pPr>
              <w:spacing w:line="240" w:lineRule="auto"/>
              <w:rPr>
                <w:szCs w:val="24"/>
              </w:rPr>
            </w:pPr>
            <w:r w:rsidRPr="004F69BC">
              <w:rPr>
                <w:i/>
                <w:szCs w:val="24"/>
              </w:rPr>
              <w:t>VUAX v Minister for Immigration and Multicultural and Indigenous Affairs</w:t>
            </w:r>
            <w:r w:rsidRPr="004F69BC">
              <w:rPr>
                <w:szCs w:val="24"/>
              </w:rPr>
              <w:t xml:space="preserve"> [2004] FCAFC 158</w:t>
            </w:r>
          </w:p>
          <w:p w:rsidR="008B51BA" w:rsidRPr="004F69BC" w:rsidRDefault="008B51BA" w:rsidP="008B51BA">
            <w:pPr>
              <w:spacing w:line="240" w:lineRule="auto"/>
              <w:rPr>
                <w:szCs w:val="24"/>
              </w:rPr>
            </w:pPr>
            <w:r w:rsidRPr="004F69BC">
              <w:rPr>
                <w:i/>
                <w:szCs w:val="24"/>
              </w:rPr>
              <w:t>WAJR v Minister for Immigration and Multicultural and Indigenous Affairs</w:t>
            </w:r>
            <w:r w:rsidRPr="004F69BC">
              <w:rPr>
                <w:szCs w:val="24"/>
              </w:rPr>
              <w:t xml:space="preserve"> [2004] FCA 106, (2004) 204 ALR 624</w:t>
            </w:r>
          </w:p>
          <w:p w:rsidR="00395B24" w:rsidRPr="008B51BA" w:rsidRDefault="008B51BA" w:rsidP="00491EDF">
            <w:pPr>
              <w:spacing w:line="240" w:lineRule="auto"/>
              <w:rPr>
                <w:szCs w:val="24"/>
              </w:rPr>
            </w:pPr>
            <w:r w:rsidRPr="004F69BC">
              <w:rPr>
                <w:i/>
                <w:szCs w:val="24"/>
              </w:rPr>
              <w:t xml:space="preserve">Water Board v </w:t>
            </w:r>
            <w:proofErr w:type="spellStart"/>
            <w:r w:rsidRPr="004F69BC">
              <w:rPr>
                <w:i/>
                <w:szCs w:val="24"/>
              </w:rPr>
              <w:t>Moustakas</w:t>
            </w:r>
            <w:proofErr w:type="spellEnd"/>
            <w:r w:rsidRPr="004F69BC">
              <w:rPr>
                <w:i/>
                <w:szCs w:val="24"/>
              </w:rPr>
              <w:t xml:space="preserve"> </w:t>
            </w:r>
            <w:r w:rsidRPr="004F69BC">
              <w:rPr>
                <w:szCs w:val="24"/>
              </w:rPr>
              <w:t>(1988) 180 CLR 491</w:t>
            </w:r>
            <w:r w:rsidR="00C94469">
              <w:t xml:space="preserve"> </w:t>
            </w:r>
            <w:r w:rsidR="002C7385">
              <w:t xml:space="preserve"> </w:t>
            </w:r>
            <w:bookmarkEnd w:id="5"/>
          </w:p>
        </w:tc>
      </w:tr>
      <w:tr w:rsidR="00972F2F" w:rsidRPr="00972F2F" w:rsidTr="00972F2F">
        <w:tc>
          <w:tcPr>
            <w:tcW w:w="3085" w:type="dxa"/>
            <w:shd w:val="clear" w:color="auto" w:fill="auto"/>
          </w:tcPr>
          <w:p w:rsidR="00972F2F" w:rsidRPr="00972F2F" w:rsidRDefault="00972F2F" w:rsidP="00972F2F">
            <w:pPr>
              <w:pStyle w:val="Normal1linespace"/>
              <w:jc w:val="left"/>
            </w:pPr>
          </w:p>
        </w:tc>
        <w:tc>
          <w:tcPr>
            <w:tcW w:w="5989" w:type="dxa"/>
            <w:shd w:val="clear" w:color="auto" w:fill="auto"/>
          </w:tcPr>
          <w:p w:rsidR="00972F2F" w:rsidRPr="00972F2F" w:rsidRDefault="00972F2F" w:rsidP="00972F2F">
            <w:pPr>
              <w:pStyle w:val="Normal1linespace"/>
              <w:jc w:val="left"/>
            </w:pPr>
          </w:p>
        </w:tc>
      </w:tr>
      <w:tr w:rsidR="00972F2F" w:rsidRPr="00972F2F" w:rsidTr="00972F2F">
        <w:tc>
          <w:tcPr>
            <w:tcW w:w="3085" w:type="dxa"/>
            <w:shd w:val="clear" w:color="auto" w:fill="auto"/>
          </w:tcPr>
          <w:p w:rsidR="00972F2F" w:rsidRPr="00972F2F" w:rsidRDefault="00972F2F" w:rsidP="00972F2F">
            <w:pPr>
              <w:pStyle w:val="Normal1linespace"/>
              <w:jc w:val="left"/>
            </w:pPr>
            <w:bookmarkStart w:id="6" w:name="CounselDate" w:colFirst="0" w:colLast="2"/>
            <w:r w:rsidRPr="00972F2F">
              <w:t>Date of hearing:</w:t>
            </w:r>
          </w:p>
        </w:tc>
        <w:tc>
          <w:tcPr>
            <w:tcW w:w="5989" w:type="dxa"/>
            <w:shd w:val="clear" w:color="auto" w:fill="auto"/>
          </w:tcPr>
          <w:p w:rsidR="00972F2F" w:rsidRPr="00972F2F" w:rsidRDefault="00972F2F" w:rsidP="00972F2F">
            <w:pPr>
              <w:pStyle w:val="Normal1linespace"/>
              <w:jc w:val="left"/>
            </w:pPr>
            <w:bookmarkStart w:id="7" w:name="HearingDate"/>
            <w:r>
              <w:t>19 October 2015</w:t>
            </w:r>
            <w:bookmarkEnd w:id="7"/>
          </w:p>
        </w:tc>
      </w:tr>
      <w:bookmarkEnd w:id="6"/>
      <w:tr w:rsidR="00972F2F" w:rsidTr="00972F2F">
        <w:tc>
          <w:tcPr>
            <w:tcW w:w="3085" w:type="dxa"/>
            <w:shd w:val="clear" w:color="auto" w:fill="auto"/>
          </w:tcPr>
          <w:p w:rsidR="00972F2F" w:rsidRDefault="00972F2F" w:rsidP="00972F2F">
            <w:pPr>
              <w:pStyle w:val="Normal1linespace"/>
              <w:widowControl w:val="0"/>
              <w:jc w:val="left"/>
            </w:pPr>
          </w:p>
        </w:tc>
        <w:tc>
          <w:tcPr>
            <w:tcW w:w="5989" w:type="dxa"/>
            <w:shd w:val="clear" w:color="auto" w:fill="auto"/>
          </w:tcPr>
          <w:p w:rsidR="00972F2F" w:rsidRDefault="00972F2F" w:rsidP="00972F2F">
            <w:pPr>
              <w:pStyle w:val="Normal1linespace"/>
              <w:widowControl w:val="0"/>
              <w:jc w:val="left"/>
            </w:pPr>
          </w:p>
        </w:tc>
      </w:tr>
      <w:tr w:rsidR="00972F2F" w:rsidTr="00972F2F">
        <w:tc>
          <w:tcPr>
            <w:tcW w:w="3085" w:type="dxa"/>
            <w:shd w:val="clear" w:color="auto" w:fill="auto"/>
          </w:tcPr>
          <w:p w:rsidR="00972F2F" w:rsidRDefault="00972F2F" w:rsidP="00972F2F">
            <w:pPr>
              <w:pStyle w:val="Normal1linespace"/>
              <w:widowControl w:val="0"/>
              <w:jc w:val="left"/>
            </w:pPr>
            <w:r>
              <w:t>Place:</w:t>
            </w:r>
          </w:p>
        </w:tc>
        <w:tc>
          <w:tcPr>
            <w:tcW w:w="5989" w:type="dxa"/>
            <w:shd w:val="clear" w:color="auto" w:fill="auto"/>
          </w:tcPr>
          <w:p w:rsidR="00972F2F" w:rsidRDefault="00800208" w:rsidP="00972F2F">
            <w:pPr>
              <w:pStyle w:val="Normal1linespace"/>
              <w:widowControl w:val="0"/>
              <w:jc w:val="left"/>
            </w:pPr>
            <w:fldSimple w:instr=" DOCVARIABLE  Place_SentenceCase  \* MERGEFORMAT ">
              <w:r w:rsidR="00972F2F">
                <w:t>Perth</w:t>
              </w:r>
            </w:fldSimple>
          </w:p>
        </w:tc>
      </w:tr>
      <w:tr w:rsidR="00972F2F" w:rsidTr="00972F2F">
        <w:tc>
          <w:tcPr>
            <w:tcW w:w="3085" w:type="dxa"/>
            <w:shd w:val="clear" w:color="auto" w:fill="auto"/>
          </w:tcPr>
          <w:p w:rsidR="00972F2F" w:rsidRDefault="00972F2F" w:rsidP="00972F2F">
            <w:pPr>
              <w:pStyle w:val="Normal1linespace"/>
              <w:widowControl w:val="0"/>
              <w:jc w:val="left"/>
            </w:pPr>
          </w:p>
        </w:tc>
        <w:tc>
          <w:tcPr>
            <w:tcW w:w="5989" w:type="dxa"/>
            <w:shd w:val="clear" w:color="auto" w:fill="auto"/>
          </w:tcPr>
          <w:p w:rsidR="00972F2F" w:rsidRDefault="00972F2F" w:rsidP="00972F2F">
            <w:pPr>
              <w:pStyle w:val="Normal1linespace"/>
              <w:widowControl w:val="0"/>
              <w:jc w:val="left"/>
            </w:pPr>
          </w:p>
        </w:tc>
      </w:tr>
      <w:tr w:rsidR="00972F2F" w:rsidTr="00972F2F">
        <w:tc>
          <w:tcPr>
            <w:tcW w:w="3085" w:type="dxa"/>
            <w:shd w:val="clear" w:color="auto" w:fill="auto"/>
          </w:tcPr>
          <w:p w:rsidR="00972F2F" w:rsidRDefault="00972F2F" w:rsidP="00972F2F">
            <w:pPr>
              <w:pStyle w:val="Normal1linespace"/>
              <w:widowControl w:val="0"/>
              <w:jc w:val="left"/>
            </w:pPr>
            <w:r>
              <w:t>Division:</w:t>
            </w:r>
          </w:p>
        </w:tc>
        <w:tc>
          <w:tcPr>
            <w:tcW w:w="5989" w:type="dxa"/>
            <w:shd w:val="clear" w:color="auto" w:fill="auto"/>
          </w:tcPr>
          <w:p w:rsidR="00972F2F" w:rsidRPr="00C67B37" w:rsidRDefault="00972F2F" w:rsidP="00972F2F">
            <w:pPr>
              <w:pStyle w:val="Normal1linespace"/>
              <w:widowControl w:val="0"/>
              <w:jc w:val="left"/>
              <w:rPr>
                <w:caps/>
              </w:rPr>
            </w:pPr>
            <w:r>
              <w:rPr>
                <w:caps/>
              </w:rPr>
              <w:fldChar w:fldCharType="begin"/>
            </w:r>
            <w:r>
              <w:rPr>
                <w:caps/>
              </w:rPr>
              <w:instrText xml:space="preserve"> REF  Division </w:instrText>
            </w:r>
            <w:r>
              <w:rPr>
                <w:caps/>
              </w:rPr>
              <w:fldChar w:fldCharType="separate"/>
            </w:r>
            <w:r w:rsidR="00A02FE4">
              <w:rPr>
                <w:caps/>
                <w:szCs w:val="24"/>
              </w:rPr>
              <w:t>GENERAL DIVISION</w:t>
            </w:r>
            <w:r>
              <w:rPr>
                <w:caps/>
              </w:rPr>
              <w:fldChar w:fldCharType="end"/>
            </w:r>
          </w:p>
        </w:tc>
      </w:tr>
      <w:tr w:rsidR="00972F2F" w:rsidTr="00972F2F">
        <w:tc>
          <w:tcPr>
            <w:tcW w:w="3085" w:type="dxa"/>
            <w:shd w:val="clear" w:color="auto" w:fill="auto"/>
          </w:tcPr>
          <w:p w:rsidR="00972F2F" w:rsidRDefault="00972F2F" w:rsidP="00972F2F">
            <w:pPr>
              <w:pStyle w:val="Normal1linespace"/>
              <w:widowControl w:val="0"/>
              <w:jc w:val="left"/>
            </w:pPr>
          </w:p>
        </w:tc>
        <w:tc>
          <w:tcPr>
            <w:tcW w:w="5989" w:type="dxa"/>
            <w:shd w:val="clear" w:color="auto" w:fill="auto"/>
          </w:tcPr>
          <w:p w:rsidR="00972F2F" w:rsidRDefault="00972F2F" w:rsidP="00972F2F">
            <w:pPr>
              <w:pStyle w:val="Normal1linespace"/>
              <w:widowControl w:val="0"/>
              <w:jc w:val="left"/>
              <w:rPr>
                <w:b/>
              </w:rPr>
            </w:pPr>
          </w:p>
        </w:tc>
      </w:tr>
      <w:tr w:rsidR="00972F2F" w:rsidTr="00972F2F">
        <w:tc>
          <w:tcPr>
            <w:tcW w:w="3085" w:type="dxa"/>
            <w:shd w:val="clear" w:color="auto" w:fill="auto"/>
          </w:tcPr>
          <w:p w:rsidR="00972F2F" w:rsidRDefault="00972F2F" w:rsidP="00972F2F">
            <w:pPr>
              <w:pStyle w:val="Normal1linespace"/>
              <w:widowControl w:val="0"/>
              <w:jc w:val="left"/>
            </w:pPr>
            <w:r>
              <w:t>Category:</w:t>
            </w:r>
          </w:p>
        </w:tc>
        <w:tc>
          <w:tcPr>
            <w:tcW w:w="5989" w:type="dxa"/>
            <w:shd w:val="clear" w:color="auto" w:fill="auto"/>
          </w:tcPr>
          <w:p w:rsidR="00972F2F" w:rsidRDefault="00972F2F" w:rsidP="00972F2F">
            <w:pPr>
              <w:pStyle w:val="Normal1linespace"/>
              <w:widowControl w:val="0"/>
              <w:jc w:val="left"/>
            </w:pPr>
            <w:r w:rsidRPr="00C90A70">
              <w:t>Catchwords</w:t>
            </w:r>
          </w:p>
        </w:tc>
      </w:tr>
      <w:tr w:rsidR="00972F2F" w:rsidTr="00972F2F">
        <w:tc>
          <w:tcPr>
            <w:tcW w:w="3085" w:type="dxa"/>
            <w:shd w:val="clear" w:color="auto" w:fill="auto"/>
          </w:tcPr>
          <w:p w:rsidR="00972F2F" w:rsidRDefault="00972F2F" w:rsidP="00972F2F">
            <w:pPr>
              <w:pStyle w:val="Normal1linespace"/>
              <w:widowControl w:val="0"/>
              <w:jc w:val="left"/>
            </w:pPr>
          </w:p>
        </w:tc>
        <w:tc>
          <w:tcPr>
            <w:tcW w:w="5989" w:type="dxa"/>
            <w:shd w:val="clear" w:color="auto" w:fill="auto"/>
          </w:tcPr>
          <w:p w:rsidR="00972F2F" w:rsidRDefault="00972F2F" w:rsidP="00972F2F">
            <w:pPr>
              <w:pStyle w:val="Normal1linespace"/>
              <w:widowControl w:val="0"/>
              <w:jc w:val="left"/>
            </w:pPr>
          </w:p>
        </w:tc>
      </w:tr>
      <w:tr w:rsidR="00972F2F" w:rsidTr="00972F2F">
        <w:tc>
          <w:tcPr>
            <w:tcW w:w="3085" w:type="dxa"/>
            <w:shd w:val="clear" w:color="auto" w:fill="auto"/>
          </w:tcPr>
          <w:p w:rsidR="00972F2F" w:rsidRDefault="00972F2F" w:rsidP="00972F2F">
            <w:pPr>
              <w:pStyle w:val="Normal1linespace"/>
              <w:widowControl w:val="0"/>
              <w:jc w:val="left"/>
            </w:pPr>
            <w:r>
              <w:t>Number of paragraphs:</w:t>
            </w:r>
          </w:p>
        </w:tc>
        <w:tc>
          <w:tcPr>
            <w:tcW w:w="5989" w:type="dxa"/>
            <w:shd w:val="clear" w:color="auto" w:fill="auto"/>
          </w:tcPr>
          <w:p w:rsidR="00972F2F" w:rsidRDefault="00515434" w:rsidP="00972F2F">
            <w:pPr>
              <w:pStyle w:val="Normal1linespace"/>
              <w:widowControl w:val="0"/>
              <w:jc w:val="left"/>
            </w:pPr>
            <w:bookmarkStart w:id="8" w:name="PlaceCategoryParagraphs"/>
            <w:r>
              <w:t>47</w:t>
            </w:r>
            <w:bookmarkEnd w:id="8"/>
          </w:p>
        </w:tc>
      </w:tr>
      <w:tr w:rsidR="00972F2F" w:rsidTr="00972F2F">
        <w:tc>
          <w:tcPr>
            <w:tcW w:w="3085" w:type="dxa"/>
            <w:shd w:val="clear" w:color="auto" w:fill="auto"/>
          </w:tcPr>
          <w:p w:rsidR="00972F2F" w:rsidRDefault="00972F2F" w:rsidP="00972F2F">
            <w:pPr>
              <w:pStyle w:val="Normal1linespace"/>
              <w:widowControl w:val="0"/>
              <w:jc w:val="left"/>
            </w:pPr>
          </w:p>
        </w:tc>
        <w:tc>
          <w:tcPr>
            <w:tcW w:w="5989" w:type="dxa"/>
            <w:shd w:val="clear" w:color="auto" w:fill="auto"/>
          </w:tcPr>
          <w:p w:rsidR="00972F2F" w:rsidRDefault="00972F2F" w:rsidP="00972F2F">
            <w:pPr>
              <w:pStyle w:val="Normal1linespace"/>
              <w:widowControl w:val="0"/>
              <w:jc w:val="left"/>
            </w:pPr>
          </w:p>
        </w:tc>
      </w:tr>
      <w:tr w:rsidR="00972F2F" w:rsidTr="00972F2F">
        <w:tc>
          <w:tcPr>
            <w:tcW w:w="3085" w:type="dxa"/>
            <w:shd w:val="clear" w:color="auto" w:fill="auto"/>
          </w:tcPr>
          <w:p w:rsidR="00972F2F" w:rsidRDefault="00972F2F" w:rsidP="00972F2F">
            <w:pPr>
              <w:pStyle w:val="Normal1linespace"/>
              <w:widowControl w:val="0"/>
              <w:jc w:val="left"/>
            </w:pPr>
            <w:bookmarkStart w:id="9" w:name="Counsel" w:colFirst="0" w:colLast="2"/>
            <w:r>
              <w:t>Counsel for the Appellant:</w:t>
            </w:r>
          </w:p>
        </w:tc>
        <w:tc>
          <w:tcPr>
            <w:tcW w:w="5989" w:type="dxa"/>
            <w:shd w:val="clear" w:color="auto" w:fill="auto"/>
          </w:tcPr>
          <w:p w:rsidR="00972F2F" w:rsidRDefault="001B4C19" w:rsidP="00972F2F">
            <w:pPr>
              <w:pStyle w:val="Normal1linespace"/>
              <w:widowControl w:val="0"/>
              <w:jc w:val="left"/>
            </w:pPr>
            <w:bookmarkStart w:id="10" w:name="AppCounsel"/>
            <w:bookmarkEnd w:id="10"/>
            <w:r>
              <w:t>Dr J L Cameron</w:t>
            </w:r>
            <w:r w:rsidR="008D0F3F">
              <w:t xml:space="preserve"> (Pro Bono)</w:t>
            </w:r>
          </w:p>
        </w:tc>
      </w:tr>
      <w:tr w:rsidR="00972F2F" w:rsidTr="00972F2F">
        <w:tc>
          <w:tcPr>
            <w:tcW w:w="3085" w:type="dxa"/>
            <w:shd w:val="clear" w:color="auto" w:fill="auto"/>
          </w:tcPr>
          <w:p w:rsidR="00972F2F" w:rsidRDefault="00972F2F" w:rsidP="00972F2F">
            <w:pPr>
              <w:pStyle w:val="Normal1linespace"/>
              <w:widowControl w:val="0"/>
              <w:jc w:val="left"/>
            </w:pPr>
          </w:p>
        </w:tc>
        <w:tc>
          <w:tcPr>
            <w:tcW w:w="5989" w:type="dxa"/>
            <w:shd w:val="clear" w:color="auto" w:fill="auto"/>
          </w:tcPr>
          <w:p w:rsidR="00972F2F" w:rsidRDefault="00972F2F" w:rsidP="00972F2F">
            <w:pPr>
              <w:pStyle w:val="Normal1linespace"/>
              <w:widowControl w:val="0"/>
              <w:jc w:val="left"/>
            </w:pPr>
          </w:p>
        </w:tc>
      </w:tr>
      <w:tr w:rsidR="00972F2F" w:rsidTr="00972F2F">
        <w:tc>
          <w:tcPr>
            <w:tcW w:w="3085" w:type="dxa"/>
            <w:shd w:val="clear" w:color="auto" w:fill="auto"/>
          </w:tcPr>
          <w:p w:rsidR="00972F2F" w:rsidRDefault="00972F2F" w:rsidP="00972F2F">
            <w:pPr>
              <w:pStyle w:val="Normal1linespace"/>
              <w:widowControl w:val="0"/>
              <w:jc w:val="left"/>
            </w:pPr>
            <w:r>
              <w:t>Counsel for the Respondent:</w:t>
            </w:r>
          </w:p>
        </w:tc>
        <w:tc>
          <w:tcPr>
            <w:tcW w:w="5989" w:type="dxa"/>
            <w:shd w:val="clear" w:color="auto" w:fill="auto"/>
          </w:tcPr>
          <w:p w:rsidR="00972F2F" w:rsidRDefault="00972F2F" w:rsidP="00972F2F">
            <w:pPr>
              <w:pStyle w:val="Normal1linespace"/>
              <w:widowControl w:val="0"/>
              <w:jc w:val="left"/>
            </w:pPr>
            <w:r>
              <w:t xml:space="preserve">Dr E M </w:t>
            </w:r>
            <w:proofErr w:type="spellStart"/>
            <w:r>
              <w:t>Heenan</w:t>
            </w:r>
            <w:proofErr w:type="spellEnd"/>
          </w:p>
        </w:tc>
      </w:tr>
      <w:tr w:rsidR="00972F2F" w:rsidTr="00972F2F">
        <w:tc>
          <w:tcPr>
            <w:tcW w:w="3085" w:type="dxa"/>
            <w:shd w:val="clear" w:color="auto" w:fill="auto"/>
          </w:tcPr>
          <w:p w:rsidR="00972F2F" w:rsidRDefault="00972F2F" w:rsidP="00972F2F">
            <w:pPr>
              <w:pStyle w:val="Normal1linespace"/>
              <w:widowControl w:val="0"/>
              <w:jc w:val="left"/>
            </w:pPr>
          </w:p>
        </w:tc>
        <w:tc>
          <w:tcPr>
            <w:tcW w:w="5989" w:type="dxa"/>
            <w:shd w:val="clear" w:color="auto" w:fill="auto"/>
          </w:tcPr>
          <w:p w:rsidR="00972F2F" w:rsidRDefault="00972F2F" w:rsidP="00972F2F">
            <w:pPr>
              <w:pStyle w:val="Normal1linespace"/>
              <w:widowControl w:val="0"/>
              <w:jc w:val="left"/>
            </w:pPr>
          </w:p>
        </w:tc>
      </w:tr>
      <w:tr w:rsidR="00972F2F" w:rsidTr="00972F2F">
        <w:tc>
          <w:tcPr>
            <w:tcW w:w="3085" w:type="dxa"/>
            <w:shd w:val="clear" w:color="auto" w:fill="auto"/>
          </w:tcPr>
          <w:p w:rsidR="00972F2F" w:rsidRDefault="00972F2F" w:rsidP="00972F2F">
            <w:pPr>
              <w:pStyle w:val="Normal1linespace"/>
              <w:widowControl w:val="0"/>
              <w:jc w:val="left"/>
            </w:pPr>
            <w:r>
              <w:t>Solicitor for the Respondent:</w:t>
            </w:r>
          </w:p>
        </w:tc>
        <w:tc>
          <w:tcPr>
            <w:tcW w:w="5989" w:type="dxa"/>
            <w:shd w:val="clear" w:color="auto" w:fill="auto"/>
          </w:tcPr>
          <w:p w:rsidR="00972F2F" w:rsidRDefault="00972F2F" w:rsidP="00972F2F">
            <w:pPr>
              <w:pStyle w:val="Normal1linespace"/>
              <w:widowControl w:val="0"/>
              <w:jc w:val="left"/>
            </w:pPr>
            <w:r>
              <w:t>Attorney-General’s Department</w:t>
            </w:r>
          </w:p>
        </w:tc>
      </w:tr>
      <w:bookmarkEnd w:id="9"/>
    </w:tbl>
    <w:p w:rsidR="00395B24" w:rsidRDefault="00395B24">
      <w:pPr>
        <w:pStyle w:val="Normal1linespace"/>
      </w:pPr>
    </w:p>
    <w:p w:rsidR="00395B24" w:rsidRDefault="00395B24">
      <w:pPr>
        <w:pStyle w:val="Normal1linespace"/>
      </w:pPr>
    </w:p>
    <w:p w:rsidR="00AF7070" w:rsidRDefault="00AF7070">
      <w:pPr>
        <w:pStyle w:val="Normal1linespace"/>
        <w:sectPr w:rsidR="00AF7070">
          <w:headerReference w:type="default" r:id="rId9"/>
          <w:footerReference w:type="first" r:id="rId10"/>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E11DBB">
            <w:pPr>
              <w:pStyle w:val="NormalHeadings"/>
              <w:spacing w:after="120"/>
              <w:jc w:val="left"/>
              <w:rPr>
                <w:caps/>
                <w:szCs w:val="24"/>
              </w:rPr>
            </w:pPr>
            <w:bookmarkStart w:id="11" w:name="State"/>
            <w:r>
              <w:rPr>
                <w:caps/>
                <w:szCs w:val="24"/>
              </w:rPr>
              <w:t>WESTERN AUSTRALIA</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E11DBB">
            <w:pPr>
              <w:pStyle w:val="NormalHeadings"/>
              <w:spacing w:after="120"/>
              <w:jc w:val="left"/>
              <w:rPr>
                <w:caps/>
                <w:szCs w:val="24"/>
              </w:rPr>
            </w:pPr>
            <w:bookmarkStart w:id="12" w:name="Division"/>
            <w:r>
              <w:rPr>
                <w:caps/>
                <w:szCs w:val="24"/>
              </w:rPr>
              <w:t>GENERAL DIVISION</w:t>
            </w:r>
            <w:bookmarkEnd w:id="12"/>
          </w:p>
        </w:tc>
        <w:tc>
          <w:tcPr>
            <w:tcW w:w="2471" w:type="dxa"/>
          </w:tcPr>
          <w:p w:rsidR="00395B24" w:rsidRDefault="00E11DBB">
            <w:pPr>
              <w:pStyle w:val="NormalHeadings"/>
              <w:tabs>
                <w:tab w:val="right" w:pos="3609"/>
              </w:tabs>
              <w:jc w:val="right"/>
              <w:rPr>
                <w:szCs w:val="24"/>
              </w:rPr>
            </w:pPr>
            <w:bookmarkStart w:id="13" w:name="Num"/>
            <w:r>
              <w:rPr>
                <w:szCs w:val="24"/>
              </w:rPr>
              <w:t>WAD 265 of 2015</w:t>
            </w:r>
            <w:bookmarkEnd w:id="13"/>
          </w:p>
        </w:tc>
      </w:tr>
    </w:tbl>
    <w:p w:rsidR="00395B24" w:rsidRDefault="00395B24">
      <w:pPr>
        <w:pStyle w:val="AppealTable"/>
      </w:pPr>
    </w:p>
    <w:tbl>
      <w:tblPr>
        <w:tblW w:w="0" w:type="auto"/>
        <w:tblLook w:val="01E0" w:firstRow="1" w:lastRow="1" w:firstColumn="1" w:lastColumn="1" w:noHBand="0" w:noVBand="0"/>
      </w:tblPr>
      <w:tblGrid>
        <w:gridCol w:w="9243"/>
      </w:tblGrid>
      <w:tr w:rsidR="00E11DBB" w:rsidRPr="00E11DBB">
        <w:tc>
          <w:tcPr>
            <w:tcW w:w="9243" w:type="dxa"/>
            <w:shd w:val="clear" w:color="auto" w:fill="auto"/>
          </w:tcPr>
          <w:p w:rsidR="00E11DBB" w:rsidRPr="00E11DBB" w:rsidRDefault="00E11DBB">
            <w:pPr>
              <w:pStyle w:val="AppealTable"/>
              <w:widowControl w:val="0"/>
              <w:spacing w:line="360" w:lineRule="auto"/>
              <w:jc w:val="both"/>
              <w:rPr>
                <w:caps w:val="0"/>
                <w:sz w:val="24"/>
                <w:szCs w:val="20"/>
                <w:lang w:eastAsia="en-AU"/>
              </w:rPr>
            </w:pPr>
            <w:bookmarkStart w:id="14" w:name="Appeal"/>
            <w:bookmarkStart w:id="15" w:name="AppealTable"/>
            <w:r w:rsidRPr="00E11DBB">
              <w:rPr>
                <w:caps w:val="0"/>
                <w:sz w:val="24"/>
                <w:szCs w:val="20"/>
                <w:lang w:eastAsia="en-AU"/>
              </w:rPr>
              <w:t>ON APPEAL FROM THE FEDERAL COURT OF AUSTRALIA</w:t>
            </w:r>
            <w:bookmarkEnd w:id="14"/>
          </w:p>
        </w:tc>
      </w:tr>
      <w:bookmarkEnd w:id="15"/>
    </w:tbl>
    <w:p w:rsidR="00C94469" w:rsidRDefault="00C94469">
      <w:pPr>
        <w:pStyle w:val="AppealTable"/>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6" w:name="Parties"/>
            <w:r>
              <w:rPr>
                <w:caps/>
                <w:szCs w:val="24"/>
              </w:rPr>
              <w:t>BETWEEN:</w:t>
            </w:r>
          </w:p>
        </w:tc>
        <w:tc>
          <w:tcPr>
            <w:tcW w:w="6866" w:type="dxa"/>
          </w:tcPr>
          <w:p w:rsidR="00E11DBB" w:rsidRDefault="00E11DBB">
            <w:pPr>
              <w:pStyle w:val="NormalHeadings"/>
              <w:jc w:val="left"/>
              <w:rPr>
                <w:szCs w:val="24"/>
              </w:rPr>
            </w:pPr>
            <w:bookmarkStart w:id="17" w:name="Applicant"/>
            <w:r>
              <w:rPr>
                <w:szCs w:val="24"/>
              </w:rPr>
              <w:t>PAWEL FRANCUZIAK</w:t>
            </w:r>
          </w:p>
          <w:p w:rsidR="00E11DBB" w:rsidRDefault="00E11DBB">
            <w:pPr>
              <w:pStyle w:val="NormalHeadings"/>
              <w:jc w:val="left"/>
              <w:rPr>
                <w:szCs w:val="24"/>
              </w:rPr>
            </w:pPr>
            <w:r>
              <w:rPr>
                <w:szCs w:val="24"/>
              </w:rPr>
              <w:t>Appellant</w:t>
            </w:r>
          </w:p>
          <w:bookmarkEnd w:id="17"/>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E11DBB" w:rsidRDefault="00E11DBB">
            <w:pPr>
              <w:pStyle w:val="NormalHeadings"/>
              <w:jc w:val="left"/>
              <w:rPr>
                <w:szCs w:val="24"/>
              </w:rPr>
            </w:pPr>
            <w:bookmarkStart w:id="18" w:name="Respondent"/>
            <w:r>
              <w:rPr>
                <w:szCs w:val="24"/>
              </w:rPr>
              <w:t>MINISTER FOR JUSTICE</w:t>
            </w:r>
          </w:p>
          <w:p w:rsidR="00E11DBB" w:rsidRDefault="00E11DBB">
            <w:pPr>
              <w:pStyle w:val="NormalHeadings"/>
              <w:jc w:val="left"/>
              <w:rPr>
                <w:szCs w:val="24"/>
              </w:rPr>
            </w:pPr>
            <w:r>
              <w:rPr>
                <w:szCs w:val="24"/>
              </w:rPr>
              <w:t>Respondent</w:t>
            </w:r>
          </w:p>
          <w:bookmarkEnd w:id="18"/>
          <w:p w:rsidR="00395B24" w:rsidRDefault="00395B24">
            <w:pPr>
              <w:pStyle w:val="NormalHeadings"/>
              <w:jc w:val="left"/>
              <w:rPr>
                <w:szCs w:val="24"/>
              </w:rPr>
            </w:pPr>
          </w:p>
        </w:tc>
      </w:tr>
    </w:tbl>
    <w:bookmarkEnd w:id="16"/>
    <w:p w:rsidR="00395B24" w:rsidRDefault="006446B2">
      <w:pPr>
        <w:pStyle w:val="NormalHeadings"/>
      </w:pPr>
      <w:r>
        <w:t xml:space="preserve"> </w:t>
      </w: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E11DBB">
            <w:pPr>
              <w:pStyle w:val="NormalHeadings"/>
              <w:spacing w:after="120"/>
              <w:jc w:val="left"/>
              <w:rPr>
                <w:caps/>
                <w:szCs w:val="24"/>
              </w:rPr>
            </w:pPr>
            <w:bookmarkStart w:id="19" w:name="JudgeText"/>
            <w:r>
              <w:rPr>
                <w:caps/>
                <w:szCs w:val="24"/>
              </w:rPr>
              <w:t>JUDGES</w:t>
            </w:r>
            <w:bookmarkEnd w:id="19"/>
            <w:r w:rsidR="002C7385">
              <w:rPr>
                <w:caps/>
                <w:szCs w:val="24"/>
              </w:rPr>
              <w:t>:</w:t>
            </w:r>
          </w:p>
        </w:tc>
        <w:tc>
          <w:tcPr>
            <w:tcW w:w="6866" w:type="dxa"/>
          </w:tcPr>
          <w:p w:rsidR="00395B24" w:rsidRDefault="00972F2F">
            <w:pPr>
              <w:pStyle w:val="NormalHeadings"/>
              <w:jc w:val="left"/>
              <w:rPr>
                <w:caps/>
                <w:szCs w:val="24"/>
              </w:rPr>
            </w:pPr>
            <w:bookmarkStart w:id="20" w:name="Judge"/>
            <w:r>
              <w:rPr>
                <w:caps/>
                <w:szCs w:val="24"/>
              </w:rPr>
              <w:t>SIOPIS, FLICK AND KATZMANN JJ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30FAC" w:rsidP="00D30FAC">
            <w:pPr>
              <w:pStyle w:val="NormalHeadings"/>
              <w:jc w:val="left"/>
              <w:rPr>
                <w:caps/>
                <w:szCs w:val="24"/>
              </w:rPr>
            </w:pPr>
            <w:bookmarkStart w:id="21" w:name="Judgment_Dated"/>
            <w:r>
              <w:rPr>
                <w:caps/>
                <w:szCs w:val="24"/>
              </w:rPr>
              <w:t>16</w:t>
            </w:r>
            <w:r w:rsidR="00E11DBB">
              <w:rPr>
                <w:caps/>
                <w:szCs w:val="24"/>
              </w:rPr>
              <w:t xml:space="preserve"> NOVEMBER 2015</w:t>
            </w:r>
            <w:bookmarkEnd w:id="21"/>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E11DBB">
            <w:pPr>
              <w:pStyle w:val="NormalHeadings"/>
              <w:jc w:val="left"/>
              <w:rPr>
                <w:caps/>
                <w:szCs w:val="24"/>
              </w:rPr>
            </w:pPr>
            <w:bookmarkStart w:id="22" w:name="Place"/>
            <w:r>
              <w:rPr>
                <w:caps/>
                <w:szCs w:val="24"/>
              </w:rPr>
              <w:t>PERTH</w:t>
            </w:r>
            <w:bookmarkEnd w:id="22"/>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977CE4" w:rsidRDefault="00767E7A" w:rsidP="00274F5B">
      <w:pPr>
        <w:pStyle w:val="Order1"/>
      </w:pPr>
      <w:bookmarkStart w:id="23" w:name="Order_Start_Text"/>
      <w:bookmarkEnd w:id="23"/>
      <w:r>
        <w:t xml:space="preserve">The name of the </w:t>
      </w:r>
      <w:r w:rsidR="001B4C19">
        <w:t>Respondent</w:t>
      </w:r>
      <w:r>
        <w:t xml:space="preserve"> </w:t>
      </w:r>
      <w:r w:rsidR="001B4C19">
        <w:t>is</w:t>
      </w:r>
      <w:r>
        <w:t xml:space="preserve"> amended to “Minister for Justice”.</w:t>
      </w:r>
      <w:r w:rsidR="00977CE4">
        <w:t xml:space="preserve"> </w:t>
      </w:r>
    </w:p>
    <w:p w:rsidR="00767E7A" w:rsidRPr="00121C43" w:rsidRDefault="00767E7A" w:rsidP="00767E7A">
      <w:pPr>
        <w:pStyle w:val="Order1"/>
      </w:pPr>
      <w:r>
        <w:t xml:space="preserve">Leave </w:t>
      </w:r>
      <w:r w:rsidR="001B4C19">
        <w:t>is</w:t>
      </w:r>
      <w:r>
        <w:t xml:space="preserve"> granted to file the </w:t>
      </w:r>
      <w:r w:rsidRPr="00767E7A">
        <w:t>Re</w:t>
      </w:r>
      <w:r>
        <w:noBreakHyphen/>
      </w:r>
      <w:r w:rsidRPr="00767E7A">
        <w:t>Amended Notice of Appeal</w:t>
      </w:r>
      <w:r w:rsidRPr="00121C43">
        <w:t xml:space="preserve"> dated 30 September 2015.</w:t>
      </w:r>
    </w:p>
    <w:p w:rsidR="00767E7A" w:rsidRDefault="00767E7A" w:rsidP="00767E7A">
      <w:pPr>
        <w:pStyle w:val="Order1"/>
      </w:pPr>
      <w:r w:rsidRPr="00121C43">
        <w:t xml:space="preserve">To the extent that leave is necessary to now rely upon </w:t>
      </w:r>
      <w:r w:rsidR="00475E8E">
        <w:t>g</w:t>
      </w:r>
      <w:r w:rsidRPr="00121C43">
        <w:t xml:space="preserve">rounds 1, 2 and 4 of the </w:t>
      </w:r>
      <w:r>
        <w:t>Re</w:t>
      </w:r>
      <w:r>
        <w:noBreakHyphen/>
      </w:r>
      <w:r w:rsidRPr="00767E7A">
        <w:t>Amended Notice of Appeal</w:t>
      </w:r>
      <w:r w:rsidRPr="00121C43">
        <w:t xml:space="preserve">, leave </w:t>
      </w:r>
      <w:r w:rsidR="001B4C19">
        <w:t>is</w:t>
      </w:r>
      <w:r w:rsidRPr="00121C43">
        <w:t xml:space="preserve"> refused</w:t>
      </w:r>
      <w:r>
        <w:t>.</w:t>
      </w:r>
    </w:p>
    <w:p w:rsidR="00767E7A" w:rsidRDefault="00767E7A" w:rsidP="00767E7A">
      <w:pPr>
        <w:pStyle w:val="Order1"/>
      </w:pPr>
      <w:r>
        <w:t xml:space="preserve">The appeal </w:t>
      </w:r>
      <w:r w:rsidR="001B4C19">
        <w:t>is</w:t>
      </w:r>
      <w:r>
        <w:t xml:space="preserve"> dismissed.</w:t>
      </w:r>
    </w:p>
    <w:p w:rsidR="00977CE4" w:rsidRDefault="00977CE4" w:rsidP="00274F5B">
      <w:pPr>
        <w:pStyle w:val="Order1"/>
      </w:pPr>
      <w:r>
        <w:t xml:space="preserve">The </w:t>
      </w:r>
      <w:r w:rsidR="001B4C19">
        <w:t>Appellant</w:t>
      </w:r>
      <w:r>
        <w:t xml:space="preserve"> pay the </w:t>
      </w:r>
      <w:r w:rsidR="001B4C19">
        <w:t>Respondent’s</w:t>
      </w:r>
      <w:r>
        <w:t xml:space="preserve"> costs.</w:t>
      </w:r>
    </w:p>
    <w:p w:rsidR="00636871" w:rsidRDefault="00636871" w:rsidP="002B0E91">
      <w:pPr>
        <w:pStyle w:val="BodyText"/>
      </w:pPr>
    </w:p>
    <w:p w:rsidR="003B2538" w:rsidRDefault="003B2538" w:rsidP="002B0E91">
      <w:pPr>
        <w:pStyle w:val="BodyText"/>
      </w:pPr>
    </w:p>
    <w:p w:rsidR="003B2538" w:rsidRDefault="003B2538"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4" w:name="ReasonsPage"/>
            <w:bookmarkEnd w:id="24"/>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E11DBB">
              <w:rPr>
                <w:caps/>
                <w:szCs w:val="24"/>
              </w:rPr>
              <w:t>WESTERN AUSTRALIA</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E11DBB">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E11DBB" w:rsidRPr="00E11DBB">
              <w:rPr>
                <w:caps/>
                <w:szCs w:val="24"/>
              </w:rPr>
              <w:t>WAD</w:t>
            </w:r>
            <w:r w:rsidR="00E11DBB">
              <w:rPr>
                <w:szCs w:val="24"/>
              </w:rPr>
              <w:t xml:space="preserve"> 265 of 2015</w:t>
            </w:r>
            <w:r>
              <w:rPr>
                <w:caps/>
                <w:szCs w:val="24"/>
              </w:rPr>
              <w:fldChar w:fldCharType="end"/>
            </w:r>
          </w:p>
        </w:tc>
      </w:tr>
    </w:tbl>
    <w:p w:rsidR="00E11DBB" w:rsidRDefault="002C7385">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E11DBB" w:rsidRPr="00E11DBB">
        <w:tc>
          <w:tcPr>
            <w:tcW w:w="9243" w:type="dxa"/>
            <w:shd w:val="clear" w:color="auto" w:fill="auto"/>
          </w:tcPr>
          <w:p w:rsidR="00E11DBB" w:rsidRPr="00E11DBB" w:rsidRDefault="00E11DBB">
            <w:pPr>
              <w:pStyle w:val="AppealTable"/>
              <w:widowControl w:val="0"/>
              <w:spacing w:line="360" w:lineRule="auto"/>
              <w:jc w:val="both"/>
              <w:rPr>
                <w:caps w:val="0"/>
                <w:sz w:val="24"/>
                <w:szCs w:val="20"/>
                <w:lang w:eastAsia="en-AU"/>
              </w:rPr>
            </w:pPr>
            <w:r w:rsidRPr="00E11DBB">
              <w:rPr>
                <w:caps w:val="0"/>
                <w:sz w:val="24"/>
                <w:szCs w:val="20"/>
                <w:lang w:eastAsia="en-AU"/>
              </w:rPr>
              <w:t>ON APPEAL FROM THE FEDERAL COURT OF AUSTRALIA</w:t>
            </w:r>
          </w:p>
        </w:tc>
      </w:tr>
    </w:tbl>
    <w:p w:rsidR="00395B24" w:rsidRDefault="002C7385">
      <w:pPr>
        <w:pStyle w:val="AppealTable"/>
      </w:pPr>
      <w: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E11DBB"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proofErr w:type="spellStart"/>
            <w:r w:rsidR="00E11DBB" w:rsidRPr="00E11DBB">
              <w:rPr>
                <w:caps/>
                <w:szCs w:val="24"/>
              </w:rPr>
              <w:t>PAWEL</w:t>
            </w:r>
            <w:proofErr w:type="spellEnd"/>
            <w:r w:rsidR="00E11DBB">
              <w:rPr>
                <w:szCs w:val="24"/>
              </w:rPr>
              <w:t xml:space="preserve"> </w:t>
            </w:r>
            <w:proofErr w:type="spellStart"/>
            <w:r w:rsidR="00E11DBB">
              <w:rPr>
                <w:szCs w:val="24"/>
              </w:rPr>
              <w:t>FRANCUZIAK</w:t>
            </w:r>
            <w:proofErr w:type="spellEnd"/>
          </w:p>
          <w:p w:rsidR="00E11DBB" w:rsidRDefault="00E11DBB">
            <w:pPr>
              <w:pStyle w:val="NormalHeadings"/>
              <w:jc w:val="left"/>
              <w:rPr>
                <w:szCs w:val="24"/>
              </w:rPr>
            </w:pPr>
            <w:r>
              <w:rPr>
                <w:szCs w:val="24"/>
              </w:rPr>
              <w:t>Appellant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E11DBB"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E11DBB">
              <w:rPr>
                <w:szCs w:val="24"/>
              </w:rPr>
              <w:t>MINISTER FOR JUSTICE</w:t>
            </w:r>
          </w:p>
          <w:p w:rsidR="00E11DBB" w:rsidRDefault="00E11DBB">
            <w:pPr>
              <w:pStyle w:val="NormalHeadings"/>
              <w:jc w:val="left"/>
              <w:rPr>
                <w:szCs w:val="24"/>
              </w:rPr>
            </w:pPr>
            <w:r>
              <w:rPr>
                <w:szCs w:val="24"/>
              </w:rPr>
              <w:t>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E11DBB">
              <w:rPr>
                <w:caps/>
                <w:szCs w:val="24"/>
              </w:rPr>
              <w:t>JUDGES</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proofErr w:type="spellStart"/>
            <w:r w:rsidR="00E11DBB">
              <w:rPr>
                <w:caps/>
                <w:szCs w:val="24"/>
              </w:rPr>
              <w:t>SIOPIS</w:t>
            </w:r>
            <w:proofErr w:type="spellEnd"/>
            <w:r w:rsidR="00E11DBB">
              <w:rPr>
                <w:caps/>
                <w:szCs w:val="24"/>
              </w:rPr>
              <w:t xml:space="preserve">, FLICK AND KATZMANN </w:t>
            </w:r>
            <w:proofErr w:type="spellStart"/>
            <w:r w:rsidR="00E11DBB">
              <w:rPr>
                <w:caps/>
                <w:szCs w:val="24"/>
              </w:rPr>
              <w:t>JJ</w:t>
            </w:r>
            <w:proofErr w:type="spellEnd"/>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rsidP="00D30FAC">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D30FAC">
              <w:rPr>
                <w:caps/>
                <w:szCs w:val="24"/>
              </w:rPr>
              <w:t>16</w:t>
            </w:r>
            <w:r w:rsidR="00E11DBB">
              <w:rPr>
                <w:caps/>
                <w:szCs w:val="24"/>
              </w:rPr>
              <w:t xml:space="preserve"> NOVEMBER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E11DBB">
              <w:rPr>
                <w:caps/>
                <w:szCs w:val="24"/>
              </w:rPr>
              <w:t>PERTH</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865323" w:rsidRPr="00865323" w:rsidRDefault="00865323" w:rsidP="00865323">
      <w:pPr>
        <w:pStyle w:val="Heading1"/>
      </w:pPr>
      <w:r>
        <w:t>THE COURT</w:t>
      </w:r>
    </w:p>
    <w:p w:rsidR="00162762" w:rsidRDefault="00613A0E" w:rsidP="00C94469">
      <w:pPr>
        <w:pStyle w:val="ParaNumbering"/>
      </w:pPr>
      <w:r>
        <w:t>In March 2014 the Minister</w:t>
      </w:r>
      <w:r w:rsidR="00216507">
        <w:t xml:space="preserve"> for Justice</w:t>
      </w:r>
      <w:r>
        <w:t xml:space="preserve"> acceded to a request made by the Republic of Poland that </w:t>
      </w:r>
      <w:proofErr w:type="spellStart"/>
      <w:r>
        <w:t>Pawel</w:t>
      </w:r>
      <w:proofErr w:type="spellEnd"/>
      <w:r>
        <w:t xml:space="preserve"> </w:t>
      </w:r>
      <w:proofErr w:type="spellStart"/>
      <w:r>
        <w:t>Francuziak</w:t>
      </w:r>
      <w:proofErr w:type="spellEnd"/>
      <w:r>
        <w:t xml:space="preserve"> be surrendered to the Republic</w:t>
      </w:r>
      <w:r w:rsidR="001B4C19">
        <w:t xml:space="preserve"> of Poland</w:t>
      </w:r>
      <w:r>
        <w:t xml:space="preserve"> pursuant to the </w:t>
      </w:r>
      <w:r w:rsidRPr="007D48AB">
        <w:rPr>
          <w:i/>
        </w:rPr>
        <w:t>Extradition Act</w:t>
      </w:r>
      <w:r>
        <w:t xml:space="preserve"> </w:t>
      </w:r>
      <w:r w:rsidRPr="00D27DC4">
        <w:rPr>
          <w:i/>
        </w:rPr>
        <w:t>1988</w:t>
      </w:r>
      <w:r>
        <w:t xml:space="preserve"> (Cth)</w:t>
      </w:r>
      <w:r w:rsidR="001B4C19">
        <w:t xml:space="preserve"> (the “</w:t>
      </w:r>
      <w:r w:rsidR="001B4C19">
        <w:rPr>
          <w:i/>
        </w:rPr>
        <w:t>Extradition Act</w:t>
      </w:r>
      <w:r w:rsidR="001B4C19">
        <w:t>”)</w:t>
      </w:r>
      <w:r>
        <w:t xml:space="preserve">. </w:t>
      </w:r>
      <w:r w:rsidR="00162762">
        <w:t xml:space="preserve"> The Minister did not give reasons for his decision.  The common assumption was that his decision was based on the material supplied </w:t>
      </w:r>
      <w:r w:rsidR="00216507">
        <w:t>to</w:t>
      </w:r>
      <w:r w:rsidR="00162762">
        <w:t xml:space="preserve"> him in a “</w:t>
      </w:r>
      <w:r w:rsidR="00774C61">
        <w:t>de</w:t>
      </w:r>
      <w:r w:rsidR="00162762">
        <w:t>partmental brief”.</w:t>
      </w:r>
    </w:p>
    <w:p w:rsidR="00DB7635" w:rsidRDefault="00613A0E" w:rsidP="00DB7635">
      <w:pPr>
        <w:pStyle w:val="ParaNumbering"/>
      </w:pPr>
      <w:r>
        <w:t xml:space="preserve">Mr </w:t>
      </w:r>
      <w:proofErr w:type="spellStart"/>
      <w:r>
        <w:t>Francuziak</w:t>
      </w:r>
      <w:proofErr w:type="spellEnd"/>
      <w:r>
        <w:t xml:space="preserve"> </w:t>
      </w:r>
      <w:r w:rsidR="00DB7635">
        <w:t xml:space="preserve">applied for </w:t>
      </w:r>
      <w:r>
        <w:t>judicial review of the Minister’s decision</w:t>
      </w:r>
      <w:r w:rsidR="00D27DC4">
        <w:t xml:space="preserve"> pursuant to s</w:t>
      </w:r>
      <w:r w:rsidR="00491EDF">
        <w:t xml:space="preserve"> </w:t>
      </w:r>
      <w:r w:rsidR="00B522B3">
        <w:t xml:space="preserve">39B of the </w:t>
      </w:r>
      <w:r w:rsidR="00B522B3" w:rsidRPr="007717D5">
        <w:rPr>
          <w:i/>
        </w:rPr>
        <w:t>Judiciary Act</w:t>
      </w:r>
      <w:r w:rsidR="00B522B3">
        <w:t xml:space="preserve"> </w:t>
      </w:r>
      <w:r w:rsidR="00B522B3" w:rsidRPr="007717D5">
        <w:rPr>
          <w:i/>
        </w:rPr>
        <w:t>1903</w:t>
      </w:r>
      <w:r w:rsidR="00B522B3">
        <w:t xml:space="preserve"> (Cth</w:t>
      </w:r>
      <w:r w:rsidR="007717D5">
        <w:t>)</w:t>
      </w:r>
      <w:r w:rsidR="001B4C19">
        <w:t xml:space="preserve"> (the “</w:t>
      </w:r>
      <w:r w:rsidR="001B4C19">
        <w:rPr>
          <w:i/>
        </w:rPr>
        <w:t>Judiciary Act</w:t>
      </w:r>
      <w:r w:rsidR="001B4C19">
        <w:t>”)</w:t>
      </w:r>
      <w:r w:rsidR="00DB7635">
        <w:t xml:space="preserve">.  The application was filed by a law firm and apparently prepared by a lawyer.  At the hearing both Mr </w:t>
      </w:r>
      <w:proofErr w:type="spellStart"/>
      <w:r w:rsidR="00DB7635">
        <w:t>Francuziak</w:t>
      </w:r>
      <w:proofErr w:type="spellEnd"/>
      <w:r w:rsidR="00DB7635">
        <w:t xml:space="preserve"> and the Minister were represented by </w:t>
      </w:r>
      <w:r w:rsidR="001B4C19">
        <w:t>Counsel</w:t>
      </w:r>
      <w:r w:rsidR="00DB7635">
        <w:t>.</w:t>
      </w:r>
    </w:p>
    <w:p w:rsidR="00C6241A" w:rsidRDefault="00DB7635" w:rsidP="007717D5">
      <w:pPr>
        <w:pStyle w:val="ParaNumbering"/>
      </w:pPr>
      <w:r>
        <w:t>Two grounds of review were pressed.  They were</w:t>
      </w:r>
      <w:r w:rsidR="007717D5">
        <w:t xml:space="preserve"> that</w:t>
      </w:r>
      <w:r w:rsidR="00C6241A">
        <w:t>:</w:t>
      </w:r>
    </w:p>
    <w:p w:rsidR="00C6241A" w:rsidRDefault="00C6241A" w:rsidP="00D27DC4">
      <w:pPr>
        <w:pStyle w:val="FCBullets"/>
      </w:pPr>
      <w:r>
        <w:t xml:space="preserve">the Minister had </w:t>
      </w:r>
      <w:r w:rsidRPr="007717D5">
        <w:t xml:space="preserve">applied the </w:t>
      </w:r>
      <w:r w:rsidRPr="00767E7A">
        <w:t>wrong test</w:t>
      </w:r>
      <w:r w:rsidR="007717D5">
        <w:t xml:space="preserve"> </w:t>
      </w:r>
      <w:r>
        <w:t>in considering Australia’s non</w:t>
      </w:r>
      <w:r w:rsidR="007717D5">
        <w:noBreakHyphen/>
      </w:r>
      <w:proofErr w:type="spellStart"/>
      <w:r w:rsidR="00D27DC4">
        <w:t>refoul</w:t>
      </w:r>
      <w:r w:rsidR="007717D5">
        <w:t>e</w:t>
      </w:r>
      <w:r w:rsidR="00D27DC4">
        <w:t>ment</w:t>
      </w:r>
      <w:proofErr w:type="spellEnd"/>
      <w:r w:rsidR="00D27DC4">
        <w:t xml:space="preserve"> obligations under s</w:t>
      </w:r>
      <w:r w:rsidR="00491EDF">
        <w:t xml:space="preserve"> </w:t>
      </w:r>
      <w:r>
        <w:t xml:space="preserve">22(3)(b) of the </w:t>
      </w:r>
      <w:r w:rsidRPr="002665A8">
        <w:rPr>
          <w:i/>
        </w:rPr>
        <w:t>Extradition Act</w:t>
      </w:r>
      <w:r w:rsidR="007717D5" w:rsidRPr="00767E7A">
        <w:t xml:space="preserve"> </w:t>
      </w:r>
      <w:r w:rsidR="007717D5" w:rsidRPr="007717D5">
        <w:t>in</w:t>
      </w:r>
      <w:r w:rsidRPr="007717D5">
        <w:t xml:space="preserve"> that the ill-treatment of inmates by some prison officials need not be the result of “</w:t>
      </w:r>
      <w:r w:rsidRPr="00767E7A">
        <w:t>deliberate Polish government policy designed to punish and harm inmates</w:t>
      </w:r>
      <w:r w:rsidRPr="007717D5">
        <w:t>” – it was sufficient for there to be a “</w:t>
      </w:r>
      <w:r w:rsidRPr="00767E7A">
        <w:t>real chance of it occurring irrespective of government policy</w:t>
      </w:r>
      <w:r w:rsidRPr="007717D5">
        <w:t xml:space="preserve">” </w:t>
      </w:r>
      <w:r w:rsidR="001B4C19" w:rsidRPr="001B4C19">
        <w:t>(</w:t>
      </w:r>
      <w:r w:rsidRPr="002665A8">
        <w:t>[2015] FCA 464 at [21]</w:t>
      </w:r>
      <w:r w:rsidR="001B4C19" w:rsidRPr="002665A8">
        <w:t>)</w:t>
      </w:r>
      <w:r w:rsidRPr="001B4C19">
        <w:t>;</w:t>
      </w:r>
      <w:r w:rsidRPr="007717D5">
        <w:t xml:space="preserve"> and</w:t>
      </w:r>
      <w:r>
        <w:t xml:space="preserve"> </w:t>
      </w:r>
    </w:p>
    <w:p w:rsidR="00C6241A" w:rsidRDefault="00C6241A" w:rsidP="00D27DC4">
      <w:pPr>
        <w:pStyle w:val="FCBullets"/>
      </w:pPr>
      <w:r>
        <w:lastRenderedPageBreak/>
        <w:t xml:space="preserve">the determination that Mr </w:t>
      </w:r>
      <w:proofErr w:type="spellStart"/>
      <w:r>
        <w:t>Francuziak</w:t>
      </w:r>
      <w:proofErr w:type="spellEnd"/>
      <w:r>
        <w:t xml:space="preserve"> be surrendered to Poland was irrational, capricious or unreasonable.</w:t>
      </w:r>
    </w:p>
    <w:p w:rsidR="00887406" w:rsidRDefault="00613A0E">
      <w:pPr>
        <w:pStyle w:val="ParaNumbering"/>
      </w:pPr>
      <w:r>
        <w:t xml:space="preserve">Mr </w:t>
      </w:r>
      <w:proofErr w:type="spellStart"/>
      <w:r w:rsidRPr="00DB7635">
        <w:t>Francuziak</w:t>
      </w:r>
      <w:proofErr w:type="spellEnd"/>
      <w:r w:rsidRPr="00DB7635">
        <w:t xml:space="preserve"> filed a </w:t>
      </w:r>
      <w:r w:rsidRPr="00767E7A">
        <w:t>Notice of Appeal</w:t>
      </w:r>
      <w:r w:rsidRPr="00DB7635">
        <w:t xml:space="preserve"> in May 2015</w:t>
      </w:r>
      <w:r w:rsidR="00C36B72" w:rsidRPr="00DB7635">
        <w:t xml:space="preserve"> and an </w:t>
      </w:r>
      <w:r w:rsidR="00C36B72" w:rsidRPr="00767E7A">
        <w:t>Amended Notice of Appeal</w:t>
      </w:r>
      <w:r w:rsidR="00C36B72" w:rsidRPr="00DB7635">
        <w:t xml:space="preserve"> in September 2015</w:t>
      </w:r>
      <w:r w:rsidR="00C6241A">
        <w:t xml:space="preserve">. </w:t>
      </w:r>
      <w:r w:rsidR="00B15EA3">
        <w:t xml:space="preserve"> </w:t>
      </w:r>
      <w:r w:rsidR="000B190F">
        <w:t>There were four grounds of appeal in the Amended Notice of Appeal but the written submissions filed for Mr </w:t>
      </w:r>
      <w:proofErr w:type="spellStart"/>
      <w:r w:rsidR="000B190F">
        <w:t>Francuziak</w:t>
      </w:r>
      <w:proofErr w:type="spellEnd"/>
      <w:r w:rsidR="000B190F">
        <w:t xml:space="preserve"> only addressed the first two grounds.  </w:t>
      </w:r>
      <w:r w:rsidR="00C6241A">
        <w:t xml:space="preserve">At the outset of the hearing of the appeal, </w:t>
      </w:r>
      <w:r w:rsidR="00DB7635">
        <w:t>he applied for leave to file a</w:t>
      </w:r>
      <w:r w:rsidR="00DB7635" w:rsidRPr="00DB7635">
        <w:t xml:space="preserve"> </w:t>
      </w:r>
      <w:r w:rsidR="00DB7635">
        <w:t>“</w:t>
      </w:r>
      <w:r w:rsidR="00DB7635" w:rsidRPr="00A70449">
        <w:t>Re-Amended Notice of Appeal</w:t>
      </w:r>
      <w:r w:rsidR="00DB7635">
        <w:t xml:space="preserve">” </w:t>
      </w:r>
      <w:r w:rsidR="000B190F">
        <w:t>abandoning the third ground and recasting the fourth</w:t>
      </w:r>
      <w:r w:rsidR="00C6241A">
        <w:t xml:space="preserve">. </w:t>
      </w:r>
      <w:r w:rsidR="000B190F">
        <w:t xml:space="preserve"> In that document Mr </w:t>
      </w:r>
      <w:proofErr w:type="spellStart"/>
      <w:r w:rsidR="000B190F">
        <w:t>Francuziak</w:t>
      </w:r>
      <w:proofErr w:type="spellEnd"/>
      <w:r w:rsidR="000B190F">
        <w:t xml:space="preserve"> pleaded that the primary </w:t>
      </w:r>
      <w:r w:rsidR="001611D8">
        <w:t>Judge</w:t>
      </w:r>
      <w:r w:rsidR="000B190F">
        <w:t xml:space="preserve"> erred </w:t>
      </w:r>
      <w:r w:rsidR="005A0745">
        <w:t xml:space="preserve">when </w:t>
      </w:r>
      <w:r w:rsidR="00216507">
        <w:t>his Honour</w:t>
      </w:r>
      <w:r w:rsidR="000B190F">
        <w:t>:</w:t>
      </w:r>
    </w:p>
    <w:p w:rsidR="000B190F" w:rsidRDefault="000B190F" w:rsidP="000B190F">
      <w:pPr>
        <w:pStyle w:val="ListNo1"/>
      </w:pPr>
      <w:r>
        <w:t>allow</w:t>
      </w:r>
      <w:r w:rsidR="005A0745">
        <w:t>ed</w:t>
      </w:r>
      <w:r>
        <w:t xml:space="preserve"> the Minister “to produce to the Court documents containing redacted material without having first laid the foundation for any claim of privilege upon which the redactions were based, and without the Court first having considered and ruled upon the claim of privilege”;</w:t>
      </w:r>
    </w:p>
    <w:p w:rsidR="000B190F" w:rsidRDefault="000B190F" w:rsidP="000B190F">
      <w:pPr>
        <w:pStyle w:val="ListNo1"/>
      </w:pPr>
      <w:r>
        <w:t>proceed</w:t>
      </w:r>
      <w:r w:rsidR="005A0745">
        <w:t>ed</w:t>
      </w:r>
      <w:r>
        <w:t xml:space="preserve"> to conduct a judicial review of the Minister’s decision to surrender Mr </w:t>
      </w:r>
      <w:proofErr w:type="spellStart"/>
      <w:r>
        <w:t>Francuziak</w:t>
      </w:r>
      <w:proofErr w:type="spellEnd"/>
      <w:r>
        <w:t xml:space="preserve"> to Poland</w:t>
      </w:r>
      <w:r w:rsidR="005A0745">
        <w:t>, based on evidence contained in the departmental brief, “in reliance upon which the Minister had made his determination, but from which he had redacted mate</w:t>
      </w:r>
      <w:r w:rsidR="00475E8E">
        <w:t>rial in the copy filed in Court”;</w:t>
      </w:r>
    </w:p>
    <w:p w:rsidR="005A0745" w:rsidRDefault="005A0745" w:rsidP="000B190F">
      <w:pPr>
        <w:pStyle w:val="ListNo1"/>
      </w:pPr>
      <w:r>
        <w:t>[omitted];</w:t>
      </w:r>
    </w:p>
    <w:p w:rsidR="005A0745" w:rsidRDefault="005A0745" w:rsidP="000B190F">
      <w:pPr>
        <w:pStyle w:val="ListNo1"/>
      </w:pPr>
      <w:r>
        <w:t xml:space="preserve">(by reason of “the errors” referred to in grounds 1 and 2) failed to exercise the Court’s jurisdiction under s 39B of the </w:t>
      </w:r>
      <w:r>
        <w:rPr>
          <w:i/>
        </w:rPr>
        <w:t>Judiciary Act</w:t>
      </w:r>
      <w:r>
        <w:t xml:space="preserve"> by failing to carry out the judicial review required by the application and, by this failure, further failed adequately to consider whether the evidence revealed jurisdictional error on the part of the Minister by his failure:</w:t>
      </w:r>
    </w:p>
    <w:p w:rsidR="005A0745" w:rsidRDefault="005A0745" w:rsidP="00865323">
      <w:pPr>
        <w:pStyle w:val="Quote1"/>
        <w:ind w:left="1440"/>
      </w:pPr>
      <w:r>
        <w:t>4.1</w:t>
      </w:r>
      <w:r>
        <w:tab/>
        <w:t>to consider the real chance that under legislation recently int</w:t>
      </w:r>
      <w:r w:rsidR="005F6AF9">
        <w:t xml:space="preserve">roduced in Poland Mr </w:t>
      </w:r>
      <w:proofErr w:type="spellStart"/>
      <w:r w:rsidR="005F6AF9">
        <w:t>Francuziak</w:t>
      </w:r>
      <w:proofErr w:type="spellEnd"/>
      <w:r w:rsidR="005F6AF9">
        <w:t>, a convicted paedophile, would upon completion of his sentence be prevented from returning to Australia by being detained in a treatment facility, or by otherwise being required to undergo treatment that would prevent his return to Australia; and</w:t>
      </w:r>
    </w:p>
    <w:p w:rsidR="005F6AF9" w:rsidRDefault="005F6AF9" w:rsidP="00865323">
      <w:pPr>
        <w:pStyle w:val="Quote1"/>
        <w:ind w:left="1440"/>
      </w:pPr>
    </w:p>
    <w:p w:rsidR="005F6AF9" w:rsidRDefault="005F6AF9" w:rsidP="00865323">
      <w:pPr>
        <w:pStyle w:val="Quote1"/>
        <w:ind w:left="1440"/>
      </w:pPr>
      <w:r>
        <w:t>4.2</w:t>
      </w:r>
      <w:r>
        <w:tab/>
        <w:t xml:space="preserve">to correctly construe statutory provisions related to torture and humanitarian considerations before deciding to surrender </w:t>
      </w:r>
      <w:r w:rsidR="002C09BE">
        <w:t>…</w:t>
      </w:r>
      <w:r>
        <w:t xml:space="preserve"> </w:t>
      </w:r>
      <w:r w:rsidR="002C09BE">
        <w:t>Mr </w:t>
      </w:r>
      <w:proofErr w:type="spellStart"/>
      <w:r w:rsidR="002C09BE">
        <w:t>Francuziak</w:t>
      </w:r>
      <w:proofErr w:type="spellEnd"/>
      <w:r w:rsidR="002C09BE">
        <w:t xml:space="preserve"> to Poland when in the circumstances the Minister was required to consider whether:</w:t>
      </w:r>
    </w:p>
    <w:p w:rsidR="002C09BE" w:rsidRDefault="002C09BE" w:rsidP="00865323">
      <w:pPr>
        <w:pStyle w:val="Quote2"/>
      </w:pPr>
    </w:p>
    <w:p w:rsidR="002C09BE" w:rsidRPr="002C09BE" w:rsidRDefault="002C09BE" w:rsidP="00865323">
      <w:pPr>
        <w:pStyle w:val="Quote2"/>
        <w:ind w:left="2160"/>
      </w:pPr>
      <w:r>
        <w:t>4.2.1</w:t>
      </w:r>
      <w:r>
        <w:tab/>
        <w:t xml:space="preserve">there was a real chance that, if </w:t>
      </w:r>
      <w:r w:rsidR="001611D8">
        <w:t>[</w:t>
      </w:r>
      <w:r>
        <w:t>Mr </w:t>
      </w:r>
      <w:proofErr w:type="spellStart"/>
      <w:r>
        <w:t>Francuziak</w:t>
      </w:r>
      <w:proofErr w:type="spellEnd"/>
      <w:r w:rsidR="001611D8">
        <w:t>]</w:t>
      </w:r>
      <w:r>
        <w:t xml:space="preserve"> were surrendered to Poland, he would be confined in a prison facility that was overcrowded to such an extent that it was in breach of Poland’s obligations under international conventions by which it is bound; and</w:t>
      </w:r>
    </w:p>
    <w:p w:rsidR="005F6AF9" w:rsidRDefault="005F6AF9" w:rsidP="00865323">
      <w:pPr>
        <w:pStyle w:val="Quote2"/>
        <w:ind w:left="2160"/>
      </w:pPr>
    </w:p>
    <w:p w:rsidR="002C09BE" w:rsidRDefault="002C09BE" w:rsidP="00865323">
      <w:pPr>
        <w:pStyle w:val="Quote2"/>
        <w:ind w:left="2160"/>
      </w:pPr>
      <w:r>
        <w:t>4.2.2</w:t>
      </w:r>
      <w:r>
        <w:tab/>
        <w:t xml:space="preserve">there was a real chance that as a consequence of being confined in an overcrowded facility that </w:t>
      </w:r>
      <w:r w:rsidR="001611D8">
        <w:t>[</w:t>
      </w:r>
      <w:r>
        <w:t>Mr </w:t>
      </w:r>
      <w:proofErr w:type="spellStart"/>
      <w:r>
        <w:t>Francuziak</w:t>
      </w:r>
      <w:proofErr w:type="spellEnd"/>
      <w:r w:rsidR="001611D8">
        <w:t>]</w:t>
      </w:r>
      <w:r>
        <w:t xml:space="preserve"> would contract disease causing him serious harm; and</w:t>
      </w:r>
    </w:p>
    <w:p w:rsidR="002C09BE" w:rsidRDefault="002C09BE" w:rsidP="00865323">
      <w:pPr>
        <w:pStyle w:val="Quote2"/>
        <w:ind w:left="2160"/>
      </w:pPr>
    </w:p>
    <w:p w:rsidR="002C09BE" w:rsidRDefault="002C09BE" w:rsidP="00865323">
      <w:pPr>
        <w:pStyle w:val="Quote2"/>
        <w:ind w:left="2160"/>
      </w:pPr>
      <w:r>
        <w:t>4.2.3</w:t>
      </w:r>
      <w:r>
        <w:tab/>
        <w:t>there was a real chance that as a consequence of being confined in an overcrowded facility no steps would be taken to place Mr </w:t>
      </w:r>
      <w:proofErr w:type="spellStart"/>
      <w:r>
        <w:t>Francuziak</w:t>
      </w:r>
      <w:proofErr w:type="spellEnd"/>
      <w:r>
        <w:t xml:space="preserve"> as a convicted paedophile in a form of protective custody in which he would [be] at reduced risk of serious assault and other serious harm including treatment amounting to torture. </w:t>
      </w:r>
    </w:p>
    <w:p w:rsidR="002C09BE" w:rsidRPr="002C09BE" w:rsidRDefault="002C09BE" w:rsidP="002C09BE">
      <w:pPr>
        <w:pStyle w:val="Quote1"/>
        <w:ind w:left="2160" w:hanging="715"/>
      </w:pPr>
    </w:p>
    <w:p w:rsidR="005F6AF9" w:rsidRDefault="005F6AF9" w:rsidP="005A0745">
      <w:pPr>
        <w:pStyle w:val="ParaNumbering"/>
      </w:pPr>
      <w:r>
        <w:t xml:space="preserve">Although ground 4 was not abandoned, no submissions were directed to the matters raised by this ground.  </w:t>
      </w:r>
      <w:r w:rsidR="004F282D">
        <w:t>D</w:t>
      </w:r>
      <w:r>
        <w:t xml:space="preserve">r Cameron of </w:t>
      </w:r>
      <w:r w:rsidR="001611D8">
        <w:t>Counsel</w:t>
      </w:r>
      <w:r>
        <w:t>, who appeared for Mr </w:t>
      </w:r>
      <w:proofErr w:type="spellStart"/>
      <w:r>
        <w:t>Francuziak</w:t>
      </w:r>
      <w:proofErr w:type="spellEnd"/>
      <w:r>
        <w:t xml:space="preserve"> on the appeal but not in the </w:t>
      </w:r>
      <w:r w:rsidR="00216507">
        <w:t>Court</w:t>
      </w:r>
      <w:r>
        <w:t xml:space="preserve"> below, characterised the ground as a conclusion that follow</w:t>
      </w:r>
      <w:r w:rsidR="002C09BE">
        <w:t>ed</w:t>
      </w:r>
      <w:r>
        <w:t xml:space="preserve"> from grounds 1 and 2.</w:t>
      </w:r>
      <w:r w:rsidR="001418B7">
        <w:t xml:space="preserve">  It follows that, unless grounds 1 and 2 are made out, ground 4 must fail.  </w:t>
      </w:r>
    </w:p>
    <w:p w:rsidR="000B190F" w:rsidRDefault="00646A2C" w:rsidP="005A0745">
      <w:pPr>
        <w:pStyle w:val="ParaNumbering"/>
      </w:pPr>
      <w:r>
        <w:t xml:space="preserve">The focus of the </w:t>
      </w:r>
      <w:r w:rsidR="00162762">
        <w:t xml:space="preserve">written and oral argument </w:t>
      </w:r>
      <w:r>
        <w:t>was on</w:t>
      </w:r>
      <w:r w:rsidR="00887406" w:rsidRPr="00646A2C">
        <w:t xml:space="preserve"> </w:t>
      </w:r>
      <w:r w:rsidR="00774C61">
        <w:t>the</w:t>
      </w:r>
      <w:r w:rsidR="00774C61" w:rsidRPr="00646A2C">
        <w:t xml:space="preserve"> </w:t>
      </w:r>
      <w:r w:rsidR="00887406" w:rsidRPr="00767E7A">
        <w:t>departmental brief</w:t>
      </w:r>
      <w:r w:rsidRPr="00646A2C">
        <w:t xml:space="preserve"> </w:t>
      </w:r>
      <w:r w:rsidR="00887406" w:rsidRPr="00646A2C">
        <w:t>which had been forwarded to the Minister</w:t>
      </w:r>
      <w:r>
        <w:t xml:space="preserve">.  The departmental brief </w:t>
      </w:r>
      <w:r w:rsidR="00494095">
        <w:t>had been</w:t>
      </w:r>
      <w:r w:rsidR="00887406">
        <w:t xml:space="preserve"> provided to the legal representatives of Mr </w:t>
      </w:r>
      <w:proofErr w:type="spellStart"/>
      <w:r w:rsidR="00887406">
        <w:t>Francuziak</w:t>
      </w:r>
      <w:proofErr w:type="spellEnd"/>
      <w:r w:rsidR="00887406">
        <w:t xml:space="preserve"> </w:t>
      </w:r>
      <w:r>
        <w:t xml:space="preserve">with redactions to disguise those parts which the Minister claimed were protected from disclosure by legal professional privilege.  </w:t>
      </w:r>
      <w:r w:rsidR="00D545D0">
        <w:t>The</w:t>
      </w:r>
      <w:r>
        <w:t xml:space="preserve"> redacted document was admitted into evidence without objection.</w:t>
      </w:r>
      <w:r w:rsidR="00887406">
        <w:t xml:space="preserve"> </w:t>
      </w:r>
      <w:r>
        <w:t xml:space="preserve"> The essence of the complaint made on Mr </w:t>
      </w:r>
      <w:proofErr w:type="spellStart"/>
      <w:r>
        <w:t>Francuziak’s</w:t>
      </w:r>
      <w:proofErr w:type="spellEnd"/>
      <w:r>
        <w:t xml:space="preserve"> behalf on the appeal was that the primary </w:t>
      </w:r>
      <w:r w:rsidR="001611D8">
        <w:t>Judge</w:t>
      </w:r>
      <w:r>
        <w:t xml:space="preserve"> erred by not adjudicating the privilege claim, despite the position taken by Mr </w:t>
      </w:r>
      <w:proofErr w:type="spellStart"/>
      <w:r>
        <w:t>Francuziak’s</w:t>
      </w:r>
      <w:proofErr w:type="spellEnd"/>
      <w:r>
        <w:t xml:space="preserve"> then legal representatives.</w:t>
      </w:r>
    </w:p>
    <w:p w:rsidR="00646A2C" w:rsidRDefault="00646A2C" w:rsidP="00646A2C">
      <w:pPr>
        <w:pStyle w:val="ParaNumbering"/>
      </w:pPr>
      <w:r>
        <w:t xml:space="preserve">The issues </w:t>
      </w:r>
      <w:r w:rsidR="00494095">
        <w:t>on the appeal identified in the written submissions for Mr </w:t>
      </w:r>
      <w:proofErr w:type="spellStart"/>
      <w:r w:rsidR="00494095">
        <w:t>Francuziak</w:t>
      </w:r>
      <w:proofErr w:type="spellEnd"/>
      <w:r w:rsidR="00494095">
        <w:t xml:space="preserve"> </w:t>
      </w:r>
      <w:r>
        <w:t>were:</w:t>
      </w:r>
    </w:p>
    <w:p w:rsidR="00973129" w:rsidRDefault="00646A2C" w:rsidP="00646A2C">
      <w:pPr>
        <w:pStyle w:val="ListNo1"/>
        <w:numPr>
          <w:ilvl w:val="0"/>
          <w:numId w:val="31"/>
        </w:numPr>
      </w:pPr>
      <w:r>
        <w:t xml:space="preserve">whether the primary </w:t>
      </w:r>
      <w:r w:rsidR="001611D8">
        <w:t>Judge</w:t>
      </w:r>
      <w:r>
        <w:t xml:space="preserve"> erred by failing to require the Minister to formally prove his claim for legal professional privilege over the redacted parts of the departmental brief;</w:t>
      </w:r>
    </w:p>
    <w:p w:rsidR="00973129" w:rsidRDefault="00646A2C" w:rsidP="00646A2C">
      <w:pPr>
        <w:pStyle w:val="ListNo1"/>
        <w:numPr>
          <w:ilvl w:val="0"/>
          <w:numId w:val="31"/>
        </w:numPr>
      </w:pPr>
      <w:r>
        <w:t>whether that error prevented his Honour from conducting the review “in accordance with legal principle”; and</w:t>
      </w:r>
    </w:p>
    <w:p w:rsidR="00646A2C" w:rsidRDefault="00646A2C" w:rsidP="00646A2C">
      <w:pPr>
        <w:pStyle w:val="ListNo1"/>
        <w:numPr>
          <w:ilvl w:val="0"/>
          <w:numId w:val="31"/>
        </w:numPr>
      </w:pPr>
      <w:r>
        <w:t xml:space="preserve">whether his Honour was deprived by the redactions in the departmental brief of the opportunity of assessing whether the Minister had failed to apply the </w:t>
      </w:r>
      <w:r w:rsidR="00216507">
        <w:t>“</w:t>
      </w:r>
      <w:r>
        <w:t>real chance</w:t>
      </w:r>
      <w:r w:rsidR="00216507">
        <w:t>”</w:t>
      </w:r>
      <w:r>
        <w:t xml:space="preserve"> test.  </w:t>
      </w:r>
    </w:p>
    <w:p w:rsidR="006E2F81" w:rsidRDefault="00646A2C" w:rsidP="00C94469">
      <w:pPr>
        <w:pStyle w:val="ParaNumbering"/>
      </w:pPr>
      <w:r>
        <w:t xml:space="preserve">Shortly put, </w:t>
      </w:r>
      <w:r w:rsidR="00494095">
        <w:t xml:space="preserve">through his new </w:t>
      </w:r>
      <w:r w:rsidR="001611D8">
        <w:t>Counsel</w:t>
      </w:r>
      <w:r w:rsidR="00494095">
        <w:t>,</w:t>
      </w:r>
      <w:r>
        <w:t xml:space="preserve"> Mr </w:t>
      </w:r>
      <w:proofErr w:type="spellStart"/>
      <w:r>
        <w:t>Francuziak</w:t>
      </w:r>
      <w:proofErr w:type="spellEnd"/>
      <w:r>
        <w:t xml:space="preserve"> contended</w:t>
      </w:r>
      <w:r w:rsidR="00887406">
        <w:t xml:space="preserve"> </w:t>
      </w:r>
      <w:r w:rsidR="007D48AB">
        <w:t>that</w:t>
      </w:r>
      <w:r w:rsidR="00B15EA3">
        <w:t>:</w:t>
      </w:r>
    </w:p>
    <w:p w:rsidR="006E2F81" w:rsidRPr="004F3ED5" w:rsidRDefault="006E2F81" w:rsidP="00B15EA3">
      <w:pPr>
        <w:pStyle w:val="FCBullets"/>
      </w:pPr>
      <w:r w:rsidRPr="004F3ED5">
        <w:lastRenderedPageBreak/>
        <w:t xml:space="preserve">natural justice required the whole of the </w:t>
      </w:r>
      <w:r w:rsidRPr="00767E7A">
        <w:t>departmental brief</w:t>
      </w:r>
      <w:r w:rsidR="004F3ED5" w:rsidRPr="004F3ED5">
        <w:t xml:space="preserve"> </w:t>
      </w:r>
      <w:r w:rsidRPr="004F3ED5">
        <w:t>to be disclosed and that “</w:t>
      </w:r>
      <w:r w:rsidRPr="00767E7A">
        <w:t>absent an established claim to privilege</w:t>
      </w:r>
      <w:r w:rsidRPr="004F3ED5">
        <w:t>” there has been a breach of the requirements of procedural fairness;</w:t>
      </w:r>
      <w:r w:rsidR="00887406" w:rsidRPr="004F3ED5">
        <w:t xml:space="preserve"> and/or</w:t>
      </w:r>
    </w:p>
    <w:p w:rsidR="006E2F81" w:rsidRPr="004F3ED5" w:rsidRDefault="006E2F81" w:rsidP="00B15EA3">
      <w:pPr>
        <w:pStyle w:val="FCBullets"/>
      </w:pPr>
      <w:r w:rsidRPr="004F3ED5">
        <w:t>there has been a breach of the Model Litigant Guidelines binding the Minister in that “</w:t>
      </w:r>
      <w:r w:rsidRPr="00767E7A">
        <w:t>in the circumstances</w:t>
      </w:r>
      <w:r w:rsidRPr="004F3ED5">
        <w:t>” the Minister was “</w:t>
      </w:r>
      <w:r w:rsidRPr="00767E7A">
        <w:t xml:space="preserve">required to either provide an </w:t>
      </w:r>
      <w:proofErr w:type="spellStart"/>
      <w:r w:rsidRPr="00767E7A">
        <w:t>unredacted</w:t>
      </w:r>
      <w:proofErr w:type="spellEnd"/>
      <w:r w:rsidRPr="00767E7A">
        <w:t xml:space="preserve"> copy of the brief to the opposing party and to the Court, or to provide evidence and legal argument in support of any claim to privilege</w:t>
      </w:r>
      <w:r w:rsidRPr="004F3ED5">
        <w:t>”</w:t>
      </w:r>
      <w:r w:rsidR="00B15EA3" w:rsidRPr="004F3ED5">
        <w:t>.</w:t>
      </w:r>
      <w:r w:rsidRPr="004F3ED5">
        <w:t xml:space="preserve"> </w:t>
      </w:r>
    </w:p>
    <w:p w:rsidR="00A96716" w:rsidRDefault="00C6241A" w:rsidP="00767E7A">
      <w:pPr>
        <w:pStyle w:val="ParaNumbering"/>
      </w:pPr>
      <w:r>
        <w:t>T</w:t>
      </w:r>
      <w:r w:rsidR="00887406">
        <w:t>here was</w:t>
      </w:r>
      <w:r w:rsidR="004F3ED5">
        <w:t xml:space="preserve"> </w:t>
      </w:r>
      <w:r w:rsidR="00887406">
        <w:t xml:space="preserve">some uncertainty as to whether </w:t>
      </w:r>
      <w:r w:rsidR="005736DB">
        <w:t xml:space="preserve">a consideration of </w:t>
      </w:r>
      <w:r w:rsidR="00887406">
        <w:t xml:space="preserve">these arguments required the leave of the Court. </w:t>
      </w:r>
      <w:r w:rsidR="002C09BE">
        <w:t xml:space="preserve"> </w:t>
      </w:r>
    </w:p>
    <w:p w:rsidR="00A96716" w:rsidRDefault="00A96716" w:rsidP="004F3ED5">
      <w:pPr>
        <w:pStyle w:val="ParaNumbering"/>
      </w:pPr>
      <w:r>
        <w:t xml:space="preserve">The importance to Mr </w:t>
      </w:r>
      <w:proofErr w:type="spellStart"/>
      <w:r>
        <w:t>Francuziak</w:t>
      </w:r>
      <w:proofErr w:type="spellEnd"/>
      <w:r>
        <w:t xml:space="preserve"> of having his claims for relief dealt with in accordance with law </w:t>
      </w:r>
      <w:r w:rsidR="00475E8E">
        <w:t>may be accepted</w:t>
      </w:r>
      <w:r>
        <w:t>.</w:t>
      </w:r>
      <w:r w:rsidR="00B15EA3">
        <w:t xml:space="preserve"> </w:t>
      </w:r>
      <w:r>
        <w:t xml:space="preserve"> He is an Australian citizen who has resided in Australia since 2006. </w:t>
      </w:r>
      <w:r w:rsidR="00B15EA3">
        <w:t xml:space="preserve"> </w:t>
      </w:r>
      <w:r>
        <w:t xml:space="preserve">His return to Poland will unquestionably occasion him great stress and will prejudice the </w:t>
      </w:r>
      <w:r w:rsidR="00C6241A">
        <w:t xml:space="preserve">personal </w:t>
      </w:r>
      <w:r>
        <w:t>relationships he has formed in Australia.</w:t>
      </w:r>
      <w:r w:rsidR="004F3ED5">
        <w:t xml:space="preserve">  The</w:t>
      </w:r>
      <w:r>
        <w:t xml:space="preserve"> </w:t>
      </w:r>
      <w:r w:rsidR="004F3ED5">
        <w:t xml:space="preserve">critical </w:t>
      </w:r>
      <w:r>
        <w:t>question of present relevance</w:t>
      </w:r>
      <w:r w:rsidR="004F3ED5">
        <w:t>, however,</w:t>
      </w:r>
      <w:r>
        <w:t xml:space="preserve"> is whether his </w:t>
      </w:r>
      <w:r w:rsidR="00C6241A">
        <w:t>re</w:t>
      </w:r>
      <w:r w:rsidR="001611D8">
        <w:t>-</w:t>
      </w:r>
      <w:r w:rsidR="00C6241A">
        <w:t xml:space="preserve">formulated claims of error </w:t>
      </w:r>
      <w:r w:rsidR="004F3ED5">
        <w:t xml:space="preserve">can </w:t>
      </w:r>
      <w:r w:rsidR="00C6241A">
        <w:t xml:space="preserve">be raised on appeal. </w:t>
      </w:r>
      <w:r>
        <w:t xml:space="preserve"> </w:t>
      </w:r>
    </w:p>
    <w:p w:rsidR="00CB1C24" w:rsidRPr="00CB1C24" w:rsidRDefault="00CB1C24" w:rsidP="00475E8E">
      <w:pPr>
        <w:pStyle w:val="Heading2"/>
      </w:pPr>
      <w:r>
        <w:t>The need for lea</w:t>
      </w:r>
      <w:r w:rsidR="007B5740">
        <w:t>ve</w:t>
      </w:r>
    </w:p>
    <w:p w:rsidR="00A96716" w:rsidRDefault="00A96716" w:rsidP="00A96716">
      <w:pPr>
        <w:pStyle w:val="ParaNumbering"/>
      </w:pPr>
      <w:r>
        <w:t xml:space="preserve">On one </w:t>
      </w:r>
      <w:r w:rsidR="002E7F52">
        <w:t>view</w:t>
      </w:r>
      <w:r>
        <w:t xml:space="preserve">, the arguments now sought to be raised on appeal were arguments that could </w:t>
      </w:r>
      <w:r w:rsidR="004F3ED5">
        <w:t xml:space="preserve">and should </w:t>
      </w:r>
      <w:r>
        <w:t xml:space="preserve">have been </w:t>
      </w:r>
      <w:r w:rsidR="004F3ED5">
        <w:t>put to</w:t>
      </w:r>
      <w:r>
        <w:t xml:space="preserve"> the </w:t>
      </w:r>
      <w:r w:rsidR="00475E8E">
        <w:t>primary</w:t>
      </w:r>
      <w:r w:rsidR="001611D8">
        <w:t xml:space="preserve"> Judge</w:t>
      </w:r>
      <w:r>
        <w:t xml:space="preserve">. </w:t>
      </w:r>
      <w:r w:rsidR="00B15EA3">
        <w:t xml:space="preserve"> </w:t>
      </w:r>
      <w:r>
        <w:t xml:space="preserve">Normally a party is bound by the manner in which </w:t>
      </w:r>
      <w:r w:rsidR="004F3ED5">
        <w:t xml:space="preserve">the </w:t>
      </w:r>
      <w:r>
        <w:t xml:space="preserve">case has been conducted </w:t>
      </w:r>
      <w:r w:rsidR="00C6241A">
        <w:t>at first instance</w:t>
      </w:r>
      <w:r w:rsidR="004C4FAD">
        <w:t xml:space="preserve">.  </w:t>
      </w:r>
      <w:r w:rsidR="005736DB">
        <w:t>A</w:t>
      </w:r>
      <w:r>
        <w:t xml:space="preserve">n appellate </w:t>
      </w:r>
      <w:r w:rsidR="001611D8">
        <w:t>Court</w:t>
      </w:r>
      <w:r w:rsidR="004F3ED5">
        <w:t xml:space="preserve"> </w:t>
      </w:r>
      <w:r>
        <w:t xml:space="preserve">may allow a party to rely upon an argument not </w:t>
      </w:r>
      <w:r w:rsidR="00C6241A">
        <w:t xml:space="preserve">previously </w:t>
      </w:r>
      <w:r>
        <w:t>relied upon</w:t>
      </w:r>
      <w:r w:rsidR="004F3ED5">
        <w:t>, but</w:t>
      </w:r>
      <w:r>
        <w:t xml:space="preserve"> leave to do so is required</w:t>
      </w:r>
      <w:r w:rsidR="004F3ED5">
        <w:t>, and</w:t>
      </w:r>
      <w:r>
        <w:t xml:space="preserve"> leave </w:t>
      </w:r>
      <w:r w:rsidR="004F3ED5">
        <w:t>will generally only be</w:t>
      </w:r>
      <w:r>
        <w:t xml:space="preserve"> granted where</w:t>
      </w:r>
      <w:r w:rsidR="00216507">
        <w:t xml:space="preserve"> it is</w:t>
      </w:r>
      <w:r w:rsidR="00863F86">
        <w:t xml:space="preserve"> </w:t>
      </w:r>
      <w:r w:rsidRPr="002E7F52">
        <w:t>“</w:t>
      </w:r>
      <w:r w:rsidRPr="00767E7A">
        <w:t xml:space="preserve">expedient </w:t>
      </w:r>
      <w:r w:rsidRPr="00863F86">
        <w:t>in</w:t>
      </w:r>
      <w:r w:rsidRPr="00767E7A">
        <w:t xml:space="preserve"> the interests of justice to do so</w:t>
      </w:r>
      <w:r w:rsidRPr="002E7F52">
        <w:t>”:</w:t>
      </w:r>
      <w:r>
        <w:t xml:space="preserve"> </w:t>
      </w:r>
      <w:r w:rsidR="00BC019A">
        <w:t xml:space="preserve"> </w:t>
      </w:r>
      <w:r w:rsidRPr="007D48AB">
        <w:rPr>
          <w:i/>
        </w:rPr>
        <w:t>VUAX v Minister for Immigration and Multicultural</w:t>
      </w:r>
      <w:r w:rsidR="00216507">
        <w:rPr>
          <w:i/>
        </w:rPr>
        <w:t xml:space="preserve"> and</w:t>
      </w:r>
      <w:r w:rsidR="001611D8">
        <w:rPr>
          <w:i/>
        </w:rPr>
        <w:t xml:space="preserve"> Indigenous</w:t>
      </w:r>
      <w:r w:rsidRPr="007D48AB">
        <w:rPr>
          <w:i/>
        </w:rPr>
        <w:t xml:space="preserve"> Affairs</w:t>
      </w:r>
      <w:r w:rsidRPr="00092192">
        <w:t xml:space="preserve"> [2004] FCAFC 158 </w:t>
      </w:r>
      <w:r>
        <w:t xml:space="preserve">at [46] per </w:t>
      </w:r>
      <w:proofErr w:type="spellStart"/>
      <w:r w:rsidRPr="00092192">
        <w:t>Kiefel</w:t>
      </w:r>
      <w:proofErr w:type="spellEnd"/>
      <w:r w:rsidRPr="00092192">
        <w:t>, Weinberg and Stone JJ</w:t>
      </w:r>
      <w:r>
        <w:t xml:space="preserve">. </w:t>
      </w:r>
      <w:r w:rsidR="00B60E6D">
        <w:t xml:space="preserve"> “The court must be satisfied that allowing a new point to be argued would work no injustice to the other party”:  </w:t>
      </w:r>
      <w:r w:rsidR="00B60E6D">
        <w:rPr>
          <w:i/>
        </w:rPr>
        <w:t xml:space="preserve">Summers v Repatriation Commission </w:t>
      </w:r>
      <w:r w:rsidR="00B60E6D">
        <w:t>[2015] FCAFC 36</w:t>
      </w:r>
      <w:r w:rsidR="001611D8">
        <w:t xml:space="preserve"> at [94]</w:t>
      </w:r>
      <w:r w:rsidR="00C67CAF">
        <w:t>,</w:t>
      </w:r>
      <w:r w:rsidR="001611D8">
        <w:t xml:space="preserve"> (2015)</w:t>
      </w:r>
      <w:r w:rsidR="00B60E6D">
        <w:t xml:space="preserve"> 145 ALD 30 at </w:t>
      </w:r>
      <w:r w:rsidR="001611D8">
        <w:t>57</w:t>
      </w:r>
      <w:r w:rsidR="00B60E6D">
        <w:t>.</w:t>
      </w:r>
    </w:p>
    <w:p w:rsidR="00A96716" w:rsidRDefault="00A96716" w:rsidP="00A96716">
      <w:pPr>
        <w:pStyle w:val="ParaNumbering"/>
      </w:pPr>
      <w:r>
        <w:t xml:space="preserve">If this </w:t>
      </w:r>
      <w:r w:rsidR="002E7F52">
        <w:t>view is correct</w:t>
      </w:r>
      <w:r>
        <w:t xml:space="preserve">, leave to raise these </w:t>
      </w:r>
      <w:r w:rsidR="00C6241A">
        <w:t xml:space="preserve">new </w:t>
      </w:r>
      <w:r>
        <w:t xml:space="preserve">arguments </w:t>
      </w:r>
      <w:r w:rsidR="002E7F52">
        <w:t xml:space="preserve">should be </w:t>
      </w:r>
      <w:r>
        <w:t xml:space="preserve">refused </w:t>
      </w:r>
      <w:r w:rsidR="005F39EE">
        <w:t>for several reasons.</w:t>
      </w:r>
    </w:p>
    <w:p w:rsidR="005F39EE" w:rsidRDefault="005F39EE" w:rsidP="00767E7A">
      <w:pPr>
        <w:pStyle w:val="ParaNumbering"/>
      </w:pPr>
      <w:r>
        <w:t xml:space="preserve">First, </w:t>
      </w:r>
      <w:r w:rsidR="00A96716">
        <w:t xml:space="preserve">Mr </w:t>
      </w:r>
      <w:proofErr w:type="spellStart"/>
      <w:r w:rsidR="00A96716">
        <w:t>Francuziak</w:t>
      </w:r>
      <w:proofErr w:type="spellEnd"/>
      <w:r w:rsidR="00A96716">
        <w:t xml:space="preserve"> was represented by </w:t>
      </w:r>
      <w:r w:rsidR="00216507">
        <w:t>Counsel</w:t>
      </w:r>
      <w:r w:rsidR="00A96716">
        <w:t xml:space="preserve"> in the proceeding before the </w:t>
      </w:r>
      <w:r w:rsidR="00475E8E">
        <w:t xml:space="preserve">primary </w:t>
      </w:r>
      <w:r w:rsidR="00216507">
        <w:t>Judge</w:t>
      </w:r>
      <w:r w:rsidR="00A96716">
        <w:t xml:space="preserve"> where the arguments which it was then considered appropriate to raise for resolution were raised and resolved</w:t>
      </w:r>
      <w:r>
        <w:t>.</w:t>
      </w:r>
    </w:p>
    <w:p w:rsidR="00A96716" w:rsidRDefault="005F39EE" w:rsidP="00767E7A">
      <w:pPr>
        <w:pStyle w:val="ParaNumbering"/>
      </w:pPr>
      <w:r>
        <w:t xml:space="preserve">Second, no explanation was given </w:t>
      </w:r>
      <w:r w:rsidR="00A96716">
        <w:t xml:space="preserve">as to why the new arguments were not </w:t>
      </w:r>
      <w:r w:rsidR="004F282D">
        <w:t>put below.</w:t>
      </w:r>
      <w:r w:rsidR="00A96716">
        <w:t xml:space="preserve"> </w:t>
      </w:r>
    </w:p>
    <w:p w:rsidR="00A96716" w:rsidRDefault="005F39EE" w:rsidP="00767E7A">
      <w:pPr>
        <w:pStyle w:val="ParaNumbering"/>
      </w:pPr>
      <w:r>
        <w:lastRenderedPageBreak/>
        <w:t>T</w:t>
      </w:r>
      <w:r w:rsidR="00A96716">
        <w:t>h</w:t>
      </w:r>
      <w:r w:rsidR="00982FF9">
        <w:t>ird, the</w:t>
      </w:r>
      <w:r w:rsidR="00A96716">
        <w:t xml:space="preserve"> argument</w:t>
      </w:r>
      <w:r w:rsidR="00C6241A">
        <w:t>s</w:t>
      </w:r>
      <w:r w:rsidR="00A96716">
        <w:t xml:space="preserve"> now sought to be raised</w:t>
      </w:r>
      <w:r w:rsidR="00C6241A">
        <w:t xml:space="preserve"> would</w:t>
      </w:r>
      <w:r w:rsidR="00A96716">
        <w:t xml:space="preserve"> render the hearing before the primary</w:t>
      </w:r>
      <w:r w:rsidR="001611D8">
        <w:t xml:space="preserve"> Judge</w:t>
      </w:r>
      <w:r w:rsidR="00A96716">
        <w:t xml:space="preserve"> </w:t>
      </w:r>
      <w:r w:rsidR="00A96716" w:rsidRPr="00475E8E">
        <w:t>“almost irrelevant”</w:t>
      </w:r>
      <w:r w:rsidR="00A96716">
        <w:t xml:space="preserve"> (</w:t>
      </w:r>
      <w:r w:rsidR="00A96716" w:rsidRPr="005F39EE">
        <w:rPr>
          <w:i/>
        </w:rPr>
        <w:t>WAJR v Minister for Immigration and Multicultural and Indigenous Affairs</w:t>
      </w:r>
      <w:r w:rsidR="00A96716">
        <w:t xml:space="preserve"> [2004] FCA 106 at [19], (2004) 204 ALR 624 at 629 per French</w:t>
      </w:r>
      <w:r w:rsidR="00B15EA3">
        <w:t> </w:t>
      </w:r>
      <w:r w:rsidR="00A96716">
        <w:t>J (as his Honour then was</w:t>
      </w:r>
      <w:r w:rsidR="00BC019A">
        <w:t>)</w:t>
      </w:r>
      <w:r w:rsidR="00A96716">
        <w:t>)</w:t>
      </w:r>
      <w:r w:rsidR="00D545D0">
        <w:t xml:space="preserve">, </w:t>
      </w:r>
      <w:r w:rsidR="00A96716">
        <w:t xml:space="preserve">the arguments previously relied upon before the </w:t>
      </w:r>
      <w:r w:rsidR="00475E8E">
        <w:t xml:space="preserve">primary </w:t>
      </w:r>
      <w:r w:rsidR="00216507">
        <w:t>Judge</w:t>
      </w:r>
      <w:r w:rsidR="00A96716">
        <w:t xml:space="preserve"> having been abandoned</w:t>
      </w:r>
      <w:r w:rsidR="006F39B8">
        <w:t xml:space="preserve"> before this Court</w:t>
      </w:r>
      <w:r w:rsidR="00D545D0">
        <w:t>.</w:t>
      </w:r>
      <w:r w:rsidR="00A96716">
        <w:t xml:space="preserve"> </w:t>
      </w:r>
    </w:p>
    <w:p w:rsidR="00E1659A" w:rsidRDefault="00D545D0" w:rsidP="00767E7A">
      <w:pPr>
        <w:pStyle w:val="ParaNumbering"/>
      </w:pPr>
      <w:r>
        <w:t>F</w:t>
      </w:r>
      <w:r w:rsidR="00E1659A">
        <w:t>ourth</w:t>
      </w:r>
      <w:r>
        <w:t xml:space="preserve">, </w:t>
      </w:r>
      <w:r w:rsidR="00E1659A">
        <w:t xml:space="preserve">no application was made to </w:t>
      </w:r>
      <w:r w:rsidR="004C4FAD">
        <w:t xml:space="preserve">the primary </w:t>
      </w:r>
      <w:r w:rsidR="00100000">
        <w:t>Judge</w:t>
      </w:r>
      <w:r w:rsidR="004C4FAD">
        <w:t xml:space="preserve"> pursuant to r </w:t>
      </w:r>
      <w:r w:rsidR="00E1659A">
        <w:t xml:space="preserve">20.35 of the </w:t>
      </w:r>
      <w:r w:rsidR="00E1659A" w:rsidRPr="00E15DBF">
        <w:rPr>
          <w:i/>
        </w:rPr>
        <w:t>Federal Court Rules</w:t>
      </w:r>
      <w:r w:rsidR="00E1659A">
        <w:t xml:space="preserve"> </w:t>
      </w:r>
      <w:r w:rsidR="00E1659A" w:rsidRPr="00B15EA3">
        <w:rPr>
          <w:i/>
        </w:rPr>
        <w:t>2011</w:t>
      </w:r>
      <w:r w:rsidR="00E1659A">
        <w:t xml:space="preserve"> (Cth) for the </w:t>
      </w:r>
      <w:r w:rsidR="00E1659A" w:rsidRPr="00767E7A">
        <w:t>departmental brief</w:t>
      </w:r>
      <w:r w:rsidR="00E1659A" w:rsidRPr="00E1659A">
        <w:t xml:space="preserve"> in its unexpurgated form to be produced to the Court “</w:t>
      </w:r>
      <w:r w:rsidR="00100000">
        <w:t>for the purpose of deciding the validity of the claim or objection to production</w:t>
      </w:r>
      <w:r w:rsidR="00475E8E">
        <w:t>”</w:t>
      </w:r>
      <w:r w:rsidR="00100000">
        <w:t>:</w:t>
      </w:r>
      <w:r w:rsidR="00475E8E">
        <w:t xml:space="preserve"> see </w:t>
      </w:r>
      <w:r w:rsidR="00E1659A">
        <w:rPr>
          <w:i/>
        </w:rPr>
        <w:t xml:space="preserve">Assistant Treasurer v Cathay Pacific Airways Ltd </w:t>
      </w:r>
      <w:r w:rsidR="00E1659A">
        <w:t xml:space="preserve">[2009] FCAFC 105 at [64], (2009) </w:t>
      </w:r>
      <w:r w:rsidR="00100000">
        <w:t>179</w:t>
      </w:r>
      <w:r w:rsidR="00491EDF">
        <w:t> </w:t>
      </w:r>
      <w:r w:rsidR="00100000">
        <w:t xml:space="preserve">FCR 323 at 340 </w:t>
      </w:r>
      <w:r w:rsidR="00E1659A">
        <w:t>per Flick</w:t>
      </w:r>
      <w:r w:rsidR="00847DE8">
        <w:t> </w:t>
      </w:r>
      <w:r w:rsidR="00E1659A">
        <w:t>J (Spender and Lander JJ agreeing</w:t>
      </w:r>
      <w:r w:rsidR="00100000">
        <w:t>).</w:t>
      </w:r>
    </w:p>
    <w:p w:rsidR="00E1659A" w:rsidRDefault="00E1659A" w:rsidP="00767E7A">
      <w:pPr>
        <w:pStyle w:val="ParaNumbering"/>
      </w:pPr>
      <w:r>
        <w:t>Fifth, had</w:t>
      </w:r>
      <w:r w:rsidR="00A96716">
        <w:t xml:space="preserve"> the claim for privilege been disputed </w:t>
      </w:r>
      <w:r w:rsidR="00D545D0">
        <w:t>below, the</w:t>
      </w:r>
      <w:r w:rsidR="00A96716">
        <w:t xml:space="preserve"> Minister </w:t>
      </w:r>
      <w:r w:rsidR="00D545D0">
        <w:t xml:space="preserve">would have had </w:t>
      </w:r>
      <w:r w:rsidR="00A96716">
        <w:t>an opportunity to adduce additional evidence to substantiate the claim</w:t>
      </w:r>
      <w:r w:rsidR="00D545D0">
        <w:t xml:space="preserve">.  </w:t>
      </w:r>
      <w:r>
        <w:t xml:space="preserve">As the High Court observed in </w:t>
      </w:r>
      <w:r>
        <w:rPr>
          <w:i/>
        </w:rPr>
        <w:t xml:space="preserve">Water Board v </w:t>
      </w:r>
      <w:proofErr w:type="spellStart"/>
      <w:r>
        <w:rPr>
          <w:i/>
        </w:rPr>
        <w:t>Moustakas</w:t>
      </w:r>
      <w:proofErr w:type="spellEnd"/>
      <w:r>
        <w:rPr>
          <w:i/>
        </w:rPr>
        <w:t xml:space="preserve"> </w:t>
      </w:r>
      <w:r>
        <w:t>(</w:t>
      </w:r>
      <w:r w:rsidR="00100000">
        <w:t>1988</w:t>
      </w:r>
      <w:r>
        <w:t xml:space="preserve">) 180 CLR 491 at </w:t>
      </w:r>
      <w:r w:rsidR="00100000">
        <w:t>497</w:t>
      </w:r>
      <w:r>
        <w:t>, “a point cannot be raised for the first time upon appeal when it could possibly have been met by calling evidence below”.</w:t>
      </w:r>
    </w:p>
    <w:p w:rsidR="004C4FAD" w:rsidRDefault="00E1659A" w:rsidP="004C4FAD">
      <w:pPr>
        <w:pStyle w:val="ParaNumbering"/>
      </w:pPr>
      <w:r>
        <w:t xml:space="preserve">Sixth, this Court is deprived of the benefit of the primary </w:t>
      </w:r>
      <w:r w:rsidR="00100000">
        <w:t>Judge’s</w:t>
      </w:r>
      <w:r w:rsidR="004C4FAD">
        <w:t xml:space="preserve"> consideration of the question.</w:t>
      </w:r>
    </w:p>
    <w:p w:rsidR="00E1659A" w:rsidRDefault="00E1659A" w:rsidP="004C4FAD">
      <w:pPr>
        <w:pStyle w:val="ParaNumbering"/>
      </w:pPr>
      <w:r>
        <w:t>Seventh, to allow the new arguments to be put would be contrary to the general principle of finality in litigation and the need for decisions involving administrative decisions made pursuant to statutory authority being quickly resolved (c</w:t>
      </w:r>
      <w:r w:rsidR="00216507">
        <w:t>.</w:t>
      </w:r>
      <w:r>
        <w:t>f</w:t>
      </w:r>
      <w:r w:rsidR="00216507">
        <w:t>.</w:t>
      </w:r>
      <w:r>
        <w:t xml:space="preserve">, </w:t>
      </w:r>
      <w:proofErr w:type="spellStart"/>
      <w:r w:rsidRPr="004C4FAD">
        <w:rPr>
          <w:i/>
        </w:rPr>
        <w:t>Iyer</w:t>
      </w:r>
      <w:proofErr w:type="spellEnd"/>
      <w:r w:rsidRPr="004C4FAD">
        <w:rPr>
          <w:i/>
        </w:rPr>
        <w:t xml:space="preserve"> v Minister for Immigration and Multicultural Affairs </w:t>
      </w:r>
      <w:r>
        <w:t xml:space="preserve">[2001] FCA 929 at [62], (2001) </w:t>
      </w:r>
      <w:r w:rsidR="00100000">
        <w:t>64 ALD 9 at 24</w:t>
      </w:r>
      <w:r>
        <w:t xml:space="preserve"> per </w:t>
      </w:r>
      <w:proofErr w:type="spellStart"/>
      <w:r>
        <w:t>Gyles</w:t>
      </w:r>
      <w:proofErr w:type="spellEnd"/>
      <w:r w:rsidR="00BC019A">
        <w:t> </w:t>
      </w:r>
      <w:r>
        <w:t xml:space="preserve">J; </w:t>
      </w:r>
      <w:proofErr w:type="spellStart"/>
      <w:r w:rsidRPr="004C4FAD">
        <w:rPr>
          <w:rFonts w:ascii="Times" w:hAnsi="Times"/>
          <w:i/>
          <w:szCs w:val="24"/>
        </w:rPr>
        <w:t>SZKMS</w:t>
      </w:r>
      <w:proofErr w:type="spellEnd"/>
      <w:r w:rsidRPr="004C4FAD">
        <w:rPr>
          <w:rFonts w:ascii="Times" w:hAnsi="Times"/>
          <w:i/>
          <w:szCs w:val="24"/>
        </w:rPr>
        <w:t xml:space="preserve"> v Minister for Immigration and Citizenship</w:t>
      </w:r>
      <w:r w:rsidRPr="004C4FAD">
        <w:rPr>
          <w:rFonts w:ascii="Times" w:hAnsi="Times"/>
          <w:szCs w:val="24"/>
        </w:rPr>
        <w:t xml:space="preserve"> [2008] FCA 499 at [30] per Lander</w:t>
      </w:r>
      <w:r w:rsidR="00BC019A">
        <w:rPr>
          <w:rFonts w:ascii="Times" w:hAnsi="Times"/>
          <w:szCs w:val="24"/>
        </w:rPr>
        <w:t> </w:t>
      </w:r>
      <w:r w:rsidRPr="004C4FAD">
        <w:rPr>
          <w:rFonts w:ascii="Times" w:hAnsi="Times"/>
          <w:szCs w:val="24"/>
        </w:rPr>
        <w:t xml:space="preserve">J).  As Flick J observed in </w:t>
      </w:r>
      <w:r w:rsidRPr="004C4FAD">
        <w:rPr>
          <w:rFonts w:ascii="Times" w:hAnsi="Times"/>
          <w:i/>
          <w:szCs w:val="24"/>
        </w:rPr>
        <w:t xml:space="preserve">SZIAI v Minister for Immigration and Citizenship </w:t>
      </w:r>
      <w:r w:rsidRPr="004C4FAD">
        <w:rPr>
          <w:rFonts w:ascii="Times" w:hAnsi="Times"/>
          <w:szCs w:val="24"/>
        </w:rPr>
        <w:t>[2008] FCA 1372 at [34], (2008) 104 ALD 22</w:t>
      </w:r>
      <w:r w:rsidR="00100000">
        <w:rPr>
          <w:rFonts w:ascii="Times" w:hAnsi="Times"/>
          <w:szCs w:val="24"/>
        </w:rPr>
        <w:t xml:space="preserve"> at 30,</w:t>
      </w:r>
      <w:r w:rsidRPr="004C4FAD">
        <w:rPr>
          <w:rFonts w:ascii="Times" w:hAnsi="Times"/>
          <w:szCs w:val="24"/>
        </w:rPr>
        <w:t xml:space="preserve"> “[t]here is a legitimate interest in public law matters being resolved in a timely and efficient manner”</w:t>
      </w:r>
      <w:r w:rsidR="00100000">
        <w:rPr>
          <w:rFonts w:ascii="Times" w:hAnsi="Times"/>
          <w:szCs w:val="24"/>
        </w:rPr>
        <w:t>.</w:t>
      </w:r>
    </w:p>
    <w:p w:rsidR="00E15DBF" w:rsidRDefault="00E1659A" w:rsidP="00767E7A">
      <w:pPr>
        <w:pStyle w:val="ParaNumbering"/>
      </w:pPr>
      <w:r>
        <w:t>In any case, for the reasons set out below there is no merit in the new arguments.</w:t>
      </w:r>
    </w:p>
    <w:p w:rsidR="00CB1C24" w:rsidRPr="00CB1C24" w:rsidRDefault="00CB1C24" w:rsidP="00475E8E">
      <w:pPr>
        <w:pStyle w:val="Heading2"/>
      </w:pPr>
      <w:r>
        <w:t>A right of appeal without leave</w:t>
      </w:r>
    </w:p>
    <w:p w:rsidR="00A96716" w:rsidRDefault="004F282D" w:rsidP="00C94469">
      <w:pPr>
        <w:pStyle w:val="ParaNumbering"/>
      </w:pPr>
      <w:r>
        <w:t>While D</w:t>
      </w:r>
      <w:r w:rsidR="003E2A66">
        <w:t>r Cameron seemed to think he required leave, Dr </w:t>
      </w:r>
      <w:proofErr w:type="spellStart"/>
      <w:r w:rsidR="003E2A66">
        <w:t>Heenan</w:t>
      </w:r>
      <w:proofErr w:type="spellEnd"/>
      <w:r w:rsidR="003E2A66">
        <w:t>, who appeared for the Minister, submitted that leave was not required because the allegation being made was that Mr </w:t>
      </w:r>
      <w:proofErr w:type="spellStart"/>
      <w:r w:rsidR="003E2A66">
        <w:t>Francuziak</w:t>
      </w:r>
      <w:proofErr w:type="spellEnd"/>
      <w:r w:rsidR="003E2A66">
        <w:t xml:space="preserve"> was denied procedural fairness at the hearing because the primary </w:t>
      </w:r>
      <w:r w:rsidR="00100000">
        <w:t>Judge</w:t>
      </w:r>
      <w:r w:rsidR="003E2A66">
        <w:t xml:space="preserve"> did </w:t>
      </w:r>
      <w:r w:rsidR="003E2A66">
        <w:lastRenderedPageBreak/>
        <w:t>not require the Minister to prove his claim to privilege.</w:t>
      </w:r>
      <w:r w:rsidR="00414C4C">
        <w:t xml:space="preserve"> </w:t>
      </w:r>
      <w:r w:rsidR="00A96716">
        <w:t xml:space="preserve"> Counsel for Mr</w:t>
      </w:r>
      <w:r w:rsidR="00BC019A">
        <w:t> </w:t>
      </w:r>
      <w:proofErr w:type="spellStart"/>
      <w:r w:rsidR="00A96716">
        <w:t>Francuziak</w:t>
      </w:r>
      <w:proofErr w:type="spellEnd"/>
      <w:r w:rsidR="00A96716">
        <w:t xml:space="preserve"> submitted that:</w:t>
      </w:r>
    </w:p>
    <w:p w:rsidR="00A96716" w:rsidRDefault="00A96716" w:rsidP="00414C4C">
      <w:pPr>
        <w:pStyle w:val="FCBullets"/>
      </w:pPr>
      <w:r>
        <w:t xml:space="preserve">procedural fairness in the conduct of the hearing required the Minister to disclose to the Court the entirety of the </w:t>
      </w:r>
      <w:r w:rsidRPr="00725B11">
        <w:t>departmental brief</w:t>
      </w:r>
      <w:r>
        <w:t xml:space="preserve"> and not merely </w:t>
      </w:r>
      <w:r w:rsidR="003E2A66">
        <w:t>a redacted</w:t>
      </w:r>
      <w:r>
        <w:t xml:space="preserve"> version; and that</w:t>
      </w:r>
    </w:p>
    <w:p w:rsidR="00A96716" w:rsidRDefault="00C36B72" w:rsidP="00414C4C">
      <w:pPr>
        <w:pStyle w:val="FCBullets"/>
      </w:pPr>
      <w:r w:rsidRPr="003E2A66">
        <w:t xml:space="preserve">there was a </w:t>
      </w:r>
      <w:r w:rsidRPr="00767E7A">
        <w:t>duty</w:t>
      </w:r>
      <w:r w:rsidRPr="003E2A66">
        <w:t xml:space="preserve"> imposed upon the Court </w:t>
      </w:r>
      <w:r w:rsidR="006F39B8" w:rsidRPr="003E2A66">
        <w:t xml:space="preserve">to </w:t>
      </w:r>
      <w:r w:rsidRPr="003E2A66">
        <w:t xml:space="preserve">itself require the production of the entirety of the </w:t>
      </w:r>
      <w:r w:rsidRPr="00767E7A">
        <w:t>departmental brief</w:t>
      </w:r>
      <w:r w:rsidRPr="003E2A66">
        <w:t xml:space="preserve"> or at least satisfy itself that the claim for privilege was properly founded</w:t>
      </w:r>
      <w:r w:rsidR="003E2A66" w:rsidRPr="003E2A66">
        <w:t>, regardless of the</w:t>
      </w:r>
      <w:r w:rsidR="003E2A66">
        <w:t xml:space="preserve"> attitude of Mr </w:t>
      </w:r>
      <w:proofErr w:type="spellStart"/>
      <w:r w:rsidR="003E2A66">
        <w:t>Francuziak’s</w:t>
      </w:r>
      <w:proofErr w:type="spellEnd"/>
      <w:r w:rsidR="003E2A66">
        <w:t xml:space="preserve"> then legal representatives</w:t>
      </w:r>
      <w:r>
        <w:t xml:space="preserve">. </w:t>
      </w:r>
      <w:r w:rsidR="00A96716">
        <w:t xml:space="preserve">  </w:t>
      </w:r>
    </w:p>
    <w:p w:rsidR="00D8609F" w:rsidRDefault="00475E8E" w:rsidP="00C36B72">
      <w:pPr>
        <w:pStyle w:val="ParaNumbering"/>
      </w:pPr>
      <w:r>
        <w:t xml:space="preserve">Whichever way the </w:t>
      </w:r>
      <w:r w:rsidR="00AC5C1D">
        <w:t>submission is advanced, it faces a number of difficulties, namely</w:t>
      </w:r>
      <w:r>
        <w:t>:</w:t>
      </w:r>
    </w:p>
    <w:p w:rsidR="0033603C" w:rsidRDefault="00475E8E" w:rsidP="00D8609F">
      <w:pPr>
        <w:pStyle w:val="FCBullets"/>
      </w:pPr>
      <w:r>
        <w:t>t</w:t>
      </w:r>
      <w:r w:rsidR="0033603C">
        <w:t xml:space="preserve">he Commonwealth’s obligations to act as a model litigant do not preclude the Commonwealth or its Ministers from acting properly to protect the Commonwealth’s interests:  </w:t>
      </w:r>
      <w:r w:rsidR="0033603C">
        <w:rPr>
          <w:i/>
        </w:rPr>
        <w:t xml:space="preserve">Legal Services Directions 2005 </w:t>
      </w:r>
      <w:r w:rsidR="0033603C">
        <w:t>(Cth), Appendix B, item 2, note 4;</w:t>
      </w:r>
    </w:p>
    <w:p w:rsidR="0033603C" w:rsidRDefault="0033603C" w:rsidP="0033603C">
      <w:pPr>
        <w:pStyle w:val="FCBullets"/>
      </w:pPr>
      <w:r>
        <w:t>Mr </w:t>
      </w:r>
      <w:proofErr w:type="spellStart"/>
      <w:r>
        <w:t>Francuziak</w:t>
      </w:r>
      <w:proofErr w:type="spellEnd"/>
      <w:r>
        <w:t xml:space="preserve"> did not challenge the Commonwealth’s claim for privilege </w:t>
      </w:r>
      <w:r w:rsidR="007652D1">
        <w:t xml:space="preserve">and through his legal representatives </w:t>
      </w:r>
      <w:r>
        <w:t xml:space="preserve">consented to the course adopted by the Minister and the </w:t>
      </w:r>
      <w:r w:rsidR="007652D1">
        <w:t xml:space="preserve">primary </w:t>
      </w:r>
      <w:r w:rsidR="0075591E">
        <w:t>Judge</w:t>
      </w:r>
      <w:r>
        <w:t>;</w:t>
      </w:r>
    </w:p>
    <w:p w:rsidR="00D8609F" w:rsidRDefault="00D8609F" w:rsidP="00D8609F">
      <w:pPr>
        <w:pStyle w:val="FCBullets"/>
      </w:pPr>
      <w:r>
        <w:t xml:space="preserve">Mr </w:t>
      </w:r>
      <w:proofErr w:type="spellStart"/>
      <w:r>
        <w:t>Francuziak</w:t>
      </w:r>
      <w:proofErr w:type="spellEnd"/>
      <w:r>
        <w:t xml:space="preserve"> has not shown any reason why he should </w:t>
      </w:r>
      <w:r w:rsidR="0075591E">
        <w:t xml:space="preserve">be permitted to depart from </w:t>
      </w:r>
      <w:r>
        <w:t xml:space="preserve">the manner in which he conducted his case before the </w:t>
      </w:r>
      <w:r w:rsidR="00475E8E">
        <w:t xml:space="preserve">primary </w:t>
      </w:r>
      <w:r w:rsidR="00100000">
        <w:t>Judge</w:t>
      </w:r>
      <w:r>
        <w:t xml:space="preserve">; </w:t>
      </w:r>
    </w:p>
    <w:p w:rsidR="00D8609F" w:rsidRDefault="00D8609F" w:rsidP="00D8609F">
      <w:pPr>
        <w:pStyle w:val="FCBullets"/>
      </w:pPr>
      <w:r>
        <w:t xml:space="preserve">there </w:t>
      </w:r>
      <w:r w:rsidR="003E2A66">
        <w:t>was</w:t>
      </w:r>
      <w:r>
        <w:t xml:space="preserve"> no denial of procedural fairness </w:t>
      </w:r>
      <w:r w:rsidR="003E2A66">
        <w:t>in the conduct of the hearing</w:t>
      </w:r>
      <w:r>
        <w:t>; and/or</w:t>
      </w:r>
    </w:p>
    <w:p w:rsidR="00D77964" w:rsidRDefault="003E2A66" w:rsidP="00C36B72">
      <w:pPr>
        <w:pStyle w:val="FCBullets"/>
      </w:pPr>
      <w:r>
        <w:t xml:space="preserve">if there were a duty of the kind espoused, </w:t>
      </w:r>
      <w:r w:rsidR="00D8609F">
        <w:t xml:space="preserve">there was no breach on the facts of the present case. </w:t>
      </w:r>
      <w:r w:rsidR="00C36B72">
        <w:t xml:space="preserve"> </w:t>
      </w:r>
    </w:p>
    <w:p w:rsidR="00AC5C1D" w:rsidRDefault="00AC5C1D" w:rsidP="00272F47">
      <w:pPr>
        <w:pStyle w:val="NoNum"/>
        <w:rPr>
          <w:b/>
          <w:i/>
        </w:rPr>
      </w:pPr>
      <w:r>
        <w:t>The submissions, with respect, are without merit.</w:t>
      </w:r>
    </w:p>
    <w:p w:rsidR="00D8609F" w:rsidRPr="00677B8F" w:rsidRDefault="00D8609F" w:rsidP="00677B8F">
      <w:pPr>
        <w:pStyle w:val="Heading3"/>
        <w:rPr>
          <w:b w:val="0"/>
        </w:rPr>
      </w:pPr>
      <w:r w:rsidRPr="00677B8F">
        <w:rPr>
          <w:b w:val="0"/>
        </w:rPr>
        <w:t>Bound by the manner in which the hearing was conducted</w:t>
      </w:r>
    </w:p>
    <w:p w:rsidR="007263CC" w:rsidRDefault="00C36B72" w:rsidP="00C36B72">
      <w:pPr>
        <w:pStyle w:val="ParaNumbering"/>
      </w:pPr>
      <w:r>
        <w:t xml:space="preserve">The argument </w:t>
      </w:r>
      <w:r w:rsidR="009F747C">
        <w:t>advanced on behalf of Mr</w:t>
      </w:r>
      <w:r w:rsidR="00AC5C1D">
        <w:t xml:space="preserve"> </w:t>
      </w:r>
      <w:proofErr w:type="spellStart"/>
      <w:r w:rsidR="00AC5C1D">
        <w:t>Francuziak</w:t>
      </w:r>
      <w:proofErr w:type="spellEnd"/>
      <w:r w:rsidR="00AC5C1D">
        <w:t xml:space="preserve"> </w:t>
      </w:r>
      <w:r>
        <w:t>is without merit</w:t>
      </w:r>
      <w:r w:rsidR="00677B8F">
        <w:t>,</w:t>
      </w:r>
      <w:r>
        <w:t xml:space="preserve"> </w:t>
      </w:r>
      <w:r w:rsidR="00D8609F">
        <w:t>primarily</w:t>
      </w:r>
      <w:r w:rsidR="00AC5C1D">
        <w:t>,</w:t>
      </w:r>
      <w:r w:rsidR="00D8609F">
        <w:t xml:space="preserve"> </w:t>
      </w:r>
      <w:r>
        <w:t xml:space="preserve">for the simple reason that the case before the </w:t>
      </w:r>
      <w:r w:rsidR="00475E8E">
        <w:t xml:space="preserve">primary </w:t>
      </w:r>
      <w:r w:rsidR="00976AFD">
        <w:t>Judge</w:t>
      </w:r>
      <w:r>
        <w:t xml:space="preserve"> was conducted upon the basis that the </w:t>
      </w:r>
      <w:r w:rsidR="003E2A66">
        <w:t>redacted departmental brief</w:t>
      </w:r>
      <w:r>
        <w:t xml:space="preserve"> was admitted without objection. </w:t>
      </w:r>
    </w:p>
    <w:p w:rsidR="000C77C1" w:rsidRDefault="000A3501" w:rsidP="00C36B72">
      <w:pPr>
        <w:pStyle w:val="ParaNumbering"/>
      </w:pPr>
      <w:r>
        <w:t>On 8 May 2014 Barker J ordered, by consent, that, by 16 May 2014, the Minister provide</w:t>
      </w:r>
      <w:r w:rsidR="00976AFD">
        <w:t xml:space="preserve"> to</w:t>
      </w:r>
      <w:r>
        <w:t xml:space="preserve"> Mr </w:t>
      </w:r>
      <w:proofErr w:type="spellStart"/>
      <w:r w:rsidR="00100000">
        <w:t>Francuziak</w:t>
      </w:r>
      <w:proofErr w:type="spellEnd"/>
      <w:r>
        <w:t xml:space="preserve"> a c</w:t>
      </w:r>
      <w:r w:rsidR="00475E8E">
        <w:t>opy of the departmental brief</w:t>
      </w:r>
      <w:r>
        <w:t xml:space="preserve"> </w:t>
      </w:r>
      <w:r w:rsidR="00475E8E">
        <w:t>(</w:t>
      </w:r>
      <w:r>
        <w:t xml:space="preserve">together with attachments) “subject to redaction of any parts of that brief (including attachments) over which the [Minister] claims </w:t>
      </w:r>
      <w:r>
        <w:lastRenderedPageBreak/>
        <w:t>privilege”.</w:t>
      </w:r>
      <w:r w:rsidR="00C36B72">
        <w:t xml:space="preserve"> </w:t>
      </w:r>
      <w:r w:rsidR="00677B8F">
        <w:t xml:space="preserve"> </w:t>
      </w:r>
      <w:r>
        <w:t>In conformity with the order</w:t>
      </w:r>
      <w:r w:rsidR="00AC5C1D">
        <w:t>,</w:t>
      </w:r>
      <w:r>
        <w:t xml:space="preserve"> a copy of the departmental brief with redactions was </w:t>
      </w:r>
      <w:r w:rsidR="00C36B72">
        <w:t xml:space="preserve">forwarded to </w:t>
      </w:r>
      <w:r>
        <w:t>Mr </w:t>
      </w:r>
      <w:proofErr w:type="spellStart"/>
      <w:r>
        <w:t>Francuziak’s</w:t>
      </w:r>
      <w:proofErr w:type="spellEnd"/>
      <w:r>
        <w:t xml:space="preserve"> </w:t>
      </w:r>
      <w:r w:rsidR="00C36B72">
        <w:t>legal representatives</w:t>
      </w:r>
      <w:r>
        <w:t xml:space="preserve">.  </w:t>
      </w:r>
    </w:p>
    <w:p w:rsidR="000C77C1" w:rsidRDefault="000C77C1" w:rsidP="000C77C1">
      <w:pPr>
        <w:pStyle w:val="ParaNumbering"/>
      </w:pPr>
      <w:r>
        <w:t>There is no evidence to suggest that Mr </w:t>
      </w:r>
      <w:proofErr w:type="spellStart"/>
      <w:r>
        <w:t>Francuziak</w:t>
      </w:r>
      <w:proofErr w:type="spellEnd"/>
      <w:r>
        <w:t xml:space="preserve"> ever disputed the Minister’s claim.  To the contrary, the evidence adduced by the Minister on Mr </w:t>
      </w:r>
      <w:proofErr w:type="spellStart"/>
      <w:r>
        <w:t>Francuziak’s</w:t>
      </w:r>
      <w:proofErr w:type="spellEnd"/>
      <w:r>
        <w:t xml:space="preserve"> application for leave to rely on the new grounds indicates that Mr </w:t>
      </w:r>
      <w:proofErr w:type="spellStart"/>
      <w:r>
        <w:t>Francuziak</w:t>
      </w:r>
      <w:proofErr w:type="spellEnd"/>
      <w:r>
        <w:t xml:space="preserve"> accepted that the redacted portions were privileged.</w:t>
      </w:r>
    </w:p>
    <w:p w:rsidR="000C77C1" w:rsidRDefault="000C77C1" w:rsidP="000C77C1">
      <w:pPr>
        <w:pStyle w:val="ParaNumbering"/>
      </w:pPr>
      <w:r>
        <w:t>On 24 July 2014 Mr </w:t>
      </w:r>
      <w:proofErr w:type="spellStart"/>
      <w:r>
        <w:t>Francuziak’s</w:t>
      </w:r>
      <w:proofErr w:type="spellEnd"/>
      <w:r>
        <w:t xml:space="preserve"> then </w:t>
      </w:r>
      <w:r w:rsidR="00976AFD">
        <w:t>Counsel</w:t>
      </w:r>
      <w:r>
        <w:t xml:space="preserve"> sent an e</w:t>
      </w:r>
      <w:r w:rsidR="00216507">
        <w:t>-</w:t>
      </w:r>
      <w:r>
        <w:t xml:space="preserve">mail to the Minister’s then solicitors in which he stated, </w:t>
      </w:r>
      <w:r w:rsidR="00976AFD">
        <w:t>among</w:t>
      </w:r>
      <w:r>
        <w:t xml:space="preserve"> other things, that the parties agreed </w:t>
      </w:r>
      <w:r w:rsidR="00976AFD">
        <w:t>on</w:t>
      </w:r>
      <w:r>
        <w:t xml:space="preserve"> the approach to be taken “in the further conduct of the matter”.  He attached a minute of proposed orders.</w:t>
      </w:r>
      <w:r w:rsidR="00AC5C1D">
        <w:t xml:space="preserve"> </w:t>
      </w:r>
      <w:r w:rsidR="00272F47">
        <w:t xml:space="preserve"> </w:t>
      </w:r>
      <w:r w:rsidR="00AC5C1D">
        <w:t xml:space="preserve">Those </w:t>
      </w:r>
      <w:r>
        <w:t>short minutes relevantly proposed that:</w:t>
      </w:r>
    </w:p>
    <w:p w:rsidR="000C77C1" w:rsidRDefault="000C77C1" w:rsidP="000C77C1">
      <w:pPr>
        <w:pStyle w:val="Quote1"/>
      </w:pPr>
      <w:r>
        <w:t xml:space="preserve">By 7 August 2014, the respondent file and serve a copy of the departmental brief (including attachments) dated 5 March 2014 that was provided to the applicant in accordance with paragraph 1 of the orders of Justice Barker dated 8 May 2014, in lieu of any affidavit evidence, with </w:t>
      </w:r>
      <w:r w:rsidRPr="00017626">
        <w:rPr>
          <w:b/>
        </w:rPr>
        <w:t xml:space="preserve">the departmental brief so filed to be received by consent as evidence of the material that the Attorney-General's Department provided to the Minister </w:t>
      </w:r>
      <w:r>
        <w:t>in respect of the decisio</w:t>
      </w:r>
      <w:r w:rsidR="007652D1">
        <w:t>n made on 17 March 2014 under s </w:t>
      </w:r>
      <w:r>
        <w:t xml:space="preserve">22 of the </w:t>
      </w:r>
      <w:r w:rsidRPr="007652D1">
        <w:rPr>
          <w:i/>
        </w:rPr>
        <w:t>Extradition Act 1988</w:t>
      </w:r>
      <w:r>
        <w:t xml:space="preserve"> (Cth) that the applicant be surrendered to the Republic of Poland.  </w:t>
      </w:r>
    </w:p>
    <w:p w:rsidR="000C77C1" w:rsidRDefault="000C77C1" w:rsidP="000C77C1">
      <w:pPr>
        <w:pStyle w:val="Quote1"/>
      </w:pPr>
    </w:p>
    <w:p w:rsidR="007652D1" w:rsidRDefault="007652D1" w:rsidP="000C77C1">
      <w:pPr>
        <w:pStyle w:val="Quote1"/>
      </w:pPr>
      <w:r>
        <w:t>(Emphasis added.)</w:t>
      </w:r>
    </w:p>
    <w:p w:rsidR="007652D1" w:rsidRDefault="007652D1" w:rsidP="000C77C1">
      <w:pPr>
        <w:pStyle w:val="Quote1"/>
      </w:pPr>
    </w:p>
    <w:p w:rsidR="000C77C1" w:rsidRPr="00624520" w:rsidRDefault="00AC5C1D" w:rsidP="00272F47">
      <w:pPr>
        <w:pStyle w:val="NoNum"/>
      </w:pPr>
      <w:r>
        <w:t>The</w:t>
      </w:r>
      <w:r w:rsidR="000C77C1">
        <w:t xml:space="preserve"> next day the primary </w:t>
      </w:r>
      <w:r w:rsidR="00216507">
        <w:t>Judge</w:t>
      </w:r>
      <w:r w:rsidR="000C77C1">
        <w:t xml:space="preserve"> made orders in accordance with the short minutes.</w:t>
      </w:r>
    </w:p>
    <w:p w:rsidR="00C36B72" w:rsidRDefault="00C36B72" w:rsidP="00C36B72">
      <w:pPr>
        <w:pStyle w:val="ParaNumbering"/>
      </w:pPr>
      <w:r>
        <w:t xml:space="preserve">If the claim for privilege </w:t>
      </w:r>
      <w:r w:rsidR="000A3501">
        <w:t xml:space="preserve">were </w:t>
      </w:r>
      <w:r>
        <w:t xml:space="preserve">to be put in issue, </w:t>
      </w:r>
      <w:r w:rsidR="000A3501">
        <w:t>that should have occurred before</w:t>
      </w:r>
      <w:r>
        <w:t xml:space="preserve"> </w:t>
      </w:r>
      <w:r w:rsidR="000A3501">
        <w:t xml:space="preserve">this </w:t>
      </w:r>
      <w:r>
        <w:t xml:space="preserve">order </w:t>
      </w:r>
      <w:r w:rsidR="000A3501">
        <w:t xml:space="preserve">was </w:t>
      </w:r>
      <w:r>
        <w:t>made.</w:t>
      </w:r>
      <w:r w:rsidR="006F39B8">
        <w:t xml:space="preserve"> </w:t>
      </w:r>
      <w:r w:rsidR="008D4B92">
        <w:t xml:space="preserve"> </w:t>
      </w:r>
      <w:r w:rsidR="006F39B8">
        <w:t xml:space="preserve">At the very latest, any dispute as to the legitimacy of the claim for privilege should have been canvassed </w:t>
      </w:r>
      <w:r w:rsidR="000A3501">
        <w:t xml:space="preserve">at the hearing </w:t>
      </w:r>
      <w:r w:rsidR="00D77964">
        <w:t xml:space="preserve">before the </w:t>
      </w:r>
      <w:r w:rsidR="00475E8E">
        <w:t xml:space="preserve">primary </w:t>
      </w:r>
      <w:r w:rsidR="00976AFD">
        <w:t>Judge</w:t>
      </w:r>
      <w:r w:rsidR="006F39B8">
        <w:t>.</w:t>
      </w:r>
    </w:p>
    <w:p w:rsidR="00C36B72" w:rsidRDefault="00C36B72" w:rsidP="00C36B72">
      <w:pPr>
        <w:pStyle w:val="ParaNumbering"/>
      </w:pPr>
      <w:r>
        <w:t xml:space="preserve">It matters not, with respect, </w:t>
      </w:r>
      <w:r w:rsidRPr="000A3501">
        <w:t xml:space="preserve">that the reason for the claimed deletions was founded upon legal professional privilege. </w:t>
      </w:r>
      <w:r w:rsidR="008D4B92" w:rsidRPr="000A3501">
        <w:t xml:space="preserve"> </w:t>
      </w:r>
      <w:r w:rsidR="000A3501" w:rsidRPr="000A3501">
        <w:t>Nor would it matter</w:t>
      </w:r>
      <w:r w:rsidRPr="000A3501">
        <w:t xml:space="preserve"> whether deletions to the </w:t>
      </w:r>
      <w:r w:rsidRPr="00767E7A">
        <w:t>departmental brief</w:t>
      </w:r>
      <w:r w:rsidR="000A3501" w:rsidRPr="000A3501">
        <w:t xml:space="preserve"> </w:t>
      </w:r>
      <w:r w:rsidRPr="000A3501">
        <w:t>were made to protect some claim for confidentiality or for some other reason.</w:t>
      </w:r>
      <w:r>
        <w:t xml:space="preserve"> </w:t>
      </w:r>
    </w:p>
    <w:p w:rsidR="00DC428E" w:rsidRDefault="00D77964" w:rsidP="00C36B72">
      <w:pPr>
        <w:pStyle w:val="ParaNumbering"/>
      </w:pPr>
      <w:r>
        <w:t xml:space="preserve">It is </w:t>
      </w:r>
      <w:r w:rsidR="00AC5C1D">
        <w:t xml:space="preserve">generally </w:t>
      </w:r>
      <w:r>
        <w:t xml:space="preserve">not open on appeal to seek to challenge the evidential basis upon which a hearing has been conducted where the relevant evidence has been admitted by consent. </w:t>
      </w:r>
    </w:p>
    <w:p w:rsidR="00D8609F" w:rsidRPr="008D4B92" w:rsidRDefault="00D8609F" w:rsidP="008D4B92">
      <w:pPr>
        <w:pStyle w:val="Heading3"/>
        <w:rPr>
          <w:b w:val="0"/>
        </w:rPr>
      </w:pPr>
      <w:r w:rsidRPr="008D4B92">
        <w:rPr>
          <w:b w:val="0"/>
        </w:rPr>
        <w:t>The absence of any procedural unfairness</w:t>
      </w:r>
    </w:p>
    <w:p w:rsidR="00D8609F" w:rsidRDefault="00256FA5" w:rsidP="00C36B72">
      <w:pPr>
        <w:pStyle w:val="ParaNumbering"/>
      </w:pPr>
      <w:r>
        <w:t>In any event, there has been no</w:t>
      </w:r>
      <w:r w:rsidR="007263CC">
        <w:t xml:space="preserve"> </w:t>
      </w:r>
      <w:r w:rsidR="00DC428E">
        <w:t xml:space="preserve">procedural unfairness to Mr </w:t>
      </w:r>
      <w:proofErr w:type="spellStart"/>
      <w:r w:rsidR="00DC428E">
        <w:t>Francuziak</w:t>
      </w:r>
      <w:proofErr w:type="spellEnd"/>
      <w:r w:rsidR="007263CC">
        <w:t xml:space="preserve"> for either of two reasons</w:t>
      </w:r>
      <w:r w:rsidR="00DC428E">
        <w:t xml:space="preserve">. </w:t>
      </w:r>
    </w:p>
    <w:p w:rsidR="00D8609F" w:rsidRDefault="007263CC" w:rsidP="00C36B72">
      <w:pPr>
        <w:pStyle w:val="ParaNumbering"/>
      </w:pPr>
      <w:r>
        <w:lastRenderedPageBreak/>
        <w:t>First, t</w:t>
      </w:r>
      <w:r w:rsidR="00DC428E">
        <w:t xml:space="preserve">he rules of procedural fairness are directed </w:t>
      </w:r>
      <w:r w:rsidR="00475E8E">
        <w:t>to</w:t>
      </w:r>
      <w:r w:rsidR="00CF5E05">
        <w:t xml:space="preserve"> </w:t>
      </w:r>
      <w:r w:rsidR="00DC428E">
        <w:t>ensuring that a party is given a</w:t>
      </w:r>
      <w:r w:rsidR="00256FA5">
        <w:t xml:space="preserve"> reasonable</w:t>
      </w:r>
      <w:r w:rsidR="00DC428E">
        <w:t xml:space="preserve"> opportunity to be heard; the rules do not set out to achieve the impossible objective of ensuring that a party who is </w:t>
      </w:r>
      <w:r w:rsidR="00256FA5">
        <w:t>legally represented</w:t>
      </w:r>
      <w:r w:rsidR="00DC428E">
        <w:t xml:space="preserve"> takes the best advantage of that opportunity</w:t>
      </w:r>
      <w:r w:rsidR="00256FA5">
        <w:t xml:space="preserve">.  </w:t>
      </w:r>
      <w:r w:rsidR="00DC428E">
        <w:t xml:space="preserve">The rules of natural justice or procedural fairness are directed </w:t>
      </w:r>
      <w:r w:rsidR="00475E8E">
        <w:t>to</w:t>
      </w:r>
      <w:r w:rsidR="00DC428E">
        <w:t xml:space="preserve"> ensuring</w:t>
      </w:r>
      <w:r w:rsidR="00BC523E">
        <w:t xml:space="preserve"> (</w:t>
      </w:r>
      <w:r w:rsidR="00DC428E">
        <w:t>as the</w:t>
      </w:r>
      <w:r w:rsidR="00BC523E">
        <w:t xml:space="preserve"> expression</w:t>
      </w:r>
      <w:r w:rsidR="00DC428E">
        <w:t xml:space="preserve"> itself conveys</w:t>
      </w:r>
      <w:r w:rsidR="00BC523E">
        <w:t xml:space="preserve">) </w:t>
      </w:r>
      <w:r w:rsidR="007652D1">
        <w:t xml:space="preserve">fairness, not </w:t>
      </w:r>
      <w:r w:rsidR="00D8609F">
        <w:t>procedural perfection.</w:t>
      </w:r>
    </w:p>
    <w:p w:rsidR="00DC428E" w:rsidRDefault="007263CC" w:rsidP="00C36B72">
      <w:pPr>
        <w:pStyle w:val="ParaNumbering"/>
      </w:pPr>
      <w:r>
        <w:t xml:space="preserve">Second, </w:t>
      </w:r>
      <w:r w:rsidR="00BC523E">
        <w:t>in the particular circumstances of this case, there was no unfairness in the procedure that was adopted</w:t>
      </w:r>
      <w:r w:rsidR="00DC428E">
        <w:t xml:space="preserve">. </w:t>
      </w:r>
    </w:p>
    <w:p w:rsidR="00CB1C24" w:rsidRDefault="00CB1C24" w:rsidP="00CB1C24">
      <w:pPr>
        <w:pStyle w:val="ParaNumbering"/>
      </w:pPr>
      <w:r>
        <w:t xml:space="preserve">Before the </w:t>
      </w:r>
      <w:r w:rsidR="00475E8E">
        <w:t xml:space="preserve">primary </w:t>
      </w:r>
      <w:r w:rsidR="00976AFD">
        <w:t>Judge</w:t>
      </w:r>
      <w:r>
        <w:t>, the argument was not so much directed to whether the Minister had been correctly advised as to what was required by the “</w:t>
      </w:r>
      <w:r w:rsidRPr="00767E7A">
        <w:t>real chance</w:t>
      </w:r>
      <w:r w:rsidRPr="00A17A6B">
        <w:t>” test as opposed to a “</w:t>
      </w:r>
      <w:r w:rsidRPr="00767E7A">
        <w:t>more likely than not</w:t>
      </w:r>
      <w:r w:rsidRPr="00A17A6B">
        <w:t>” test; the argument was more d</w:t>
      </w:r>
      <w:r>
        <w:t xml:space="preserve">irected to the question </w:t>
      </w:r>
      <w:r w:rsidR="00A17A6B">
        <w:t>of</w:t>
      </w:r>
      <w:r>
        <w:t xml:space="preserve"> whether the prospect of ill-treatment in prisons need be the product of “</w:t>
      </w:r>
      <w:r w:rsidRPr="00767E7A">
        <w:t>deliberate Polish government policy designed to punish and harm inmates</w:t>
      </w:r>
      <w:r w:rsidRPr="00A17A6B">
        <w:t>”.  Indeed, the reasons for</w:t>
      </w:r>
      <w:r w:rsidR="007652D1">
        <w:t xml:space="preserve"> decision of the primary </w:t>
      </w:r>
      <w:r w:rsidR="00976AFD">
        <w:t>Judge</w:t>
      </w:r>
      <w:r>
        <w:t xml:space="preserve"> recited </w:t>
      </w:r>
      <w:r w:rsidR="007652D1">
        <w:t xml:space="preserve">at [28] </w:t>
      </w:r>
      <w:r>
        <w:t>(and there was no challenge to this part of his Honour’s reasons) that Mr</w:t>
      </w:r>
      <w:r w:rsidR="00DD515D">
        <w:t> </w:t>
      </w:r>
      <w:proofErr w:type="spellStart"/>
      <w:r w:rsidRPr="00A17A6B">
        <w:t>Francuziak</w:t>
      </w:r>
      <w:proofErr w:type="spellEnd"/>
      <w:r w:rsidRPr="00A17A6B">
        <w:t xml:space="preserve"> “</w:t>
      </w:r>
      <w:r w:rsidRPr="00767E7A">
        <w:t>accepts that the Departmental Advice correctly articulated the ‘real chance’ test…</w:t>
      </w:r>
      <w:r w:rsidR="00475E8E">
        <w:t>”.</w:t>
      </w:r>
      <w:r w:rsidRPr="00A17A6B">
        <w:t xml:space="preserve"> </w:t>
      </w:r>
      <w:r w:rsidR="00DD515D" w:rsidRPr="00A17A6B">
        <w:t xml:space="preserve"> </w:t>
      </w:r>
      <w:r w:rsidR="007263CC" w:rsidRPr="00A17A6B">
        <w:t xml:space="preserve">To the extent that </w:t>
      </w:r>
      <w:r w:rsidRPr="00A17A6B">
        <w:t>th</w:t>
      </w:r>
      <w:r w:rsidR="00A17A6B">
        <w:t>at</w:t>
      </w:r>
      <w:r w:rsidRPr="00A17A6B">
        <w:t xml:space="preserve"> argument </w:t>
      </w:r>
      <w:r w:rsidR="00A17A6B">
        <w:t>is now</w:t>
      </w:r>
      <w:r w:rsidRPr="00A17A6B">
        <w:t xml:space="preserve"> recast </w:t>
      </w:r>
      <w:r w:rsidR="007263CC" w:rsidRPr="00A17A6B">
        <w:t xml:space="preserve">so as </w:t>
      </w:r>
      <w:r w:rsidRPr="00A17A6B">
        <w:t>to focus attention upon the advice proffered</w:t>
      </w:r>
      <w:r>
        <w:t xml:space="preserve"> to the Minister </w:t>
      </w:r>
      <w:r w:rsidR="00A17A6B">
        <w:t>with</w:t>
      </w:r>
      <w:r>
        <w:t xml:space="preserve"> respect to the “</w:t>
      </w:r>
      <w:r w:rsidRPr="00767E7A">
        <w:t>real chance</w:t>
      </w:r>
      <w:r>
        <w:t>”</w:t>
      </w:r>
      <w:r w:rsidR="007263CC">
        <w:t xml:space="preserve">, the argument must fail. </w:t>
      </w:r>
      <w:r w:rsidR="00DD515D">
        <w:t xml:space="preserve"> </w:t>
      </w:r>
      <w:r>
        <w:t>The prejudice to Mr</w:t>
      </w:r>
      <w:r w:rsidR="00DD515D">
        <w:t> </w:t>
      </w:r>
      <w:proofErr w:type="spellStart"/>
      <w:r>
        <w:t>Francuziak</w:t>
      </w:r>
      <w:proofErr w:type="spellEnd"/>
      <w:r>
        <w:t xml:space="preserve"> in not disclosing </w:t>
      </w:r>
      <w:r w:rsidR="00A17A6B">
        <w:t>the entire departmental brief</w:t>
      </w:r>
      <w:r>
        <w:t xml:space="preserve"> is not self-evident. </w:t>
      </w:r>
      <w:r w:rsidR="00DD515D">
        <w:t xml:space="preserve"> </w:t>
      </w:r>
      <w:r>
        <w:t>As the</w:t>
      </w:r>
      <w:r w:rsidRPr="00767E7A">
        <w:t xml:space="preserve"> brief</w:t>
      </w:r>
      <w:r>
        <w:t xml:space="preserve"> itself advised the Minister, “</w:t>
      </w:r>
      <w:r w:rsidRPr="00767E7A">
        <w:t>it [was] appropriate in this case to apply the ‘real chance’ test, which is the lowest threshold and test most favourable to Mr</w:t>
      </w:r>
      <w:r w:rsidR="00DD515D" w:rsidRPr="00767E7A">
        <w:t> </w:t>
      </w:r>
      <w:proofErr w:type="spellStart"/>
      <w:r w:rsidRPr="00767E7A">
        <w:t>Francuziak</w:t>
      </w:r>
      <w:proofErr w:type="spellEnd"/>
      <w:r w:rsidRPr="00A17A6B">
        <w:t>”</w:t>
      </w:r>
      <w:r w:rsidR="00DD515D" w:rsidRPr="00A17A6B">
        <w:t>.</w:t>
      </w:r>
      <w:r w:rsidR="00A17A6B">
        <w:t xml:space="preserve">  In these circumstances, there is no reason to infer that disclosure of the redacted parts of the brief might show that the Minister applied a different test.</w:t>
      </w:r>
    </w:p>
    <w:p w:rsidR="00CB1C24" w:rsidRPr="00DD515D" w:rsidRDefault="00D8609F" w:rsidP="00DD515D">
      <w:pPr>
        <w:pStyle w:val="Heading3"/>
        <w:rPr>
          <w:b w:val="0"/>
        </w:rPr>
      </w:pPr>
      <w:r w:rsidRPr="00DD515D">
        <w:rPr>
          <w:b w:val="0"/>
        </w:rPr>
        <w:t xml:space="preserve">A duty upon the primary </w:t>
      </w:r>
      <w:r w:rsidR="00216507">
        <w:rPr>
          <w:b w:val="0"/>
        </w:rPr>
        <w:t>Judge</w:t>
      </w:r>
      <w:r w:rsidR="00A17A6B">
        <w:rPr>
          <w:b w:val="0"/>
        </w:rPr>
        <w:t>?</w:t>
      </w:r>
      <w:r w:rsidRPr="00DD515D">
        <w:rPr>
          <w:b w:val="0"/>
        </w:rPr>
        <w:t xml:space="preserve"> </w:t>
      </w:r>
      <w:r w:rsidR="00CA6C95" w:rsidRPr="00DD515D">
        <w:rPr>
          <w:b w:val="0"/>
        </w:rPr>
        <w:t>– a truly worrying pro</w:t>
      </w:r>
      <w:r w:rsidR="00DD515D">
        <w:rPr>
          <w:b w:val="0"/>
        </w:rPr>
        <w:t>spect</w:t>
      </w:r>
    </w:p>
    <w:p w:rsidR="00CA6C95" w:rsidRDefault="00D77964" w:rsidP="00C36B72">
      <w:pPr>
        <w:pStyle w:val="ParaNumbering"/>
      </w:pPr>
      <w:r>
        <w:t xml:space="preserve">The </w:t>
      </w:r>
      <w:r w:rsidR="007263CC">
        <w:t>last of the argument</w:t>
      </w:r>
      <w:r w:rsidR="00A17A6B">
        <w:t>s</w:t>
      </w:r>
      <w:r w:rsidR="007263CC">
        <w:t xml:space="preserve"> advanced on appeal </w:t>
      </w:r>
      <w:r w:rsidR="00A17A6B">
        <w:t>on behalf of</w:t>
      </w:r>
      <w:r w:rsidR="007263CC">
        <w:t xml:space="preserve"> Mr </w:t>
      </w:r>
      <w:proofErr w:type="spellStart"/>
      <w:r w:rsidR="007263CC">
        <w:t>Francuziak</w:t>
      </w:r>
      <w:proofErr w:type="spellEnd"/>
      <w:r w:rsidR="007263CC">
        <w:t xml:space="preserve"> is truly worrying</w:t>
      </w:r>
      <w:r w:rsidR="00CA6C95">
        <w:t xml:space="preserve">. </w:t>
      </w:r>
    </w:p>
    <w:p w:rsidR="00D77964" w:rsidRDefault="00CA6C95" w:rsidP="00C36B72">
      <w:pPr>
        <w:pStyle w:val="ParaNumbering"/>
      </w:pPr>
      <w:r>
        <w:t xml:space="preserve">The argument was expressed in a number of different ways. </w:t>
      </w:r>
      <w:r w:rsidR="00DD515D">
        <w:t xml:space="preserve"> </w:t>
      </w:r>
      <w:r>
        <w:t xml:space="preserve">At its most general, it was argued that there is a </w:t>
      </w:r>
      <w:r w:rsidRPr="007652D1">
        <w:t>duty upon</w:t>
      </w:r>
      <w:r>
        <w:t xml:space="preserve"> a </w:t>
      </w:r>
      <w:r w:rsidR="00976AFD">
        <w:t>Judge</w:t>
      </w:r>
      <w:r w:rsidRPr="00A17A6B">
        <w:t xml:space="preserve"> – at least in </w:t>
      </w:r>
      <w:r w:rsidRPr="00767E7A">
        <w:t>public law</w:t>
      </w:r>
      <w:r w:rsidRPr="00A17A6B">
        <w:t xml:space="preserve"> cases – to ensure procedural fairness; at its most specific, it was argued </w:t>
      </w:r>
      <w:r w:rsidR="00D8609F" w:rsidRPr="00A17A6B">
        <w:t xml:space="preserve">that there </w:t>
      </w:r>
      <w:r w:rsidR="00216507">
        <w:t>is</w:t>
      </w:r>
      <w:r w:rsidR="00D8609F" w:rsidRPr="00A17A6B">
        <w:t xml:space="preserve"> a </w:t>
      </w:r>
      <w:r w:rsidR="00D8609F" w:rsidRPr="00767E7A">
        <w:t>duty</w:t>
      </w:r>
      <w:r w:rsidR="00D8609F" w:rsidRPr="00A17A6B">
        <w:t xml:space="preserve"> </w:t>
      </w:r>
      <w:r w:rsidRPr="00A17A6B">
        <w:t xml:space="preserve">upon a </w:t>
      </w:r>
      <w:r w:rsidR="00976AFD">
        <w:t>Judge</w:t>
      </w:r>
      <w:r w:rsidRPr="00A17A6B">
        <w:t xml:space="preserve"> </w:t>
      </w:r>
      <w:r w:rsidR="00D8609F" w:rsidRPr="00A17A6B">
        <w:t xml:space="preserve">to require the production of the </w:t>
      </w:r>
      <w:r w:rsidR="009F747C">
        <w:t>entire</w:t>
      </w:r>
      <w:r w:rsidR="00D8609F" w:rsidRPr="00A17A6B">
        <w:t xml:space="preserve"> </w:t>
      </w:r>
      <w:r w:rsidR="00D8609F" w:rsidRPr="00767E7A">
        <w:t>departmental brief</w:t>
      </w:r>
      <w:r w:rsidR="00D8609F" w:rsidRPr="00A17A6B">
        <w:t xml:space="preserve"> or at least </w:t>
      </w:r>
      <w:r w:rsidR="00AC5C1D">
        <w:t>for the Court to satisfy itself</w:t>
      </w:r>
      <w:r w:rsidR="00D8609F" w:rsidRPr="00A17A6B">
        <w:t xml:space="preserve"> that the claim for privilege </w:t>
      </w:r>
      <w:r w:rsidR="00216507">
        <w:t>is</w:t>
      </w:r>
      <w:r w:rsidR="00D8609F" w:rsidRPr="00A17A6B">
        <w:t xml:space="preserve"> properly founded</w:t>
      </w:r>
      <w:r w:rsidR="007263CC" w:rsidRPr="00A17A6B">
        <w:t xml:space="preserve">. </w:t>
      </w:r>
      <w:r w:rsidR="00D77964" w:rsidRPr="00A17A6B">
        <w:t xml:space="preserve"> </w:t>
      </w:r>
      <w:r w:rsidR="001B6F31" w:rsidRPr="00A17A6B">
        <w:t xml:space="preserve">The argument as it progressed shifted the primary focus of attention from </w:t>
      </w:r>
      <w:r w:rsidR="00A17A6B" w:rsidRPr="00A17A6B">
        <w:t xml:space="preserve">an alleged </w:t>
      </w:r>
      <w:r w:rsidR="001B6F31" w:rsidRPr="00A17A6B">
        <w:t xml:space="preserve">breach by the Minister of the Model Litigant Guidelines to the existence of a </w:t>
      </w:r>
      <w:r w:rsidR="001B6F31" w:rsidRPr="00767E7A">
        <w:t>duty</w:t>
      </w:r>
      <w:r w:rsidR="001B6F31" w:rsidRPr="00A17A6B">
        <w:t xml:space="preserve"> upon the Court.</w:t>
      </w:r>
      <w:r w:rsidR="001B6F31">
        <w:t xml:space="preserve"> </w:t>
      </w:r>
    </w:p>
    <w:p w:rsidR="00E143EA" w:rsidRDefault="00D77964" w:rsidP="00C36B72">
      <w:pPr>
        <w:pStyle w:val="ParaNumbering"/>
      </w:pPr>
      <w:r>
        <w:lastRenderedPageBreak/>
        <w:t xml:space="preserve">If accepted, </w:t>
      </w:r>
      <w:r w:rsidR="00CA6C95">
        <w:t xml:space="preserve">the argument </w:t>
      </w:r>
      <w:r>
        <w:t xml:space="preserve">has the </w:t>
      </w:r>
      <w:r w:rsidRPr="00A17A6B">
        <w:t xml:space="preserve">potential to impose upon a Judge a </w:t>
      </w:r>
      <w:r w:rsidRPr="00767E7A">
        <w:t>duty</w:t>
      </w:r>
      <w:r w:rsidR="00A17A6B" w:rsidRPr="00A17A6B">
        <w:t xml:space="preserve"> </w:t>
      </w:r>
      <w:r w:rsidRPr="00A17A6B">
        <w:t xml:space="preserve">of unspecified </w:t>
      </w:r>
      <w:r w:rsidR="007652D1">
        <w:t>(</w:t>
      </w:r>
      <w:r w:rsidR="00CA6C95" w:rsidRPr="00A17A6B">
        <w:t>or at least</w:t>
      </w:r>
      <w:r w:rsidR="007652D1">
        <w:t xml:space="preserve"> variable)</w:t>
      </w:r>
      <w:r w:rsidR="00CA6C95" w:rsidRPr="00A17A6B">
        <w:t xml:space="preserve"> content</w:t>
      </w:r>
      <w:r w:rsidRPr="00A17A6B">
        <w:t>.</w:t>
      </w:r>
      <w:r w:rsidR="00DD515D" w:rsidRPr="00A17A6B">
        <w:t xml:space="preserve"> </w:t>
      </w:r>
      <w:r w:rsidRPr="00A17A6B">
        <w:t xml:space="preserve"> </w:t>
      </w:r>
      <w:r w:rsidR="006F0208">
        <w:t>If it were right</w:t>
      </w:r>
      <w:r w:rsidR="007652D1">
        <w:t>,</w:t>
      </w:r>
      <w:r w:rsidR="006F0208">
        <w:t xml:space="preserve"> it would have</w:t>
      </w:r>
      <w:r w:rsidRPr="00A17A6B">
        <w:t xml:space="preserve"> the potential to </w:t>
      </w:r>
      <w:r w:rsidRPr="00767E7A">
        <w:t>turn on its head</w:t>
      </w:r>
      <w:r w:rsidRPr="00A17A6B">
        <w:t xml:space="preserve"> the traditional manner in which cases are </w:t>
      </w:r>
      <w:r w:rsidR="00A17A6B">
        <w:t>conducted</w:t>
      </w:r>
      <w:r w:rsidR="006F0208">
        <w:t xml:space="preserve"> in this country</w:t>
      </w:r>
      <w:r w:rsidRPr="00A17A6B">
        <w:t xml:space="preserve">, </w:t>
      </w:r>
      <w:r w:rsidR="00A17A6B">
        <w:t xml:space="preserve">where it is for </w:t>
      </w:r>
      <w:r>
        <w:t xml:space="preserve">the parties to identify </w:t>
      </w:r>
      <w:r w:rsidR="00E143EA">
        <w:t xml:space="preserve">both </w:t>
      </w:r>
      <w:r>
        <w:t xml:space="preserve">the evidential basis upon </w:t>
      </w:r>
      <w:r w:rsidR="00A17A6B">
        <w:t xml:space="preserve">which </w:t>
      </w:r>
      <w:r w:rsidR="00E143EA">
        <w:t>a case is to be resolved and the relevant legal issues</w:t>
      </w:r>
      <w:r w:rsidR="00CA6C95">
        <w:t xml:space="preserve">. </w:t>
      </w:r>
      <w:r w:rsidR="00DD515D">
        <w:t xml:space="preserve"> </w:t>
      </w:r>
      <w:r w:rsidR="00CA6C95">
        <w:t xml:space="preserve">Indeed, for the Court to depart from the manner in which a case has been advanced for resolution may itself involve a denial of procedural fairness to all parties. </w:t>
      </w:r>
    </w:p>
    <w:p w:rsidR="00547962" w:rsidRDefault="00547962" w:rsidP="00547962">
      <w:pPr>
        <w:pStyle w:val="ParaNumbering"/>
      </w:pPr>
      <w:r>
        <w:t xml:space="preserve">Although it has been recognised </w:t>
      </w:r>
      <w:r w:rsidR="006F0208">
        <w:t xml:space="preserve">that in some cases </w:t>
      </w:r>
      <w:r>
        <w:t xml:space="preserve">(particularly </w:t>
      </w:r>
      <w:r w:rsidR="006F0208">
        <w:t>where there are</w:t>
      </w:r>
      <w:r>
        <w:t xml:space="preserve"> unrepresented </w:t>
      </w:r>
      <w:r w:rsidR="006F0208">
        <w:t>litigants</w:t>
      </w:r>
      <w:r>
        <w:t>) that the Court should “</w:t>
      </w:r>
      <w:r w:rsidRPr="00767E7A">
        <w:t>assume the burden of endeavouring to ascertain the rights of parties</w:t>
      </w:r>
      <w:r>
        <w:t xml:space="preserve">” (e.g., </w:t>
      </w:r>
      <w:r w:rsidRPr="00547962">
        <w:rPr>
          <w:i/>
        </w:rPr>
        <w:t>Neil v Nott</w:t>
      </w:r>
      <w:r>
        <w:t xml:space="preserve"> (1994) 68 ALJR 509 at 510 per Brennan, Deane, </w:t>
      </w:r>
      <w:proofErr w:type="spellStart"/>
      <w:r>
        <w:t>Toohey</w:t>
      </w:r>
      <w:proofErr w:type="spellEnd"/>
      <w:r>
        <w:t xml:space="preserve">, </w:t>
      </w:r>
      <w:proofErr w:type="spellStart"/>
      <w:r>
        <w:t>Gaudron</w:t>
      </w:r>
      <w:proofErr w:type="spellEnd"/>
      <w:r>
        <w:t xml:space="preserve"> and McHugh</w:t>
      </w:r>
      <w:r w:rsidR="00DD515D">
        <w:t> </w:t>
      </w:r>
      <w:proofErr w:type="spellStart"/>
      <w:r>
        <w:t>JJ</w:t>
      </w:r>
      <w:proofErr w:type="spellEnd"/>
      <w:r>
        <w:t xml:space="preserve">) </w:t>
      </w:r>
      <w:r w:rsidR="006F0208">
        <w:t xml:space="preserve">and although a </w:t>
      </w:r>
      <w:r w:rsidR="00216507">
        <w:t>Judge</w:t>
      </w:r>
      <w:r w:rsidR="006F0208">
        <w:t xml:space="preserve"> has</w:t>
      </w:r>
      <w:r w:rsidR="001B6F31">
        <w:t xml:space="preserve"> </w:t>
      </w:r>
      <w:r>
        <w:t>“</w:t>
      </w:r>
      <w:r w:rsidRPr="00767E7A">
        <w:t>an overriding duty to ensure that a trial is fair</w:t>
      </w:r>
      <w:r>
        <w:t>” (</w:t>
      </w:r>
      <w:proofErr w:type="spellStart"/>
      <w:r w:rsidRPr="00547962">
        <w:rPr>
          <w:i/>
        </w:rPr>
        <w:t>Hamod</w:t>
      </w:r>
      <w:proofErr w:type="spellEnd"/>
      <w:r w:rsidRPr="00547962">
        <w:rPr>
          <w:i/>
        </w:rPr>
        <w:t xml:space="preserve"> v New South Wales</w:t>
      </w:r>
      <w:r>
        <w:t xml:space="preserve"> [2011] NSWCA 375 at [309] per Beazley, Giles and </w:t>
      </w:r>
      <w:proofErr w:type="spellStart"/>
      <w:r>
        <w:t>Whealy</w:t>
      </w:r>
      <w:proofErr w:type="spellEnd"/>
      <w:r>
        <w:t xml:space="preserve"> </w:t>
      </w:r>
      <w:proofErr w:type="spellStart"/>
      <w:r>
        <w:t>JJ</w:t>
      </w:r>
      <w:r w:rsidR="00976AFD">
        <w:t>A</w:t>
      </w:r>
      <w:proofErr w:type="spellEnd"/>
      <w:r>
        <w:t xml:space="preserve">), the only authority relied upon by </w:t>
      </w:r>
      <w:r w:rsidR="004F282D">
        <w:t>D</w:t>
      </w:r>
      <w:r w:rsidR="006F0208">
        <w:t xml:space="preserve">r Cameron </w:t>
      </w:r>
      <w:r>
        <w:t xml:space="preserve">in support of his alleged </w:t>
      </w:r>
      <w:r w:rsidRPr="007652D1">
        <w:t xml:space="preserve">duty </w:t>
      </w:r>
      <w:r>
        <w:t xml:space="preserve">were the following observations of Kirby P (as his Honour then was) in </w:t>
      </w:r>
      <w:r w:rsidRPr="00547962">
        <w:rPr>
          <w:i/>
        </w:rPr>
        <w:t xml:space="preserve">Escobar v </w:t>
      </w:r>
      <w:proofErr w:type="spellStart"/>
      <w:r w:rsidRPr="00547962">
        <w:rPr>
          <w:i/>
        </w:rPr>
        <w:t>Spindaleri</w:t>
      </w:r>
      <w:proofErr w:type="spellEnd"/>
      <w:r w:rsidR="00DD515D">
        <w:t xml:space="preserve"> </w:t>
      </w:r>
      <w:r>
        <w:t>(1986) 7 NSWLR 51 at 57:</w:t>
      </w:r>
    </w:p>
    <w:p w:rsidR="005453E6" w:rsidRPr="00865323" w:rsidRDefault="005453E6" w:rsidP="005453E6">
      <w:pPr>
        <w:pStyle w:val="Quote1"/>
        <w:ind w:right="805"/>
      </w:pPr>
      <w:r w:rsidRPr="00865323">
        <w:t>… It is not only the appellant who has an interest in securing justice in the court. There is a public interest in the manifest performance of the court's function in a proper and regular fashion</w:t>
      </w:r>
      <w:r w:rsidR="00976AFD" w:rsidRPr="00865323">
        <w:t xml:space="preserve"> </w:t>
      </w:r>
      <w:r w:rsidRPr="00865323">
        <w:t>…</w:t>
      </w:r>
    </w:p>
    <w:p w:rsidR="005453E6" w:rsidRPr="005453E6" w:rsidRDefault="005453E6" w:rsidP="005453E6">
      <w:pPr>
        <w:pStyle w:val="Quote1"/>
        <w:rPr>
          <w:sz w:val="20"/>
        </w:rPr>
      </w:pPr>
    </w:p>
    <w:p w:rsidR="00547962" w:rsidRDefault="00DF4C82" w:rsidP="005453E6">
      <w:pPr>
        <w:pStyle w:val="NoNum"/>
      </w:pPr>
      <w:r>
        <w:t>These</w:t>
      </w:r>
      <w:r w:rsidR="00547962">
        <w:t xml:space="preserve"> comments </w:t>
      </w:r>
      <w:r>
        <w:t xml:space="preserve">were made in </w:t>
      </w:r>
      <w:r w:rsidR="009F747C">
        <w:t>a</w:t>
      </w:r>
      <w:r>
        <w:t xml:space="preserve"> different context and </w:t>
      </w:r>
      <w:r w:rsidR="00547962">
        <w:t xml:space="preserve">fall well short of providing any support for the </w:t>
      </w:r>
      <w:r>
        <w:t xml:space="preserve">existence of </w:t>
      </w:r>
      <w:r w:rsidRPr="00DF4C82">
        <w:t xml:space="preserve">a </w:t>
      </w:r>
      <w:r w:rsidR="00547962" w:rsidRPr="00767E7A">
        <w:t>duty</w:t>
      </w:r>
      <w:r>
        <w:t xml:space="preserve"> </w:t>
      </w:r>
      <w:r w:rsidR="00547962">
        <w:t>as variously formulated on behalf of Mr</w:t>
      </w:r>
      <w:r w:rsidR="005453E6">
        <w:t> </w:t>
      </w:r>
      <w:proofErr w:type="spellStart"/>
      <w:r w:rsidR="00547962">
        <w:t>Francuziak</w:t>
      </w:r>
      <w:proofErr w:type="spellEnd"/>
      <w:r w:rsidR="00547962">
        <w:t xml:space="preserve">.  </w:t>
      </w:r>
    </w:p>
    <w:p w:rsidR="001B6F31" w:rsidRDefault="001B6F31" w:rsidP="001B6F31">
      <w:pPr>
        <w:pStyle w:val="ParaNumbering"/>
      </w:pPr>
      <w:r>
        <w:t>To unquestioningly embrace the argument now sought to be advanced on behalf of Mr</w:t>
      </w:r>
      <w:r w:rsidR="005453E6">
        <w:t> </w:t>
      </w:r>
      <w:proofErr w:type="spellStart"/>
      <w:r>
        <w:t>Francuziak</w:t>
      </w:r>
      <w:proofErr w:type="spellEnd"/>
      <w:r>
        <w:t xml:space="preserve"> would be a perilous course. </w:t>
      </w:r>
      <w:r w:rsidR="005453E6">
        <w:t xml:space="preserve"> </w:t>
      </w:r>
      <w:r w:rsidR="00DF4C82">
        <w:t>It</w:t>
      </w:r>
      <w:r>
        <w:t xml:space="preserve"> would have the potential to transform </w:t>
      </w:r>
      <w:r w:rsidRPr="00767E7A">
        <w:t>public law</w:t>
      </w:r>
      <w:r w:rsidR="00DF4C82">
        <w:t xml:space="preserve"> litigation into public inquiries</w:t>
      </w:r>
      <w:r>
        <w:t xml:space="preserve">. </w:t>
      </w:r>
    </w:p>
    <w:p w:rsidR="001B6F31" w:rsidRDefault="00CA6C95" w:rsidP="00C36B72">
      <w:pPr>
        <w:pStyle w:val="ParaNumbering"/>
      </w:pPr>
      <w:r>
        <w:t xml:space="preserve">However expressed, </w:t>
      </w:r>
      <w:r w:rsidR="001B6F31">
        <w:t xml:space="preserve">the </w:t>
      </w:r>
      <w:r w:rsidR="00D77964">
        <w:t xml:space="preserve">argument </w:t>
      </w:r>
      <w:r w:rsidR="001B6F31">
        <w:t>should be rejected for either of at least two reasons.</w:t>
      </w:r>
    </w:p>
    <w:p w:rsidR="00DC428E" w:rsidRDefault="001B6F31" w:rsidP="00C36B72">
      <w:pPr>
        <w:pStyle w:val="ParaNumbering"/>
      </w:pPr>
      <w:r>
        <w:t xml:space="preserve">First, it is an argument which again should </w:t>
      </w:r>
      <w:r w:rsidR="00D77964">
        <w:t>have been expressly raised for consideration in the Court below.</w:t>
      </w:r>
      <w:r w:rsidR="005453E6">
        <w:t xml:space="preserve"> </w:t>
      </w:r>
      <w:r w:rsidR="00D77964">
        <w:t xml:space="preserve"> </w:t>
      </w:r>
      <w:r w:rsidR="00DF4C82">
        <w:t xml:space="preserve">If the argument </w:t>
      </w:r>
      <w:r w:rsidR="004C4FAD">
        <w:t>were</w:t>
      </w:r>
      <w:r w:rsidR="00DF4C82">
        <w:t xml:space="preserve"> to be advanced, a submission </w:t>
      </w:r>
      <w:r w:rsidR="007652D1">
        <w:t>should have been made</w:t>
      </w:r>
      <w:r w:rsidR="00DF4C82">
        <w:t xml:space="preserve"> to the primary </w:t>
      </w:r>
      <w:r w:rsidR="00976AFD">
        <w:t>Judge</w:t>
      </w:r>
      <w:r w:rsidR="00DF4C82">
        <w:t xml:space="preserve"> that he had</w:t>
      </w:r>
      <w:r w:rsidR="00DF4C82" w:rsidRPr="000C77C1">
        <w:t xml:space="preserve"> a </w:t>
      </w:r>
      <w:r w:rsidR="00DF4C82" w:rsidRPr="00767E7A">
        <w:t>duty</w:t>
      </w:r>
      <w:r w:rsidR="00DF4C82" w:rsidRPr="000C77C1">
        <w:t xml:space="preserve"> not to proceed upon the basis of the </w:t>
      </w:r>
      <w:r w:rsidR="007652D1">
        <w:t>redacted</w:t>
      </w:r>
      <w:r w:rsidR="00DF4C82" w:rsidRPr="000C77C1">
        <w:t xml:space="preserve"> </w:t>
      </w:r>
      <w:r w:rsidR="00DF4C82" w:rsidRPr="00767E7A">
        <w:t>departmental brief</w:t>
      </w:r>
      <w:r w:rsidR="00DF4C82" w:rsidRPr="000C77C1">
        <w:t xml:space="preserve"> </w:t>
      </w:r>
      <w:r w:rsidR="007652D1">
        <w:t>and</w:t>
      </w:r>
      <w:r w:rsidR="00216507">
        <w:t xml:space="preserve"> had</w:t>
      </w:r>
      <w:r w:rsidR="00DF4C82" w:rsidRPr="000C77C1">
        <w:t xml:space="preserve"> an </w:t>
      </w:r>
      <w:r w:rsidR="007652D1">
        <w:t xml:space="preserve">independent </w:t>
      </w:r>
      <w:r w:rsidR="00DF4C82" w:rsidRPr="007652D1">
        <w:t>duty</w:t>
      </w:r>
      <w:r w:rsidR="00DF4C82">
        <w:t xml:space="preserve"> </w:t>
      </w:r>
      <w:r w:rsidR="007652D1">
        <w:t xml:space="preserve">— </w:t>
      </w:r>
      <w:r w:rsidR="00DF4C82">
        <w:t xml:space="preserve">even in the face of </w:t>
      </w:r>
      <w:r w:rsidR="004C4FAD">
        <w:t xml:space="preserve">agreement by </w:t>
      </w:r>
      <w:r w:rsidR="007652D1">
        <w:t>Mr </w:t>
      </w:r>
      <w:proofErr w:type="spellStart"/>
      <w:r w:rsidR="00DF4C82">
        <w:t>Francuziak’s</w:t>
      </w:r>
      <w:proofErr w:type="spellEnd"/>
      <w:r w:rsidR="00DF4C82">
        <w:t xml:space="preserve"> </w:t>
      </w:r>
      <w:r w:rsidR="00976AFD">
        <w:t>Counsel</w:t>
      </w:r>
      <w:r w:rsidR="00DF4C82">
        <w:t xml:space="preserve"> to the course being followed </w:t>
      </w:r>
      <w:r w:rsidR="007652D1">
        <w:t>—</w:t>
      </w:r>
      <w:r w:rsidR="00DF4C82">
        <w:t xml:space="preserve"> to himself insist upon the production of the </w:t>
      </w:r>
      <w:r w:rsidR="00976AFD">
        <w:t>departmental</w:t>
      </w:r>
      <w:r w:rsidR="00DF4C82" w:rsidRPr="00767E7A">
        <w:t xml:space="preserve"> </w:t>
      </w:r>
      <w:r w:rsidR="000C77C1">
        <w:t>b</w:t>
      </w:r>
      <w:r w:rsidR="00DF4C82" w:rsidRPr="00767E7A">
        <w:t>rief</w:t>
      </w:r>
      <w:r w:rsidR="00DF4C82" w:rsidRPr="005D71CD">
        <w:rPr>
          <w:i/>
        </w:rPr>
        <w:t xml:space="preserve"> </w:t>
      </w:r>
      <w:r w:rsidR="00DF4C82">
        <w:t xml:space="preserve">in its entirety.  </w:t>
      </w:r>
      <w:r w:rsidR="004C4FAD">
        <w:t>On</w:t>
      </w:r>
      <w:r w:rsidR="00E143EA">
        <w:t xml:space="preserve"> such an important matter of principle, an appellate </w:t>
      </w:r>
      <w:r w:rsidR="00976AFD">
        <w:t>Court</w:t>
      </w:r>
      <w:r w:rsidR="000C77C1">
        <w:t xml:space="preserve"> </w:t>
      </w:r>
      <w:r w:rsidR="00E143EA">
        <w:t xml:space="preserve">should not be denied the benefit of the reasoning of </w:t>
      </w:r>
      <w:r w:rsidR="004C4FAD">
        <w:t xml:space="preserve">the primary </w:t>
      </w:r>
      <w:r w:rsidR="00976AFD">
        <w:t>Judge</w:t>
      </w:r>
      <w:r w:rsidR="004C4FAD">
        <w:t>.</w:t>
      </w:r>
    </w:p>
    <w:p w:rsidR="005D71CD" w:rsidRDefault="005D71CD" w:rsidP="00C36B72">
      <w:pPr>
        <w:pStyle w:val="ParaNumbering"/>
      </w:pPr>
      <w:r>
        <w:lastRenderedPageBreak/>
        <w:t xml:space="preserve">It </w:t>
      </w:r>
      <w:r w:rsidR="004C4FAD">
        <w:t>ill befits</w:t>
      </w:r>
      <w:r>
        <w:t xml:space="preserve"> an appellant to seek to argue that a hearing has miscarried by reason of a fa</w:t>
      </w:r>
      <w:r w:rsidR="004C4FAD">
        <w:t xml:space="preserve">ilure on the part of a primary </w:t>
      </w:r>
      <w:r w:rsidR="00976AFD">
        <w:t>Judge</w:t>
      </w:r>
      <w:r>
        <w:t xml:space="preserve"> to </w:t>
      </w:r>
      <w:r w:rsidRPr="00DF4C82">
        <w:t xml:space="preserve">discharge a </w:t>
      </w:r>
      <w:r w:rsidRPr="00767E7A">
        <w:t>duty</w:t>
      </w:r>
      <w:r w:rsidR="00DF4C82" w:rsidRPr="00DF4C82">
        <w:t xml:space="preserve"> </w:t>
      </w:r>
      <w:r w:rsidRPr="00DF4C82">
        <w:t xml:space="preserve">imposed </w:t>
      </w:r>
      <w:r w:rsidR="00DF4C82" w:rsidRPr="00DF4C82">
        <w:t xml:space="preserve">on </w:t>
      </w:r>
      <w:r w:rsidRPr="00DF4C82">
        <w:t xml:space="preserve">the Court </w:t>
      </w:r>
      <w:r w:rsidR="00634CD7" w:rsidRPr="00DF4C82">
        <w:t xml:space="preserve">where </w:t>
      </w:r>
      <w:r w:rsidR="00216507">
        <w:t>the appellant</w:t>
      </w:r>
      <w:r w:rsidR="00634CD7" w:rsidRPr="00DF4C82">
        <w:t xml:space="preserve"> </w:t>
      </w:r>
      <w:r w:rsidRPr="00DF4C82">
        <w:t>remain</w:t>
      </w:r>
      <w:r w:rsidR="00634CD7" w:rsidRPr="00DF4C82">
        <w:t>s</w:t>
      </w:r>
      <w:r w:rsidRPr="00DF4C82">
        <w:t xml:space="preserve"> silent during the course of the hearing; await</w:t>
      </w:r>
      <w:r w:rsidR="00634CD7" w:rsidRPr="00DF4C82">
        <w:t>s</w:t>
      </w:r>
      <w:r w:rsidRPr="00DF4C82">
        <w:t xml:space="preserve"> the decision of the </w:t>
      </w:r>
      <w:r w:rsidR="001B6F31" w:rsidRPr="00DF4C82">
        <w:t>Court</w:t>
      </w:r>
      <w:r w:rsidR="004C4FAD">
        <w:t>; and (being dissatisfied</w:t>
      </w:r>
      <w:r w:rsidRPr="00DF4C82">
        <w:t xml:space="preserve"> with the result</w:t>
      </w:r>
      <w:r w:rsidR="004C4FAD">
        <w:t>)</w:t>
      </w:r>
      <w:r w:rsidRPr="00DF4C82">
        <w:t xml:space="preserve"> </w:t>
      </w:r>
      <w:r w:rsidR="00634CD7" w:rsidRPr="00DF4C82">
        <w:t xml:space="preserve">then seeks to </w:t>
      </w:r>
      <w:r w:rsidRPr="00DF4C82">
        <w:t xml:space="preserve">rely upon the alleged breach of </w:t>
      </w:r>
      <w:r w:rsidRPr="00767E7A">
        <w:t>duty</w:t>
      </w:r>
      <w:r w:rsidRPr="00DF4C82">
        <w:t xml:space="preserve"> for the first time on appeal.</w:t>
      </w:r>
      <w:r w:rsidR="000C77C1">
        <w:t xml:space="preserve">  </w:t>
      </w:r>
      <w:r w:rsidR="004C4FAD">
        <w:t>Moreover, a</w:t>
      </w:r>
      <w:r w:rsidR="00162762">
        <w:t xml:space="preserve">s the High Court said in </w:t>
      </w:r>
      <w:proofErr w:type="spellStart"/>
      <w:r w:rsidR="000C77C1">
        <w:rPr>
          <w:i/>
        </w:rPr>
        <w:t>Metwally</w:t>
      </w:r>
      <w:proofErr w:type="spellEnd"/>
      <w:r w:rsidR="000C77C1">
        <w:rPr>
          <w:i/>
        </w:rPr>
        <w:t xml:space="preserve"> v University of Wollongong </w:t>
      </w:r>
      <w:r w:rsidR="000C77C1">
        <w:t xml:space="preserve">(1985) </w:t>
      </w:r>
      <w:r w:rsidR="00976AFD">
        <w:t>59 ALJR</w:t>
      </w:r>
      <w:r w:rsidR="000C77C1">
        <w:t xml:space="preserve"> </w:t>
      </w:r>
      <w:r w:rsidR="00976AFD">
        <w:t>481</w:t>
      </w:r>
      <w:r w:rsidR="00162762">
        <w:t xml:space="preserve"> at </w:t>
      </w:r>
      <w:r w:rsidR="00976AFD">
        <w:t>483</w:t>
      </w:r>
      <w:r w:rsidR="00162762">
        <w:t>:</w:t>
      </w:r>
    </w:p>
    <w:p w:rsidR="00162762" w:rsidRDefault="00162762" w:rsidP="00767E7A">
      <w:pPr>
        <w:pStyle w:val="Quote1"/>
      </w:pPr>
      <w:r w:rsidRPr="00162762">
        <w:t>It is elementary that a party is bound by the conduct of his case. Except in the most exceptional circumstances, it would be contrary to all principle to allow a party, after a case had been decided against him, to raise a new argument which, whether deliberately or by inadvertence, he failed to put during the hearing when he had an opportunity to do so.</w:t>
      </w:r>
      <w:r>
        <w:t xml:space="preserve"> </w:t>
      </w:r>
    </w:p>
    <w:p w:rsidR="00162762" w:rsidRDefault="00162762" w:rsidP="00767E7A">
      <w:pPr>
        <w:pStyle w:val="Quote1"/>
      </w:pPr>
    </w:p>
    <w:p w:rsidR="00162762" w:rsidRDefault="00AC5C1D" w:rsidP="00272F47">
      <w:pPr>
        <w:pStyle w:val="NoNum"/>
      </w:pPr>
      <w:r>
        <w:t>These</w:t>
      </w:r>
      <w:r w:rsidR="00162762">
        <w:t xml:space="preserve"> are by no means exceptional circumstances.</w:t>
      </w:r>
    </w:p>
    <w:p w:rsidR="00547962" w:rsidRDefault="008F4EF4" w:rsidP="00C36B72">
      <w:pPr>
        <w:pStyle w:val="ParaNumbering"/>
      </w:pPr>
      <w:r>
        <w:t>Second, and f</w:t>
      </w:r>
      <w:r w:rsidR="005D71CD">
        <w:t xml:space="preserve">or the same reasons as it has been concluded that there has been no denial of procedural fairness, </w:t>
      </w:r>
      <w:r w:rsidR="004F282D">
        <w:t>D</w:t>
      </w:r>
      <w:r w:rsidR="00DF4C82">
        <w:t xml:space="preserve">r Cameron </w:t>
      </w:r>
      <w:r w:rsidR="00162762">
        <w:t>was</w:t>
      </w:r>
      <w:r w:rsidR="00DF4C82">
        <w:t xml:space="preserve"> unable to demonstrate that </w:t>
      </w:r>
      <w:r w:rsidR="005D71CD">
        <w:t>any breach of the alleged</w:t>
      </w:r>
      <w:r w:rsidR="00DF4C82">
        <w:t xml:space="preserve"> </w:t>
      </w:r>
      <w:r w:rsidR="005D71CD" w:rsidRPr="00767E7A">
        <w:t>duty</w:t>
      </w:r>
      <w:r w:rsidR="00DF4C82" w:rsidRPr="00DF4C82">
        <w:t xml:space="preserve"> </w:t>
      </w:r>
      <w:r w:rsidR="005D71CD">
        <w:t xml:space="preserve">has occasioned any prejudice to </w:t>
      </w:r>
      <w:r w:rsidR="00DF4C82">
        <w:t>Mr </w:t>
      </w:r>
      <w:proofErr w:type="spellStart"/>
      <w:r w:rsidR="00DF4C82">
        <w:t>Francuziak</w:t>
      </w:r>
      <w:proofErr w:type="spellEnd"/>
      <w:r w:rsidR="005D71CD">
        <w:t>.</w:t>
      </w:r>
      <w:r w:rsidR="005453E6">
        <w:t xml:space="preserve"> </w:t>
      </w:r>
      <w:r w:rsidR="005D71CD">
        <w:t xml:space="preserve"> </w:t>
      </w:r>
      <w:r w:rsidR="000B28D7">
        <w:t>The rules of procedural fairness are concerned with avoiding “practical injustice”</w:t>
      </w:r>
      <w:r w:rsidR="00E65742">
        <w:t xml:space="preserve">:  </w:t>
      </w:r>
      <w:r w:rsidR="00E65742">
        <w:rPr>
          <w:i/>
          <w:iCs/>
        </w:rPr>
        <w:t>Re</w:t>
      </w:r>
      <w:r w:rsidR="00E65742">
        <w:t xml:space="preserve"> </w:t>
      </w:r>
      <w:r w:rsidR="00E65742">
        <w:rPr>
          <w:i/>
          <w:iCs/>
        </w:rPr>
        <w:t xml:space="preserve">Minister for Immigration and Multicultural and Indigenous Affairs; Ex parte Lam </w:t>
      </w:r>
      <w:r w:rsidR="00205D0C">
        <w:rPr>
          <w:iCs/>
        </w:rPr>
        <w:t xml:space="preserve">[2003] HCA 6 at [37], </w:t>
      </w:r>
      <w:r w:rsidR="00E65742">
        <w:rPr>
          <w:iCs/>
        </w:rPr>
        <w:t>(</w:t>
      </w:r>
      <w:r w:rsidR="00E65742">
        <w:t xml:space="preserve">2003) 214 CLR 1 at </w:t>
      </w:r>
      <w:r w:rsidR="00205D0C">
        <w:t>14</w:t>
      </w:r>
      <w:r w:rsidR="006346E1">
        <w:t xml:space="preserve"> (per Gleeson CJ)</w:t>
      </w:r>
      <w:r w:rsidR="000B28D7">
        <w:t>.  Mr </w:t>
      </w:r>
      <w:proofErr w:type="spellStart"/>
      <w:r w:rsidR="000B28D7">
        <w:t>Francuziak</w:t>
      </w:r>
      <w:proofErr w:type="spellEnd"/>
      <w:r w:rsidR="000B28D7">
        <w:t xml:space="preserve"> did not lose an opportunity to advance his case.  </w:t>
      </w:r>
      <w:r w:rsidR="005D71CD">
        <w:t xml:space="preserve">The </w:t>
      </w:r>
      <w:r w:rsidR="005D71CD" w:rsidRPr="00767E7A">
        <w:t>most favourable</w:t>
      </w:r>
      <w:r w:rsidR="00DF4C82" w:rsidRPr="00DF4C82">
        <w:t xml:space="preserve"> </w:t>
      </w:r>
      <w:r w:rsidR="005D71CD">
        <w:t xml:space="preserve">construction of the test to be applied was </w:t>
      </w:r>
      <w:r w:rsidR="00DF4C82">
        <w:t>the test the Minister was advised to apply</w:t>
      </w:r>
      <w:r w:rsidR="005D71CD">
        <w:t xml:space="preserve">. </w:t>
      </w:r>
      <w:r w:rsidR="005453E6">
        <w:t xml:space="preserve"> </w:t>
      </w:r>
      <w:r w:rsidR="00E65742">
        <w:t xml:space="preserve">In these circumstances no practical injustice has been shown.  </w:t>
      </w:r>
      <w:r w:rsidR="00DF4C82">
        <w:t>A denial of procedural fairness</w:t>
      </w:r>
      <w:r w:rsidR="00547962">
        <w:t xml:space="preserve"> is not made out simply by </w:t>
      </w:r>
      <w:r w:rsidR="00DF4C82">
        <w:t xml:space="preserve">speculating about </w:t>
      </w:r>
      <w:r w:rsidR="00547962">
        <w:t>the content of the deleted material.</w:t>
      </w:r>
    </w:p>
    <w:p w:rsidR="00035D7C" w:rsidRDefault="00DF4C82" w:rsidP="00C36B72">
      <w:pPr>
        <w:pStyle w:val="ParaNumbering"/>
      </w:pPr>
      <w:r>
        <w:t xml:space="preserve">This is not to deny that a </w:t>
      </w:r>
      <w:r w:rsidR="00205D0C">
        <w:t>Judge</w:t>
      </w:r>
      <w:r>
        <w:t xml:space="preserve"> should </w:t>
      </w:r>
      <w:r w:rsidR="00035D7C">
        <w:t>intervene in a hearing where</w:t>
      </w:r>
      <w:r w:rsidR="00711E87">
        <w:t xml:space="preserve"> there is</w:t>
      </w:r>
      <w:r w:rsidR="00035D7C">
        <w:t xml:space="preserve"> manifest unfairness or manifest procedural unfairness. </w:t>
      </w:r>
      <w:r w:rsidR="005453E6">
        <w:t xml:space="preserve"> </w:t>
      </w:r>
      <w:r w:rsidR="00035D7C">
        <w:t xml:space="preserve">And it may be that </w:t>
      </w:r>
      <w:r w:rsidR="00035D7C" w:rsidRPr="00767E7A">
        <w:t>public law</w:t>
      </w:r>
      <w:r w:rsidR="00035D7C">
        <w:t xml:space="preserve"> cases </w:t>
      </w:r>
      <w:r w:rsidR="00711E87">
        <w:t xml:space="preserve">involve </w:t>
      </w:r>
      <w:r w:rsidR="00035D7C">
        <w:t xml:space="preserve">different considerations </w:t>
      </w:r>
      <w:r w:rsidR="006346E1">
        <w:t>than</w:t>
      </w:r>
      <w:r w:rsidR="00035D7C">
        <w:t xml:space="preserve"> those </w:t>
      </w:r>
      <w:r w:rsidR="006346E1">
        <w:t>applicable in</w:t>
      </w:r>
      <w:r w:rsidR="00035D7C">
        <w:t xml:space="preserve"> </w:t>
      </w:r>
      <w:r w:rsidR="00035D7C" w:rsidRPr="00767E7A">
        <w:t>private law</w:t>
      </w:r>
      <w:r w:rsidR="00035D7C">
        <w:t xml:space="preserve"> </w:t>
      </w:r>
      <w:r w:rsidR="00711E87">
        <w:t>or</w:t>
      </w:r>
      <w:r w:rsidR="00035D7C">
        <w:t xml:space="preserve"> </w:t>
      </w:r>
      <w:r w:rsidR="00035D7C" w:rsidRPr="00767E7A">
        <w:t>commercial litigation</w:t>
      </w:r>
      <w:r w:rsidR="005453E6" w:rsidRPr="00711E87">
        <w:t>.</w:t>
      </w:r>
      <w:r w:rsidR="005453E6">
        <w:t xml:space="preserve"> </w:t>
      </w:r>
      <w:r w:rsidR="00035D7C">
        <w:t xml:space="preserve"> But the identification of </w:t>
      </w:r>
      <w:r w:rsidR="00711E87">
        <w:t>those considerations</w:t>
      </w:r>
      <w:r w:rsidR="00035D7C">
        <w:t xml:space="preserve"> and the content of any such</w:t>
      </w:r>
      <w:r w:rsidR="00035D7C" w:rsidRPr="00711E87">
        <w:t xml:space="preserve"> </w:t>
      </w:r>
      <w:r w:rsidR="00711E87" w:rsidRPr="00767E7A">
        <w:t>duty</w:t>
      </w:r>
      <w:r w:rsidR="00035D7C">
        <w:t xml:space="preserve"> must await a future case where it truly arises for consideration and where the question has been properly argued. </w:t>
      </w:r>
      <w:r w:rsidR="005453E6">
        <w:t xml:space="preserve"> </w:t>
      </w:r>
      <w:r w:rsidR="00711E87">
        <w:t>That is not this case.</w:t>
      </w:r>
    </w:p>
    <w:p w:rsidR="00035D7C" w:rsidRPr="0059653D" w:rsidRDefault="000B28D7" w:rsidP="00475E8E">
      <w:pPr>
        <w:pStyle w:val="Heading2"/>
      </w:pPr>
      <w:r>
        <w:t>Conclusion</w:t>
      </w:r>
    </w:p>
    <w:p w:rsidR="00035D7C" w:rsidRPr="00711E87" w:rsidRDefault="00035D7C" w:rsidP="00035D7C">
      <w:pPr>
        <w:pStyle w:val="ParaNumbering"/>
      </w:pPr>
      <w:r>
        <w:t xml:space="preserve">There was some uncertainty on the part of </w:t>
      </w:r>
      <w:r w:rsidR="00205D0C">
        <w:t>Counsel</w:t>
      </w:r>
      <w:r>
        <w:t xml:space="preserve"> for Mr </w:t>
      </w:r>
      <w:proofErr w:type="spellStart"/>
      <w:r>
        <w:t>Francuziak</w:t>
      </w:r>
      <w:proofErr w:type="spellEnd"/>
      <w:r>
        <w:t xml:space="preserve"> as to whether he needed both </w:t>
      </w:r>
      <w:r w:rsidRPr="00711E87">
        <w:t xml:space="preserve">leave to file the </w:t>
      </w:r>
      <w:r w:rsidRPr="00767E7A">
        <w:t>Re-Amended Notice of Appeal</w:t>
      </w:r>
      <w:r w:rsidRPr="00711E87">
        <w:t xml:space="preserve"> </w:t>
      </w:r>
      <w:r w:rsidR="00711E87" w:rsidRPr="00711E87">
        <w:t>and</w:t>
      </w:r>
      <w:r w:rsidRPr="00711E87">
        <w:t xml:space="preserve"> leave to raise arguments not </w:t>
      </w:r>
      <w:r w:rsidR="006346E1">
        <w:t xml:space="preserve">put to the primary </w:t>
      </w:r>
      <w:r w:rsidR="00205D0C">
        <w:t>Judge</w:t>
      </w:r>
      <w:r w:rsidRPr="00711E87">
        <w:t>.</w:t>
      </w:r>
      <w:r w:rsidR="005453E6" w:rsidRPr="00711E87">
        <w:t xml:space="preserve"> </w:t>
      </w:r>
      <w:r w:rsidRPr="00711E87">
        <w:t xml:space="preserve"> If the </w:t>
      </w:r>
      <w:r w:rsidR="00EA617F">
        <w:t xml:space="preserve">alleged </w:t>
      </w:r>
      <w:r w:rsidRPr="00711E87">
        <w:t xml:space="preserve">denial of procedural fairness was the failure </w:t>
      </w:r>
      <w:r w:rsidR="00711E87" w:rsidRPr="00711E87">
        <w:t>by</w:t>
      </w:r>
      <w:r w:rsidRPr="00711E87">
        <w:t xml:space="preserve"> the Minister to provide an unexpurgated version of the </w:t>
      </w:r>
      <w:r w:rsidR="00711E87" w:rsidRPr="00767E7A">
        <w:t>departmental brief</w:t>
      </w:r>
      <w:r w:rsidRPr="00711E87">
        <w:t xml:space="preserve"> to Mr </w:t>
      </w:r>
      <w:proofErr w:type="spellStart"/>
      <w:r w:rsidRPr="00711E87">
        <w:t>Francuziak</w:t>
      </w:r>
      <w:proofErr w:type="spellEnd"/>
      <w:r w:rsidR="006346E1">
        <w:t xml:space="preserve"> </w:t>
      </w:r>
      <w:r w:rsidR="006346E1">
        <w:lastRenderedPageBreak/>
        <w:t xml:space="preserve">(and/or the primary </w:t>
      </w:r>
      <w:r w:rsidR="00205D0C">
        <w:t>Judge</w:t>
      </w:r>
      <w:r w:rsidR="006346E1">
        <w:t>)</w:t>
      </w:r>
      <w:r w:rsidRPr="00711E87">
        <w:t xml:space="preserve">, that was unquestionably an argument </w:t>
      </w:r>
      <w:r w:rsidR="00711E87" w:rsidRPr="00711E87">
        <w:t xml:space="preserve">that could have been but was </w:t>
      </w:r>
      <w:r w:rsidRPr="00711E87">
        <w:t xml:space="preserve">not canvassed </w:t>
      </w:r>
      <w:r w:rsidR="00216507">
        <w:t>prior to or during</w:t>
      </w:r>
      <w:r w:rsidRPr="00711E87">
        <w:t xml:space="preserve"> the </w:t>
      </w:r>
      <w:r w:rsidR="00711E87" w:rsidRPr="00711E87">
        <w:t xml:space="preserve">hearing </w:t>
      </w:r>
      <w:r w:rsidR="006346E1">
        <w:t>below</w:t>
      </w:r>
      <w:r w:rsidRPr="00711E87">
        <w:t xml:space="preserve">. </w:t>
      </w:r>
      <w:r w:rsidR="00467FBA" w:rsidRPr="00711E87">
        <w:t xml:space="preserve"> </w:t>
      </w:r>
      <w:r w:rsidRPr="00711E87">
        <w:t xml:space="preserve">Leave to raise such an argument on appeal would be required. </w:t>
      </w:r>
      <w:r w:rsidR="00467FBA" w:rsidRPr="00711E87">
        <w:t xml:space="preserve"> </w:t>
      </w:r>
      <w:r w:rsidRPr="00711E87">
        <w:t xml:space="preserve">If the </w:t>
      </w:r>
      <w:r w:rsidR="00EA617F">
        <w:t xml:space="preserve">alleged </w:t>
      </w:r>
      <w:r w:rsidRPr="00711E87">
        <w:t xml:space="preserve">denial of procedural fairness </w:t>
      </w:r>
      <w:r w:rsidR="00711E87" w:rsidRPr="00711E87">
        <w:t xml:space="preserve">was in </w:t>
      </w:r>
      <w:r w:rsidRPr="00711E87">
        <w:t xml:space="preserve">the manner in which the case proceeded before the </w:t>
      </w:r>
      <w:r w:rsidR="00475E8E">
        <w:t xml:space="preserve">primary </w:t>
      </w:r>
      <w:r w:rsidR="00216507">
        <w:t>Judge</w:t>
      </w:r>
      <w:r w:rsidRPr="00711E87">
        <w:t xml:space="preserve"> and </w:t>
      </w:r>
      <w:r w:rsidR="00711E87" w:rsidRPr="00711E87">
        <w:t>was</w:t>
      </w:r>
      <w:r w:rsidRPr="00711E87">
        <w:t xml:space="preserve"> occasioned by the </w:t>
      </w:r>
      <w:r w:rsidR="006346E1">
        <w:t xml:space="preserve">failure of the primary </w:t>
      </w:r>
      <w:r w:rsidR="00205D0C">
        <w:t>Judge</w:t>
      </w:r>
      <w:r w:rsidRPr="00711E87">
        <w:t xml:space="preserve"> to discharge his alleged </w:t>
      </w:r>
      <w:r w:rsidRPr="00767E7A">
        <w:t>duty</w:t>
      </w:r>
      <w:r w:rsidRPr="00711E87">
        <w:t xml:space="preserve"> to ensure that all material was available for scrutiny by </w:t>
      </w:r>
      <w:r w:rsidR="00205D0C">
        <w:t>Counsel</w:t>
      </w:r>
      <w:r w:rsidRPr="00711E87">
        <w:t xml:space="preserve"> and the Court itself, leave may not be required. </w:t>
      </w:r>
      <w:r w:rsidR="00467FBA" w:rsidRPr="00711E87">
        <w:t xml:space="preserve"> </w:t>
      </w:r>
      <w:r w:rsidRPr="00711E87">
        <w:t xml:space="preserve">An argument so cast would seek to raise </w:t>
      </w:r>
      <w:r w:rsidR="000B28D7" w:rsidRPr="00711E87">
        <w:t>appealable</w:t>
      </w:r>
      <w:r w:rsidRPr="00711E87">
        <w:t xml:space="preserve"> error in the manner in which the hearing </w:t>
      </w:r>
      <w:r w:rsidR="000B28D7">
        <w:t>was</w:t>
      </w:r>
      <w:r w:rsidRPr="00711E87">
        <w:t xml:space="preserve"> conducted. </w:t>
      </w:r>
      <w:r w:rsidR="00467FBA" w:rsidRPr="00711E87">
        <w:t xml:space="preserve"> </w:t>
      </w:r>
      <w:r w:rsidRPr="00711E87">
        <w:t xml:space="preserve">On one construction of the </w:t>
      </w:r>
      <w:r w:rsidRPr="00767E7A">
        <w:t>Re-Amended Notice of Appeal</w:t>
      </w:r>
      <w:r w:rsidRPr="00711E87">
        <w:t xml:space="preserve">, that argument was embraced by </w:t>
      </w:r>
      <w:r w:rsidR="00475E8E">
        <w:t>g</w:t>
      </w:r>
      <w:r w:rsidRPr="00767E7A">
        <w:t>rounds</w:t>
      </w:r>
      <w:r w:rsidRPr="00711E87">
        <w:t xml:space="preserve"> 1</w:t>
      </w:r>
      <w:r w:rsidR="000B28D7">
        <w:t>, 2 and 4</w:t>
      </w:r>
      <w:r w:rsidRPr="00711E87">
        <w:t xml:space="preserve">. </w:t>
      </w:r>
    </w:p>
    <w:p w:rsidR="00035D7C" w:rsidRDefault="00035D7C" w:rsidP="00035D7C">
      <w:pPr>
        <w:pStyle w:val="ParaNumbering"/>
      </w:pPr>
      <w:r>
        <w:t xml:space="preserve">It matters not, with respect, which of these two approaches is correct. </w:t>
      </w:r>
    </w:p>
    <w:p w:rsidR="00035D7C" w:rsidRDefault="00035D7C" w:rsidP="00035D7C">
      <w:pPr>
        <w:pStyle w:val="ParaNumbering"/>
      </w:pPr>
      <w:r>
        <w:t>If the denial of procedural fairness is said to lie at the feet of the Minister, leave to raise such an argument on appeal is refused.</w:t>
      </w:r>
      <w:r w:rsidR="00467FBA">
        <w:t xml:space="preserve"> </w:t>
      </w:r>
      <w:r>
        <w:t xml:space="preserve"> If the denial of procedural fairness </w:t>
      </w:r>
      <w:r w:rsidR="008F4EF4">
        <w:t xml:space="preserve">or breach of </w:t>
      </w:r>
      <w:r w:rsidR="000B28D7">
        <w:t xml:space="preserve">duty by the primary </w:t>
      </w:r>
      <w:r w:rsidR="00BD6BDF">
        <w:t>Judge</w:t>
      </w:r>
      <w:r w:rsidR="008F4EF4">
        <w:t xml:space="preserve"> </w:t>
      </w:r>
      <w:r>
        <w:t xml:space="preserve">is said to lie at the feet of either the Minister </w:t>
      </w:r>
      <w:r w:rsidR="00711E87">
        <w:t xml:space="preserve">or </w:t>
      </w:r>
      <w:r>
        <w:t xml:space="preserve">the </w:t>
      </w:r>
      <w:r w:rsidR="00475E8E">
        <w:t xml:space="preserve">primary </w:t>
      </w:r>
      <w:r w:rsidR="00BD6BDF">
        <w:t>Judge with respect</w:t>
      </w:r>
      <w:r>
        <w:t xml:space="preserve"> to the manner in which the hearing proceeded, the argument</w:t>
      </w:r>
      <w:r w:rsidR="00711E87">
        <w:t>,</w:t>
      </w:r>
      <w:r>
        <w:t xml:space="preserve"> </w:t>
      </w:r>
      <w:r w:rsidR="008F4EF4">
        <w:t>however expressed</w:t>
      </w:r>
      <w:r w:rsidR="00711E87">
        <w:t>,</w:t>
      </w:r>
      <w:r w:rsidR="008F4EF4">
        <w:t xml:space="preserve"> is rejected. </w:t>
      </w:r>
    </w:p>
    <w:p w:rsidR="00035D7C" w:rsidRDefault="00035D7C" w:rsidP="00035D7C">
      <w:pPr>
        <w:pStyle w:val="ParaNumbering"/>
      </w:pPr>
      <w:r>
        <w:t>Either way</w:t>
      </w:r>
      <w:r w:rsidR="00711E87">
        <w:t>,</w:t>
      </w:r>
      <w:r>
        <w:t xml:space="preserve"> the appeal </w:t>
      </w:r>
      <w:r w:rsidR="00711E87">
        <w:t>must</w:t>
      </w:r>
      <w:r>
        <w:t xml:space="preserve"> be dismissed with costs.</w:t>
      </w:r>
    </w:p>
    <w:p w:rsidR="00A27C74" w:rsidRDefault="00A27C74" w:rsidP="00A27C74">
      <w:pPr>
        <w:pStyle w:val="NormalHeadings"/>
      </w:pPr>
      <w:r>
        <w:t>THE ORDERS OF THE COURT ARE:</w:t>
      </w:r>
    </w:p>
    <w:p w:rsidR="00A27C74" w:rsidRDefault="00A27C74" w:rsidP="00A27C74">
      <w:pPr>
        <w:pStyle w:val="NormalHeadings"/>
      </w:pPr>
    </w:p>
    <w:p w:rsidR="00A27C74" w:rsidRDefault="00973129" w:rsidP="00973129">
      <w:pPr>
        <w:pStyle w:val="Order1"/>
        <w:numPr>
          <w:ilvl w:val="0"/>
          <w:numId w:val="0"/>
        </w:numPr>
        <w:ind w:left="709" w:hanging="709"/>
      </w:pPr>
      <w:r>
        <w:t>1.</w:t>
      </w:r>
      <w:r>
        <w:tab/>
      </w:r>
      <w:r w:rsidR="00A27C74">
        <w:t xml:space="preserve">The name of the Respondent is amended to “Minister for Justice”. </w:t>
      </w:r>
    </w:p>
    <w:p w:rsidR="00A27C74" w:rsidRPr="00121C43" w:rsidRDefault="00973129" w:rsidP="00973129">
      <w:pPr>
        <w:pStyle w:val="Order1"/>
        <w:numPr>
          <w:ilvl w:val="0"/>
          <w:numId w:val="0"/>
        </w:numPr>
        <w:ind w:left="709" w:hanging="709"/>
      </w:pPr>
      <w:r>
        <w:t>2.</w:t>
      </w:r>
      <w:r>
        <w:tab/>
      </w:r>
      <w:r w:rsidR="00A27C74">
        <w:t xml:space="preserve">Leave is granted to file the </w:t>
      </w:r>
      <w:r w:rsidR="00A27C74" w:rsidRPr="00767E7A">
        <w:t>Re</w:t>
      </w:r>
      <w:r w:rsidR="00A27C74">
        <w:noBreakHyphen/>
      </w:r>
      <w:r w:rsidR="00A27C74" w:rsidRPr="00767E7A">
        <w:t>Amended Notice of Appeal</w:t>
      </w:r>
      <w:r w:rsidR="00A27C74" w:rsidRPr="00121C43">
        <w:t xml:space="preserve"> dated 30 September 2015.</w:t>
      </w:r>
    </w:p>
    <w:p w:rsidR="00A27C74" w:rsidRDefault="00973129" w:rsidP="00973129">
      <w:pPr>
        <w:pStyle w:val="Order1"/>
        <w:numPr>
          <w:ilvl w:val="0"/>
          <w:numId w:val="0"/>
        </w:numPr>
        <w:ind w:left="709" w:hanging="709"/>
      </w:pPr>
      <w:r>
        <w:t>3.</w:t>
      </w:r>
      <w:r>
        <w:tab/>
      </w:r>
      <w:r w:rsidR="00A27C74" w:rsidRPr="00121C43">
        <w:t xml:space="preserve">To the extent that leave is necessary to now rely upon </w:t>
      </w:r>
      <w:r w:rsidR="00A27C74">
        <w:t>g</w:t>
      </w:r>
      <w:r w:rsidR="00A27C74" w:rsidRPr="00121C43">
        <w:t xml:space="preserve">rounds 1, 2 and 4 of the </w:t>
      </w:r>
      <w:r w:rsidR="00A27C74">
        <w:t>Re</w:t>
      </w:r>
      <w:r w:rsidR="00A27C74">
        <w:noBreakHyphen/>
      </w:r>
      <w:r w:rsidR="00A27C74" w:rsidRPr="00767E7A">
        <w:t>Amended Notice of Appeal</w:t>
      </w:r>
      <w:r w:rsidR="00A27C74" w:rsidRPr="00121C43">
        <w:t xml:space="preserve">, leave </w:t>
      </w:r>
      <w:r w:rsidR="00A27C74">
        <w:t>is</w:t>
      </w:r>
      <w:r w:rsidR="00A27C74" w:rsidRPr="00121C43">
        <w:t xml:space="preserve"> refused</w:t>
      </w:r>
      <w:r w:rsidR="00A27C74">
        <w:t>.</w:t>
      </w:r>
    </w:p>
    <w:p w:rsidR="00A27C74" w:rsidRDefault="00973129" w:rsidP="00973129">
      <w:pPr>
        <w:pStyle w:val="Order1"/>
        <w:numPr>
          <w:ilvl w:val="0"/>
          <w:numId w:val="0"/>
        </w:numPr>
        <w:ind w:left="709" w:hanging="709"/>
      </w:pPr>
      <w:r>
        <w:t>4.</w:t>
      </w:r>
      <w:r>
        <w:tab/>
      </w:r>
      <w:r w:rsidR="00A27C74">
        <w:t>The appeal is dismissed.</w:t>
      </w:r>
    </w:p>
    <w:p w:rsidR="00A27C74" w:rsidRDefault="00973129" w:rsidP="00973129">
      <w:pPr>
        <w:pStyle w:val="Order1"/>
        <w:numPr>
          <w:ilvl w:val="0"/>
          <w:numId w:val="0"/>
        </w:numPr>
        <w:ind w:left="709" w:hanging="709"/>
      </w:pPr>
      <w:r>
        <w:t>5.</w:t>
      </w:r>
      <w:r>
        <w:tab/>
      </w:r>
      <w:r w:rsidR="00A27C74">
        <w:t>The Appellant pay the Respondent’s costs.</w:t>
      </w:r>
    </w:p>
    <w:p w:rsidR="00972F2F" w:rsidRDefault="00972F2F" w:rsidP="00100000">
      <w:pPr>
        <w:pStyle w:val="BodyText"/>
      </w:pPr>
      <w:bookmarkStart w:id="25" w:name="Certification"/>
    </w:p>
    <w:tbl>
      <w:tblPr>
        <w:tblW w:w="0" w:type="auto"/>
        <w:tblLook w:val="04A0" w:firstRow="1" w:lastRow="0" w:firstColumn="1" w:lastColumn="0" w:noHBand="0" w:noVBand="1"/>
      </w:tblPr>
      <w:tblGrid>
        <w:gridCol w:w="3794"/>
      </w:tblGrid>
      <w:tr w:rsidR="00972F2F" w:rsidRPr="00972F2F">
        <w:tc>
          <w:tcPr>
            <w:tcW w:w="3794" w:type="dxa"/>
            <w:shd w:val="clear" w:color="auto" w:fill="auto"/>
          </w:tcPr>
          <w:p w:rsidR="00972F2F" w:rsidRPr="00972F2F" w:rsidRDefault="00972F2F" w:rsidP="00972F2F">
            <w:pPr>
              <w:pStyle w:val="Normal1linespace"/>
            </w:pPr>
            <w:r w:rsidRPr="00972F2F">
              <w:t xml:space="preserve">I certify that the preceding </w:t>
            </w:r>
            <w:bookmarkStart w:id="26" w:name="NumberWord"/>
            <w:r w:rsidR="00515434">
              <w:t>forty-seven</w:t>
            </w:r>
            <w:bookmarkEnd w:id="26"/>
            <w:r w:rsidRPr="00972F2F">
              <w:t xml:space="preserve"> (</w:t>
            </w:r>
            <w:bookmarkStart w:id="27" w:name="NumberNumeral"/>
            <w:r w:rsidR="00515434">
              <w:t>47</w:t>
            </w:r>
            <w:bookmarkEnd w:id="27"/>
            <w:r w:rsidRPr="00972F2F">
              <w:t xml:space="preserve">) numbered </w:t>
            </w:r>
            <w:bookmarkStart w:id="28" w:name="CertPara"/>
            <w:r w:rsidR="00515434">
              <w:t>paragraphs are</w:t>
            </w:r>
            <w:bookmarkEnd w:id="28"/>
            <w:r w:rsidRPr="00972F2F">
              <w:t xml:space="preserve"> a true copy of the Reasons for Judgment herein of the Honourable </w:t>
            </w:r>
            <w:bookmarkStart w:id="29" w:name="Justice"/>
            <w:r>
              <w:t>Justices Siopis, Flick and Katzmann</w:t>
            </w:r>
            <w:bookmarkEnd w:id="29"/>
            <w:r w:rsidRPr="00972F2F">
              <w:t>.</w:t>
            </w:r>
          </w:p>
        </w:tc>
      </w:tr>
    </w:tbl>
    <w:p w:rsidR="00972F2F" w:rsidRDefault="00972F2F" w:rsidP="00100000">
      <w:pPr>
        <w:pStyle w:val="BodyText"/>
      </w:pPr>
    </w:p>
    <w:p w:rsidR="00972F2F" w:rsidRDefault="00972F2F" w:rsidP="00100000">
      <w:pPr>
        <w:pStyle w:val="BodyText"/>
      </w:pPr>
      <w:r>
        <w:t>Associate:</w:t>
      </w:r>
      <w:r w:rsidR="008D0F3F">
        <w:t xml:space="preserve">  </w:t>
      </w:r>
    </w:p>
    <w:p w:rsidR="00972F2F" w:rsidRDefault="00972F2F" w:rsidP="00100000">
      <w:pPr>
        <w:pStyle w:val="BodyText"/>
      </w:pPr>
    </w:p>
    <w:p w:rsidR="005E1FD8" w:rsidRPr="00972F2F" w:rsidRDefault="00972F2F" w:rsidP="00973129">
      <w:pPr>
        <w:pStyle w:val="BodyText"/>
        <w:tabs>
          <w:tab w:val="left" w:pos="1134"/>
        </w:tabs>
        <w:rPr>
          <w:highlight w:val="yellow"/>
        </w:rPr>
      </w:pPr>
      <w:r>
        <w:t>Dated:</w:t>
      </w:r>
      <w:r>
        <w:tab/>
      </w:r>
      <w:bookmarkStart w:id="30" w:name="CertifyDated"/>
      <w:r w:rsidR="00D30FAC">
        <w:t>16</w:t>
      </w:r>
      <w:r>
        <w:t xml:space="preserve"> November 2015</w:t>
      </w:r>
      <w:bookmarkStart w:id="31" w:name="_GoBack"/>
      <w:bookmarkEnd w:id="30"/>
      <w:bookmarkEnd w:id="25"/>
      <w:bookmarkEnd w:id="31"/>
    </w:p>
    <w:sectPr w:rsidR="005E1FD8" w:rsidRPr="00972F2F">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4F8" w:rsidRDefault="00E444F8">
      <w:pPr>
        <w:spacing w:line="20" w:lineRule="exact"/>
      </w:pPr>
    </w:p>
    <w:p w:rsidR="00E444F8" w:rsidRDefault="00E444F8"/>
    <w:p w:rsidR="00E444F8" w:rsidRDefault="00E444F8"/>
  </w:endnote>
  <w:endnote w:type="continuationSeparator" w:id="0">
    <w:p w:rsidR="00E444F8" w:rsidRDefault="00E444F8">
      <w:r>
        <w:t xml:space="preserve"> </w:t>
      </w:r>
    </w:p>
    <w:p w:rsidR="00E444F8" w:rsidRDefault="00E444F8"/>
    <w:p w:rsidR="00E444F8" w:rsidRDefault="00E444F8"/>
  </w:endnote>
  <w:endnote w:type="continuationNotice" w:id="1">
    <w:p w:rsidR="00E444F8" w:rsidRDefault="00E444F8">
      <w:r>
        <w:t xml:space="preserve"> </w:t>
      </w:r>
    </w:p>
    <w:p w:rsidR="00E444F8" w:rsidRDefault="00E444F8"/>
    <w:p w:rsidR="00E444F8" w:rsidRDefault="00E44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00" w:rsidRDefault="00100000">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00" w:rsidRPr="00624520" w:rsidRDefault="00100000"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00" w:rsidRDefault="00100000"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4F8" w:rsidRDefault="00E444F8"/>
    <w:p w:rsidR="00E444F8" w:rsidRDefault="00E444F8"/>
    <w:p w:rsidR="00E444F8" w:rsidRDefault="00E444F8"/>
  </w:footnote>
  <w:footnote w:type="continuationSeparator" w:id="0">
    <w:p w:rsidR="00E444F8" w:rsidRDefault="00E444F8">
      <w:r>
        <w:continuationSeparator/>
      </w:r>
    </w:p>
    <w:p w:rsidR="00E444F8" w:rsidRDefault="00E444F8"/>
    <w:p w:rsidR="00E444F8" w:rsidRDefault="00E444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00" w:rsidRDefault="00100000">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973129">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00" w:rsidRDefault="00100000">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00" w:rsidRDefault="00100000">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00" w:rsidRDefault="0010000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D5" w:rsidRDefault="003F55D5" w:rsidP="003F55D5">
    <w:pPr>
      <w:tabs>
        <w:tab w:val="center" w:pos="4512"/>
      </w:tabs>
      <w:suppressAutoHyphens/>
    </w:pPr>
    <w:r w:rsidRPr="003F55D5">
      <w:tab/>
      <w:t xml:space="preserve">- </w:t>
    </w:r>
    <w:r w:rsidRPr="003F55D5">
      <w:fldChar w:fldCharType="begin"/>
    </w:r>
    <w:r w:rsidRPr="003F55D5">
      <w:instrText>page \* arabic</w:instrText>
    </w:r>
    <w:r w:rsidRPr="003F55D5">
      <w:fldChar w:fldCharType="separate"/>
    </w:r>
    <w:r w:rsidR="00973129">
      <w:rPr>
        <w:noProof/>
      </w:rPr>
      <w:t>11</w:t>
    </w:r>
    <w:r w:rsidRPr="003F55D5">
      <w:fldChar w:fldCharType="end"/>
    </w:r>
    <w:r w:rsidRPr="003F55D5">
      <w:t xml:space="preserve"> -</w:t>
    </w:r>
  </w:p>
  <w:p w:rsidR="003F55D5" w:rsidRPr="003F55D5" w:rsidRDefault="003F55D5" w:rsidP="003F55D5">
    <w:pPr>
      <w:tabs>
        <w:tab w:val="center" w:pos="4512"/>
      </w:tabs>
      <w:suppressAutoHyphen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00" w:rsidRDefault="00100000">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4D6526D"/>
    <w:multiLevelType w:val="hybridMultilevel"/>
    <w:tmpl w:val="39609038"/>
    <w:lvl w:ilvl="0" w:tplc="86923A0C">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18C1E86"/>
    <w:multiLevelType w:val="hybridMultilevel"/>
    <w:tmpl w:val="DBDE78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4AC66E6"/>
    <w:multiLevelType w:val="multilevel"/>
    <w:tmpl w:val="7EEA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nsid w:val="75F74D8F"/>
    <w:multiLevelType w:val="hybridMultilevel"/>
    <w:tmpl w:val="1EF6355E"/>
    <w:lvl w:ilvl="0" w:tplc="D09A20C2">
      <w:start w:val="1"/>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A2B2551"/>
    <w:multiLevelType w:val="multilevel"/>
    <w:tmpl w:val="8F14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7FBA4F5F"/>
    <w:multiLevelType w:val="hybridMultilevel"/>
    <w:tmpl w:val="A3C8BE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8"/>
  </w:num>
  <w:num w:numId="15">
    <w:abstractNumId w:val="19"/>
  </w:num>
  <w:num w:numId="16">
    <w:abstractNumId w:val="26"/>
  </w:num>
  <w:num w:numId="17">
    <w:abstractNumId w:val="12"/>
  </w:num>
  <w:num w:numId="18">
    <w:abstractNumId w:val="23"/>
  </w:num>
  <w:num w:numId="19">
    <w:abstractNumId w:val="10"/>
  </w:num>
  <w:num w:numId="20">
    <w:abstractNumId w:val="16"/>
  </w:num>
  <w:num w:numId="21">
    <w:abstractNumId w:val="17"/>
  </w:num>
  <w:num w:numId="22">
    <w:abstractNumId w:val="15"/>
  </w:num>
  <w:num w:numId="23">
    <w:abstractNumId w:val="15"/>
  </w:num>
  <w:num w:numId="24">
    <w:abstractNumId w:val="13"/>
  </w:num>
  <w:num w:numId="25">
    <w:abstractNumId w:val="27"/>
  </w:num>
  <w:num w:numId="26">
    <w:abstractNumId w:val="24"/>
  </w:num>
  <w:num w:numId="27">
    <w:abstractNumId w:val="20"/>
  </w:num>
  <w:num w:numId="28">
    <w:abstractNumId w:val="21"/>
  </w:num>
  <w:num w:numId="29">
    <w:abstractNumId w:val="25"/>
  </w:num>
  <w:num w:numId="30">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Federal Court"/>
    <w:docVar w:name="Appellant" w:val="Pawel Francuziak"/>
    <w:docVar w:name="CounselParties" w:val="Respondent"/>
    <w:docVar w:name="CounselType" w:val="Solicitor for the "/>
    <w:docVar w:name="dgnword-docGUID" w:val="{E8C51E24-A0C8-4868-B99A-07BFDA4B599F}"/>
    <w:docVar w:name="dgnword-eventsink" w:val="210604456"/>
    <w:docVar w:name="dgnword-lastRevisionsView" w:val="0"/>
    <w:docVar w:name="Division" w:val="GENERAL DIVISION"/>
    <w:docVar w:name="DocCreated" w:val="True"/>
    <w:docVar w:name="FileNumbers" w:val="WAD 265 of 2015"/>
    <w:docVar w:name="FullCourt" w:val="True"/>
    <w:docVar w:name="HearingDate" w:val="19 October 2015"/>
    <w:docVar w:name="Judgdate" w:val="&lt;&gt; November 2015"/>
    <w:docVar w:name="Judge" w:val="Siopis, Flick and Katzmann"/>
    <w:docVar w:name="JudgePlace" w:val="PERTH"/>
    <w:docVar w:name="lstEntryList" w:val="-1"/>
    <w:docVar w:name="myEntryList" w:val="Counsel for the Appellant=Dr J L Cameron (Po Bono)|Counsel for the Respondent=Dr E M Heenan|Solicitor for the Respondent=Attorney-General's Department"/>
    <w:docVar w:name="NSD" w:val="NSD WAD 265 of 2015"/>
    <w:docVar w:name="NumApps" w:val="1"/>
    <w:docVar w:name="NumApps_" w:val="1"/>
    <w:docVar w:name="NumJudges" w:val="Full Court"/>
    <w:docVar w:name="Parties" w:val="Respondent"/>
    <w:docVar w:name="Place_SentenceCase" w:val="Perth"/>
    <w:docVar w:name="Respondent" w:val="the Honourable Michael Keenan MP, Minister for Justice"/>
    <w:docVar w:name="ResState" w:val="WESTERN AUSTRALIA"/>
    <w:docVar w:name="Single" w:val="False"/>
  </w:docVars>
  <w:rsids>
    <w:rsidRoot w:val="00C94469"/>
    <w:rsid w:val="000232F2"/>
    <w:rsid w:val="00035D7C"/>
    <w:rsid w:val="00074456"/>
    <w:rsid w:val="000866E0"/>
    <w:rsid w:val="000A3501"/>
    <w:rsid w:val="000B190F"/>
    <w:rsid w:val="000B28D7"/>
    <w:rsid w:val="000B6586"/>
    <w:rsid w:val="000C77C1"/>
    <w:rsid w:val="000D2137"/>
    <w:rsid w:val="00100000"/>
    <w:rsid w:val="001072DF"/>
    <w:rsid w:val="001128BD"/>
    <w:rsid w:val="00115DDE"/>
    <w:rsid w:val="00120580"/>
    <w:rsid w:val="00121C43"/>
    <w:rsid w:val="001418B7"/>
    <w:rsid w:val="00146A2C"/>
    <w:rsid w:val="001560A4"/>
    <w:rsid w:val="001611D8"/>
    <w:rsid w:val="00162762"/>
    <w:rsid w:val="001727A4"/>
    <w:rsid w:val="001738AB"/>
    <w:rsid w:val="00187BBC"/>
    <w:rsid w:val="00197086"/>
    <w:rsid w:val="001B14AC"/>
    <w:rsid w:val="001B4C19"/>
    <w:rsid w:val="001B6F31"/>
    <w:rsid w:val="001B7940"/>
    <w:rsid w:val="001E3B49"/>
    <w:rsid w:val="001E7388"/>
    <w:rsid w:val="001F4AEC"/>
    <w:rsid w:val="00205D0C"/>
    <w:rsid w:val="00210706"/>
    <w:rsid w:val="00216507"/>
    <w:rsid w:val="002454D4"/>
    <w:rsid w:val="002535D0"/>
    <w:rsid w:val="00256FA5"/>
    <w:rsid w:val="002602C2"/>
    <w:rsid w:val="00265A53"/>
    <w:rsid w:val="002665A8"/>
    <w:rsid w:val="00270340"/>
    <w:rsid w:val="00272F47"/>
    <w:rsid w:val="00274F5B"/>
    <w:rsid w:val="00280836"/>
    <w:rsid w:val="002A1B50"/>
    <w:rsid w:val="002B0E91"/>
    <w:rsid w:val="002C09BE"/>
    <w:rsid w:val="002C31AD"/>
    <w:rsid w:val="002C3A2E"/>
    <w:rsid w:val="002C7385"/>
    <w:rsid w:val="002E7F52"/>
    <w:rsid w:val="002F1E49"/>
    <w:rsid w:val="002F4E9C"/>
    <w:rsid w:val="00311E8A"/>
    <w:rsid w:val="0033603C"/>
    <w:rsid w:val="003463FE"/>
    <w:rsid w:val="00356632"/>
    <w:rsid w:val="0037730B"/>
    <w:rsid w:val="003845A9"/>
    <w:rsid w:val="00390883"/>
    <w:rsid w:val="00395B24"/>
    <w:rsid w:val="003A2D38"/>
    <w:rsid w:val="003B24CE"/>
    <w:rsid w:val="003B2538"/>
    <w:rsid w:val="003B2C72"/>
    <w:rsid w:val="003C20FF"/>
    <w:rsid w:val="003E18FA"/>
    <w:rsid w:val="003E2A66"/>
    <w:rsid w:val="003F193E"/>
    <w:rsid w:val="003F55D5"/>
    <w:rsid w:val="0040159F"/>
    <w:rsid w:val="00410E06"/>
    <w:rsid w:val="00414C4C"/>
    <w:rsid w:val="0043153E"/>
    <w:rsid w:val="00467FBA"/>
    <w:rsid w:val="00472027"/>
    <w:rsid w:val="00475E8E"/>
    <w:rsid w:val="00491EDF"/>
    <w:rsid w:val="00494095"/>
    <w:rsid w:val="0049417F"/>
    <w:rsid w:val="00497E54"/>
    <w:rsid w:val="004C4FAD"/>
    <w:rsid w:val="004C6540"/>
    <w:rsid w:val="004D53E5"/>
    <w:rsid w:val="004E29CD"/>
    <w:rsid w:val="004E6B61"/>
    <w:rsid w:val="004F264F"/>
    <w:rsid w:val="004F282D"/>
    <w:rsid w:val="004F3ED5"/>
    <w:rsid w:val="0051346D"/>
    <w:rsid w:val="00513EAE"/>
    <w:rsid w:val="00515434"/>
    <w:rsid w:val="005359EB"/>
    <w:rsid w:val="0054254A"/>
    <w:rsid w:val="005453E6"/>
    <w:rsid w:val="005466B5"/>
    <w:rsid w:val="00547962"/>
    <w:rsid w:val="005736DB"/>
    <w:rsid w:val="00576388"/>
    <w:rsid w:val="00576F4B"/>
    <w:rsid w:val="0059653D"/>
    <w:rsid w:val="005A0745"/>
    <w:rsid w:val="005A4DF8"/>
    <w:rsid w:val="005A76C9"/>
    <w:rsid w:val="005C1767"/>
    <w:rsid w:val="005C42EF"/>
    <w:rsid w:val="005D6413"/>
    <w:rsid w:val="005D71CD"/>
    <w:rsid w:val="005E02F5"/>
    <w:rsid w:val="005E176E"/>
    <w:rsid w:val="005E1FD8"/>
    <w:rsid w:val="005E35A0"/>
    <w:rsid w:val="005E3ACB"/>
    <w:rsid w:val="005F39EE"/>
    <w:rsid w:val="005F6AF9"/>
    <w:rsid w:val="005F7AA5"/>
    <w:rsid w:val="00613A0E"/>
    <w:rsid w:val="00624520"/>
    <w:rsid w:val="00631BF8"/>
    <w:rsid w:val="006346E1"/>
    <w:rsid w:val="00634CD7"/>
    <w:rsid w:val="00636871"/>
    <w:rsid w:val="00643DE0"/>
    <w:rsid w:val="006446B2"/>
    <w:rsid w:val="00644E85"/>
    <w:rsid w:val="00645D0F"/>
    <w:rsid w:val="00646A2C"/>
    <w:rsid w:val="00662BB0"/>
    <w:rsid w:val="00677B8F"/>
    <w:rsid w:val="00680152"/>
    <w:rsid w:val="00681E40"/>
    <w:rsid w:val="006975C3"/>
    <w:rsid w:val="006A5695"/>
    <w:rsid w:val="006B142C"/>
    <w:rsid w:val="006B3904"/>
    <w:rsid w:val="006B5789"/>
    <w:rsid w:val="006B5B7D"/>
    <w:rsid w:val="006D0D0D"/>
    <w:rsid w:val="006D0ECF"/>
    <w:rsid w:val="006E2F81"/>
    <w:rsid w:val="006F0208"/>
    <w:rsid w:val="006F39B8"/>
    <w:rsid w:val="00707218"/>
    <w:rsid w:val="00711E87"/>
    <w:rsid w:val="00712B1D"/>
    <w:rsid w:val="00725B11"/>
    <w:rsid w:val="007263CC"/>
    <w:rsid w:val="007325D9"/>
    <w:rsid w:val="007421D2"/>
    <w:rsid w:val="0075591E"/>
    <w:rsid w:val="007652D1"/>
    <w:rsid w:val="00767E7A"/>
    <w:rsid w:val="007717D5"/>
    <w:rsid w:val="00774C61"/>
    <w:rsid w:val="007929CF"/>
    <w:rsid w:val="00795F58"/>
    <w:rsid w:val="007A2B16"/>
    <w:rsid w:val="007B5740"/>
    <w:rsid w:val="007D48AB"/>
    <w:rsid w:val="007D561F"/>
    <w:rsid w:val="007E5DEB"/>
    <w:rsid w:val="00800208"/>
    <w:rsid w:val="00816277"/>
    <w:rsid w:val="0082461B"/>
    <w:rsid w:val="00831927"/>
    <w:rsid w:val="0084273D"/>
    <w:rsid w:val="00845A83"/>
    <w:rsid w:val="00847DE8"/>
    <w:rsid w:val="00863F86"/>
    <w:rsid w:val="00865323"/>
    <w:rsid w:val="0087161F"/>
    <w:rsid w:val="0088445A"/>
    <w:rsid w:val="00885849"/>
    <w:rsid w:val="00887406"/>
    <w:rsid w:val="008900F8"/>
    <w:rsid w:val="008B1B1C"/>
    <w:rsid w:val="008B51BA"/>
    <w:rsid w:val="008C6D50"/>
    <w:rsid w:val="008D009B"/>
    <w:rsid w:val="008D0F3F"/>
    <w:rsid w:val="008D4B92"/>
    <w:rsid w:val="008E6315"/>
    <w:rsid w:val="008F4EF4"/>
    <w:rsid w:val="009054CB"/>
    <w:rsid w:val="00906C61"/>
    <w:rsid w:val="00967855"/>
    <w:rsid w:val="00972047"/>
    <w:rsid w:val="00972BFF"/>
    <w:rsid w:val="00972F2F"/>
    <w:rsid w:val="00973129"/>
    <w:rsid w:val="00976AFD"/>
    <w:rsid w:val="00977CE4"/>
    <w:rsid w:val="00980736"/>
    <w:rsid w:val="00982FF9"/>
    <w:rsid w:val="009B13FA"/>
    <w:rsid w:val="009B1E2D"/>
    <w:rsid w:val="009C4CB9"/>
    <w:rsid w:val="009E4FA6"/>
    <w:rsid w:val="009E7D93"/>
    <w:rsid w:val="009F747C"/>
    <w:rsid w:val="00A02FE4"/>
    <w:rsid w:val="00A03EAC"/>
    <w:rsid w:val="00A058E8"/>
    <w:rsid w:val="00A11CA6"/>
    <w:rsid w:val="00A17A6B"/>
    <w:rsid w:val="00A20C49"/>
    <w:rsid w:val="00A248C5"/>
    <w:rsid w:val="00A27C74"/>
    <w:rsid w:val="00A359AC"/>
    <w:rsid w:val="00A950B6"/>
    <w:rsid w:val="00A96716"/>
    <w:rsid w:val="00AB41C1"/>
    <w:rsid w:val="00AC5C1D"/>
    <w:rsid w:val="00AE7C86"/>
    <w:rsid w:val="00AF7070"/>
    <w:rsid w:val="00B15EA3"/>
    <w:rsid w:val="00B35130"/>
    <w:rsid w:val="00B522B3"/>
    <w:rsid w:val="00B60E6D"/>
    <w:rsid w:val="00B8563F"/>
    <w:rsid w:val="00BA20E9"/>
    <w:rsid w:val="00BA3DBC"/>
    <w:rsid w:val="00BB2DA2"/>
    <w:rsid w:val="00BB56DC"/>
    <w:rsid w:val="00BC019A"/>
    <w:rsid w:val="00BC523E"/>
    <w:rsid w:val="00BD339C"/>
    <w:rsid w:val="00BD6BDF"/>
    <w:rsid w:val="00C36442"/>
    <w:rsid w:val="00C36B72"/>
    <w:rsid w:val="00C6241A"/>
    <w:rsid w:val="00C638F8"/>
    <w:rsid w:val="00C647E8"/>
    <w:rsid w:val="00C67CAF"/>
    <w:rsid w:val="00C90A70"/>
    <w:rsid w:val="00C94469"/>
    <w:rsid w:val="00CA6C95"/>
    <w:rsid w:val="00CB1C24"/>
    <w:rsid w:val="00CC55DA"/>
    <w:rsid w:val="00CF5E05"/>
    <w:rsid w:val="00D10F21"/>
    <w:rsid w:val="00D27DC4"/>
    <w:rsid w:val="00D30FAC"/>
    <w:rsid w:val="00D375EE"/>
    <w:rsid w:val="00D545D0"/>
    <w:rsid w:val="00D77964"/>
    <w:rsid w:val="00D85C66"/>
    <w:rsid w:val="00D8609F"/>
    <w:rsid w:val="00D9725F"/>
    <w:rsid w:val="00DA14ED"/>
    <w:rsid w:val="00DB3DE1"/>
    <w:rsid w:val="00DB716C"/>
    <w:rsid w:val="00DB7635"/>
    <w:rsid w:val="00DC428E"/>
    <w:rsid w:val="00DD4236"/>
    <w:rsid w:val="00DD515D"/>
    <w:rsid w:val="00DD6A37"/>
    <w:rsid w:val="00DF3F51"/>
    <w:rsid w:val="00DF4C82"/>
    <w:rsid w:val="00E027BC"/>
    <w:rsid w:val="00E11DBB"/>
    <w:rsid w:val="00E1231D"/>
    <w:rsid w:val="00E143EA"/>
    <w:rsid w:val="00E14EA5"/>
    <w:rsid w:val="00E15C7B"/>
    <w:rsid w:val="00E15DBF"/>
    <w:rsid w:val="00E1659A"/>
    <w:rsid w:val="00E1734B"/>
    <w:rsid w:val="00E2466E"/>
    <w:rsid w:val="00E444F8"/>
    <w:rsid w:val="00E55DFC"/>
    <w:rsid w:val="00E65742"/>
    <w:rsid w:val="00E7096F"/>
    <w:rsid w:val="00E76E45"/>
    <w:rsid w:val="00E90E85"/>
    <w:rsid w:val="00EA4E2E"/>
    <w:rsid w:val="00EA5D6A"/>
    <w:rsid w:val="00EA617F"/>
    <w:rsid w:val="00EB2CCB"/>
    <w:rsid w:val="00ED7DD9"/>
    <w:rsid w:val="00EF3113"/>
    <w:rsid w:val="00EF3F84"/>
    <w:rsid w:val="00F11EDD"/>
    <w:rsid w:val="00F176AC"/>
    <w:rsid w:val="00F2649D"/>
    <w:rsid w:val="00F27714"/>
    <w:rsid w:val="00F32BE7"/>
    <w:rsid w:val="00F50E34"/>
    <w:rsid w:val="00F81C34"/>
    <w:rsid w:val="00F83927"/>
    <w:rsid w:val="00F908A4"/>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footer" w:uiPriority="99"/>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3F55D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ListParagraph">
    <w:name w:val="List Paragraph"/>
    <w:basedOn w:val="Normal"/>
    <w:uiPriority w:val="34"/>
    <w:semiHidden/>
    <w:rsid w:val="00C647E8"/>
    <w:pPr>
      <w:ind w:left="720"/>
      <w:contextualSpacing/>
    </w:pPr>
  </w:style>
  <w:style w:type="character" w:customStyle="1" w:styleId="FooterChar">
    <w:name w:val="Footer Char"/>
    <w:basedOn w:val="DefaultParagraphFont"/>
    <w:link w:val="Footer"/>
    <w:uiPriority w:val="99"/>
    <w:rsid w:val="00074456"/>
    <w:rPr>
      <w:sz w:val="24"/>
      <w:lang w:eastAsia="en-US"/>
    </w:rPr>
  </w:style>
  <w:style w:type="paragraph" w:customStyle="1" w:styleId="loose">
    <w:name w:val="loose"/>
    <w:basedOn w:val="Normal"/>
    <w:rsid w:val="004E6B61"/>
    <w:pPr>
      <w:spacing w:before="210" w:line="240" w:lineRule="auto"/>
      <w:jc w:val="left"/>
    </w:pPr>
    <w:rPr>
      <w:rFonts w:eastAsia="Times New Roman"/>
      <w:szCs w:val="24"/>
      <w:lang w:eastAsia="en-AU"/>
    </w:rPr>
  </w:style>
  <w:style w:type="character" w:customStyle="1" w:styleId="italic1">
    <w:name w:val="italic1"/>
    <w:basedOn w:val="DefaultParagraphFont"/>
    <w:rsid w:val="004E6B61"/>
    <w:rPr>
      <w:i/>
      <w:iCs/>
    </w:rPr>
  </w:style>
  <w:style w:type="character" w:customStyle="1" w:styleId="ro1">
    <w:name w:val="ro1"/>
    <w:basedOn w:val="DefaultParagraphFont"/>
    <w:rsid w:val="004E6B61"/>
    <w:rPr>
      <w:b w:val="0"/>
      <w:bCs w:val="0"/>
    </w:rPr>
  </w:style>
  <w:style w:type="paragraph" w:styleId="Revision">
    <w:name w:val="Revision"/>
    <w:hidden/>
    <w:uiPriority w:val="99"/>
    <w:semiHidden/>
    <w:rsid w:val="007717D5"/>
    <w:rPr>
      <w:sz w:val="24"/>
      <w:lang w:eastAsia="en-US"/>
    </w:rPr>
  </w:style>
  <w:style w:type="character" w:customStyle="1" w:styleId="BodyTextChar">
    <w:name w:val="Body Text Char"/>
    <w:basedOn w:val="DefaultParagraphFont"/>
    <w:link w:val="BodyText"/>
    <w:rsid w:val="00972F2F"/>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footer" w:uiPriority="99"/>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3F55D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ListParagraph">
    <w:name w:val="List Paragraph"/>
    <w:basedOn w:val="Normal"/>
    <w:uiPriority w:val="34"/>
    <w:semiHidden/>
    <w:rsid w:val="00C647E8"/>
    <w:pPr>
      <w:ind w:left="720"/>
      <w:contextualSpacing/>
    </w:pPr>
  </w:style>
  <w:style w:type="character" w:customStyle="1" w:styleId="FooterChar">
    <w:name w:val="Footer Char"/>
    <w:basedOn w:val="DefaultParagraphFont"/>
    <w:link w:val="Footer"/>
    <w:uiPriority w:val="99"/>
    <w:rsid w:val="00074456"/>
    <w:rPr>
      <w:sz w:val="24"/>
      <w:lang w:eastAsia="en-US"/>
    </w:rPr>
  </w:style>
  <w:style w:type="paragraph" w:customStyle="1" w:styleId="loose">
    <w:name w:val="loose"/>
    <w:basedOn w:val="Normal"/>
    <w:rsid w:val="004E6B61"/>
    <w:pPr>
      <w:spacing w:before="210" w:line="240" w:lineRule="auto"/>
      <w:jc w:val="left"/>
    </w:pPr>
    <w:rPr>
      <w:rFonts w:eastAsia="Times New Roman"/>
      <w:szCs w:val="24"/>
      <w:lang w:eastAsia="en-AU"/>
    </w:rPr>
  </w:style>
  <w:style w:type="character" w:customStyle="1" w:styleId="italic1">
    <w:name w:val="italic1"/>
    <w:basedOn w:val="DefaultParagraphFont"/>
    <w:rsid w:val="004E6B61"/>
    <w:rPr>
      <w:i/>
      <w:iCs/>
    </w:rPr>
  </w:style>
  <w:style w:type="character" w:customStyle="1" w:styleId="ro1">
    <w:name w:val="ro1"/>
    <w:basedOn w:val="DefaultParagraphFont"/>
    <w:rsid w:val="004E6B61"/>
    <w:rPr>
      <w:b w:val="0"/>
      <w:bCs w:val="0"/>
    </w:rPr>
  </w:style>
  <w:style w:type="paragraph" w:styleId="Revision">
    <w:name w:val="Revision"/>
    <w:hidden/>
    <w:uiPriority w:val="99"/>
    <w:semiHidden/>
    <w:rsid w:val="007717D5"/>
    <w:rPr>
      <w:sz w:val="24"/>
      <w:lang w:eastAsia="en-US"/>
    </w:rPr>
  </w:style>
  <w:style w:type="character" w:customStyle="1" w:styleId="BodyTextChar">
    <w:name w:val="Body Text Char"/>
    <w:basedOn w:val="DefaultParagraphFont"/>
    <w:link w:val="BodyText"/>
    <w:rsid w:val="00972F2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194850">
      <w:bodyDiv w:val="1"/>
      <w:marLeft w:val="0"/>
      <w:marRight w:val="0"/>
      <w:marTop w:val="0"/>
      <w:marBottom w:val="0"/>
      <w:divBdr>
        <w:top w:val="none" w:sz="0" w:space="0" w:color="auto"/>
        <w:left w:val="none" w:sz="0" w:space="0" w:color="auto"/>
        <w:bottom w:val="none" w:sz="0" w:space="0" w:color="auto"/>
        <w:right w:val="none" w:sz="0" w:space="0" w:color="auto"/>
      </w:divBdr>
      <w:divsChild>
        <w:div w:id="841355093">
          <w:marLeft w:val="0"/>
          <w:marRight w:val="0"/>
          <w:marTop w:val="0"/>
          <w:marBottom w:val="0"/>
          <w:divBdr>
            <w:top w:val="none" w:sz="0" w:space="0" w:color="auto"/>
            <w:left w:val="none" w:sz="0" w:space="0" w:color="auto"/>
            <w:bottom w:val="none" w:sz="0" w:space="0" w:color="auto"/>
            <w:right w:val="none" w:sz="0" w:space="0" w:color="auto"/>
          </w:divBdr>
          <w:divsChild>
            <w:div w:id="881941468">
              <w:marLeft w:val="0"/>
              <w:marRight w:val="0"/>
              <w:marTop w:val="0"/>
              <w:marBottom w:val="0"/>
              <w:divBdr>
                <w:top w:val="none" w:sz="0" w:space="0" w:color="auto"/>
                <w:left w:val="single" w:sz="6" w:space="0" w:color="E4E4E4"/>
                <w:bottom w:val="none" w:sz="0" w:space="0" w:color="auto"/>
                <w:right w:val="none" w:sz="0" w:space="0" w:color="auto"/>
              </w:divBdr>
              <w:divsChild>
                <w:div w:id="374623729">
                  <w:marLeft w:val="0"/>
                  <w:marRight w:val="0"/>
                  <w:marTop w:val="0"/>
                  <w:marBottom w:val="0"/>
                  <w:divBdr>
                    <w:top w:val="none" w:sz="0" w:space="0" w:color="auto"/>
                    <w:left w:val="none" w:sz="0" w:space="0" w:color="auto"/>
                    <w:bottom w:val="none" w:sz="0" w:space="0" w:color="auto"/>
                    <w:right w:val="none" w:sz="0" w:space="0" w:color="auto"/>
                  </w:divBdr>
                  <w:divsChild>
                    <w:div w:id="268051919">
                      <w:marLeft w:val="0"/>
                      <w:marRight w:val="0"/>
                      <w:marTop w:val="0"/>
                      <w:marBottom w:val="0"/>
                      <w:divBdr>
                        <w:top w:val="none" w:sz="0" w:space="0" w:color="auto"/>
                        <w:left w:val="none" w:sz="0" w:space="0" w:color="auto"/>
                        <w:bottom w:val="none" w:sz="0" w:space="0" w:color="auto"/>
                        <w:right w:val="none" w:sz="0" w:space="0" w:color="auto"/>
                      </w:divBdr>
                      <w:divsChild>
                        <w:div w:id="324168922">
                          <w:marLeft w:val="0"/>
                          <w:marRight w:val="0"/>
                          <w:marTop w:val="0"/>
                          <w:marBottom w:val="105"/>
                          <w:divBdr>
                            <w:top w:val="none" w:sz="0" w:space="0" w:color="auto"/>
                            <w:left w:val="none" w:sz="0" w:space="0" w:color="auto"/>
                            <w:bottom w:val="none" w:sz="0" w:space="0" w:color="auto"/>
                            <w:right w:val="none" w:sz="0" w:space="0" w:color="auto"/>
                          </w:divBdr>
                          <w:divsChild>
                            <w:div w:id="531964821">
                              <w:marLeft w:val="0"/>
                              <w:marRight w:val="0"/>
                              <w:marTop w:val="105"/>
                              <w:marBottom w:val="0"/>
                              <w:divBdr>
                                <w:top w:val="none" w:sz="0" w:space="0" w:color="auto"/>
                                <w:left w:val="none" w:sz="0" w:space="0" w:color="auto"/>
                                <w:bottom w:val="none" w:sz="0" w:space="0" w:color="auto"/>
                                <w:right w:val="none" w:sz="0" w:space="0" w:color="auto"/>
                              </w:divBdr>
                              <w:divsChild>
                                <w:div w:id="404650060">
                                  <w:marLeft w:val="0"/>
                                  <w:marRight w:val="0"/>
                                  <w:marTop w:val="0"/>
                                  <w:marBottom w:val="105"/>
                                  <w:divBdr>
                                    <w:top w:val="none" w:sz="0" w:space="0" w:color="auto"/>
                                    <w:left w:val="none" w:sz="0" w:space="0" w:color="auto"/>
                                    <w:bottom w:val="none" w:sz="0" w:space="0" w:color="auto"/>
                                    <w:right w:val="none" w:sz="0" w:space="0" w:color="auto"/>
                                  </w:divBdr>
                                  <w:divsChild>
                                    <w:div w:id="2124883638">
                                      <w:marLeft w:val="0"/>
                                      <w:marRight w:val="0"/>
                                      <w:marTop w:val="105"/>
                                      <w:marBottom w:val="0"/>
                                      <w:divBdr>
                                        <w:top w:val="none" w:sz="0" w:space="0" w:color="auto"/>
                                        <w:left w:val="none" w:sz="0" w:space="0" w:color="auto"/>
                                        <w:bottom w:val="none" w:sz="0" w:space="0" w:color="auto"/>
                                        <w:right w:val="none" w:sz="0" w:space="0" w:color="auto"/>
                                      </w:divBdr>
                                      <w:divsChild>
                                        <w:div w:id="265039255">
                                          <w:marLeft w:val="0"/>
                                          <w:marRight w:val="0"/>
                                          <w:marTop w:val="0"/>
                                          <w:marBottom w:val="105"/>
                                          <w:divBdr>
                                            <w:top w:val="none" w:sz="0" w:space="0" w:color="auto"/>
                                            <w:left w:val="none" w:sz="0" w:space="0" w:color="auto"/>
                                            <w:bottom w:val="none" w:sz="0" w:space="0" w:color="auto"/>
                                            <w:right w:val="none" w:sz="0" w:space="0" w:color="auto"/>
                                          </w:divBdr>
                                          <w:divsChild>
                                            <w:div w:id="1334919663">
                                              <w:marLeft w:val="0"/>
                                              <w:marRight w:val="0"/>
                                              <w:marTop w:val="105"/>
                                              <w:marBottom w:val="0"/>
                                              <w:divBdr>
                                                <w:top w:val="none" w:sz="0" w:space="0" w:color="auto"/>
                                                <w:left w:val="none" w:sz="0" w:space="0" w:color="auto"/>
                                                <w:bottom w:val="none" w:sz="0" w:space="0" w:color="auto"/>
                                                <w:right w:val="none" w:sz="0" w:space="0" w:color="auto"/>
                                              </w:divBdr>
                                              <w:divsChild>
                                                <w:div w:id="1393699401">
                                                  <w:marLeft w:val="0"/>
                                                  <w:marRight w:val="0"/>
                                                  <w:marTop w:val="0"/>
                                                  <w:marBottom w:val="105"/>
                                                  <w:divBdr>
                                                    <w:top w:val="none" w:sz="0" w:space="0" w:color="auto"/>
                                                    <w:left w:val="none" w:sz="0" w:space="0" w:color="auto"/>
                                                    <w:bottom w:val="none" w:sz="0" w:space="0" w:color="auto"/>
                                                    <w:right w:val="none" w:sz="0" w:space="0" w:color="auto"/>
                                                  </w:divBdr>
                                                  <w:divsChild>
                                                    <w:div w:id="1718122763">
                                                      <w:marLeft w:val="0"/>
                                                      <w:marRight w:val="0"/>
                                                      <w:marTop w:val="105"/>
                                                      <w:marBottom w:val="0"/>
                                                      <w:divBdr>
                                                        <w:top w:val="none" w:sz="0" w:space="0" w:color="auto"/>
                                                        <w:left w:val="none" w:sz="0" w:space="0" w:color="auto"/>
                                                        <w:bottom w:val="none" w:sz="0" w:space="0" w:color="auto"/>
                                                        <w:right w:val="none" w:sz="0" w:space="0" w:color="auto"/>
                                                      </w:divBdr>
                                                      <w:divsChild>
                                                        <w:div w:id="1867450597">
                                                          <w:marLeft w:val="1050"/>
                                                          <w:marRight w:val="0"/>
                                                          <w:marTop w:val="0"/>
                                                          <w:marBottom w:val="0"/>
                                                          <w:divBdr>
                                                            <w:top w:val="none" w:sz="0" w:space="0" w:color="auto"/>
                                                            <w:left w:val="none" w:sz="0" w:space="0" w:color="auto"/>
                                                            <w:bottom w:val="none" w:sz="0" w:space="0" w:color="auto"/>
                                                            <w:right w:val="none" w:sz="0" w:space="0" w:color="auto"/>
                                                          </w:divBdr>
                                                        </w:div>
                                                        <w:div w:id="1231233208">
                                                          <w:marLeft w:val="1050"/>
                                                          <w:marRight w:val="0"/>
                                                          <w:marTop w:val="0"/>
                                                          <w:marBottom w:val="0"/>
                                                          <w:divBdr>
                                                            <w:top w:val="none" w:sz="0" w:space="0" w:color="auto"/>
                                                            <w:left w:val="none" w:sz="0" w:space="0" w:color="auto"/>
                                                            <w:bottom w:val="none" w:sz="0" w:space="0" w:color="auto"/>
                                                            <w:right w:val="none" w:sz="0" w:space="0" w:color="auto"/>
                                                          </w:divBdr>
                                                        </w:div>
                                                        <w:div w:id="1134786302">
                                                          <w:marLeft w:val="1050"/>
                                                          <w:marRight w:val="0"/>
                                                          <w:marTop w:val="0"/>
                                                          <w:marBottom w:val="0"/>
                                                          <w:divBdr>
                                                            <w:top w:val="none" w:sz="0" w:space="0" w:color="auto"/>
                                                            <w:left w:val="none" w:sz="0" w:space="0" w:color="auto"/>
                                                            <w:bottom w:val="none" w:sz="0" w:space="0" w:color="auto"/>
                                                            <w:right w:val="none" w:sz="0" w:space="0" w:color="auto"/>
                                                          </w:divBdr>
                                                        </w:div>
                                                        <w:div w:id="323164578">
                                                          <w:marLeft w:val="1050"/>
                                                          <w:marRight w:val="0"/>
                                                          <w:marTop w:val="0"/>
                                                          <w:marBottom w:val="0"/>
                                                          <w:divBdr>
                                                            <w:top w:val="none" w:sz="0" w:space="0" w:color="auto"/>
                                                            <w:left w:val="none" w:sz="0" w:space="0" w:color="auto"/>
                                                            <w:bottom w:val="none" w:sz="0" w:space="0" w:color="auto"/>
                                                            <w:right w:val="none" w:sz="0" w:space="0" w:color="auto"/>
                                                          </w:divBdr>
                                                        </w:div>
                                                        <w:div w:id="181725503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6F0D9-AA0C-4F8E-8B03-207267F6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14</Pages>
  <Words>4634</Words>
  <Characters>23397</Characters>
  <Application>Microsoft Office Word</Application>
  <DocSecurity>0</DocSecurity>
  <Lines>531</Lines>
  <Paragraphs>231</Paragraphs>
  <ScaleCrop>false</ScaleCrop>
  <HeadingPairs>
    <vt:vector size="2" baseType="variant">
      <vt:variant>
        <vt:lpstr>Title</vt:lpstr>
      </vt:variant>
      <vt:variant>
        <vt:i4>1</vt:i4>
      </vt:variant>
    </vt:vector>
  </HeadingPairs>
  <TitlesOfParts>
    <vt:vector size="1" baseType="lpstr">
      <vt:lpstr>Francuziak v Minister for Justice [2015] FCAFC 162</vt:lpstr>
    </vt:vector>
  </TitlesOfParts>
  <Company>Federal Court of Australia</Company>
  <LinksUpToDate>false</LinksUpToDate>
  <CharactersWithSpaces>27800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Francuziak v Minister for Justice [2015] FCAFC 162</dc:title>
  <dc:creator>Cecilia Cordova</dc:creator>
  <cp:lastModifiedBy>Anna Masters</cp:lastModifiedBy>
  <cp:revision>3</cp:revision>
  <cp:lastPrinted>2015-11-13T06:35:00Z</cp:lastPrinted>
  <dcterms:created xsi:type="dcterms:W3CDTF">2015-11-16T04:43:00Z</dcterms:created>
  <dcterms:modified xsi:type="dcterms:W3CDTF">2015-11-16T04:46:00Z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SIOPIS, FLICK AND KATZMANN JJ</vt:lpwstr>
  </property>
  <property fmtid="{D5CDD505-2E9C-101B-9397-08002B2CF9AE}" pid="4" name="Judgment_dated" linkTarget="Judgment_dated">
    <vt:lpwstr>16 NOVEMBER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WAD 265 of 2015</vt:lpwstr>
  </property>
  <property fmtid="{D5CDD505-2E9C-101B-9397-08002B2CF9AE}" pid="8" name="Pages">
    <vt:lpwstr>21</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WESTERN AUSTRALIA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