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FB2156" w:rsidRDefault="00FB2156" w:rsidP="00FB2156">
      <w:pPr>
        <w:pStyle w:val="MediaNeutralStyle"/>
      </w:pPr>
      <w:bookmarkStart w:id="0" w:name="MNC"/>
      <w:proofErr w:type="spellStart"/>
      <w:r>
        <w:t>Ramjali</w:t>
      </w:r>
      <w:proofErr w:type="spellEnd"/>
      <w:r w:rsidRPr="005B529D">
        <w:t xml:space="preserve"> </w:t>
      </w:r>
      <w:r>
        <w:t>v Minister for Immigration and Border Protection [2017] FCA 271</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87D0D">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CA291E" w:rsidP="00F57E64">
            <w:pPr>
              <w:pStyle w:val="CasesLegislationAppealFrom"/>
              <w:spacing w:after="60"/>
            </w:pPr>
            <w:bookmarkStart w:id="1" w:name="AppealFrom"/>
            <w:proofErr w:type="spellStart"/>
            <w:r>
              <w:rPr>
                <w:i/>
              </w:rPr>
              <w:t>Ramjali</w:t>
            </w:r>
            <w:proofErr w:type="spellEnd"/>
            <w:r>
              <w:rPr>
                <w:i/>
              </w:rPr>
              <w:t xml:space="preserve"> v Minister for Immigration &amp; Anor </w:t>
            </w:r>
            <w:r>
              <w:t>[2016] FCCA</w:t>
            </w:r>
            <w:r w:rsidR="00F57E64">
              <w:t> </w:t>
            </w:r>
            <w:r>
              <w:t>2296</w:t>
            </w:r>
            <w:r w:rsidR="009264B3">
              <w:t xml:space="preserve"> </w:t>
            </w:r>
            <w:bookmarkEnd w:id="1"/>
          </w:p>
        </w:tc>
      </w:tr>
      <w:tr w:rsidR="00395B24" w:rsidTr="00687D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D0D">
        <w:tc>
          <w:tcPr>
            <w:tcW w:w="3085" w:type="dxa"/>
            <w:shd w:val="clear" w:color="auto" w:fill="auto"/>
          </w:tcPr>
          <w:p w:rsidR="00395B24" w:rsidRDefault="00EC1730" w:rsidP="00663878">
            <w:pPr>
              <w:pStyle w:val="Normal1linespace"/>
              <w:widowControl w:val="0"/>
              <w:jc w:val="left"/>
            </w:pPr>
            <w:r>
              <w:t>File number</w:t>
            </w:r>
            <w:r w:rsidR="002C7385">
              <w:t>:</w:t>
            </w:r>
          </w:p>
        </w:tc>
        <w:tc>
          <w:tcPr>
            <w:tcW w:w="5989" w:type="dxa"/>
            <w:shd w:val="clear" w:color="auto" w:fill="auto"/>
          </w:tcPr>
          <w:p w:rsidR="00395B24" w:rsidRPr="00B0509E" w:rsidRDefault="00725A21" w:rsidP="00B0509E">
            <w:pPr>
              <w:pStyle w:val="Normal1linespace"/>
              <w:jc w:val="left"/>
            </w:pPr>
            <w:r>
              <w:fldChar w:fldCharType="begin" w:fldLock="1"/>
            </w:r>
            <w:r>
              <w:instrText xml:space="preserve"> REF  FileNo  \* MERGEFORMAT </w:instrText>
            </w:r>
            <w:r>
              <w:fldChar w:fldCharType="separate"/>
            </w:r>
            <w:r w:rsidR="00B0509E" w:rsidRPr="00B0509E">
              <w:t>NSD 1525 of 2016</w:t>
            </w:r>
            <w:r>
              <w:fldChar w:fldCharType="end"/>
            </w:r>
          </w:p>
        </w:tc>
      </w:tr>
      <w:tr w:rsidR="00395B24" w:rsidTr="00687D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D0D">
        <w:tc>
          <w:tcPr>
            <w:tcW w:w="3085" w:type="dxa"/>
            <w:shd w:val="clear" w:color="auto" w:fill="auto"/>
          </w:tcPr>
          <w:p w:rsidR="00395B24" w:rsidRDefault="00EC1730"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B0509E">
              <w:rPr>
                <w:b/>
              </w:rPr>
              <w:fldChar w:fldCharType="begin" w:fldLock="1"/>
            </w:r>
            <w:r w:rsidRPr="00B0509E">
              <w:rPr>
                <w:b/>
              </w:rPr>
              <w:instrText xml:space="preserve"> REF  Judge  \* MERGEFORMAT </w:instrText>
            </w:r>
            <w:r w:rsidRPr="00B0509E">
              <w:rPr>
                <w:b/>
              </w:rPr>
              <w:fldChar w:fldCharType="separate"/>
            </w:r>
            <w:r w:rsidR="00B0509E" w:rsidRPr="00B0509E">
              <w:rPr>
                <w:b/>
                <w:caps/>
                <w:szCs w:val="24"/>
              </w:rPr>
              <w:t>BROMWICH J</w:t>
            </w:r>
            <w:r w:rsidRPr="00B0509E">
              <w:rPr>
                <w:b/>
              </w:rPr>
              <w:fldChar w:fldCharType="end"/>
            </w:r>
          </w:p>
        </w:tc>
      </w:tr>
      <w:tr w:rsidR="00395B24" w:rsidTr="00687D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D0D">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B0509E" w:rsidP="000D3E71">
            <w:pPr>
              <w:pStyle w:val="Normal1linespace"/>
              <w:widowControl w:val="0"/>
              <w:jc w:val="left"/>
            </w:pPr>
            <w:bookmarkStart w:id="2" w:name="JudgmentDate"/>
            <w:r>
              <w:t>20 March 2017</w:t>
            </w:r>
            <w:bookmarkEnd w:id="2"/>
          </w:p>
        </w:tc>
      </w:tr>
      <w:tr w:rsidR="00395B24" w:rsidTr="00687D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D0D">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D3E71" w:rsidRDefault="000D3E71" w:rsidP="00D82620">
            <w:pPr>
              <w:pStyle w:val="CasesLegislationAppealFrom"/>
              <w:spacing w:after="60"/>
            </w:pPr>
            <w:bookmarkStart w:id="3" w:name="Legislation"/>
            <w:r w:rsidRPr="00EB6CE3">
              <w:rPr>
                <w:i/>
              </w:rPr>
              <w:t>Migration Act 1958</w:t>
            </w:r>
            <w:r>
              <w:t xml:space="preserve"> (Cth), ss 65, 140GB, 338</w:t>
            </w:r>
          </w:p>
          <w:p w:rsidR="00395B24" w:rsidRDefault="000D3E71" w:rsidP="00D82620">
            <w:pPr>
              <w:pStyle w:val="CasesLegislationAppealFrom"/>
              <w:spacing w:after="60"/>
            </w:pPr>
            <w:r>
              <w:rPr>
                <w:i/>
              </w:rPr>
              <w:t xml:space="preserve">Migration Regulations 1994 </w:t>
            </w:r>
            <w:r>
              <w:t xml:space="preserve">(Cth), </w:t>
            </w:r>
            <w:proofErr w:type="spellStart"/>
            <w:r>
              <w:t>Sch</w:t>
            </w:r>
            <w:proofErr w:type="spellEnd"/>
            <w:r>
              <w:t xml:space="preserve"> 2, cl 457.223(4)</w:t>
            </w:r>
            <w:r w:rsidR="002C7385">
              <w:t xml:space="preserve"> </w:t>
            </w:r>
            <w:bookmarkEnd w:id="3"/>
          </w:p>
        </w:tc>
      </w:tr>
      <w:tr w:rsidR="00395B24" w:rsidTr="00687D0D">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87D0D">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57E64" w:rsidRDefault="00F57E64" w:rsidP="00D82620">
            <w:pPr>
              <w:pStyle w:val="CasesLegislationAppealFrom"/>
              <w:spacing w:after="60"/>
            </w:pPr>
            <w:bookmarkStart w:id="4" w:name="Cases_Cited"/>
            <w:r w:rsidRPr="00EE76AE">
              <w:rPr>
                <w:i/>
              </w:rPr>
              <w:t>Minister for Immigration and Border Protection v Lee</w:t>
            </w:r>
            <w:r>
              <w:t xml:space="preserve"> [2014] FCCA 2881</w:t>
            </w:r>
          </w:p>
          <w:p w:rsidR="00395B24" w:rsidRDefault="00F57E64" w:rsidP="00F57E64">
            <w:pPr>
              <w:pStyle w:val="CasesLegislationAppealFrom"/>
              <w:spacing w:after="60"/>
            </w:pPr>
            <w:r w:rsidRPr="00F57E64">
              <w:rPr>
                <w:i/>
              </w:rPr>
              <w:t>Ahmad</w:t>
            </w:r>
            <w:r w:rsidRPr="005620C4">
              <w:rPr>
                <w:i/>
              </w:rPr>
              <w:t xml:space="preserve"> v Minister for Immigration and Border Protection</w:t>
            </w:r>
            <w:r>
              <w:t xml:space="preserve"> [2015] FCAFC 182; (2015) 237 FCR 365</w:t>
            </w:r>
            <w:r w:rsidR="002C7385">
              <w:t xml:space="preserve"> </w:t>
            </w:r>
            <w:bookmarkEnd w:id="4"/>
          </w:p>
        </w:tc>
      </w:tr>
      <w:tr w:rsidR="00687D0D" w:rsidRPr="00687D0D" w:rsidTr="00687D0D">
        <w:tc>
          <w:tcPr>
            <w:tcW w:w="3085" w:type="dxa"/>
            <w:shd w:val="clear" w:color="auto" w:fill="auto"/>
          </w:tcPr>
          <w:p w:rsidR="00687D0D" w:rsidRPr="00687D0D" w:rsidRDefault="00687D0D" w:rsidP="00687D0D">
            <w:pPr>
              <w:pStyle w:val="Normal1linespace"/>
              <w:jc w:val="left"/>
            </w:pPr>
          </w:p>
        </w:tc>
        <w:tc>
          <w:tcPr>
            <w:tcW w:w="5989" w:type="dxa"/>
            <w:shd w:val="clear" w:color="auto" w:fill="auto"/>
          </w:tcPr>
          <w:p w:rsidR="00687D0D" w:rsidRPr="00687D0D" w:rsidRDefault="00687D0D" w:rsidP="00687D0D">
            <w:pPr>
              <w:pStyle w:val="Normal1linespace"/>
              <w:jc w:val="left"/>
            </w:pPr>
          </w:p>
        </w:tc>
      </w:tr>
      <w:tr w:rsidR="00687D0D" w:rsidRPr="00687D0D" w:rsidTr="00687D0D">
        <w:tc>
          <w:tcPr>
            <w:tcW w:w="3085" w:type="dxa"/>
            <w:shd w:val="clear" w:color="auto" w:fill="auto"/>
          </w:tcPr>
          <w:p w:rsidR="00687D0D" w:rsidRPr="00687D0D" w:rsidRDefault="00687D0D" w:rsidP="00687D0D">
            <w:pPr>
              <w:pStyle w:val="Normal1linespace"/>
              <w:jc w:val="left"/>
            </w:pPr>
            <w:bookmarkStart w:id="5" w:name="CounselDate" w:colFirst="0" w:colLast="2"/>
            <w:r w:rsidRPr="00687D0D">
              <w:t>Date of hearing:</w:t>
            </w:r>
          </w:p>
        </w:tc>
        <w:tc>
          <w:tcPr>
            <w:tcW w:w="5989" w:type="dxa"/>
            <w:shd w:val="clear" w:color="auto" w:fill="auto"/>
          </w:tcPr>
          <w:p w:rsidR="00687D0D" w:rsidRPr="00687D0D" w:rsidRDefault="008B611D" w:rsidP="00687D0D">
            <w:pPr>
              <w:pStyle w:val="Normal1linespace"/>
              <w:jc w:val="left"/>
            </w:pPr>
            <w:bookmarkStart w:id="6" w:name="HearingDate"/>
            <w:r>
              <w:t>8 March 2017</w:t>
            </w:r>
            <w:bookmarkEnd w:id="6"/>
          </w:p>
        </w:tc>
      </w:tr>
      <w:bookmarkEnd w:id="5"/>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pPr>
          </w:p>
        </w:tc>
      </w:tr>
      <w:tr w:rsidR="00687D0D" w:rsidTr="00687D0D">
        <w:tc>
          <w:tcPr>
            <w:tcW w:w="3085" w:type="dxa"/>
            <w:shd w:val="clear" w:color="auto" w:fill="auto"/>
          </w:tcPr>
          <w:p w:rsidR="00687D0D" w:rsidRDefault="00687D0D" w:rsidP="00687D0D">
            <w:pPr>
              <w:pStyle w:val="Normal1linespace"/>
              <w:widowControl w:val="0"/>
              <w:jc w:val="left"/>
            </w:pPr>
            <w:r>
              <w:t>Registry:</w:t>
            </w:r>
          </w:p>
        </w:tc>
        <w:tc>
          <w:tcPr>
            <w:tcW w:w="5989" w:type="dxa"/>
            <w:shd w:val="clear" w:color="auto" w:fill="auto"/>
          </w:tcPr>
          <w:p w:rsidR="00687D0D" w:rsidRPr="00F17599" w:rsidRDefault="00725A21" w:rsidP="00687D0D">
            <w:pPr>
              <w:pStyle w:val="Normal1linespace"/>
              <w:widowControl w:val="0"/>
              <w:jc w:val="left"/>
            </w:pPr>
            <w:r>
              <w:fldChar w:fldCharType="begin"/>
            </w:r>
            <w:r>
              <w:instrText xml:space="preserve"> DOCPROPERTY  Registry </w:instrText>
            </w:r>
            <w:r>
              <w:fldChar w:fldCharType="separate"/>
            </w:r>
            <w:r w:rsidR="00B0509E">
              <w:t>New South Wales</w:t>
            </w:r>
            <w:r>
              <w:fldChar w:fldCharType="end"/>
            </w:r>
          </w:p>
        </w:tc>
      </w:tr>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pPr>
          </w:p>
        </w:tc>
      </w:tr>
      <w:tr w:rsidR="00687D0D" w:rsidTr="00687D0D">
        <w:tc>
          <w:tcPr>
            <w:tcW w:w="3085" w:type="dxa"/>
            <w:shd w:val="clear" w:color="auto" w:fill="auto"/>
          </w:tcPr>
          <w:p w:rsidR="00687D0D" w:rsidRDefault="00687D0D" w:rsidP="00687D0D">
            <w:pPr>
              <w:pStyle w:val="Normal1linespace"/>
              <w:widowControl w:val="0"/>
              <w:jc w:val="left"/>
            </w:pPr>
            <w:r>
              <w:t>Division:</w:t>
            </w:r>
          </w:p>
        </w:tc>
        <w:tc>
          <w:tcPr>
            <w:tcW w:w="5989" w:type="dxa"/>
            <w:shd w:val="clear" w:color="auto" w:fill="auto"/>
          </w:tcPr>
          <w:p w:rsidR="00687D0D" w:rsidRPr="00F17599" w:rsidRDefault="00725A21" w:rsidP="00687D0D">
            <w:pPr>
              <w:pStyle w:val="Normal1linespace"/>
              <w:widowControl w:val="0"/>
              <w:jc w:val="left"/>
            </w:pPr>
            <w:r>
              <w:fldChar w:fldCharType="begin"/>
            </w:r>
            <w:r>
              <w:instrText xml:space="preserve"> DOCPROPERTY  Division </w:instrText>
            </w:r>
            <w:r>
              <w:fldChar w:fldCharType="separate"/>
            </w:r>
            <w:r w:rsidR="00B0509E">
              <w:t>General Division</w:t>
            </w:r>
            <w:r>
              <w:fldChar w:fldCharType="end"/>
            </w:r>
          </w:p>
        </w:tc>
      </w:tr>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Pr="00F17599" w:rsidRDefault="00687D0D" w:rsidP="00687D0D">
            <w:pPr>
              <w:pStyle w:val="Normal1linespace"/>
              <w:widowControl w:val="0"/>
              <w:jc w:val="left"/>
              <w:rPr>
                <w:b/>
              </w:rPr>
            </w:pPr>
          </w:p>
        </w:tc>
      </w:tr>
      <w:tr w:rsidR="00687D0D" w:rsidTr="00687D0D">
        <w:tc>
          <w:tcPr>
            <w:tcW w:w="3085" w:type="dxa"/>
            <w:shd w:val="clear" w:color="auto" w:fill="auto"/>
          </w:tcPr>
          <w:p w:rsidR="00687D0D" w:rsidRDefault="00687D0D" w:rsidP="00687D0D">
            <w:pPr>
              <w:pStyle w:val="Normal1linespace"/>
              <w:widowControl w:val="0"/>
              <w:jc w:val="left"/>
            </w:pPr>
            <w:r>
              <w:t>National Practice Area:</w:t>
            </w:r>
          </w:p>
        </w:tc>
        <w:tc>
          <w:tcPr>
            <w:tcW w:w="5989" w:type="dxa"/>
            <w:shd w:val="clear" w:color="auto" w:fill="auto"/>
          </w:tcPr>
          <w:p w:rsidR="00687D0D" w:rsidRPr="00F17599" w:rsidRDefault="00725A21" w:rsidP="00687D0D">
            <w:pPr>
              <w:pStyle w:val="Normal1linespace"/>
              <w:widowControl w:val="0"/>
              <w:jc w:val="left"/>
              <w:rPr>
                <w:b/>
              </w:rPr>
            </w:pPr>
            <w:r>
              <w:fldChar w:fldCharType="begin"/>
            </w:r>
            <w:r>
              <w:instrText xml:space="preserve"> DOCPROPERTY  "Practice Area"  \* MERGEFORMAT </w:instrText>
            </w:r>
            <w:r>
              <w:fldChar w:fldCharType="separate"/>
            </w:r>
            <w:r w:rsidR="00B0509E">
              <w:t>Administrative and Constitutional Law and Human Rights</w:t>
            </w:r>
            <w:r>
              <w:fldChar w:fldCharType="end"/>
            </w:r>
          </w:p>
        </w:tc>
      </w:tr>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rPr>
                <w:b/>
              </w:rPr>
            </w:pPr>
          </w:p>
        </w:tc>
      </w:tr>
      <w:tr w:rsidR="00687D0D" w:rsidTr="00687D0D">
        <w:tc>
          <w:tcPr>
            <w:tcW w:w="3085" w:type="dxa"/>
            <w:shd w:val="clear" w:color="auto" w:fill="auto"/>
          </w:tcPr>
          <w:p w:rsidR="00687D0D" w:rsidRDefault="00687D0D" w:rsidP="00687D0D">
            <w:pPr>
              <w:pStyle w:val="Normal1linespace"/>
              <w:widowControl w:val="0"/>
              <w:jc w:val="left"/>
            </w:pPr>
            <w:r>
              <w:t>Category:</w:t>
            </w:r>
          </w:p>
        </w:tc>
        <w:tc>
          <w:tcPr>
            <w:tcW w:w="5989" w:type="dxa"/>
            <w:shd w:val="clear" w:color="auto" w:fill="auto"/>
          </w:tcPr>
          <w:p w:rsidR="00687D0D" w:rsidRDefault="003C18D7" w:rsidP="00687D0D">
            <w:pPr>
              <w:pStyle w:val="Normal1linespace"/>
              <w:widowControl w:val="0"/>
              <w:jc w:val="left"/>
            </w:pPr>
            <w:r>
              <w:t xml:space="preserve">No </w:t>
            </w:r>
            <w:r w:rsidR="00C63666">
              <w:t>Catchwords</w:t>
            </w:r>
          </w:p>
        </w:tc>
      </w:tr>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pPr>
          </w:p>
        </w:tc>
      </w:tr>
      <w:tr w:rsidR="009917DB" w:rsidTr="00687D0D">
        <w:tc>
          <w:tcPr>
            <w:tcW w:w="3085" w:type="dxa"/>
            <w:shd w:val="clear" w:color="auto" w:fill="auto"/>
          </w:tcPr>
          <w:p w:rsidR="009917DB" w:rsidRDefault="009917DB" w:rsidP="00E0487A">
            <w:pPr>
              <w:pStyle w:val="Normal1linespace"/>
              <w:widowControl w:val="0"/>
              <w:jc w:val="left"/>
            </w:pPr>
            <w:r>
              <w:t>Number of paragraphs:</w:t>
            </w:r>
          </w:p>
        </w:tc>
        <w:tc>
          <w:tcPr>
            <w:tcW w:w="5989" w:type="dxa"/>
            <w:shd w:val="clear" w:color="auto" w:fill="auto"/>
          </w:tcPr>
          <w:p w:rsidR="009917DB" w:rsidRDefault="002816E1" w:rsidP="00E0487A">
            <w:pPr>
              <w:pStyle w:val="Normal1linespace"/>
              <w:widowControl w:val="0"/>
              <w:jc w:val="left"/>
            </w:pPr>
            <w:bookmarkStart w:id="7" w:name="PlaceCategoryParagraphs"/>
            <w:r>
              <w:t>33</w:t>
            </w:r>
            <w:bookmarkEnd w:id="7"/>
          </w:p>
        </w:tc>
      </w:tr>
      <w:tr w:rsidR="009917DB" w:rsidTr="005C7D4A">
        <w:tc>
          <w:tcPr>
            <w:tcW w:w="3085" w:type="dxa"/>
            <w:shd w:val="clear" w:color="auto" w:fill="auto"/>
          </w:tcPr>
          <w:p w:rsidR="009917DB" w:rsidRDefault="009917DB" w:rsidP="00E0487A">
            <w:pPr>
              <w:pStyle w:val="Normal1linespace"/>
              <w:widowControl w:val="0"/>
              <w:jc w:val="left"/>
            </w:pPr>
          </w:p>
        </w:tc>
        <w:tc>
          <w:tcPr>
            <w:tcW w:w="5989" w:type="dxa"/>
            <w:shd w:val="clear" w:color="auto" w:fill="auto"/>
          </w:tcPr>
          <w:p w:rsidR="009917DB" w:rsidRDefault="009917DB" w:rsidP="00E0487A">
            <w:pPr>
              <w:pStyle w:val="Normal1linespace"/>
              <w:widowControl w:val="0"/>
              <w:jc w:val="left"/>
            </w:pPr>
          </w:p>
        </w:tc>
      </w:tr>
      <w:tr w:rsidR="008B611D" w:rsidTr="009917DB">
        <w:tc>
          <w:tcPr>
            <w:tcW w:w="3085" w:type="dxa"/>
            <w:shd w:val="clear" w:color="auto" w:fill="auto"/>
          </w:tcPr>
          <w:p w:rsidR="008B611D" w:rsidRDefault="008B611D" w:rsidP="008B611D">
            <w:pPr>
              <w:pStyle w:val="Normal1linespace"/>
              <w:widowControl w:val="0"/>
              <w:jc w:val="left"/>
            </w:pPr>
            <w:bookmarkStart w:id="8" w:name="Counsel" w:colFirst="0" w:colLast="2"/>
            <w:r>
              <w:t>Counsel for the Appellant:</w:t>
            </w:r>
          </w:p>
        </w:tc>
        <w:tc>
          <w:tcPr>
            <w:tcW w:w="5989" w:type="dxa"/>
            <w:shd w:val="clear" w:color="auto" w:fill="auto"/>
          </w:tcPr>
          <w:p w:rsidR="008B611D" w:rsidRDefault="008B611D" w:rsidP="008B611D">
            <w:pPr>
              <w:pStyle w:val="Normal1linespace"/>
              <w:widowControl w:val="0"/>
              <w:jc w:val="left"/>
            </w:pPr>
            <w:bookmarkStart w:id="9" w:name="AppCounsel"/>
            <w:bookmarkEnd w:id="9"/>
            <w:r>
              <w:t>The appellant appeared in person</w:t>
            </w:r>
          </w:p>
        </w:tc>
      </w:tr>
      <w:bookmarkEnd w:id="8"/>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pPr>
          </w:p>
        </w:tc>
      </w:tr>
      <w:tr w:rsidR="00687D0D" w:rsidTr="00687D0D">
        <w:tc>
          <w:tcPr>
            <w:tcW w:w="3085" w:type="dxa"/>
            <w:shd w:val="clear" w:color="auto" w:fill="auto"/>
          </w:tcPr>
          <w:p w:rsidR="00687D0D" w:rsidRDefault="008B611D" w:rsidP="00687D0D">
            <w:pPr>
              <w:pStyle w:val="Normal1linespace"/>
              <w:widowControl w:val="0"/>
              <w:jc w:val="left"/>
            </w:pPr>
            <w:r>
              <w:t>Solicitor for the First Respondent:</w:t>
            </w:r>
          </w:p>
        </w:tc>
        <w:tc>
          <w:tcPr>
            <w:tcW w:w="5989" w:type="dxa"/>
            <w:shd w:val="clear" w:color="auto" w:fill="auto"/>
          </w:tcPr>
          <w:p w:rsidR="00687D0D" w:rsidRDefault="008B611D" w:rsidP="00687D0D">
            <w:pPr>
              <w:pStyle w:val="Normal1linespace"/>
              <w:widowControl w:val="0"/>
              <w:jc w:val="left"/>
            </w:pPr>
            <w:r>
              <w:t xml:space="preserve">Mr L </w:t>
            </w:r>
            <w:proofErr w:type="spellStart"/>
            <w:r>
              <w:t>Leerdam</w:t>
            </w:r>
            <w:proofErr w:type="spellEnd"/>
            <w:r>
              <w:t>, DLA Piper Australia</w:t>
            </w:r>
          </w:p>
        </w:tc>
      </w:tr>
      <w:tr w:rsidR="00687D0D" w:rsidTr="00687D0D">
        <w:tc>
          <w:tcPr>
            <w:tcW w:w="3085" w:type="dxa"/>
            <w:shd w:val="clear" w:color="auto" w:fill="auto"/>
          </w:tcPr>
          <w:p w:rsidR="00687D0D" w:rsidRDefault="00687D0D" w:rsidP="00687D0D">
            <w:pPr>
              <w:pStyle w:val="Normal1linespace"/>
              <w:widowControl w:val="0"/>
              <w:jc w:val="left"/>
            </w:pPr>
          </w:p>
        </w:tc>
        <w:tc>
          <w:tcPr>
            <w:tcW w:w="5989" w:type="dxa"/>
            <w:shd w:val="clear" w:color="auto" w:fill="auto"/>
          </w:tcPr>
          <w:p w:rsidR="00687D0D" w:rsidRDefault="00687D0D" w:rsidP="00687D0D">
            <w:pPr>
              <w:pStyle w:val="Normal1linespace"/>
              <w:widowControl w:val="0"/>
              <w:jc w:val="left"/>
            </w:pPr>
          </w:p>
        </w:tc>
      </w:tr>
      <w:tr w:rsidR="008B611D" w:rsidTr="00687D0D">
        <w:tc>
          <w:tcPr>
            <w:tcW w:w="3085" w:type="dxa"/>
            <w:shd w:val="clear" w:color="auto" w:fill="auto"/>
          </w:tcPr>
          <w:p w:rsidR="008B611D" w:rsidRDefault="008B611D" w:rsidP="008B611D">
            <w:pPr>
              <w:pStyle w:val="Normal1linespace"/>
              <w:widowControl w:val="0"/>
              <w:jc w:val="left"/>
            </w:pPr>
            <w:r>
              <w:t>Counsel for the Second Respondent:</w:t>
            </w:r>
          </w:p>
        </w:tc>
        <w:tc>
          <w:tcPr>
            <w:tcW w:w="5989" w:type="dxa"/>
            <w:shd w:val="clear" w:color="auto" w:fill="auto"/>
          </w:tcPr>
          <w:p w:rsidR="008B611D" w:rsidRDefault="008B611D" w:rsidP="00687D0D">
            <w:pPr>
              <w:pStyle w:val="Normal1linespace"/>
              <w:widowControl w:val="0"/>
              <w:jc w:val="left"/>
            </w:pPr>
            <w:r>
              <w:t>The Second Respondent filed a submitting notice save as to costs</w:t>
            </w:r>
          </w:p>
        </w:tc>
      </w:tr>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0509E" w:rsidP="00F92355">
            <w:pPr>
              <w:pStyle w:val="NormalHeadings"/>
              <w:jc w:val="right"/>
            </w:pPr>
            <w:bookmarkStart w:id="10" w:name="FileNo"/>
            <w:r>
              <w:t>NSD 1525 of 2016</w:t>
            </w:r>
            <w:bookmarkEnd w:id="10"/>
          </w:p>
        </w:tc>
      </w:tr>
      <w:tr w:rsidR="00412E6F" w:rsidRPr="00A76C13" w:rsidTr="00E0487A">
        <w:tc>
          <w:tcPr>
            <w:tcW w:w="9242" w:type="dxa"/>
            <w:gridSpan w:val="3"/>
          </w:tcPr>
          <w:p w:rsidR="00412E6F" w:rsidRPr="00A76C13" w:rsidRDefault="00412E6F" w:rsidP="0014091A">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bookmarkStart w:id="11" w:name="Parties"/>
            <w:r>
              <w:rPr>
                <w:caps/>
                <w:szCs w:val="24"/>
              </w:rPr>
              <w:t>BETWEEN:</w:t>
            </w:r>
          </w:p>
        </w:tc>
        <w:tc>
          <w:tcPr>
            <w:tcW w:w="6866" w:type="dxa"/>
            <w:gridSpan w:val="2"/>
          </w:tcPr>
          <w:p w:rsidR="00B0509E" w:rsidRDefault="00B0509E" w:rsidP="00B0509E">
            <w:pPr>
              <w:pStyle w:val="NormalHeadings"/>
              <w:jc w:val="left"/>
            </w:pPr>
            <w:bookmarkStart w:id="12" w:name="Applicant"/>
            <w:r>
              <w:t>RAJ KUMAR RAMJALI</w:t>
            </w:r>
          </w:p>
          <w:p w:rsidR="00B0509E" w:rsidRDefault="00B0509E" w:rsidP="00B0509E">
            <w:pPr>
              <w:pStyle w:val="PartyType"/>
            </w:pPr>
            <w:r>
              <w:t>Appellant</w:t>
            </w:r>
          </w:p>
          <w:bookmarkEnd w:id="12"/>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0509E" w:rsidRDefault="00B0509E" w:rsidP="00B0509E">
            <w:pPr>
              <w:pStyle w:val="NormalHeadings"/>
              <w:jc w:val="left"/>
            </w:pPr>
            <w:bookmarkStart w:id="13" w:name="Respondent"/>
            <w:r>
              <w:t>MINISTER FOR IMMIGRATION AND BORDER PROTECTION</w:t>
            </w:r>
          </w:p>
          <w:p w:rsidR="00B0509E" w:rsidRDefault="00B0509E" w:rsidP="00B0509E">
            <w:pPr>
              <w:pStyle w:val="PartyType"/>
            </w:pPr>
            <w:r>
              <w:t>First Respondent</w:t>
            </w:r>
          </w:p>
          <w:p w:rsidR="00B0509E" w:rsidRDefault="00B0509E" w:rsidP="005041F0">
            <w:pPr>
              <w:pStyle w:val="NormalHeadings"/>
              <w:jc w:val="left"/>
            </w:pPr>
          </w:p>
          <w:p w:rsidR="00B0509E" w:rsidRDefault="00B0509E" w:rsidP="00B0509E">
            <w:pPr>
              <w:pStyle w:val="NormalHeadings"/>
              <w:jc w:val="left"/>
            </w:pPr>
            <w:r>
              <w:t>ADMINISTRATIVE APPEALS TRIBUNAL</w:t>
            </w:r>
          </w:p>
          <w:p w:rsidR="00B0509E" w:rsidRDefault="00B0509E" w:rsidP="00B0509E">
            <w:pPr>
              <w:pStyle w:val="PartyType"/>
            </w:pPr>
            <w:r>
              <w:t>Second Respondent</w:t>
            </w:r>
          </w:p>
          <w:bookmarkEnd w:id="13"/>
          <w:p w:rsidR="00A46CCC" w:rsidRPr="006555B4" w:rsidRDefault="00A46CCC" w:rsidP="005041F0">
            <w:pPr>
              <w:pStyle w:val="NormalHeadings"/>
              <w:jc w:val="left"/>
            </w:pPr>
          </w:p>
        </w:tc>
      </w:tr>
    </w:tbl>
    <w:p w:rsidR="00395B24" w:rsidRDefault="00395B24">
      <w:pPr>
        <w:pStyle w:val="NormalHeadings"/>
      </w:pPr>
      <w:bookmarkStart w:id="14" w:name="CrossClaimPosition"/>
      <w:bookmarkEnd w:id="11"/>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B0509E">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rsidR="00395B24" w:rsidRDefault="00B0509E">
            <w:pPr>
              <w:pStyle w:val="NormalHeadings"/>
              <w:jc w:val="left"/>
              <w:rPr>
                <w:caps/>
                <w:szCs w:val="24"/>
              </w:rPr>
            </w:pPr>
            <w:bookmarkStart w:id="16" w:name="Judge"/>
            <w:r>
              <w:rPr>
                <w:caps/>
                <w:szCs w:val="24"/>
              </w:rPr>
              <w:t>BROMWICH J</w:t>
            </w:r>
            <w:bookmarkEnd w:id="16"/>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B0509E" w:rsidP="00C04871">
            <w:pPr>
              <w:pStyle w:val="NormalHeadings"/>
              <w:jc w:val="left"/>
              <w:rPr>
                <w:caps/>
                <w:szCs w:val="24"/>
              </w:rPr>
            </w:pPr>
            <w:bookmarkStart w:id="17" w:name="Judgment_Dated"/>
            <w:r>
              <w:rPr>
                <w:caps/>
                <w:szCs w:val="24"/>
              </w:rPr>
              <w:t>20 MARCH 2017</w:t>
            </w:r>
            <w:bookmarkEnd w:id="17"/>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AC3AF6" w:rsidP="00274F5B">
      <w:pPr>
        <w:pStyle w:val="Order1"/>
      </w:pPr>
      <w:bookmarkStart w:id="18" w:name="Order_Start_Text"/>
      <w:bookmarkEnd w:id="18"/>
      <w:r>
        <w:t xml:space="preserve">The appeal </w:t>
      </w:r>
      <w:proofErr w:type="gramStart"/>
      <w:r>
        <w:t>be</w:t>
      </w:r>
      <w:proofErr w:type="gramEnd"/>
      <w:r>
        <w:t xml:space="preserve"> dismissed.</w:t>
      </w:r>
    </w:p>
    <w:p w:rsidR="00AC3AF6" w:rsidRDefault="00AC3AF6" w:rsidP="00274F5B">
      <w:pPr>
        <w:pStyle w:val="Order1"/>
      </w:pPr>
      <w:r>
        <w:t>The appellant pay the respondents’ costs of and incidental to the proceedings in this Court as assessed or agreed.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rsidR="00395B24" w:rsidRPr="00EA03CE" w:rsidRDefault="00C63666" w:rsidP="00DA5B3E">
      <w:pPr>
        <w:pStyle w:val="Heading1"/>
      </w:pPr>
      <w:r>
        <w:t>BROMWICH J</w:t>
      </w:r>
      <w:r w:rsidR="00484F6D" w:rsidRPr="00EA03CE">
        <w:t>:</w:t>
      </w:r>
    </w:p>
    <w:p w:rsidR="00484F6D" w:rsidRDefault="00C63666" w:rsidP="00D149DE">
      <w:pPr>
        <w:pStyle w:val="Heading2"/>
      </w:pPr>
      <w:r>
        <w:t>Introduction</w:t>
      </w:r>
    </w:p>
    <w:p w:rsidR="00EB6CE3" w:rsidRDefault="00EB6CE3" w:rsidP="00EB6CE3">
      <w:pPr>
        <w:pStyle w:val="ParaNumbering"/>
      </w:pPr>
      <w:r>
        <w:t>This is an a</w:t>
      </w:r>
      <w:r w:rsidR="00EE76AE">
        <w:t>ppeal from orders made by a j</w:t>
      </w:r>
      <w:r>
        <w:t xml:space="preserve">udge of the </w:t>
      </w:r>
      <w:r w:rsidRPr="00AC3AF6">
        <w:t>Federal Circuit Court</w:t>
      </w:r>
      <w:r>
        <w:t xml:space="preserve"> of Australia on 22</w:t>
      </w:r>
      <w:r w:rsidR="00AC3AF6">
        <w:t> </w:t>
      </w:r>
      <w:r w:rsidR="00884699">
        <w:t>August </w:t>
      </w:r>
      <w:r>
        <w:t>2016.  Her Honour dismissed an applica</w:t>
      </w:r>
      <w:r w:rsidR="00884699">
        <w:t>tion for review of a 15 January </w:t>
      </w:r>
      <w:r>
        <w:t xml:space="preserve">2015 decision of the Migration Review </w:t>
      </w:r>
      <w:r w:rsidRPr="002259CB">
        <w:t>Tribunal</w:t>
      </w:r>
      <w:r>
        <w:t>, now the Administrative Appeals Tribunal.</w:t>
      </w:r>
      <w:r w:rsidR="00884699">
        <w:t xml:space="preserve">  The Tribunal had affirmed a 9 </w:t>
      </w:r>
      <w:r>
        <w:t>November</w:t>
      </w:r>
      <w:r w:rsidR="00884699">
        <w:t> </w:t>
      </w:r>
      <w:r>
        <w:t xml:space="preserve">2012 decision of a delegate of the first respondent, the Minister for Immigration and Border Protection, not to grant the appellant a </w:t>
      </w:r>
      <w:r w:rsidR="00AC3AF6">
        <w:t>Temporary Business Entry (Class UC) Subclass</w:t>
      </w:r>
      <w:r>
        <w:t xml:space="preserve"> 457 </w:t>
      </w:r>
      <w:r w:rsidR="00AC3AF6">
        <w:t>v</w:t>
      </w:r>
      <w:r w:rsidR="00884699">
        <w:t>isa under s </w:t>
      </w:r>
      <w:r>
        <w:t xml:space="preserve">65 of the </w:t>
      </w:r>
      <w:r w:rsidRPr="00EB6CE3">
        <w:rPr>
          <w:i/>
        </w:rPr>
        <w:t>Migration Act 1958</w:t>
      </w:r>
      <w:r>
        <w:t xml:space="preserve"> (Cth).  The primary reason for the delay in the Tribunal</w:t>
      </w:r>
      <w:r w:rsidR="005B0449">
        <w:t>’</w:t>
      </w:r>
      <w:r>
        <w:t>s</w:t>
      </w:r>
      <w:r w:rsidR="005B0449">
        <w:t xml:space="preserve"> decision was that the delegate’</w:t>
      </w:r>
      <w:r>
        <w:t>s decision had to be re-served due to a defect in the manner of its original service.</w:t>
      </w:r>
    </w:p>
    <w:p w:rsidR="00EB6CE3" w:rsidRDefault="00EB6CE3" w:rsidP="00EB6CE3">
      <w:pPr>
        <w:pStyle w:val="Heading2"/>
      </w:pPr>
      <w:r>
        <w:t>Before the delegate</w:t>
      </w:r>
    </w:p>
    <w:p w:rsidR="00EE76AE" w:rsidRDefault="00EB6CE3" w:rsidP="00EB6CE3">
      <w:pPr>
        <w:pStyle w:val="ParaNumbering"/>
      </w:pPr>
      <w:r>
        <w:t>The de</w:t>
      </w:r>
      <w:r w:rsidR="005B0449">
        <w:t>legate considered the appellant’</w:t>
      </w:r>
      <w:r>
        <w:t xml:space="preserve">s visa application in relation to both </w:t>
      </w:r>
      <w:r w:rsidR="00662F88">
        <w:t>S</w:t>
      </w:r>
      <w:r>
        <w:t xml:space="preserve">ubclass 456, being a </w:t>
      </w:r>
      <w:r w:rsidR="00662F88">
        <w:t>B</w:t>
      </w:r>
      <w:r>
        <w:t xml:space="preserve">usiness </w:t>
      </w:r>
      <w:r w:rsidR="00662F88">
        <w:t>(S</w:t>
      </w:r>
      <w:r>
        <w:t xml:space="preserve">hort </w:t>
      </w:r>
      <w:r w:rsidR="00662F88">
        <w:t>Stay</w:t>
      </w:r>
      <w:r w:rsidR="005C2A2F">
        <w:t>)</w:t>
      </w:r>
      <w:r w:rsidR="00662F88">
        <w:t xml:space="preserve"> </w:t>
      </w:r>
      <w:r>
        <w:t xml:space="preserve">visa, and </w:t>
      </w:r>
      <w:r w:rsidR="00662F88">
        <w:t xml:space="preserve">Subclass </w:t>
      </w:r>
      <w:r>
        <w:t>457</w:t>
      </w:r>
      <w:r w:rsidR="00400DE4">
        <w:t>,</w:t>
      </w:r>
      <w:r>
        <w:t xml:space="preserve"> being a </w:t>
      </w:r>
      <w:r w:rsidR="00662F88">
        <w:t>B</w:t>
      </w:r>
      <w:r>
        <w:t xml:space="preserve">usiness </w:t>
      </w:r>
      <w:r w:rsidR="00662F88">
        <w:t>(L</w:t>
      </w:r>
      <w:r>
        <w:t xml:space="preserve">ong </w:t>
      </w:r>
      <w:r w:rsidR="00662F88">
        <w:t>Stay)</w:t>
      </w:r>
      <w:r>
        <w:t xml:space="preserve"> visa.  It is not controversial that the delegate refused the grant of the </w:t>
      </w:r>
      <w:r w:rsidR="00662F88">
        <w:t>S</w:t>
      </w:r>
      <w:r>
        <w:t xml:space="preserve">hort </w:t>
      </w:r>
      <w:r w:rsidR="00662F88">
        <w:t>S</w:t>
      </w:r>
      <w:r>
        <w:t>tay visa because the applicant proposed to remain in Austr</w:t>
      </w:r>
      <w:r w:rsidR="00400DE4">
        <w:t xml:space="preserve">alia for more than three months.  In relation to the </w:t>
      </w:r>
      <w:r w:rsidR="002259CB">
        <w:t xml:space="preserve">Subclass 457 </w:t>
      </w:r>
      <w:r>
        <w:t xml:space="preserve">visa, the appellant was required, inter alia, to meet the requirements of </w:t>
      </w:r>
      <w:r w:rsidR="00662F88">
        <w:t>cl</w:t>
      </w:r>
      <w:r w:rsidR="002259CB">
        <w:t> </w:t>
      </w:r>
      <w:r w:rsidRPr="00694D6D">
        <w:t>457.223(</w:t>
      </w:r>
      <w:r w:rsidR="00694D6D" w:rsidRPr="00694D6D">
        <w:t>4)</w:t>
      </w:r>
      <w:r w:rsidRPr="00694D6D">
        <w:t>(a)</w:t>
      </w:r>
      <w:r w:rsidR="002F7894">
        <w:t xml:space="preserve"> in </w:t>
      </w:r>
      <w:r w:rsidR="00791E9D">
        <w:t>S</w:t>
      </w:r>
      <w:r w:rsidR="002F7894">
        <w:t xml:space="preserve">chedule 2 to the </w:t>
      </w:r>
      <w:r w:rsidR="002F7894">
        <w:rPr>
          <w:i/>
        </w:rPr>
        <w:t xml:space="preserve">Migration Regulations 1994 </w:t>
      </w:r>
      <w:r w:rsidR="002F7894">
        <w:t>(Cth) w</w:t>
      </w:r>
      <w:r>
        <w:t xml:space="preserve">hich provided as follows: </w:t>
      </w:r>
    </w:p>
    <w:p w:rsidR="006D483A" w:rsidRDefault="006D483A" w:rsidP="006D483A">
      <w:pPr>
        <w:pStyle w:val="Quote1"/>
      </w:pPr>
      <w:r>
        <w:t>(4)</w:t>
      </w:r>
      <w:r w:rsidR="002259CB">
        <w:tab/>
      </w:r>
      <w:r>
        <w:t>The applicant meets the requirements of this subclause if:</w:t>
      </w:r>
    </w:p>
    <w:p w:rsidR="006D483A" w:rsidRDefault="006D483A" w:rsidP="002259CB">
      <w:pPr>
        <w:pStyle w:val="Quote1"/>
        <w:ind w:left="1440"/>
      </w:pPr>
      <w:r>
        <w:t>(a)</w:t>
      </w:r>
      <w:r>
        <w:tab/>
      </w:r>
      <w:proofErr w:type="gramStart"/>
      <w:r>
        <w:t>either</w:t>
      </w:r>
      <w:proofErr w:type="gramEnd"/>
      <w:r>
        <w:t>:</w:t>
      </w:r>
    </w:p>
    <w:p w:rsidR="006D483A" w:rsidRDefault="006D483A" w:rsidP="002259CB">
      <w:pPr>
        <w:pStyle w:val="Quote2"/>
        <w:ind w:left="2863" w:hanging="720"/>
      </w:pPr>
      <w:r>
        <w:t>(</w:t>
      </w:r>
      <w:proofErr w:type="spellStart"/>
      <w:r>
        <w:t>i</w:t>
      </w:r>
      <w:proofErr w:type="spellEnd"/>
      <w:r>
        <w:t>)</w:t>
      </w:r>
      <w:r>
        <w:tab/>
      </w:r>
      <w:proofErr w:type="gramStart"/>
      <w:r>
        <w:t>if</w:t>
      </w:r>
      <w:proofErr w:type="gramEnd"/>
      <w:r>
        <w:t xml:space="preserve"> the applicant and a business activity specified in the application and relating to the applicant were the subject of an approved business nomination under regulation 1.20H as in force immediately prior to 14 September 2009:</w:t>
      </w:r>
    </w:p>
    <w:p w:rsidR="006D483A" w:rsidRDefault="006D483A" w:rsidP="002259CB">
      <w:pPr>
        <w:pStyle w:val="Quote3"/>
        <w:ind w:left="3583" w:hanging="720"/>
      </w:pPr>
      <w:r>
        <w:t>(A)</w:t>
      </w:r>
      <w:r>
        <w:tab/>
      </w:r>
      <w:proofErr w:type="gramStart"/>
      <w:r>
        <w:t>the</w:t>
      </w:r>
      <w:proofErr w:type="gramEnd"/>
      <w:r>
        <w:t xml:space="preserve"> nomination was made by a person who was a standard business sponsor at the time the nomination was approved; and</w:t>
      </w:r>
    </w:p>
    <w:p w:rsidR="006D483A" w:rsidRDefault="006D483A" w:rsidP="002259CB">
      <w:pPr>
        <w:pStyle w:val="Quote3"/>
        <w:ind w:left="3583" w:hanging="720"/>
      </w:pPr>
      <w:r>
        <w:t>(B)</w:t>
      </w:r>
      <w:r>
        <w:tab/>
        <w:t xml:space="preserve">the approval of the nomination has not ceased to have effect under </w:t>
      </w:r>
      <w:proofErr w:type="spellStart"/>
      <w:r>
        <w:t>subregulation</w:t>
      </w:r>
      <w:proofErr w:type="spellEnd"/>
      <w:r>
        <w:t xml:space="preserve"> 1.20H (5) as in force immediately prior to 14 September 2009; or</w:t>
      </w:r>
    </w:p>
    <w:p w:rsidR="006D483A" w:rsidRDefault="006D483A" w:rsidP="002259CB">
      <w:pPr>
        <w:pStyle w:val="Quote2"/>
        <w:ind w:left="2863" w:hanging="720"/>
      </w:pPr>
      <w:r>
        <w:t>(ii)</w:t>
      </w:r>
      <w:r>
        <w:tab/>
      </w:r>
      <w:proofErr w:type="gramStart"/>
      <w:r>
        <w:t>if</w:t>
      </w:r>
      <w:proofErr w:type="gramEnd"/>
      <w:r>
        <w:t xml:space="preserve"> a nomination of an occupation in relation to the applicant has been approved under section 140GB of the Act:</w:t>
      </w:r>
    </w:p>
    <w:p w:rsidR="006D483A" w:rsidRDefault="006D483A" w:rsidP="00780536">
      <w:pPr>
        <w:pStyle w:val="Quote3"/>
        <w:keepLines/>
        <w:ind w:left="3583" w:hanging="720"/>
      </w:pPr>
      <w:r>
        <w:lastRenderedPageBreak/>
        <w:t>(A)</w:t>
      </w:r>
      <w:r>
        <w:tab/>
      </w:r>
      <w:proofErr w:type="gramStart"/>
      <w:r>
        <w:t>the</w:t>
      </w:r>
      <w:proofErr w:type="gramEnd"/>
      <w:r>
        <w:t xml:space="preserve"> nomination was made by a person who was a standard business sponsor at the time the nomination was approved; and</w:t>
      </w:r>
    </w:p>
    <w:p w:rsidR="006D483A" w:rsidRDefault="006D483A" w:rsidP="002259CB">
      <w:pPr>
        <w:pStyle w:val="Quote3"/>
        <w:spacing w:after="360"/>
        <w:ind w:left="3583" w:hanging="720"/>
      </w:pPr>
      <w:r>
        <w:t>(B)</w:t>
      </w:r>
      <w:r>
        <w:tab/>
      </w:r>
      <w:proofErr w:type="gramStart"/>
      <w:r>
        <w:t>the</w:t>
      </w:r>
      <w:proofErr w:type="gramEnd"/>
      <w:r>
        <w:t xml:space="preserve"> approval of the nomination has not ceased as provided for in regulation 2.75 […]</w:t>
      </w:r>
    </w:p>
    <w:p w:rsidR="00EB6CE3" w:rsidRDefault="00EB6CE3" w:rsidP="006D483A">
      <w:pPr>
        <w:pStyle w:val="ParaNumbering"/>
      </w:pPr>
      <w:r>
        <w:t>The delegate concluded that the appellant was unable to meet those requirements because on 28</w:t>
      </w:r>
      <w:r w:rsidR="00884699">
        <w:t> </w:t>
      </w:r>
      <w:r>
        <w:t>August</w:t>
      </w:r>
      <w:r w:rsidR="00884699">
        <w:t> </w:t>
      </w:r>
      <w:r>
        <w:t>2012 a decision was made to refuse the application for standard business sponsorship approval lodged by the appell</w:t>
      </w:r>
      <w:r w:rsidR="005620C4">
        <w:t xml:space="preserve">ant's prospective employer, </w:t>
      </w:r>
      <w:r w:rsidR="006D483A">
        <w:rPr>
          <w:b/>
        </w:rPr>
        <w:t>Zak</w:t>
      </w:r>
      <w:r w:rsidRPr="00791E9D">
        <w:rPr>
          <w:b/>
        </w:rPr>
        <w:t xml:space="preserve"> </w:t>
      </w:r>
      <w:r w:rsidR="00EE76AE" w:rsidRPr="00791E9D">
        <w:rPr>
          <w:b/>
        </w:rPr>
        <w:t>Form</w:t>
      </w:r>
      <w:r>
        <w:t xml:space="preserve"> </w:t>
      </w:r>
      <w:r w:rsidR="00EE76AE" w:rsidRPr="00AC3AF6">
        <w:rPr>
          <w:b/>
        </w:rPr>
        <w:t>W</w:t>
      </w:r>
      <w:r w:rsidRPr="00AC3AF6">
        <w:rPr>
          <w:b/>
        </w:rPr>
        <w:t>ork</w:t>
      </w:r>
      <w:r>
        <w:t xml:space="preserve"> Pty </w:t>
      </w:r>
      <w:r w:rsidR="00EE76AE">
        <w:t>Ltd</w:t>
      </w:r>
      <w:r>
        <w:t>.  Because the appellant's prospective employer was not an approved standard business sponsor</w:t>
      </w:r>
      <w:r w:rsidR="00EE76AE">
        <w:t>,</w:t>
      </w:r>
      <w:r>
        <w:t xml:space="preserve"> the nomination application lodged by the appellant's prospective employer was unable to be assessed.  </w:t>
      </w:r>
      <w:r w:rsidR="002259CB">
        <w:t>Therefore t</w:t>
      </w:r>
      <w:r>
        <w:t xml:space="preserve">he requirements </w:t>
      </w:r>
      <w:r w:rsidRPr="003C4674">
        <w:t xml:space="preserve">of </w:t>
      </w:r>
      <w:r w:rsidR="00884699">
        <w:t>cl</w:t>
      </w:r>
      <w:r w:rsidR="003C4674" w:rsidRPr="003C4674">
        <w:t xml:space="preserve"> 457.223</w:t>
      </w:r>
      <w:r w:rsidRPr="003C4674">
        <w:t>(</w:t>
      </w:r>
      <w:r w:rsidR="003C4674" w:rsidRPr="003C4674">
        <w:t>4</w:t>
      </w:r>
      <w:proofErr w:type="gramStart"/>
      <w:r w:rsidRPr="003C4674">
        <w:t>)(</w:t>
      </w:r>
      <w:proofErr w:type="gramEnd"/>
      <w:r w:rsidRPr="003C4674">
        <w:t>a)</w:t>
      </w:r>
      <w:r>
        <w:t xml:space="preserve"> </w:t>
      </w:r>
      <w:r w:rsidR="006D5183">
        <w:t>had</w:t>
      </w:r>
      <w:r>
        <w:t xml:space="preserve"> not been met.</w:t>
      </w:r>
    </w:p>
    <w:p w:rsidR="00EB6CE3" w:rsidRDefault="00EB6CE3" w:rsidP="00791E9D">
      <w:pPr>
        <w:pStyle w:val="Heading2"/>
      </w:pPr>
      <w:r>
        <w:t xml:space="preserve">Before the Tribunal </w:t>
      </w:r>
    </w:p>
    <w:p w:rsidR="00EB6CE3" w:rsidRDefault="00EE76AE" w:rsidP="00EB6CE3">
      <w:pPr>
        <w:pStyle w:val="ParaNumbering"/>
      </w:pPr>
      <w:r>
        <w:t>O</w:t>
      </w:r>
      <w:r w:rsidR="00EB6CE3">
        <w:t>n 15</w:t>
      </w:r>
      <w:r w:rsidR="00884699">
        <w:t> </w:t>
      </w:r>
      <w:r w:rsidR="00EB6CE3">
        <w:t>January</w:t>
      </w:r>
      <w:r w:rsidR="00884699">
        <w:t> </w:t>
      </w:r>
      <w:r w:rsidR="00EB6CE3">
        <w:t>2015</w:t>
      </w:r>
      <w:r>
        <w:t>,</w:t>
      </w:r>
      <w:r w:rsidR="00EB6CE3">
        <w:t xml:space="preserve"> the Tribunal found that </w:t>
      </w:r>
      <w:r>
        <w:t>it</w:t>
      </w:r>
      <w:r w:rsidR="00EB6CE3">
        <w:t xml:space="preserve"> did not have jurisdicti</w:t>
      </w:r>
      <w:r w:rsidR="005B0449">
        <w:t>on in relation to the appellant’</w:t>
      </w:r>
      <w:r w:rsidR="00EB6CE3">
        <w:t>s application for review</w:t>
      </w:r>
      <w:r w:rsidR="002259CB">
        <w:t>.  This conclusion was reached</w:t>
      </w:r>
      <w:r w:rsidR="00A953EF">
        <w:t xml:space="preserve"> </w:t>
      </w:r>
      <w:r w:rsidR="002259CB">
        <w:t>up</w:t>
      </w:r>
      <w:r w:rsidR="00A953EF">
        <w:t>on the basis that, when</w:t>
      </w:r>
      <w:r w:rsidR="00EB6CE3">
        <w:t xml:space="preserve"> the application for review was received by </w:t>
      </w:r>
      <w:r>
        <w:t>the</w:t>
      </w:r>
      <w:r w:rsidR="00EB6CE3">
        <w:t xml:space="preserve"> Tribunal on 27</w:t>
      </w:r>
      <w:r w:rsidR="00884699">
        <w:t> November </w:t>
      </w:r>
      <w:r w:rsidR="00EB6CE3">
        <w:t>2014, the appellant</w:t>
      </w:r>
      <w:r w:rsidR="005B0449">
        <w:t>’</w:t>
      </w:r>
      <w:r w:rsidR="00EB6CE3">
        <w:t>s sponsor</w:t>
      </w:r>
      <w:r w:rsidR="000D3E71">
        <w:t>, Zak Form Work,</w:t>
      </w:r>
      <w:r w:rsidR="00EB6CE3">
        <w:t xml:space="preserve"> was not approved as a standard business sponsor</w:t>
      </w:r>
      <w:r w:rsidR="00A953EF">
        <w:t xml:space="preserve">.  </w:t>
      </w:r>
      <w:r w:rsidR="000D3E71">
        <w:t xml:space="preserve">As established before the original decision-maker, </w:t>
      </w:r>
      <w:r w:rsidR="00A953EF">
        <w:t xml:space="preserve">a delegate had refused the sponsor’s approval, </w:t>
      </w:r>
      <w:r w:rsidR="00E83ABC">
        <w:t>which</w:t>
      </w:r>
      <w:r w:rsidR="00A953EF">
        <w:t xml:space="preserve"> decision </w:t>
      </w:r>
      <w:r w:rsidR="00BF1258">
        <w:t>had also been</w:t>
      </w:r>
      <w:r w:rsidR="00A953EF">
        <w:t xml:space="preserve"> affirmed</w:t>
      </w:r>
      <w:r w:rsidR="00DE02B0">
        <w:t xml:space="preserve"> on review</w:t>
      </w:r>
      <w:r w:rsidR="00A953EF">
        <w:t xml:space="preserve"> by a differently constituted Tribunal o</w:t>
      </w:r>
      <w:r w:rsidR="00AC3AF6">
        <w:t>n 5</w:t>
      </w:r>
      <w:r w:rsidR="00884699">
        <w:t> </w:t>
      </w:r>
      <w:r w:rsidR="00AC3AF6">
        <w:t>March</w:t>
      </w:r>
      <w:r w:rsidR="00884699">
        <w:t> </w:t>
      </w:r>
      <w:r w:rsidR="00AC3AF6">
        <w:t>2014</w:t>
      </w:r>
      <w:r w:rsidR="00A953EF">
        <w:t>.</w:t>
      </w:r>
      <w:r w:rsidR="00EB6CE3">
        <w:t xml:space="preserve">  </w:t>
      </w:r>
    </w:p>
    <w:p w:rsidR="00EB6CE3" w:rsidRDefault="00EE76AE" w:rsidP="00EB6CE3">
      <w:pPr>
        <w:pStyle w:val="ParaNumbering"/>
      </w:pPr>
      <w:r>
        <w:t>I</w:t>
      </w:r>
      <w:r w:rsidR="00EB6CE3">
        <w:t xml:space="preserve">n the course of the Tribunal's consideration of the appellant's application, the appellant indicated that he wished the Tribunal to consider his application on the basis of being nominated by a new sponsor, </w:t>
      </w:r>
      <w:r w:rsidR="003C4674" w:rsidRPr="003C4674">
        <w:rPr>
          <w:b/>
        </w:rPr>
        <w:t>Green Formwork</w:t>
      </w:r>
      <w:r w:rsidR="003C4674" w:rsidRPr="003C4674">
        <w:t xml:space="preserve"> Group</w:t>
      </w:r>
      <w:r w:rsidR="00EB6CE3" w:rsidRPr="003C4674">
        <w:t xml:space="preserve"> Pty </w:t>
      </w:r>
      <w:r w:rsidR="003C4674" w:rsidRPr="003C4674">
        <w:t>Ltd</w:t>
      </w:r>
      <w:r w:rsidR="00EB6CE3">
        <w:t>.  He hope</w:t>
      </w:r>
      <w:r>
        <w:t>d</w:t>
      </w:r>
      <w:r w:rsidR="00EB6CE3">
        <w:t xml:space="preserve"> that the Tribunal would be able to accept his application for review because he had a genuine sponsor and was not, he said, properly notified in relation to his previous sponsor.  However</w:t>
      </w:r>
      <w:r w:rsidR="002F7894">
        <w:t xml:space="preserve"> the Tribunal considered that,</w:t>
      </w:r>
      <w:r w:rsidR="00EB6CE3">
        <w:t xml:space="preserve"> given that it was not in dispute that there was no approved sponsor </w:t>
      </w:r>
      <w:r>
        <w:t xml:space="preserve">for </w:t>
      </w:r>
      <w:r w:rsidR="00EB6CE3">
        <w:t>citizenship</w:t>
      </w:r>
      <w:r>
        <w:t xml:space="preserve"> </w:t>
      </w:r>
      <w:r w:rsidR="00EB6CE3">
        <w:t xml:space="preserve">and therefore no approved nomination in force at the relevant time and no application for review of a sponsorship or nomination refusal decision pending before the Tribunal, </w:t>
      </w:r>
      <w:r w:rsidR="00AC3AF6">
        <w:t xml:space="preserve">applying </w:t>
      </w:r>
      <w:r w:rsidR="00EB6CE3">
        <w:t xml:space="preserve">the decision in </w:t>
      </w:r>
      <w:r w:rsidRPr="00EE76AE">
        <w:rPr>
          <w:i/>
        </w:rPr>
        <w:t>Minister for I</w:t>
      </w:r>
      <w:r w:rsidR="00EB6CE3" w:rsidRPr="00EE76AE">
        <w:rPr>
          <w:i/>
        </w:rPr>
        <w:t xml:space="preserve">mmigration and </w:t>
      </w:r>
      <w:r w:rsidRPr="00EE76AE">
        <w:rPr>
          <w:i/>
        </w:rPr>
        <w:t>B</w:t>
      </w:r>
      <w:r w:rsidR="00EB6CE3" w:rsidRPr="00EE76AE">
        <w:rPr>
          <w:i/>
        </w:rPr>
        <w:t xml:space="preserve">order </w:t>
      </w:r>
      <w:r w:rsidRPr="00EE76AE">
        <w:rPr>
          <w:i/>
        </w:rPr>
        <w:t>P</w:t>
      </w:r>
      <w:r w:rsidR="00EB6CE3" w:rsidRPr="00EE76AE">
        <w:rPr>
          <w:i/>
        </w:rPr>
        <w:t>rotection v Lee</w:t>
      </w:r>
      <w:r w:rsidR="00EB6CE3">
        <w:t xml:space="preserve"> [2014] FCCA 2881 compel</w:t>
      </w:r>
      <w:r>
        <w:t>led</w:t>
      </w:r>
      <w:r w:rsidR="00EB6CE3">
        <w:t xml:space="preserve"> the conclusion that the delegate's decision to refuse the appellant's visa application was not an </w:t>
      </w:r>
      <w:r w:rsidR="00791E9D">
        <w:t>MRT-</w:t>
      </w:r>
      <w:r w:rsidR="00EB6CE3">
        <w:t xml:space="preserve">reviewable decision.  </w:t>
      </w:r>
      <w:r w:rsidR="00FE3A53">
        <w:t>A</w:t>
      </w:r>
      <w:r w:rsidR="00C04871">
        <w:t>s</w:t>
      </w:r>
      <w:r w:rsidR="00FE3A53">
        <w:t xml:space="preserve"> the relevant circumstances for lodging of the application </w:t>
      </w:r>
      <w:r w:rsidR="00C04871">
        <w:t xml:space="preserve">for review </w:t>
      </w:r>
      <w:r w:rsidR="00FE3A53">
        <w:t xml:space="preserve">were not met, the </w:t>
      </w:r>
      <w:r w:rsidR="00EB6CE3">
        <w:t>Tribunal did not have jurisdiction</w:t>
      </w:r>
      <w:r w:rsidR="002F7894">
        <w:t xml:space="preserve">. </w:t>
      </w:r>
      <w:r w:rsidR="002259CB">
        <w:t xml:space="preserve"> </w:t>
      </w:r>
      <w:r w:rsidR="002F7894">
        <w:t>T</w:t>
      </w:r>
      <w:r w:rsidR="00EB6CE3">
        <w:t xml:space="preserve">his was the case even if the appellant had not been properly notified by the Department.  </w:t>
      </w:r>
    </w:p>
    <w:p w:rsidR="00EB6CE3" w:rsidRDefault="00EE76AE" w:rsidP="00EE76AE">
      <w:pPr>
        <w:pStyle w:val="Heading2"/>
      </w:pPr>
      <w:r>
        <w:lastRenderedPageBreak/>
        <w:t>B</w:t>
      </w:r>
      <w:r w:rsidR="002F7894">
        <w:t>efore the F</w:t>
      </w:r>
      <w:r w:rsidR="00EB6CE3">
        <w:t xml:space="preserve">ederal </w:t>
      </w:r>
      <w:r w:rsidR="002F7894">
        <w:t>C</w:t>
      </w:r>
      <w:r w:rsidR="00EB6CE3">
        <w:t xml:space="preserve">ircuit </w:t>
      </w:r>
      <w:r w:rsidR="002F7894">
        <w:t>C</w:t>
      </w:r>
      <w:r w:rsidR="00EB6CE3">
        <w:t>ourt</w:t>
      </w:r>
    </w:p>
    <w:p w:rsidR="000971F1" w:rsidRDefault="00884699" w:rsidP="00EB6CE3">
      <w:pPr>
        <w:pStyle w:val="ParaNumbering"/>
      </w:pPr>
      <w:r>
        <w:t>On 5 </w:t>
      </w:r>
      <w:r w:rsidR="00EB6CE3">
        <w:t>February</w:t>
      </w:r>
      <w:r>
        <w:t> </w:t>
      </w:r>
      <w:r w:rsidR="00EB6CE3">
        <w:t>2015</w:t>
      </w:r>
      <w:r w:rsidR="00EE76AE">
        <w:t>,</w:t>
      </w:r>
      <w:r w:rsidR="00EB6CE3">
        <w:t xml:space="preserve"> the appellant applied to the </w:t>
      </w:r>
      <w:r w:rsidR="00EE76AE">
        <w:t>Federal Circuit of</w:t>
      </w:r>
      <w:r w:rsidR="00EB6CE3">
        <w:t xml:space="preserve"> Australia to</w:t>
      </w:r>
      <w:r w:rsidR="00EE76AE">
        <w:t xml:space="preserve"> review the Tribunal's decision. </w:t>
      </w:r>
    </w:p>
    <w:p w:rsidR="00AC3AF6" w:rsidRDefault="00EE76AE" w:rsidP="00EB6CE3">
      <w:pPr>
        <w:pStyle w:val="ParaNumbering"/>
      </w:pPr>
      <w:r>
        <w:t>W</w:t>
      </w:r>
      <w:r w:rsidR="00EB6CE3">
        <w:t xml:space="preserve">hen that application was first before the learned </w:t>
      </w:r>
      <w:r>
        <w:t xml:space="preserve">Federal Circuit Court judge </w:t>
      </w:r>
      <w:r w:rsidR="00EB6CE3">
        <w:t xml:space="preserve">for hearing, her </w:t>
      </w:r>
      <w:r>
        <w:t>Honour</w:t>
      </w:r>
      <w:r w:rsidR="00EB6CE3">
        <w:t xml:space="preserve"> raised with the solicitor for the Minister</w:t>
      </w:r>
      <w:r w:rsidR="00AC3AF6">
        <w:t xml:space="preserve"> certain concerns.  They included </w:t>
      </w:r>
      <w:r w:rsidR="00EB6CE3">
        <w:t>whether there was any evidence of an approved sponsorship in force at the time of the appellan</w:t>
      </w:r>
      <w:r w:rsidR="00791E9D">
        <w:t>t's application to the Tribunal</w:t>
      </w:r>
      <w:r w:rsidR="00EB6CE3">
        <w:t xml:space="preserve"> in relation to </w:t>
      </w:r>
      <w:r w:rsidR="005620C4">
        <w:t>G</w:t>
      </w:r>
      <w:r w:rsidR="00EB6CE3">
        <w:t xml:space="preserve">reen </w:t>
      </w:r>
      <w:r w:rsidR="005620C4">
        <w:t>F</w:t>
      </w:r>
      <w:r w:rsidR="00EB6CE3">
        <w:t xml:space="preserve">ormwork </w:t>
      </w:r>
      <w:r w:rsidR="00EB6CE3" w:rsidRPr="00AC3AF6">
        <w:t xml:space="preserve">or any nomination of the appellant by </w:t>
      </w:r>
      <w:r w:rsidR="005620C4" w:rsidRPr="00AC3AF6">
        <w:t>G</w:t>
      </w:r>
      <w:r w:rsidR="00EB6CE3" w:rsidRPr="00AC3AF6">
        <w:t xml:space="preserve">reen </w:t>
      </w:r>
      <w:r w:rsidR="005620C4" w:rsidRPr="00AC3AF6">
        <w:t>F</w:t>
      </w:r>
      <w:r w:rsidR="00EB6CE3" w:rsidRPr="00AC3AF6">
        <w:t>ormwork</w:t>
      </w:r>
      <w:r w:rsidR="000971F1">
        <w:t>,</w:t>
      </w:r>
      <w:r w:rsidR="00EB6CE3" w:rsidRPr="00AC3AF6">
        <w:t xml:space="preserve"> having regard to screenshots from departmental records that had been reproduced in the court book.</w:t>
      </w:r>
      <w:r w:rsidR="00EB6CE3">
        <w:t xml:space="preserve">  </w:t>
      </w:r>
      <w:r w:rsidR="008307A5">
        <w:t xml:space="preserve">The </w:t>
      </w:r>
      <w:r w:rsidR="000971F1">
        <w:t>existence of any such evidence</w:t>
      </w:r>
      <w:r w:rsidR="00EB6CE3">
        <w:t xml:space="preserve"> was</w:t>
      </w:r>
      <w:r w:rsidR="000971F1">
        <w:t xml:space="preserve"> relevant</w:t>
      </w:r>
      <w:r w:rsidR="00EB6CE3">
        <w:t xml:space="preserve"> because it was clear to her </w:t>
      </w:r>
      <w:r w:rsidR="001D3167">
        <w:t>Honour</w:t>
      </w:r>
      <w:r w:rsidR="00EB6CE3">
        <w:t xml:space="preserve"> that the Tribunal had access </w:t>
      </w:r>
      <w:r w:rsidR="002F7894">
        <w:t xml:space="preserve">to </w:t>
      </w:r>
      <w:r w:rsidR="00EB6CE3">
        <w:t>records from the Department's computer database</w:t>
      </w:r>
      <w:r w:rsidR="001D3167">
        <w:t>,</w:t>
      </w:r>
      <w:r w:rsidR="00EB6CE3">
        <w:t xml:space="preserve"> known as the integrated client services environment (</w:t>
      </w:r>
      <w:r w:rsidR="00EB6CE3" w:rsidRPr="00341727">
        <w:rPr>
          <w:b/>
        </w:rPr>
        <w:t>ICSE</w:t>
      </w:r>
      <w:r w:rsidR="00EB6CE3">
        <w:t>)</w:t>
      </w:r>
      <w:r w:rsidR="001D3167">
        <w:t>,</w:t>
      </w:r>
      <w:r w:rsidR="00EB6CE3">
        <w:t xml:space="preserve"> in relation to the former sponsor, </w:t>
      </w:r>
      <w:r w:rsidR="006D483A">
        <w:t>Zak</w:t>
      </w:r>
      <w:r w:rsidR="00AC3AF6">
        <w:t xml:space="preserve"> Form Work</w:t>
      </w:r>
      <w:r w:rsidR="00EB6CE3">
        <w:t xml:space="preserve">, and the suggested replacement sponsor, </w:t>
      </w:r>
      <w:r w:rsidR="001D3167">
        <w:t>Green Formwork</w:t>
      </w:r>
      <w:r w:rsidR="00EB6CE3">
        <w:t xml:space="preserve">.  </w:t>
      </w:r>
    </w:p>
    <w:p w:rsidR="00EB6CE3" w:rsidRDefault="00EB6CE3" w:rsidP="00EB6CE3">
      <w:pPr>
        <w:pStyle w:val="ParaNumbering"/>
      </w:pPr>
      <w:r>
        <w:t xml:space="preserve">One of the screenshots </w:t>
      </w:r>
      <w:r w:rsidR="002259CB">
        <w:t xml:space="preserve">before the primary judge </w:t>
      </w:r>
      <w:r>
        <w:t xml:space="preserve">in relation to </w:t>
      </w:r>
      <w:r w:rsidR="001D3167">
        <w:t>Green Formwork</w:t>
      </w:r>
      <w:r>
        <w:t xml:space="preserve"> stated that there </w:t>
      </w:r>
      <w:r w:rsidR="00884699">
        <w:t>was a nomination approved on 20 </w:t>
      </w:r>
      <w:r>
        <w:t>November</w:t>
      </w:r>
      <w:r w:rsidR="00884699">
        <w:t> </w:t>
      </w:r>
      <w:r>
        <w:t>2014, which was a week prior to the lodgement of the application for review to the Tribunal.  This raised an issue as to whether this nomination related to the appellant as he had appeared to claim in a subsequent letter to the Tribunal of 26</w:t>
      </w:r>
      <w:r w:rsidR="00884699">
        <w:t> December </w:t>
      </w:r>
      <w:r>
        <w:t xml:space="preserve">2014, albeit that another screenshot indicated that there was a nomination by </w:t>
      </w:r>
      <w:r w:rsidR="00341727">
        <w:t>G</w:t>
      </w:r>
      <w:r>
        <w:t xml:space="preserve">reen </w:t>
      </w:r>
      <w:r w:rsidR="005620C4">
        <w:t>F</w:t>
      </w:r>
      <w:r w:rsidR="00884699">
        <w:t>ormwork on 20 November </w:t>
      </w:r>
      <w:r>
        <w:t>2014 whic</w:t>
      </w:r>
      <w:r w:rsidR="001D3167">
        <w:t>h related to a different person.</w:t>
      </w:r>
    </w:p>
    <w:p w:rsidR="00EB6CE3" w:rsidRDefault="001D3167" w:rsidP="00EB6CE3">
      <w:pPr>
        <w:pStyle w:val="ParaNumbering"/>
      </w:pPr>
      <w:r>
        <w:t>The</w:t>
      </w:r>
      <w:r w:rsidR="00EB6CE3">
        <w:t xml:space="preserve"> hearing was adjourned and the Minister filed supplementary written submissions and an affidavit of a solicitor which </w:t>
      </w:r>
      <w:r>
        <w:t>annexed</w:t>
      </w:r>
      <w:r w:rsidR="00EB6CE3">
        <w:t xml:space="preserve"> more recently obtained screenshots from the ICSE database. </w:t>
      </w:r>
      <w:r w:rsidR="00AC3AF6">
        <w:t xml:space="preserve"> This further evidence made </w:t>
      </w:r>
      <w:r w:rsidR="005620C4">
        <w:t>it clear that the G</w:t>
      </w:r>
      <w:r w:rsidR="00EB6CE3">
        <w:t xml:space="preserve">reen </w:t>
      </w:r>
      <w:r w:rsidR="005620C4">
        <w:t>F</w:t>
      </w:r>
      <w:r w:rsidR="00EB6CE3">
        <w:t>ormwork nomination approved on 20</w:t>
      </w:r>
      <w:r w:rsidR="00884699">
        <w:t> </w:t>
      </w:r>
      <w:r w:rsidR="00EB6CE3">
        <w:t>November</w:t>
      </w:r>
      <w:r w:rsidR="00884699">
        <w:t> </w:t>
      </w:r>
      <w:r w:rsidR="00EB6CE3">
        <w:t xml:space="preserve">2014 </w:t>
      </w:r>
      <w:r w:rsidR="002259CB">
        <w:t xml:space="preserve">did indeed </w:t>
      </w:r>
      <w:r w:rsidR="00EB6CE3">
        <w:t xml:space="preserve">relate to </w:t>
      </w:r>
      <w:r w:rsidR="00AC3AF6">
        <w:t>a</w:t>
      </w:r>
      <w:r w:rsidR="00EB6CE3">
        <w:t xml:space="preserve"> person other than the appellant</w:t>
      </w:r>
      <w:r w:rsidR="00AC3AF6">
        <w:t>.  T</w:t>
      </w:r>
      <w:r w:rsidR="00EB6CE3">
        <w:t xml:space="preserve">here was no evidence that the appellant was the subject of an approved nomination by </w:t>
      </w:r>
      <w:r w:rsidR="005620C4">
        <w:t>G</w:t>
      </w:r>
      <w:r w:rsidR="00EB6CE3">
        <w:t xml:space="preserve">reen </w:t>
      </w:r>
      <w:r w:rsidR="005620C4">
        <w:t>F</w:t>
      </w:r>
      <w:r w:rsidR="00EB6CE3">
        <w:t>ormwork.  Nor was there any evidence tha</w:t>
      </w:r>
      <w:r w:rsidR="005620C4">
        <w:t xml:space="preserve">t </w:t>
      </w:r>
      <w:r w:rsidR="00F57E64">
        <w:t xml:space="preserve">a </w:t>
      </w:r>
      <w:r w:rsidR="005620C4">
        <w:t xml:space="preserve">nomination </w:t>
      </w:r>
      <w:r w:rsidR="00F57E64">
        <w:t xml:space="preserve">had been </w:t>
      </w:r>
      <w:r w:rsidR="005620C4">
        <w:t>lodged by G</w:t>
      </w:r>
      <w:r w:rsidR="00EB6CE3">
        <w:t xml:space="preserve">reen </w:t>
      </w:r>
      <w:r w:rsidR="005620C4">
        <w:t>F</w:t>
      </w:r>
      <w:r w:rsidR="00EB6CE3">
        <w:t xml:space="preserve">ormwork in relation to the appellant at any time, let alone before </w:t>
      </w:r>
      <w:r w:rsidR="00341727">
        <w:t>his</w:t>
      </w:r>
      <w:r w:rsidR="00EB6CE3">
        <w:t xml:space="preserve"> application for review by the Tribunal.  </w:t>
      </w:r>
    </w:p>
    <w:p w:rsidR="001D3167" w:rsidRDefault="00AC3AF6" w:rsidP="00EB6CE3">
      <w:pPr>
        <w:pStyle w:val="ParaNumbering"/>
      </w:pPr>
      <w:r>
        <w:t>T</w:t>
      </w:r>
      <w:r w:rsidR="00EB6CE3">
        <w:t>he extracts from the ICSE records before the primary judge revealed</w:t>
      </w:r>
      <w:r w:rsidR="002259CB">
        <w:t>, as noted above,</w:t>
      </w:r>
      <w:r w:rsidR="00EB6CE3">
        <w:t xml:space="preserve"> that the appellant was at one point in time the subject of a nomination application lodged by </w:t>
      </w:r>
      <w:r w:rsidR="006D483A">
        <w:t>Zak</w:t>
      </w:r>
      <w:r>
        <w:t xml:space="preserve"> Form Work</w:t>
      </w:r>
      <w:r w:rsidR="00EB6CE3">
        <w:t xml:space="preserve"> which was refused by the Department on 28</w:t>
      </w:r>
      <w:r w:rsidR="00884699">
        <w:t> </w:t>
      </w:r>
      <w:r w:rsidR="00EB6CE3">
        <w:t>Augus</w:t>
      </w:r>
      <w:r w:rsidR="00884699">
        <w:t>t </w:t>
      </w:r>
      <w:r w:rsidR="00EB6CE3">
        <w:t>2012</w:t>
      </w:r>
      <w:r>
        <w:t xml:space="preserve">.  That </w:t>
      </w:r>
      <w:r w:rsidR="00EB6CE3">
        <w:t>refusal was affirmed by the Tribunal in March</w:t>
      </w:r>
      <w:r w:rsidR="00884699">
        <w:t> </w:t>
      </w:r>
      <w:r w:rsidR="00EB6CE3">
        <w:t>2014, well before the application for review was made by the appellant to t</w:t>
      </w:r>
      <w:r w:rsidR="001D3167">
        <w:t>he Tribunal on 27</w:t>
      </w:r>
      <w:r w:rsidR="00884699">
        <w:t> </w:t>
      </w:r>
      <w:r w:rsidR="001D3167">
        <w:t>November</w:t>
      </w:r>
      <w:r w:rsidR="00884699">
        <w:t> </w:t>
      </w:r>
      <w:r w:rsidR="001D3167">
        <w:t xml:space="preserve">2014. </w:t>
      </w:r>
      <w:r>
        <w:t xml:space="preserve"> </w:t>
      </w:r>
      <w:r w:rsidR="001D3167">
        <w:t>T</w:t>
      </w:r>
      <w:r w:rsidR="00EB6CE3">
        <w:t xml:space="preserve">he records did not indicate any other </w:t>
      </w:r>
      <w:r w:rsidR="00EB6CE3">
        <w:lastRenderedPageBreak/>
        <w:t xml:space="preserve">nomination in respect of the appellant at the time of his review application or indeed up to the time that the proceedings were commenced in the </w:t>
      </w:r>
      <w:r w:rsidR="00791E9D">
        <w:t xml:space="preserve">Federal Circuit Court in </w:t>
      </w:r>
      <w:r w:rsidR="00EB6CE3" w:rsidRPr="00791E9D">
        <w:t>2015.</w:t>
      </w:r>
      <w:r w:rsidR="00EB6CE3">
        <w:t xml:space="preserve">  </w:t>
      </w:r>
    </w:p>
    <w:p w:rsidR="00EB6CE3" w:rsidRDefault="00EB6CE3" w:rsidP="00EB6CE3">
      <w:pPr>
        <w:pStyle w:val="ParaNumbering"/>
      </w:pPr>
      <w:r>
        <w:t>It follows tha</w:t>
      </w:r>
      <w:r w:rsidR="005B0449">
        <w:t>t notwithstanding the appellant’</w:t>
      </w:r>
      <w:r>
        <w:t>s letter to the Tribunal of 26</w:t>
      </w:r>
      <w:r w:rsidR="00884699">
        <w:t> </w:t>
      </w:r>
      <w:r>
        <w:t>December</w:t>
      </w:r>
      <w:r w:rsidR="00884699">
        <w:t> </w:t>
      </w:r>
      <w:r>
        <w:t xml:space="preserve">2014, there was no evidence before the primary judge that </w:t>
      </w:r>
      <w:r w:rsidR="00AC3AF6">
        <w:t>was</w:t>
      </w:r>
      <w:r>
        <w:t xml:space="preserve"> in any way contrary to what the records before her </w:t>
      </w:r>
      <w:r w:rsidR="00991F57">
        <w:t xml:space="preserve">Honour </w:t>
      </w:r>
      <w:r w:rsidR="00F04720">
        <w:t>established</w:t>
      </w:r>
      <w:r w:rsidR="00991F57">
        <w:t xml:space="preserve">.  </w:t>
      </w:r>
      <w:r w:rsidR="00650CCB">
        <w:t xml:space="preserve">The appellant </w:t>
      </w:r>
      <w:r>
        <w:t xml:space="preserve">did not claim </w:t>
      </w:r>
      <w:r w:rsidR="00650CCB">
        <w:t xml:space="preserve">before the Federal Circuit Court </w:t>
      </w:r>
      <w:r>
        <w:t>that he was sponsored by</w:t>
      </w:r>
      <w:r w:rsidR="00650CCB">
        <w:t>,</w:t>
      </w:r>
      <w:r>
        <w:t xml:space="preserve"> </w:t>
      </w:r>
      <w:r w:rsidR="00991F57">
        <w:t>or</w:t>
      </w:r>
      <w:r>
        <w:t xml:space="preserve"> the subject of a nomination application by</w:t>
      </w:r>
      <w:r w:rsidR="00650CCB">
        <w:t>,</w:t>
      </w:r>
      <w:r>
        <w:t xml:space="preserve"> </w:t>
      </w:r>
      <w:r w:rsidR="005620C4">
        <w:t>G</w:t>
      </w:r>
      <w:r>
        <w:t xml:space="preserve">reen </w:t>
      </w:r>
      <w:r w:rsidR="005620C4">
        <w:t>F</w:t>
      </w:r>
      <w:r>
        <w:t xml:space="preserve">ormwork at the time of </w:t>
      </w:r>
      <w:r w:rsidR="00991F57">
        <w:t>his application to the Tribunal.  T</w:t>
      </w:r>
      <w:r>
        <w:t>here was nothing in the material before the primary judge to indicate that the appellant was sponsored (or identified in a nomination by an approved sponsor</w:t>
      </w:r>
      <w:r w:rsidR="00650CCB">
        <w:t>)</w:t>
      </w:r>
      <w:r>
        <w:t xml:space="preserve"> at the time </w:t>
      </w:r>
      <w:r w:rsidR="00991F57">
        <w:t xml:space="preserve">of </w:t>
      </w:r>
      <w:r>
        <w:t>the review application or that there was at that time any pending Tribunal review in relation to any such sponso</w:t>
      </w:r>
      <w:r w:rsidR="00991F57">
        <w:t>rship or nomination application.</w:t>
      </w:r>
    </w:p>
    <w:p w:rsidR="00991F57" w:rsidRDefault="00991F57" w:rsidP="00EB6CE3">
      <w:pPr>
        <w:pStyle w:val="ParaNumbering"/>
      </w:pPr>
      <w:r>
        <w:t xml:space="preserve">The </w:t>
      </w:r>
      <w:r w:rsidR="00EB6CE3">
        <w:t>appellant</w:t>
      </w:r>
      <w:r w:rsidR="005B0449">
        <w:t>’</w:t>
      </w:r>
      <w:r w:rsidR="00EB6CE3">
        <w:t>s first ground before the primary judge was to the effect that the Tribunal had failed to notify him properly of the refusal of</w:t>
      </w:r>
      <w:r w:rsidR="005B0449">
        <w:t xml:space="preserve"> his prior sponsor’</w:t>
      </w:r>
      <w:r>
        <w:t>s nomination. Her H</w:t>
      </w:r>
      <w:r w:rsidR="00EB6CE3">
        <w:t xml:space="preserve">onour </w:t>
      </w:r>
      <w:r w:rsidR="00650CCB">
        <w:t xml:space="preserve">correctly </w:t>
      </w:r>
      <w:r w:rsidR="005B0449">
        <w:t>observed that the Tribunal’</w:t>
      </w:r>
      <w:r w:rsidR="00EB6CE3">
        <w:t xml:space="preserve">s obligation was to notify </w:t>
      </w:r>
      <w:r w:rsidR="006D483A">
        <w:t>Zak</w:t>
      </w:r>
      <w:r w:rsidR="00AC3AF6">
        <w:t xml:space="preserve"> Form Work</w:t>
      </w:r>
      <w:r w:rsidR="00EB6CE3">
        <w:t xml:space="preserve"> as the review applicant, not to notify the appellant who was intending to rely </w:t>
      </w:r>
      <w:r>
        <w:t xml:space="preserve">upon </w:t>
      </w:r>
      <w:r w:rsidR="006D483A">
        <w:t>Zak</w:t>
      </w:r>
      <w:r w:rsidR="00AC3AF6">
        <w:t xml:space="preserve"> Form Work</w:t>
      </w:r>
      <w:r w:rsidR="005B0449">
        <w:t>’</w:t>
      </w:r>
      <w:r>
        <w:t xml:space="preserve">s nomination. </w:t>
      </w:r>
      <w:r w:rsidR="00650CCB">
        <w:t xml:space="preserve"> </w:t>
      </w:r>
      <w:r>
        <w:t>B</w:t>
      </w:r>
      <w:r w:rsidR="00EB6CE3">
        <w:t xml:space="preserve">ecause the </w:t>
      </w:r>
      <w:r w:rsidR="005B0449">
        <w:t>appellant’s</w:t>
      </w:r>
      <w:r w:rsidR="00EB6CE3">
        <w:t xml:space="preserve"> review application to the Tribunal was lodged long after the time of the decision by a differently constituted Tribunal to affirm the decision refusing </w:t>
      </w:r>
      <w:r w:rsidR="006D483A">
        <w:t>Zak</w:t>
      </w:r>
      <w:r w:rsidR="00AC3AF6">
        <w:t xml:space="preserve"> Form Work</w:t>
      </w:r>
      <w:r w:rsidR="005B0449">
        <w:t>’</w:t>
      </w:r>
      <w:r w:rsidR="00EB6CE3">
        <w:t>s application, the application for review was not made while a Tribunal review of a sponsorship</w:t>
      </w:r>
      <w:r w:rsidR="00FA56DE">
        <w:t xml:space="preserve"> or </w:t>
      </w:r>
      <w:r w:rsidR="00EB6CE3">
        <w:t xml:space="preserve">nomination application by </w:t>
      </w:r>
      <w:r w:rsidR="006D483A">
        <w:t>Zak</w:t>
      </w:r>
      <w:r w:rsidR="00AC3AF6">
        <w:t xml:space="preserve"> Form Work</w:t>
      </w:r>
      <w:r w:rsidR="00EB6CE3">
        <w:t xml:space="preserve"> was pending.  </w:t>
      </w:r>
    </w:p>
    <w:p w:rsidR="00EB6CE3" w:rsidRDefault="00991F57" w:rsidP="00EB6CE3">
      <w:pPr>
        <w:pStyle w:val="ParaNumbering"/>
      </w:pPr>
      <w:r>
        <w:t>T</w:t>
      </w:r>
      <w:r w:rsidR="00EB6CE3">
        <w:t xml:space="preserve">he primary judge concluded that because the appellant did not provide any evidence that he was the subject of </w:t>
      </w:r>
      <w:r w:rsidR="00650CCB">
        <w:t>a</w:t>
      </w:r>
      <w:r w:rsidR="00EB6CE3">
        <w:t xml:space="preserve"> sponsorship </w:t>
      </w:r>
      <w:r w:rsidR="00650CCB">
        <w:t xml:space="preserve">or </w:t>
      </w:r>
      <w:r w:rsidR="00EB6CE3">
        <w:t xml:space="preserve">approved nomination or </w:t>
      </w:r>
      <w:r w:rsidR="00650CCB">
        <w:t>that there was a</w:t>
      </w:r>
      <w:r w:rsidR="00EB6CE3">
        <w:t xml:space="preserve"> pending review application in that respect by </w:t>
      </w:r>
      <w:r w:rsidR="005620C4">
        <w:t>G</w:t>
      </w:r>
      <w:r w:rsidR="00EB6CE3">
        <w:t xml:space="preserve">reen </w:t>
      </w:r>
      <w:r w:rsidR="005620C4">
        <w:t>F</w:t>
      </w:r>
      <w:r w:rsidR="00EB6CE3">
        <w:t>ormwork</w:t>
      </w:r>
      <w:r w:rsidR="00791E9D">
        <w:t>,</w:t>
      </w:r>
      <w:r w:rsidR="00EB6CE3">
        <w:t xml:space="preserve"> either at the time of his review application or subsequently, ground one could not succeed.</w:t>
      </w:r>
    </w:p>
    <w:p w:rsidR="00650CCB" w:rsidRDefault="00EB6CE3" w:rsidP="00EB6CE3">
      <w:pPr>
        <w:pStyle w:val="ParaNumbering"/>
      </w:pPr>
      <w:r>
        <w:t xml:space="preserve">Ground two before the primary judge was that the </w:t>
      </w:r>
      <w:r w:rsidR="00A4330F">
        <w:t>D</w:t>
      </w:r>
      <w:r>
        <w:t>epartment failed to notify the appellant proper</w:t>
      </w:r>
      <w:r w:rsidR="005B0449">
        <w:t>ly of his previous refusal and “</w:t>
      </w:r>
      <w:r w:rsidRPr="00650CCB">
        <w:rPr>
          <w:i/>
        </w:rPr>
        <w:t>this can be the case with the Tribunal failing to notify my previous sponsor of the refusal</w:t>
      </w:r>
      <w:r w:rsidR="005B0449">
        <w:t>”</w:t>
      </w:r>
      <w:r>
        <w:t>.  However</w:t>
      </w:r>
      <w:r w:rsidR="00650CCB">
        <w:t>,</w:t>
      </w:r>
      <w:r>
        <w:t xml:space="preserve"> as her </w:t>
      </w:r>
      <w:r w:rsidR="00991F57">
        <w:t>Honour</w:t>
      </w:r>
      <w:r>
        <w:t xml:space="preserve"> observed, the </w:t>
      </w:r>
      <w:r w:rsidR="005620C4">
        <w:t>D</w:t>
      </w:r>
      <w:r>
        <w:t>epartment acknowledged that it had not properly notified the appellant of its decision, but upon discovering the error acted to ensure that he was re-notified</w:t>
      </w:r>
      <w:r w:rsidR="00650CCB">
        <w:t xml:space="preserve">.  The </w:t>
      </w:r>
      <w:r w:rsidRPr="00650CCB">
        <w:t xml:space="preserve">time to apply for </w:t>
      </w:r>
      <w:r w:rsidR="00650CCB" w:rsidRPr="00650CCB">
        <w:t xml:space="preserve">a </w:t>
      </w:r>
      <w:r w:rsidRPr="00650CCB">
        <w:t>review commence</w:t>
      </w:r>
      <w:r w:rsidR="00650CCB" w:rsidRPr="00650CCB">
        <w:t>d</w:t>
      </w:r>
      <w:r w:rsidR="00A4330F" w:rsidRPr="00650CCB">
        <w:t xml:space="preserve"> from that re-notification date</w:t>
      </w:r>
      <w:r w:rsidR="00A4330F">
        <w:t>.  T</w:t>
      </w:r>
      <w:r>
        <w:t xml:space="preserve">hat </w:t>
      </w:r>
      <w:r w:rsidR="00650CCB">
        <w:t xml:space="preserve">sequence </w:t>
      </w:r>
      <w:r>
        <w:t>of events did not affect the Tribunal</w:t>
      </w:r>
      <w:r w:rsidR="005B0449">
        <w:t>’</w:t>
      </w:r>
      <w:r>
        <w:t xml:space="preserve">s jurisdiction.  </w:t>
      </w:r>
      <w:r w:rsidR="00650CCB">
        <w:t xml:space="preserve">The appellant did </w:t>
      </w:r>
      <w:r>
        <w:t>not establish any error in its decision</w:t>
      </w:r>
      <w:r w:rsidR="00650CCB">
        <w:t xml:space="preserve"> that it did not have jurisdiction</w:t>
      </w:r>
      <w:r>
        <w:t xml:space="preserve">.  </w:t>
      </w:r>
    </w:p>
    <w:p w:rsidR="00EB6CE3" w:rsidRPr="00E8719C" w:rsidRDefault="00650CCB" w:rsidP="00EB6CE3">
      <w:pPr>
        <w:pStyle w:val="ParaNumbering"/>
      </w:pPr>
      <w:r w:rsidRPr="00E8719C">
        <w:lastRenderedPageBreak/>
        <w:t>W</w:t>
      </w:r>
      <w:r w:rsidR="00EB6CE3" w:rsidRPr="00E8719C">
        <w:t xml:space="preserve">hatever complaint </w:t>
      </w:r>
      <w:r w:rsidR="00791E9D" w:rsidRPr="00E8719C">
        <w:t>the</w:t>
      </w:r>
      <w:r w:rsidR="00EB6CE3" w:rsidRPr="00E8719C">
        <w:t xml:space="preserve"> appellant had to the effect that the Tribunal failed to notify his previous sponsor was a matter between the differently constituted Tribunal and </w:t>
      </w:r>
      <w:r w:rsidR="006D483A" w:rsidRPr="00E8719C">
        <w:t>Zak</w:t>
      </w:r>
      <w:r w:rsidR="00AC3AF6" w:rsidRPr="00E8719C">
        <w:t xml:space="preserve"> Form Work</w:t>
      </w:r>
      <w:r w:rsidR="005620C4" w:rsidRPr="00E8719C">
        <w:t xml:space="preserve">. </w:t>
      </w:r>
      <w:r w:rsidR="00A4330F" w:rsidRPr="00E8719C">
        <w:t xml:space="preserve"> T</w:t>
      </w:r>
      <w:r w:rsidR="00EB6CE3" w:rsidRPr="00E8719C">
        <w:t xml:space="preserve">his did not indicate any error on the part of the present Tribunal or that the present Tribunal in some way had jurisdiction in relation to the appellant's visa application decision.  Accordingly ground </w:t>
      </w:r>
      <w:r w:rsidR="00A4330F" w:rsidRPr="00E8719C">
        <w:t>two also failed.</w:t>
      </w:r>
      <w:r w:rsidR="00EB6CE3" w:rsidRPr="00E8719C">
        <w:t xml:space="preserve"> </w:t>
      </w:r>
    </w:p>
    <w:p w:rsidR="00EB6CE3" w:rsidRDefault="00991F57" w:rsidP="00EB6CE3">
      <w:pPr>
        <w:pStyle w:val="ParaNumbering"/>
      </w:pPr>
      <w:r>
        <w:t>In</w:t>
      </w:r>
      <w:r w:rsidR="00EB6CE3">
        <w:t xml:space="preserve"> ground three, t</w:t>
      </w:r>
      <w:r w:rsidR="005B0449">
        <w:t>he appellant contended that he “</w:t>
      </w:r>
      <w:r w:rsidR="00EB6CE3" w:rsidRPr="00650CCB">
        <w:rPr>
          <w:i/>
        </w:rPr>
        <w:t>now</w:t>
      </w:r>
      <w:r w:rsidR="005B0449">
        <w:t>”</w:t>
      </w:r>
      <w:r w:rsidR="00EB6CE3">
        <w:t xml:space="preserve"> had a sponsor who needed his services.  He therefore sought to have the primary judge remit the case to the Tribunal to consider that.  However her </w:t>
      </w:r>
      <w:r>
        <w:t>Honour</w:t>
      </w:r>
      <w:r w:rsidR="00EB6CE3">
        <w:t xml:space="preserve"> (correctly) </w:t>
      </w:r>
      <w:r w:rsidR="00650CCB">
        <w:t xml:space="preserve">characterised </w:t>
      </w:r>
      <w:r w:rsidR="00EB6CE3">
        <w:t xml:space="preserve">this as impermissible merits review which did not establish any error in the Tribunal's decision that </w:t>
      </w:r>
      <w:r w:rsidR="00791E9D">
        <w:t xml:space="preserve">it </w:t>
      </w:r>
      <w:r w:rsidR="00EB6CE3">
        <w:t>did not have jurisdiction</w:t>
      </w:r>
      <w:r w:rsidR="00A4330F">
        <w:t>.</w:t>
      </w:r>
    </w:p>
    <w:p w:rsidR="00EB6CE3" w:rsidRDefault="00650CCB" w:rsidP="00EB6CE3">
      <w:pPr>
        <w:pStyle w:val="ParaNumbering"/>
      </w:pPr>
      <w:r>
        <w:t>The primary judge</w:t>
      </w:r>
      <w:r w:rsidR="00EB6CE3">
        <w:t xml:space="preserve"> accepted that the facts in this case could be distinguished from those in the Full Court decision in </w:t>
      </w:r>
      <w:r w:rsidR="00EB6CE3" w:rsidRPr="005620C4">
        <w:rPr>
          <w:b/>
          <w:i/>
        </w:rPr>
        <w:t>Ahmad</w:t>
      </w:r>
      <w:r w:rsidR="00EB6CE3" w:rsidRPr="005620C4">
        <w:rPr>
          <w:i/>
        </w:rPr>
        <w:t xml:space="preserve"> </w:t>
      </w:r>
      <w:r w:rsidR="00991F57" w:rsidRPr="005620C4">
        <w:rPr>
          <w:i/>
        </w:rPr>
        <w:t>v Minister for Immigration and B</w:t>
      </w:r>
      <w:r w:rsidR="00EB6CE3" w:rsidRPr="005620C4">
        <w:rPr>
          <w:i/>
        </w:rPr>
        <w:t xml:space="preserve">order </w:t>
      </w:r>
      <w:r w:rsidR="00991F57" w:rsidRPr="005620C4">
        <w:rPr>
          <w:i/>
        </w:rPr>
        <w:t>P</w:t>
      </w:r>
      <w:r w:rsidR="00EB6CE3" w:rsidRPr="005620C4">
        <w:rPr>
          <w:i/>
        </w:rPr>
        <w:t>rotection</w:t>
      </w:r>
      <w:r w:rsidR="00EB6CE3">
        <w:t xml:space="preserve"> [2015]</w:t>
      </w:r>
      <w:r w:rsidR="00884699">
        <w:t> </w:t>
      </w:r>
      <w:r w:rsidR="00EB6CE3">
        <w:t>FCAFC</w:t>
      </w:r>
      <w:r w:rsidR="00884699">
        <w:t> </w:t>
      </w:r>
      <w:r w:rsidR="00EB6CE3">
        <w:t xml:space="preserve">182; (2015) 237 FCR 365.  Unlike the situation </w:t>
      </w:r>
      <w:r w:rsidR="00F04720">
        <w:t xml:space="preserve">described </w:t>
      </w:r>
      <w:r w:rsidR="00EB6CE3">
        <w:t xml:space="preserve">in </w:t>
      </w:r>
      <w:r w:rsidR="00EB6CE3" w:rsidRPr="005620C4">
        <w:rPr>
          <w:i/>
        </w:rPr>
        <w:t>Ahmad</w:t>
      </w:r>
      <w:r w:rsidR="00EB6CE3">
        <w:t xml:space="preserve"> at [99]-[100], in this case there was no evidence before the Tribunal that the appellant was, at the time of the review application, or for that matter subsequently, the subject of any nomination or sponsorship.  Nor was there anything pending: cf </w:t>
      </w:r>
      <w:r w:rsidR="00EB6CE3" w:rsidRPr="005620C4">
        <w:rPr>
          <w:i/>
        </w:rPr>
        <w:t>Ahmad</w:t>
      </w:r>
      <w:r w:rsidR="00EB6CE3">
        <w:t xml:space="preserve"> at [100] and [106].  </w:t>
      </w:r>
    </w:p>
    <w:p w:rsidR="00EB6CE3" w:rsidRDefault="00991F57" w:rsidP="00EB6CE3">
      <w:pPr>
        <w:pStyle w:val="ParaNumbering"/>
      </w:pPr>
      <w:r>
        <w:t>T</w:t>
      </w:r>
      <w:r w:rsidR="00EB6CE3">
        <w:t xml:space="preserve">he primary judge therefore concluded that the Tribunal was correct in finding that it had no jurisdiction and accordingly the application for review had to be dismissed.  </w:t>
      </w:r>
    </w:p>
    <w:p w:rsidR="00EB6CE3" w:rsidRDefault="00991F57" w:rsidP="00991F57">
      <w:pPr>
        <w:pStyle w:val="Heading2"/>
      </w:pPr>
      <w:r>
        <w:t>B</w:t>
      </w:r>
      <w:r w:rsidR="00EB6CE3">
        <w:t xml:space="preserve">efore this Court </w:t>
      </w:r>
    </w:p>
    <w:p w:rsidR="00EB6CE3" w:rsidRDefault="00991F57" w:rsidP="00EB6CE3">
      <w:pPr>
        <w:pStyle w:val="ParaNumbering"/>
      </w:pPr>
      <w:r>
        <w:t>B</w:t>
      </w:r>
      <w:r w:rsidR="00EB6CE3">
        <w:t>y a notice of appeal filed within time on 9</w:t>
      </w:r>
      <w:r w:rsidR="00884699">
        <w:t> </w:t>
      </w:r>
      <w:r w:rsidR="00EB6CE3">
        <w:t>September</w:t>
      </w:r>
      <w:r w:rsidR="00884699">
        <w:t> </w:t>
      </w:r>
      <w:r w:rsidR="00EB6CE3">
        <w:t xml:space="preserve">2016, the appellant advances the following single ground of appeal: </w:t>
      </w:r>
    </w:p>
    <w:p w:rsidR="00991F57" w:rsidRDefault="00991F57" w:rsidP="00650CCB">
      <w:pPr>
        <w:pStyle w:val="Quote1"/>
        <w:spacing w:after="360"/>
      </w:pPr>
      <w:r>
        <w:t>W</w:t>
      </w:r>
      <w:r w:rsidR="00EB6CE3">
        <w:t xml:space="preserve">hile I acknowledge the </w:t>
      </w:r>
      <w:r w:rsidR="00F57E64">
        <w:t>O</w:t>
      </w:r>
      <w:r w:rsidR="00EB6CE3">
        <w:t xml:space="preserve">rder of Judge Barnes I still believe that I have an arguable case and </w:t>
      </w:r>
      <w:r w:rsidR="00A4330F">
        <w:t>I have</w:t>
      </w:r>
      <w:r w:rsidR="00EB6CE3">
        <w:t xml:space="preserve"> not receive</w:t>
      </w:r>
      <w:r w:rsidR="00A4330F">
        <w:t>d</w:t>
      </w:r>
      <w:r w:rsidR="00EB6CE3">
        <w:t xml:space="preserve"> the judgment yet to put my arguments and </w:t>
      </w:r>
      <w:r w:rsidR="00A4330F">
        <w:t>I will</w:t>
      </w:r>
      <w:r w:rsidR="00EB6CE3">
        <w:t xml:space="preserve"> provide details of grounds when the judgment will be ready.  </w:t>
      </w:r>
    </w:p>
    <w:p w:rsidR="00991F57" w:rsidRDefault="00991F57" w:rsidP="00EB6CE3">
      <w:pPr>
        <w:pStyle w:val="ParaNumbering"/>
      </w:pPr>
      <w:r>
        <w:t>W</w:t>
      </w:r>
      <w:r w:rsidR="00EB6CE3">
        <w:t xml:space="preserve">hen the matter came on for </w:t>
      </w:r>
      <w:r w:rsidR="00F04720">
        <w:t>hearing the appellant told the C</w:t>
      </w:r>
      <w:r w:rsidR="00EB6CE3">
        <w:t xml:space="preserve">ourt that he still did not have a copy of the decision of the </w:t>
      </w:r>
      <w:r>
        <w:t>Federal Circuit Court</w:t>
      </w:r>
      <w:r w:rsidR="00EB6CE3">
        <w:t xml:space="preserve">.  </w:t>
      </w:r>
      <w:r>
        <w:t>He</w:t>
      </w:r>
      <w:r w:rsidR="00EB6CE3">
        <w:t xml:space="preserve"> was unable to give any explanation as to why he had not obtained a copy, including at the time that he successfully applied for an exemption</w:t>
      </w:r>
      <w:r w:rsidR="00884699">
        <w:t xml:space="preserve"> from paying court fees </w:t>
      </w:r>
      <w:r w:rsidR="00F04720">
        <w:t xml:space="preserve">by an application </w:t>
      </w:r>
      <w:r w:rsidR="00884699">
        <w:t>dated 6 </w:t>
      </w:r>
      <w:r w:rsidR="00EB6CE3">
        <w:t>January</w:t>
      </w:r>
      <w:r w:rsidR="00884699">
        <w:t> </w:t>
      </w:r>
      <w:r w:rsidR="00EB6CE3">
        <w:t>2017.  By reason of what follows</w:t>
      </w:r>
      <w:r>
        <w:t>,</w:t>
      </w:r>
      <w:r w:rsidR="00EB6CE3">
        <w:t xml:space="preserve"> it is apparent that the appellant having a copy of the reasons of the primary judge could not have assisted </w:t>
      </w:r>
      <w:r>
        <w:t>him</w:t>
      </w:r>
      <w:r w:rsidR="00EB6CE3">
        <w:t xml:space="preserve"> </w:t>
      </w:r>
      <w:r w:rsidR="00F04720">
        <w:t xml:space="preserve">in any event </w:t>
      </w:r>
      <w:r w:rsidR="00EB6CE3">
        <w:t xml:space="preserve">because there </w:t>
      </w:r>
      <w:r w:rsidR="00F04720">
        <w:t xml:space="preserve">was </w:t>
      </w:r>
      <w:r w:rsidR="00EB6CE3">
        <w:t xml:space="preserve">nothing he could do in the circumstances of this case.  </w:t>
      </w:r>
    </w:p>
    <w:p w:rsidR="00991F57" w:rsidRDefault="00991F57" w:rsidP="00EB6CE3">
      <w:pPr>
        <w:pStyle w:val="ParaNumbering"/>
      </w:pPr>
      <w:r>
        <w:lastRenderedPageBreak/>
        <w:t>T</w:t>
      </w:r>
      <w:r w:rsidR="00EB6CE3">
        <w:t>he appellant hand</w:t>
      </w:r>
      <w:r w:rsidR="00650CCB">
        <w:t>ed</w:t>
      </w:r>
      <w:r w:rsidR="00EB6CE3">
        <w:t xml:space="preserve"> up short written submissions in response to the Minister's written submissions, to which I will turn shortly.  </w:t>
      </w:r>
    </w:p>
    <w:p w:rsidR="00EB6CE3" w:rsidRDefault="00991F57" w:rsidP="00EB6CE3">
      <w:pPr>
        <w:pStyle w:val="ParaNumbering"/>
      </w:pPr>
      <w:r>
        <w:t>T</w:t>
      </w:r>
      <w:r w:rsidR="00EB6CE3">
        <w:t>he Minister</w:t>
      </w:r>
      <w:r w:rsidR="005B0449">
        <w:t>’</w:t>
      </w:r>
      <w:r w:rsidR="00EB6CE3">
        <w:t xml:space="preserve">s submissions went through the history of the matter in a similar </w:t>
      </w:r>
      <w:r>
        <w:t>manner</w:t>
      </w:r>
      <w:r w:rsidR="00EB6CE3">
        <w:t xml:space="preserve"> to the above.  The Minister</w:t>
      </w:r>
      <w:r w:rsidR="005B0449">
        <w:t>’</w:t>
      </w:r>
      <w:r w:rsidR="00EB6CE3">
        <w:t xml:space="preserve">s submissions correctly pointed out that the task of the primary judge in dealing with the judicial review proceedings before her </w:t>
      </w:r>
      <w:r>
        <w:t>Honour</w:t>
      </w:r>
      <w:r w:rsidR="00EB6CE3">
        <w:t xml:space="preserve"> was to determine whether the Tribunal</w:t>
      </w:r>
      <w:r w:rsidR="005B0449">
        <w:t>’</w:t>
      </w:r>
      <w:r w:rsidR="00EB6CE3">
        <w:t xml:space="preserve">s decision was </w:t>
      </w:r>
      <w:r w:rsidR="00650CCB">
        <w:t>infected</w:t>
      </w:r>
      <w:r w:rsidR="00EB6CE3">
        <w:t xml:space="preserve"> by jurisdictional error.  The task of this </w:t>
      </w:r>
      <w:r w:rsidR="00620317">
        <w:t>C</w:t>
      </w:r>
      <w:r w:rsidR="00EB6CE3">
        <w:t xml:space="preserve">ourt on appeal was to determine whether her </w:t>
      </w:r>
      <w:r>
        <w:t>Honour’s</w:t>
      </w:r>
      <w:r w:rsidR="00EB6CE3">
        <w:t xml:space="preserve"> decision </w:t>
      </w:r>
      <w:r w:rsidR="00650CCB">
        <w:t xml:space="preserve">revealed any </w:t>
      </w:r>
      <w:r w:rsidR="00EB6CE3">
        <w:t>appellable error.  It was submitted that the sole ground of appeal pleaded by the appellant failed to identify or make out any appellable error on the part of the primary judge</w:t>
      </w:r>
      <w:r w:rsidR="00F04720" w:rsidRPr="00F04720">
        <w:t xml:space="preserve"> </w:t>
      </w:r>
      <w:r w:rsidR="00F04720">
        <w:t>and that both the decision of the Tribunal and the decision of the primary judge were plainly correct</w:t>
      </w:r>
      <w:r w:rsidR="00EB6CE3">
        <w:t xml:space="preserve">.  That submission is plainly correct.  </w:t>
      </w:r>
    </w:p>
    <w:p w:rsidR="00991F57" w:rsidRDefault="00EB6CE3" w:rsidP="00EB6CE3">
      <w:pPr>
        <w:pStyle w:val="ParaNumbering"/>
      </w:pPr>
      <w:r>
        <w:t>It was submitted that the Tribunal</w:t>
      </w:r>
      <w:r w:rsidR="005B0449">
        <w:t>’</w:t>
      </w:r>
      <w:r>
        <w:t>s jurisdiction was derived, relevantly, from s</w:t>
      </w:r>
      <w:r w:rsidR="00884699">
        <w:t> </w:t>
      </w:r>
      <w:r>
        <w:t xml:space="preserve">348 of the </w:t>
      </w:r>
      <w:r w:rsidR="00991F57">
        <w:rPr>
          <w:i/>
        </w:rPr>
        <w:t>Migration Act</w:t>
      </w:r>
      <w:r>
        <w:t>, which states that it must review a decision if an application is properly made under s</w:t>
      </w:r>
      <w:r w:rsidR="00884699">
        <w:t> </w:t>
      </w:r>
      <w:r>
        <w:t xml:space="preserve">347 for review of a </w:t>
      </w:r>
      <w:r w:rsidR="00A4330F">
        <w:t>P</w:t>
      </w:r>
      <w:r>
        <w:t xml:space="preserve">art </w:t>
      </w:r>
      <w:r w:rsidR="00A4330F" w:rsidRPr="00A4330F">
        <w:t>5</w:t>
      </w:r>
      <w:r w:rsidRPr="00A4330F">
        <w:t>-reviewable decision</w:t>
      </w:r>
      <w:r w:rsidR="00991F57">
        <w:t>.  S</w:t>
      </w:r>
      <w:r>
        <w:t>uch a decision is relevantly defined in s</w:t>
      </w:r>
      <w:r w:rsidR="00884699">
        <w:t> </w:t>
      </w:r>
      <w:r>
        <w:t>338(</w:t>
      </w:r>
      <w:r w:rsidR="00991F57">
        <w:t>2)</w:t>
      </w:r>
      <w:r>
        <w:t>(</w:t>
      </w:r>
      <w:r w:rsidR="00991F57">
        <w:t>d</w:t>
      </w:r>
      <w:r>
        <w:t xml:space="preserve">) of the </w:t>
      </w:r>
      <w:r w:rsidR="00991F57">
        <w:rPr>
          <w:i/>
        </w:rPr>
        <w:t xml:space="preserve">Migration Act </w:t>
      </w:r>
      <w:r>
        <w:t>to include a decision</w:t>
      </w:r>
      <w:r w:rsidR="00991F57">
        <w:t>:</w:t>
      </w:r>
    </w:p>
    <w:p w:rsidR="00A4330F" w:rsidRDefault="00A4330F" w:rsidP="00A4330F">
      <w:pPr>
        <w:pStyle w:val="Quote1"/>
        <w:ind w:left="1440" w:hanging="703"/>
      </w:pPr>
      <w:r>
        <w:t>(d)</w:t>
      </w:r>
      <w:r>
        <w:tab/>
      </w:r>
      <w:proofErr w:type="gramStart"/>
      <w:r>
        <w:t>where</w:t>
      </w:r>
      <w:proofErr w:type="gramEnd"/>
      <w:r>
        <w:t xml:space="preserve"> it is a criterion for the grant of the visa that the non-citizen is sponsored by an approved sponsor, and the visa is a temporary visa of a kind (however described) prescribed for the purposes of this paragraph:</w:t>
      </w:r>
    </w:p>
    <w:p w:rsidR="00A4330F" w:rsidRDefault="00A4330F" w:rsidP="006E2604">
      <w:pPr>
        <w:pStyle w:val="Quote2"/>
        <w:ind w:left="2160" w:hanging="720"/>
      </w:pPr>
      <w:r>
        <w:t>(</w:t>
      </w:r>
      <w:proofErr w:type="spellStart"/>
      <w:r>
        <w:t>i</w:t>
      </w:r>
      <w:proofErr w:type="spellEnd"/>
      <w:r>
        <w:t>)</w:t>
      </w:r>
      <w:r>
        <w:tab/>
      </w:r>
      <w:proofErr w:type="gramStart"/>
      <w:r>
        <w:t>the</w:t>
      </w:r>
      <w:proofErr w:type="gramEnd"/>
      <w:r>
        <w:t xml:space="preserve"> non-citizen is sponsored by an approved sponsor at the time the application to review the decision to refuse to grant the visa is made; or</w:t>
      </w:r>
    </w:p>
    <w:p w:rsidR="00A4330F" w:rsidRDefault="00A4330F" w:rsidP="00F04720">
      <w:pPr>
        <w:pStyle w:val="Quote2"/>
        <w:spacing w:after="360"/>
        <w:ind w:left="2160" w:hanging="720"/>
      </w:pPr>
      <w:r>
        <w:t>(ii)</w:t>
      </w:r>
      <w:r>
        <w:tab/>
      </w:r>
      <w:proofErr w:type="gramStart"/>
      <w:r>
        <w:t>an</w:t>
      </w:r>
      <w:proofErr w:type="gramEnd"/>
      <w:r>
        <w:t xml:space="preserve"> application for review of a decision not to approve the sponsor has been made, but, at the time the application to review the decision to refuse to grant the visa is made, review of the sponsorship decision is pending.</w:t>
      </w:r>
    </w:p>
    <w:p w:rsidR="000820E5" w:rsidRDefault="004B0515" w:rsidP="000820E5">
      <w:pPr>
        <w:pStyle w:val="ParaNumbering"/>
      </w:pPr>
      <w:r>
        <w:t>The C</w:t>
      </w:r>
      <w:r w:rsidR="005B0449">
        <w:t>ourt’</w:t>
      </w:r>
      <w:r w:rsidR="00EB6CE3">
        <w:t xml:space="preserve">s attention was drawn to </w:t>
      </w:r>
      <w:r w:rsidR="00EB6CE3" w:rsidRPr="00620317">
        <w:rPr>
          <w:i/>
        </w:rPr>
        <w:t>Ahmad</w:t>
      </w:r>
      <w:r w:rsidR="00EB6CE3">
        <w:t xml:space="preserve"> in which the </w:t>
      </w:r>
      <w:r w:rsidR="00991F57">
        <w:t>Full Court of the Federal Court</w:t>
      </w:r>
      <w:r w:rsidR="00EB6CE3">
        <w:t xml:space="preserve"> considered the meaning of s</w:t>
      </w:r>
      <w:r w:rsidR="00884699">
        <w:t> </w:t>
      </w:r>
      <w:r w:rsidR="00991F57">
        <w:t>338</w:t>
      </w:r>
      <w:r w:rsidR="00EB6CE3">
        <w:t>(</w:t>
      </w:r>
      <w:r w:rsidR="00991F57">
        <w:t>2)</w:t>
      </w:r>
      <w:r w:rsidR="00EB6CE3">
        <w:t>(</w:t>
      </w:r>
      <w:r w:rsidR="00991F57">
        <w:t>d</w:t>
      </w:r>
      <w:r w:rsidR="00EB6CE3">
        <w:t xml:space="preserve">) of the </w:t>
      </w:r>
      <w:r w:rsidR="00991F57">
        <w:rPr>
          <w:i/>
        </w:rPr>
        <w:t>Migration Act</w:t>
      </w:r>
      <w:r w:rsidR="000820E5">
        <w:t xml:space="preserve"> and found: </w:t>
      </w:r>
    </w:p>
    <w:p w:rsidR="000820E5" w:rsidRDefault="000820E5" w:rsidP="00620317">
      <w:pPr>
        <w:pStyle w:val="ListNo1"/>
      </w:pPr>
      <w:r>
        <w:t>at [90], that s</w:t>
      </w:r>
      <w:r w:rsidR="00884699">
        <w:t> </w:t>
      </w:r>
      <w:r>
        <w:t>338(2</w:t>
      </w:r>
      <w:r w:rsidR="00EB6CE3">
        <w:t>)</w:t>
      </w:r>
      <w:r>
        <w:t>(d)(</w:t>
      </w:r>
      <w:proofErr w:type="spellStart"/>
      <w:r>
        <w:t>i</w:t>
      </w:r>
      <w:proofErr w:type="spellEnd"/>
      <w:r w:rsidR="00EB6CE3">
        <w:t xml:space="preserve">) of the </w:t>
      </w:r>
      <w:r w:rsidR="00650CCB" w:rsidRPr="009336A5">
        <w:rPr>
          <w:i/>
          <w:szCs w:val="24"/>
        </w:rPr>
        <w:t>Migration Act</w:t>
      </w:r>
      <w:r w:rsidR="00650CCB">
        <w:t xml:space="preserve"> </w:t>
      </w:r>
      <w:r w:rsidR="00EB6CE3">
        <w:t>could be satisfied if a visa applicant was identifie</w:t>
      </w:r>
      <w:r>
        <w:t>d in a nomination under s140 GB</w:t>
      </w:r>
      <w:r w:rsidR="00EB6CE3">
        <w:t>(</w:t>
      </w:r>
      <w:r>
        <w:t>1</w:t>
      </w:r>
      <w:r w:rsidR="00EB6CE3">
        <w:t xml:space="preserve">) which was yet to be determined at the time of the making of an application for review to the Tribunal; </w:t>
      </w:r>
      <w:r w:rsidR="00620317">
        <w:t>and</w:t>
      </w:r>
    </w:p>
    <w:p w:rsidR="00991F57" w:rsidRDefault="00620317" w:rsidP="00620317">
      <w:pPr>
        <w:pStyle w:val="ListNo1"/>
      </w:pPr>
      <w:r>
        <w:t>at</w:t>
      </w:r>
      <w:r w:rsidR="00EB6CE3">
        <w:t xml:space="preserve"> [99]-[1</w:t>
      </w:r>
      <w:r w:rsidR="00F04720">
        <w:t>0</w:t>
      </w:r>
      <w:r w:rsidR="00EB6CE3">
        <w:t>1]</w:t>
      </w:r>
      <w:r w:rsidR="000820E5">
        <w:t>,</w:t>
      </w:r>
      <w:r w:rsidR="00F04720">
        <w:t xml:space="preserve"> that</w:t>
      </w:r>
      <w:r w:rsidR="00EB6CE3">
        <w:t xml:space="preserve"> s</w:t>
      </w:r>
      <w:r w:rsidR="00884699">
        <w:t> </w:t>
      </w:r>
      <w:r w:rsidR="00EB6CE3">
        <w:t>338(</w:t>
      </w:r>
      <w:r w:rsidR="000820E5">
        <w:t>2</w:t>
      </w:r>
      <w:r w:rsidR="00EB6CE3">
        <w:t>)(</w:t>
      </w:r>
      <w:r w:rsidR="000820E5">
        <w:t>d)</w:t>
      </w:r>
      <w:r w:rsidR="00EB6CE3">
        <w:t>(</w:t>
      </w:r>
      <w:r w:rsidR="000820E5">
        <w:t>ii</w:t>
      </w:r>
      <w:r w:rsidR="00EB6CE3">
        <w:t xml:space="preserve">) of the </w:t>
      </w:r>
      <w:r w:rsidR="000820E5">
        <w:rPr>
          <w:i/>
        </w:rPr>
        <w:t>Migration Act</w:t>
      </w:r>
      <w:r w:rsidR="00EB6CE3">
        <w:t xml:space="preserve"> could be satisfied where a decision not to approve the sponsor </w:t>
      </w:r>
      <w:r w:rsidR="000820E5" w:rsidRPr="00620317">
        <w:t>had</w:t>
      </w:r>
      <w:r w:rsidR="00EB6CE3">
        <w:t xml:space="preserve"> been made and was pending review at the time of the application to review the decision to refuse the grant to grant the visa was made </w:t>
      </w:r>
      <w:r w:rsidR="000820E5">
        <w:t>–</w:t>
      </w:r>
      <w:r w:rsidR="00EB6CE3">
        <w:t xml:space="preserve"> their Honours found that the e</w:t>
      </w:r>
      <w:r w:rsidR="005B0449">
        <w:t>xpression “</w:t>
      </w:r>
      <w:r w:rsidR="00EB6CE3" w:rsidRPr="00650CCB">
        <w:rPr>
          <w:i/>
        </w:rPr>
        <w:t>dec</w:t>
      </w:r>
      <w:r w:rsidR="005B0449">
        <w:rPr>
          <w:i/>
        </w:rPr>
        <w:t>ision not to approve the sponsor</w:t>
      </w:r>
      <w:r w:rsidR="005B0449">
        <w:t>”</w:t>
      </w:r>
      <w:r w:rsidR="00EB6CE3">
        <w:t xml:space="preserve"> </w:t>
      </w:r>
      <w:r w:rsidR="00EB6CE3">
        <w:lastRenderedPageBreak/>
        <w:t xml:space="preserve">in that provision included both approval of the sponsor and approval of the nomination, so that where a review of a nomination refusal was pending, the Tribunal would also have jurisdiction.  </w:t>
      </w:r>
    </w:p>
    <w:p w:rsidR="00650CCB" w:rsidRDefault="00991F57" w:rsidP="00EB6CE3">
      <w:pPr>
        <w:pStyle w:val="ParaNumbering"/>
      </w:pPr>
      <w:r>
        <w:t>H</w:t>
      </w:r>
      <w:r w:rsidR="00EB6CE3">
        <w:t>owever</w:t>
      </w:r>
      <w:r>
        <w:t>,</w:t>
      </w:r>
      <w:r w:rsidR="00EB6CE3">
        <w:t xml:space="preserve"> neither of the circumstances identified by the Full Court in </w:t>
      </w:r>
      <w:r w:rsidR="00EB6CE3" w:rsidRPr="000820E5">
        <w:rPr>
          <w:i/>
        </w:rPr>
        <w:t>Ah</w:t>
      </w:r>
      <w:r w:rsidR="009A0436" w:rsidRPr="000820E5">
        <w:rPr>
          <w:i/>
        </w:rPr>
        <w:t>med</w:t>
      </w:r>
      <w:r w:rsidR="009A0436">
        <w:t xml:space="preserve"> existed in this case.  A</w:t>
      </w:r>
      <w:r w:rsidR="00EB6CE3">
        <w:t>t the time the application for review was lodged</w:t>
      </w:r>
      <w:r w:rsidR="009A0436">
        <w:t>,</w:t>
      </w:r>
      <w:r w:rsidR="00EB6CE3">
        <w:t xml:space="preserve"> </w:t>
      </w:r>
      <w:r w:rsidR="006D483A">
        <w:t>Zak</w:t>
      </w:r>
      <w:r w:rsidR="00AC3AF6">
        <w:t xml:space="preserve"> Form Work</w:t>
      </w:r>
      <w:r w:rsidR="00EB6CE3">
        <w:t xml:space="preserve"> was not approved as a standard business spo</w:t>
      </w:r>
      <w:r w:rsidR="005620C4">
        <w:t>nsor.  While G</w:t>
      </w:r>
      <w:r w:rsidR="009A0436">
        <w:t xml:space="preserve">reen </w:t>
      </w:r>
      <w:r w:rsidR="005620C4">
        <w:t>F</w:t>
      </w:r>
      <w:r w:rsidR="009A0436">
        <w:t>ormwork was an</w:t>
      </w:r>
      <w:r w:rsidR="00EB6CE3">
        <w:t xml:space="preserve"> approved sponsor, the appellant was not</w:t>
      </w:r>
      <w:r w:rsidR="00A86467">
        <w:t xml:space="preserve"> the</w:t>
      </w:r>
      <w:r w:rsidR="00EB6CE3">
        <w:t xml:space="preserve"> subject of a nomination, eithe</w:t>
      </w:r>
      <w:r w:rsidR="005620C4">
        <w:t>r pending or approved, made by G</w:t>
      </w:r>
      <w:r w:rsidR="00EB6CE3">
        <w:t xml:space="preserve">reen </w:t>
      </w:r>
      <w:r w:rsidR="005620C4">
        <w:t>F</w:t>
      </w:r>
      <w:r w:rsidR="00EB6CE3">
        <w:t>ormwork.  This was confirmed by the ICS</w:t>
      </w:r>
      <w:r w:rsidR="000820E5">
        <w:t>E</w:t>
      </w:r>
      <w:r w:rsidR="00EB6CE3">
        <w:t xml:space="preserve"> records annexed to the affidavit th</w:t>
      </w:r>
      <w:r w:rsidR="009A0436">
        <w:t>at was before the primary judge.  T</w:t>
      </w:r>
      <w:r w:rsidR="00EB6CE3">
        <w:t xml:space="preserve">hose records did not indicate any other nomination in respect of the appellant at any relevant time.  </w:t>
      </w:r>
    </w:p>
    <w:p w:rsidR="00650CCB" w:rsidRDefault="00EB6CE3" w:rsidP="00EB6CE3">
      <w:pPr>
        <w:pStyle w:val="ParaNumbering"/>
      </w:pPr>
      <w:r>
        <w:t xml:space="preserve">There was no suggestion by the appellant that there was a pending review application filed by </w:t>
      </w:r>
      <w:r w:rsidR="006D483A">
        <w:t>Zak</w:t>
      </w:r>
      <w:r w:rsidR="00AC3AF6">
        <w:t xml:space="preserve"> Form Work</w:t>
      </w:r>
      <w:r>
        <w:t xml:space="preserve"> in respect of either the decision to refuse the nomination application or to refuse this application for approval </w:t>
      </w:r>
      <w:r w:rsidR="009A0436">
        <w:t>as</w:t>
      </w:r>
      <w:r>
        <w:t xml:space="preserve"> a standard business sponsor.  Thus at the time that the appellant lodged the application for review in the Tribunal, he was plainly not identified in a nomination, either determined or pending, and neither was there a pending review of the decision to refuse either a nomination in respect of the appellant or decision to refuse his employer approval </w:t>
      </w:r>
      <w:r w:rsidR="006E2604">
        <w:t xml:space="preserve">as </w:t>
      </w:r>
      <w:r>
        <w:t xml:space="preserve">a standard business sponsor.  </w:t>
      </w:r>
    </w:p>
    <w:p w:rsidR="009A0436" w:rsidRDefault="00EB6CE3" w:rsidP="00EB6CE3">
      <w:pPr>
        <w:pStyle w:val="ParaNumbering"/>
      </w:pPr>
      <w:r>
        <w:t xml:space="preserve">In </w:t>
      </w:r>
      <w:r w:rsidR="00650CCB">
        <w:t xml:space="preserve">the </w:t>
      </w:r>
      <w:r>
        <w:t>circumstances</w:t>
      </w:r>
      <w:r w:rsidR="009A0436">
        <w:t>,</w:t>
      </w:r>
      <w:r>
        <w:t xml:space="preserve"> the Tribunal had no discretion to conclude anything other than that it lacked jurisdiction, and the primary judge was therefore plainly c</w:t>
      </w:r>
      <w:r w:rsidR="005B0449">
        <w:t>orrect to dismiss the appellant’</w:t>
      </w:r>
      <w:r>
        <w:t xml:space="preserve">s application for review.  </w:t>
      </w:r>
    </w:p>
    <w:p w:rsidR="009A0436" w:rsidRDefault="00EB6CE3" w:rsidP="00EB6CE3">
      <w:pPr>
        <w:pStyle w:val="ParaNumbering"/>
      </w:pPr>
      <w:r>
        <w:t>I consider that the submissions made on behalf o</w:t>
      </w:r>
      <w:r w:rsidR="009A0436">
        <w:t xml:space="preserve">f the Minister are unassailably </w:t>
      </w:r>
      <w:r>
        <w:t xml:space="preserve">correct.  </w:t>
      </w:r>
    </w:p>
    <w:p w:rsidR="00EB6CE3" w:rsidRDefault="009A0436" w:rsidP="00EB6CE3">
      <w:pPr>
        <w:pStyle w:val="ParaNumbering"/>
      </w:pPr>
      <w:r>
        <w:t>F</w:t>
      </w:r>
      <w:r w:rsidR="00EB6CE3">
        <w:t xml:space="preserve">or completeness I should refer briefly to the submissions furnished at the hearing </w:t>
      </w:r>
      <w:r w:rsidR="00620317">
        <w:t>by</w:t>
      </w:r>
      <w:r w:rsidR="00EB6CE3">
        <w:t xml:space="preserve"> the appellant.</w:t>
      </w:r>
    </w:p>
    <w:p w:rsidR="009A0436" w:rsidRDefault="00EB6CE3" w:rsidP="00EB6CE3">
      <w:pPr>
        <w:pStyle w:val="ParaNumbering"/>
      </w:pPr>
      <w:r>
        <w:t>In substance, the appellant renews his complaints about the notific</w:t>
      </w:r>
      <w:r w:rsidR="009A0436">
        <w:t>ation processes that took place.</w:t>
      </w:r>
    </w:p>
    <w:p w:rsidR="00C01A5B" w:rsidRDefault="009A0436" w:rsidP="00EB6CE3">
      <w:pPr>
        <w:pStyle w:val="ParaNumbering"/>
      </w:pPr>
      <w:r>
        <w:t>I</w:t>
      </w:r>
      <w:r w:rsidR="005620C4">
        <w:t xml:space="preserve">n relation to </w:t>
      </w:r>
      <w:r w:rsidR="006D483A">
        <w:t>Zak</w:t>
      </w:r>
      <w:r w:rsidR="00AC3AF6">
        <w:t xml:space="preserve"> Form Work</w:t>
      </w:r>
      <w:r w:rsidR="00EB6CE3">
        <w:t xml:space="preserve"> however, </w:t>
      </w:r>
      <w:r w:rsidR="00E8719C">
        <w:t>it can only be concluded that the company was indeed notified of</w:t>
      </w:r>
      <w:r w:rsidR="00EB6CE3">
        <w:t xml:space="preserve"> the adverse decision</w:t>
      </w:r>
      <w:r w:rsidR="006E2604">
        <w:t xml:space="preserve"> on its sponsorship approval application</w:t>
      </w:r>
      <w:r w:rsidR="00EB6CE3">
        <w:t xml:space="preserve"> because it sought, unsuccessfully</w:t>
      </w:r>
      <w:r>
        <w:t>,</w:t>
      </w:r>
      <w:r w:rsidR="00EB6CE3">
        <w:t xml:space="preserve"> a review of that decision by a different</w:t>
      </w:r>
      <w:r w:rsidR="00650CCB">
        <w:t>ly</w:t>
      </w:r>
      <w:r w:rsidR="00EB6CE3">
        <w:t xml:space="preserve"> constituted Tribunal.  The appellant asserts</w:t>
      </w:r>
      <w:r w:rsidR="00D72EEE">
        <w:t xml:space="preserve"> –</w:t>
      </w:r>
      <w:r w:rsidR="00EB6CE3">
        <w:t xml:space="preserve"> without any evidence, </w:t>
      </w:r>
      <w:r w:rsidR="00D72EEE">
        <w:t xml:space="preserve">and </w:t>
      </w:r>
      <w:r w:rsidR="00EB6CE3">
        <w:t>contrary to the records and evidence before the Tribunal and the primary judge, and the additional evidence before the primary judge</w:t>
      </w:r>
      <w:r w:rsidR="00AC0459">
        <w:t xml:space="preserve"> –</w:t>
      </w:r>
      <w:r w:rsidR="00EB6CE3">
        <w:t xml:space="preserve"> </w:t>
      </w:r>
      <w:r w:rsidR="00D72EEE">
        <w:t xml:space="preserve">that </w:t>
      </w:r>
      <w:r w:rsidR="00EB6CE3">
        <w:t>the Tribunal did have jurisdiction</w:t>
      </w:r>
      <w:r w:rsidR="00650CCB">
        <w:t xml:space="preserve"> and </w:t>
      </w:r>
      <w:r w:rsidR="00EB6CE3" w:rsidRPr="00650CCB">
        <w:t>that</w:t>
      </w:r>
      <w:r w:rsidR="00EB6CE3">
        <w:t xml:space="preserve"> he was denied procedural fairness because he was </w:t>
      </w:r>
      <w:r w:rsidR="00EB6CE3">
        <w:lastRenderedPageBreak/>
        <w:t xml:space="preserve">not asked to comment on the information.  However none of these matters raised by the appellant address the fundamental and insurmountable problem that </w:t>
      </w:r>
      <w:r w:rsidR="00650CCB">
        <w:t>his</w:t>
      </w:r>
      <w:r w:rsidR="00EB6CE3">
        <w:t xml:space="preserve"> </w:t>
      </w:r>
      <w:r w:rsidR="00EB6CE3" w:rsidRPr="00650CCB">
        <w:t xml:space="preserve">appeal faces.  </w:t>
      </w:r>
    </w:p>
    <w:p w:rsidR="009A0436" w:rsidRDefault="00EB6CE3" w:rsidP="00EB6CE3">
      <w:pPr>
        <w:pStyle w:val="ParaNumbering"/>
      </w:pPr>
      <w:r w:rsidRPr="00650CCB">
        <w:t>It is plain that</w:t>
      </w:r>
      <w:r w:rsidR="006E2604">
        <w:t>,</w:t>
      </w:r>
      <w:r w:rsidRPr="00650CCB">
        <w:t xml:space="preserve"> on the material that was before </w:t>
      </w:r>
      <w:r w:rsidR="00C01A5B">
        <w:t>the Tribunal</w:t>
      </w:r>
      <w:r w:rsidRPr="00650CCB">
        <w:t xml:space="preserve"> and subsequently confirm</w:t>
      </w:r>
      <w:r w:rsidR="00C01A5B">
        <w:t>ed</w:t>
      </w:r>
      <w:r w:rsidRPr="00650CCB">
        <w:t xml:space="preserve"> before the primary judge, the necessary nomination or sponsorship </w:t>
      </w:r>
      <w:r w:rsidR="00E83ABC">
        <w:t xml:space="preserve">in relation to the appellant </w:t>
      </w:r>
      <w:r w:rsidRPr="00650CCB">
        <w:t>was absent</w:t>
      </w:r>
      <w:r>
        <w:t xml:space="preserve"> and accordingly the Tribunal did not have jurisdiction.  The Tribunal could not</w:t>
      </w:r>
      <w:r w:rsidR="003B263C">
        <w:t xml:space="preserve"> properly</w:t>
      </w:r>
      <w:r>
        <w:t xml:space="preserve"> reach any other conclusion.  </w:t>
      </w:r>
      <w:r w:rsidR="00AB20A7">
        <w:t>It follows that t</w:t>
      </w:r>
      <w:r>
        <w:t>he primary judge was correct in those circu</w:t>
      </w:r>
      <w:r w:rsidR="005B0449">
        <w:t>mstances to uphold the Tribunal’</w:t>
      </w:r>
      <w:r>
        <w:t xml:space="preserve">s decision and to dismiss the application for review.  For the same reasons, this appeal must fail.  </w:t>
      </w:r>
    </w:p>
    <w:p w:rsidR="00C63666" w:rsidRDefault="009A0436" w:rsidP="009A0436">
      <w:pPr>
        <w:pStyle w:val="ParaNumbering"/>
      </w:pPr>
      <w:r>
        <w:t>T</w:t>
      </w:r>
      <w:r w:rsidR="00EB6CE3">
        <w:t xml:space="preserve">he appeal </w:t>
      </w:r>
      <w:r w:rsidR="00F04720">
        <w:t>must</w:t>
      </w:r>
      <w:r w:rsidR="00EB6CE3">
        <w:t xml:space="preserve"> therefore </w:t>
      </w:r>
      <w:r w:rsidR="00F04720">
        <w:t xml:space="preserve">be </w:t>
      </w:r>
      <w:r w:rsidR="00EB6CE3">
        <w:t>dismissed with costs.</w:t>
      </w:r>
    </w:p>
    <w:p w:rsidR="009917DB" w:rsidRDefault="009917DB" w:rsidP="00815065">
      <w:pPr>
        <w:pStyle w:val="BodyText"/>
      </w:pPr>
      <w:bookmarkStart w:id="20" w:name="Certification"/>
    </w:p>
    <w:tbl>
      <w:tblPr>
        <w:tblW w:w="0" w:type="auto"/>
        <w:tblLook w:val="04A0" w:firstRow="1" w:lastRow="0" w:firstColumn="1" w:lastColumn="0" w:noHBand="0" w:noVBand="1"/>
      </w:tblPr>
      <w:tblGrid>
        <w:gridCol w:w="3794"/>
      </w:tblGrid>
      <w:tr w:rsidR="009917DB" w:rsidRPr="009917DB">
        <w:tc>
          <w:tcPr>
            <w:tcW w:w="3794" w:type="dxa"/>
            <w:shd w:val="clear" w:color="auto" w:fill="auto"/>
          </w:tcPr>
          <w:p w:rsidR="009917DB" w:rsidRPr="009917DB" w:rsidRDefault="009917DB" w:rsidP="009917DB">
            <w:pPr>
              <w:pStyle w:val="Normal1linespace"/>
            </w:pPr>
            <w:r w:rsidRPr="009917DB">
              <w:t xml:space="preserve">I certify that the preceding </w:t>
            </w:r>
            <w:bookmarkStart w:id="21" w:name="NumberWord"/>
            <w:r w:rsidR="002816E1">
              <w:t>thirty-three</w:t>
            </w:r>
            <w:bookmarkEnd w:id="21"/>
            <w:r w:rsidRPr="009917DB">
              <w:t xml:space="preserve"> (</w:t>
            </w:r>
            <w:bookmarkStart w:id="22" w:name="NumberNumeral"/>
            <w:r w:rsidR="002816E1">
              <w:t>33</w:t>
            </w:r>
            <w:bookmarkEnd w:id="22"/>
            <w:r w:rsidRPr="009917DB">
              <w:t xml:space="preserve">) numbered </w:t>
            </w:r>
            <w:bookmarkStart w:id="23" w:name="CertPara"/>
            <w:r w:rsidR="002816E1">
              <w:t>paragraphs are</w:t>
            </w:r>
            <w:bookmarkEnd w:id="23"/>
            <w:r w:rsidRPr="009917DB">
              <w:t xml:space="preserve"> a true copy of the Reasons for Judgment herein of the Honourable </w:t>
            </w:r>
            <w:bookmarkStart w:id="24" w:name="Justice"/>
            <w:r>
              <w:t>Justice Bromwich</w:t>
            </w:r>
            <w:bookmarkEnd w:id="24"/>
            <w:r w:rsidRPr="009917DB">
              <w:t>.</w:t>
            </w:r>
          </w:p>
        </w:tc>
      </w:tr>
    </w:tbl>
    <w:p w:rsidR="009917DB" w:rsidRDefault="009917DB" w:rsidP="00815065">
      <w:pPr>
        <w:pStyle w:val="BodyText"/>
      </w:pPr>
    </w:p>
    <w:p w:rsidR="009917DB" w:rsidRDefault="009917DB" w:rsidP="00815065">
      <w:pPr>
        <w:pStyle w:val="BodyText"/>
      </w:pPr>
    </w:p>
    <w:p w:rsidR="009917DB" w:rsidRDefault="009917DB" w:rsidP="00815065">
      <w:pPr>
        <w:pStyle w:val="BodyText"/>
      </w:pPr>
      <w:r>
        <w:t>Associate:</w:t>
      </w:r>
    </w:p>
    <w:p w:rsidR="009917DB" w:rsidRDefault="009917DB" w:rsidP="00815065">
      <w:pPr>
        <w:pStyle w:val="BodyText"/>
      </w:pPr>
      <w:bookmarkStart w:id="25" w:name="_GoBack"/>
      <w:bookmarkEnd w:id="25"/>
    </w:p>
    <w:p w:rsidR="009917DB" w:rsidRDefault="009917DB" w:rsidP="00815065">
      <w:pPr>
        <w:pStyle w:val="BodyText"/>
        <w:tabs>
          <w:tab w:val="left" w:pos="1134"/>
        </w:tabs>
      </w:pPr>
      <w:r>
        <w:t>Dated:</w:t>
      </w:r>
      <w:r>
        <w:tab/>
      </w:r>
      <w:bookmarkStart w:id="26" w:name="CertifyDated"/>
      <w:r>
        <w:t>20 March 2017</w:t>
      </w:r>
      <w:bookmarkEnd w:id="26"/>
    </w:p>
    <w:p w:rsidR="009917DB" w:rsidRDefault="009917DB" w:rsidP="00815065">
      <w:pPr>
        <w:pStyle w:val="BodyText"/>
      </w:pPr>
    </w:p>
    <w:bookmarkEnd w:id="20"/>
    <w:sectPr w:rsidR="009917DB">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D0D" w:rsidRDefault="00687D0D">
      <w:pPr>
        <w:spacing w:line="20" w:lineRule="exact"/>
      </w:pPr>
    </w:p>
    <w:p w:rsidR="00687D0D" w:rsidRDefault="00687D0D"/>
    <w:p w:rsidR="00687D0D" w:rsidRDefault="00687D0D"/>
  </w:endnote>
  <w:endnote w:type="continuationSeparator" w:id="0">
    <w:p w:rsidR="00687D0D" w:rsidRDefault="00687D0D">
      <w:r>
        <w:t xml:space="preserve"> </w:t>
      </w:r>
    </w:p>
    <w:p w:rsidR="00687D0D" w:rsidRDefault="00687D0D"/>
    <w:p w:rsidR="00687D0D" w:rsidRDefault="00687D0D"/>
  </w:endnote>
  <w:endnote w:type="continuationNotice" w:id="1">
    <w:p w:rsidR="00687D0D" w:rsidRDefault="00687D0D">
      <w:r>
        <w:t xml:space="preserve"> </w:t>
      </w:r>
    </w:p>
    <w:p w:rsidR="00687D0D" w:rsidRDefault="00687D0D"/>
    <w:p w:rsidR="00687D0D" w:rsidRDefault="00687D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80536" w:rsidRDefault="00395B24" w:rsidP="00780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80536" w:rsidRDefault="002F1E49" w:rsidP="00780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D0D" w:rsidRDefault="00687D0D"/>
    <w:p w:rsidR="00687D0D" w:rsidRDefault="00687D0D"/>
    <w:p w:rsidR="00687D0D" w:rsidRDefault="00687D0D"/>
  </w:footnote>
  <w:footnote w:type="continuationSeparator" w:id="0">
    <w:p w:rsidR="00687D0D" w:rsidRDefault="00687D0D">
      <w:r>
        <w:continuationSeparator/>
      </w:r>
    </w:p>
    <w:p w:rsidR="00687D0D" w:rsidRDefault="00687D0D"/>
    <w:p w:rsidR="00687D0D" w:rsidRDefault="00687D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725A21">
      <w:rPr>
        <w:noProof/>
      </w:rPr>
      <w:t>8</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Raj Kumar Ramjali"/>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gnword-docGUID" w:val="{32496607-258C-4304-AE19-75EB1A24A161}"/>
    <w:docVar w:name="dgnword-eventsink" w:val="327498080"/>
    <w:docVar w:name="Division" w:val="General Division"/>
    <w:docVar w:name="DocCreated" w:val="True"/>
    <w:docVar w:name="FileNumbers" w:val="NSD 1525 of 2016"/>
    <w:docVar w:name="HearingDate" w:val="8 March 2017"/>
    <w:docVar w:name="Initiators" w:val="(and another named in the Schedule)"/>
    <w:docVar w:name="InTheMatterOf" w:val="Ramjali v Minister for Immigration and Border Protection"/>
    <w:docVar w:name="Judgdate" w:val="20 March 2017"/>
    <w:docVar w:name="Judge" w:val="Bromwich"/>
    <w:docVar w:name="Justices" w:val="Justice"/>
    <w:docVar w:name="lstEntryList" w:val="-1"/>
    <w:docVar w:name="myEntryList" w:val="Counsel for the Appellant=The appellant appeared in person|Solicitor for the Respondents=Mr L Leerdam, DLA Piper Australia|Counsel for the Respondents=The Second Respondent file a submitting notice save as to costs"/>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687D0D"/>
    <w:rsid w:val="0001469E"/>
    <w:rsid w:val="00015993"/>
    <w:rsid w:val="00022289"/>
    <w:rsid w:val="00032F9F"/>
    <w:rsid w:val="00041C07"/>
    <w:rsid w:val="00042BD7"/>
    <w:rsid w:val="00044CE0"/>
    <w:rsid w:val="00045BB7"/>
    <w:rsid w:val="00055719"/>
    <w:rsid w:val="0005641B"/>
    <w:rsid w:val="00081497"/>
    <w:rsid w:val="000820E5"/>
    <w:rsid w:val="000971F1"/>
    <w:rsid w:val="000A2E76"/>
    <w:rsid w:val="000A4807"/>
    <w:rsid w:val="000A4BE4"/>
    <w:rsid w:val="000C023E"/>
    <w:rsid w:val="000C5195"/>
    <w:rsid w:val="000C530B"/>
    <w:rsid w:val="000C62EF"/>
    <w:rsid w:val="000D2137"/>
    <w:rsid w:val="000D3E71"/>
    <w:rsid w:val="000D3FD2"/>
    <w:rsid w:val="000E7BAE"/>
    <w:rsid w:val="000F133D"/>
    <w:rsid w:val="0010536B"/>
    <w:rsid w:val="0011145C"/>
    <w:rsid w:val="001128BD"/>
    <w:rsid w:val="0011419D"/>
    <w:rsid w:val="0012031A"/>
    <w:rsid w:val="00132054"/>
    <w:rsid w:val="0014091A"/>
    <w:rsid w:val="001721BD"/>
    <w:rsid w:val="001727A4"/>
    <w:rsid w:val="0017376C"/>
    <w:rsid w:val="001738AB"/>
    <w:rsid w:val="001765E0"/>
    <w:rsid w:val="00177759"/>
    <w:rsid w:val="00185E6B"/>
    <w:rsid w:val="00187BBC"/>
    <w:rsid w:val="001932F3"/>
    <w:rsid w:val="001A4309"/>
    <w:rsid w:val="001B1053"/>
    <w:rsid w:val="001B14AC"/>
    <w:rsid w:val="001B7940"/>
    <w:rsid w:val="001C37CA"/>
    <w:rsid w:val="001D3167"/>
    <w:rsid w:val="001D4303"/>
    <w:rsid w:val="001D6746"/>
    <w:rsid w:val="001E3B49"/>
    <w:rsid w:val="001E7388"/>
    <w:rsid w:val="001F0469"/>
    <w:rsid w:val="001F13DD"/>
    <w:rsid w:val="001F2DBC"/>
    <w:rsid w:val="0020262C"/>
    <w:rsid w:val="0020656E"/>
    <w:rsid w:val="00224537"/>
    <w:rsid w:val="002259CB"/>
    <w:rsid w:val="00235956"/>
    <w:rsid w:val="00247C9A"/>
    <w:rsid w:val="0025160C"/>
    <w:rsid w:val="002535D0"/>
    <w:rsid w:val="002539B3"/>
    <w:rsid w:val="00257C3E"/>
    <w:rsid w:val="002602C2"/>
    <w:rsid w:val="0026469D"/>
    <w:rsid w:val="002666C9"/>
    <w:rsid w:val="00270136"/>
    <w:rsid w:val="00274F5B"/>
    <w:rsid w:val="00280836"/>
    <w:rsid w:val="002816E1"/>
    <w:rsid w:val="00282E1A"/>
    <w:rsid w:val="0029113B"/>
    <w:rsid w:val="002934C0"/>
    <w:rsid w:val="002A1B50"/>
    <w:rsid w:val="002B0E91"/>
    <w:rsid w:val="002B6779"/>
    <w:rsid w:val="002B71C0"/>
    <w:rsid w:val="002B7A34"/>
    <w:rsid w:val="002C31AD"/>
    <w:rsid w:val="002C7385"/>
    <w:rsid w:val="002D2DBB"/>
    <w:rsid w:val="002D54A6"/>
    <w:rsid w:val="002D579F"/>
    <w:rsid w:val="002E6A7A"/>
    <w:rsid w:val="002F1E49"/>
    <w:rsid w:val="002F4E9C"/>
    <w:rsid w:val="002F7894"/>
    <w:rsid w:val="0031256C"/>
    <w:rsid w:val="00314D6C"/>
    <w:rsid w:val="00316D2A"/>
    <w:rsid w:val="00322A7C"/>
    <w:rsid w:val="003402D3"/>
    <w:rsid w:val="00341727"/>
    <w:rsid w:val="00343ABC"/>
    <w:rsid w:val="003463FE"/>
    <w:rsid w:val="0035526C"/>
    <w:rsid w:val="003554B3"/>
    <w:rsid w:val="00356632"/>
    <w:rsid w:val="003845A9"/>
    <w:rsid w:val="00390883"/>
    <w:rsid w:val="003922F8"/>
    <w:rsid w:val="00395B24"/>
    <w:rsid w:val="003A2D38"/>
    <w:rsid w:val="003A7DF6"/>
    <w:rsid w:val="003A7ECC"/>
    <w:rsid w:val="003B263C"/>
    <w:rsid w:val="003B2C72"/>
    <w:rsid w:val="003C1333"/>
    <w:rsid w:val="003C18D7"/>
    <w:rsid w:val="003C20FF"/>
    <w:rsid w:val="003C4674"/>
    <w:rsid w:val="003D2650"/>
    <w:rsid w:val="003D560C"/>
    <w:rsid w:val="003E5874"/>
    <w:rsid w:val="003F193E"/>
    <w:rsid w:val="003F34F1"/>
    <w:rsid w:val="00400DE4"/>
    <w:rsid w:val="00411AE8"/>
    <w:rsid w:val="00412E6F"/>
    <w:rsid w:val="00413B74"/>
    <w:rsid w:val="00435C5F"/>
    <w:rsid w:val="00441E98"/>
    <w:rsid w:val="004532F7"/>
    <w:rsid w:val="00472027"/>
    <w:rsid w:val="004804CF"/>
    <w:rsid w:val="00484962"/>
    <w:rsid w:val="00484F6D"/>
    <w:rsid w:val="00485110"/>
    <w:rsid w:val="0049338A"/>
    <w:rsid w:val="0049417F"/>
    <w:rsid w:val="004B0515"/>
    <w:rsid w:val="004B3EFA"/>
    <w:rsid w:val="004B6585"/>
    <w:rsid w:val="004C2A87"/>
    <w:rsid w:val="004C4ED3"/>
    <w:rsid w:val="004D2EA5"/>
    <w:rsid w:val="004D32A6"/>
    <w:rsid w:val="004D53E5"/>
    <w:rsid w:val="00501A12"/>
    <w:rsid w:val="0051346D"/>
    <w:rsid w:val="00513EAE"/>
    <w:rsid w:val="00516806"/>
    <w:rsid w:val="0052248C"/>
    <w:rsid w:val="00525A49"/>
    <w:rsid w:val="00535613"/>
    <w:rsid w:val="005359EB"/>
    <w:rsid w:val="0054254A"/>
    <w:rsid w:val="005466B5"/>
    <w:rsid w:val="005620C4"/>
    <w:rsid w:val="005629B3"/>
    <w:rsid w:val="00573AC4"/>
    <w:rsid w:val="005801FC"/>
    <w:rsid w:val="00595016"/>
    <w:rsid w:val="00597AAE"/>
    <w:rsid w:val="005A222C"/>
    <w:rsid w:val="005A4DF8"/>
    <w:rsid w:val="005B0449"/>
    <w:rsid w:val="005B1426"/>
    <w:rsid w:val="005B5D7D"/>
    <w:rsid w:val="005C0A8E"/>
    <w:rsid w:val="005C1767"/>
    <w:rsid w:val="005C2A2F"/>
    <w:rsid w:val="005C42EF"/>
    <w:rsid w:val="005C7D4A"/>
    <w:rsid w:val="005E02F5"/>
    <w:rsid w:val="005E0510"/>
    <w:rsid w:val="005E176E"/>
    <w:rsid w:val="005E218E"/>
    <w:rsid w:val="005E35A0"/>
    <w:rsid w:val="005F0D1B"/>
    <w:rsid w:val="005F1865"/>
    <w:rsid w:val="006007BD"/>
    <w:rsid w:val="006013C8"/>
    <w:rsid w:val="0060270D"/>
    <w:rsid w:val="00604611"/>
    <w:rsid w:val="00611586"/>
    <w:rsid w:val="00620317"/>
    <w:rsid w:val="00621887"/>
    <w:rsid w:val="00624520"/>
    <w:rsid w:val="006255D6"/>
    <w:rsid w:val="00632BB7"/>
    <w:rsid w:val="00635B36"/>
    <w:rsid w:val="00636871"/>
    <w:rsid w:val="00640F4E"/>
    <w:rsid w:val="00643DE0"/>
    <w:rsid w:val="00644E85"/>
    <w:rsid w:val="00650CCB"/>
    <w:rsid w:val="0066063F"/>
    <w:rsid w:val="00662BB0"/>
    <w:rsid w:val="00662F88"/>
    <w:rsid w:val="00663878"/>
    <w:rsid w:val="00667773"/>
    <w:rsid w:val="00670743"/>
    <w:rsid w:val="00687D0D"/>
    <w:rsid w:val="00690EE2"/>
    <w:rsid w:val="00694D6D"/>
    <w:rsid w:val="006A0E20"/>
    <w:rsid w:val="006A5695"/>
    <w:rsid w:val="006B3904"/>
    <w:rsid w:val="006B5B7D"/>
    <w:rsid w:val="006D0ECF"/>
    <w:rsid w:val="006D483A"/>
    <w:rsid w:val="006D4C92"/>
    <w:rsid w:val="006D4EB6"/>
    <w:rsid w:val="006D5183"/>
    <w:rsid w:val="006E2604"/>
    <w:rsid w:val="006E35BF"/>
    <w:rsid w:val="006E7850"/>
    <w:rsid w:val="007028D9"/>
    <w:rsid w:val="00707218"/>
    <w:rsid w:val="00712B1D"/>
    <w:rsid w:val="00725A21"/>
    <w:rsid w:val="007325D9"/>
    <w:rsid w:val="007360CA"/>
    <w:rsid w:val="0078003A"/>
    <w:rsid w:val="00780536"/>
    <w:rsid w:val="00780771"/>
    <w:rsid w:val="00791E9D"/>
    <w:rsid w:val="007929CF"/>
    <w:rsid w:val="007A6F28"/>
    <w:rsid w:val="007B03C6"/>
    <w:rsid w:val="007B0DB1"/>
    <w:rsid w:val="007D2EF8"/>
    <w:rsid w:val="007D561F"/>
    <w:rsid w:val="007D7FD2"/>
    <w:rsid w:val="007E13D9"/>
    <w:rsid w:val="007E4DB6"/>
    <w:rsid w:val="007E7CD4"/>
    <w:rsid w:val="00801800"/>
    <w:rsid w:val="00801B5B"/>
    <w:rsid w:val="008276B4"/>
    <w:rsid w:val="008307A5"/>
    <w:rsid w:val="00831927"/>
    <w:rsid w:val="00841BD3"/>
    <w:rsid w:val="0084273D"/>
    <w:rsid w:val="00844E3F"/>
    <w:rsid w:val="00845A83"/>
    <w:rsid w:val="008712BB"/>
    <w:rsid w:val="00884699"/>
    <w:rsid w:val="008A2484"/>
    <w:rsid w:val="008B611D"/>
    <w:rsid w:val="008C26D9"/>
    <w:rsid w:val="008C6D50"/>
    <w:rsid w:val="008C7167"/>
    <w:rsid w:val="008C7503"/>
    <w:rsid w:val="008D1617"/>
    <w:rsid w:val="008E6315"/>
    <w:rsid w:val="008F11E0"/>
    <w:rsid w:val="008F2C01"/>
    <w:rsid w:val="008F78BC"/>
    <w:rsid w:val="008F7B63"/>
    <w:rsid w:val="008F7D6A"/>
    <w:rsid w:val="009008FF"/>
    <w:rsid w:val="009054CB"/>
    <w:rsid w:val="00912F94"/>
    <w:rsid w:val="0092590B"/>
    <w:rsid w:val="00925E60"/>
    <w:rsid w:val="009264B3"/>
    <w:rsid w:val="00936C55"/>
    <w:rsid w:val="00942BA2"/>
    <w:rsid w:val="00944C86"/>
    <w:rsid w:val="00957DE8"/>
    <w:rsid w:val="00960ECB"/>
    <w:rsid w:val="009615D6"/>
    <w:rsid w:val="00967855"/>
    <w:rsid w:val="00971FC0"/>
    <w:rsid w:val="00980736"/>
    <w:rsid w:val="00981A39"/>
    <w:rsid w:val="00987097"/>
    <w:rsid w:val="009917DB"/>
    <w:rsid w:val="00991F57"/>
    <w:rsid w:val="009A0436"/>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330F"/>
    <w:rsid w:val="00A45FB1"/>
    <w:rsid w:val="00A46CCC"/>
    <w:rsid w:val="00A51CFE"/>
    <w:rsid w:val="00A7010D"/>
    <w:rsid w:val="00A76C13"/>
    <w:rsid w:val="00A86467"/>
    <w:rsid w:val="00A92E79"/>
    <w:rsid w:val="00A950B6"/>
    <w:rsid w:val="00A953EF"/>
    <w:rsid w:val="00AB20A7"/>
    <w:rsid w:val="00AB41C1"/>
    <w:rsid w:val="00AC0459"/>
    <w:rsid w:val="00AC3AF6"/>
    <w:rsid w:val="00AD12A8"/>
    <w:rsid w:val="00AD3951"/>
    <w:rsid w:val="00AF3577"/>
    <w:rsid w:val="00AF35F9"/>
    <w:rsid w:val="00B0509E"/>
    <w:rsid w:val="00B05C7D"/>
    <w:rsid w:val="00B346C3"/>
    <w:rsid w:val="00B4471C"/>
    <w:rsid w:val="00B451A6"/>
    <w:rsid w:val="00B7134F"/>
    <w:rsid w:val="00B722DE"/>
    <w:rsid w:val="00B76C44"/>
    <w:rsid w:val="00B83F87"/>
    <w:rsid w:val="00BA2EFA"/>
    <w:rsid w:val="00BA3DBC"/>
    <w:rsid w:val="00BB2DA2"/>
    <w:rsid w:val="00BB56DC"/>
    <w:rsid w:val="00BE183D"/>
    <w:rsid w:val="00BF1258"/>
    <w:rsid w:val="00BF5D7A"/>
    <w:rsid w:val="00C01A5B"/>
    <w:rsid w:val="00C04871"/>
    <w:rsid w:val="00C066CF"/>
    <w:rsid w:val="00C36442"/>
    <w:rsid w:val="00C400CE"/>
    <w:rsid w:val="00C410FD"/>
    <w:rsid w:val="00C539FB"/>
    <w:rsid w:val="00C63666"/>
    <w:rsid w:val="00C67E04"/>
    <w:rsid w:val="00CA246D"/>
    <w:rsid w:val="00CA291E"/>
    <w:rsid w:val="00CB5636"/>
    <w:rsid w:val="00CE2C3E"/>
    <w:rsid w:val="00D10F21"/>
    <w:rsid w:val="00D149DE"/>
    <w:rsid w:val="00D245BB"/>
    <w:rsid w:val="00D34040"/>
    <w:rsid w:val="00D34E69"/>
    <w:rsid w:val="00D375EE"/>
    <w:rsid w:val="00D449EB"/>
    <w:rsid w:val="00D46BA8"/>
    <w:rsid w:val="00D610C9"/>
    <w:rsid w:val="00D62699"/>
    <w:rsid w:val="00D72EEE"/>
    <w:rsid w:val="00D82620"/>
    <w:rsid w:val="00D9725F"/>
    <w:rsid w:val="00DA01B1"/>
    <w:rsid w:val="00DA11A2"/>
    <w:rsid w:val="00DA14ED"/>
    <w:rsid w:val="00DA1808"/>
    <w:rsid w:val="00DA5B3E"/>
    <w:rsid w:val="00DB2EF1"/>
    <w:rsid w:val="00DB3DE1"/>
    <w:rsid w:val="00DB5DA0"/>
    <w:rsid w:val="00DB716C"/>
    <w:rsid w:val="00DC5C85"/>
    <w:rsid w:val="00DD4236"/>
    <w:rsid w:val="00DD44F1"/>
    <w:rsid w:val="00DE02B0"/>
    <w:rsid w:val="00DE3067"/>
    <w:rsid w:val="00E0109E"/>
    <w:rsid w:val="00E027BC"/>
    <w:rsid w:val="00E14EA5"/>
    <w:rsid w:val="00E21133"/>
    <w:rsid w:val="00E2327E"/>
    <w:rsid w:val="00E266EF"/>
    <w:rsid w:val="00E47428"/>
    <w:rsid w:val="00E66B9F"/>
    <w:rsid w:val="00E710D6"/>
    <w:rsid w:val="00E76E45"/>
    <w:rsid w:val="00E777C9"/>
    <w:rsid w:val="00E81DA6"/>
    <w:rsid w:val="00E83ABC"/>
    <w:rsid w:val="00E84212"/>
    <w:rsid w:val="00E8719C"/>
    <w:rsid w:val="00E9086C"/>
    <w:rsid w:val="00E91A0F"/>
    <w:rsid w:val="00E94A71"/>
    <w:rsid w:val="00EA03CE"/>
    <w:rsid w:val="00EA23E5"/>
    <w:rsid w:val="00EA4E2E"/>
    <w:rsid w:val="00EB2CCB"/>
    <w:rsid w:val="00EB6CE3"/>
    <w:rsid w:val="00EC1730"/>
    <w:rsid w:val="00EC57A7"/>
    <w:rsid w:val="00ED0817"/>
    <w:rsid w:val="00ED7DD9"/>
    <w:rsid w:val="00EE76AE"/>
    <w:rsid w:val="00EF2981"/>
    <w:rsid w:val="00EF3113"/>
    <w:rsid w:val="00EF3F84"/>
    <w:rsid w:val="00F04720"/>
    <w:rsid w:val="00F124B3"/>
    <w:rsid w:val="00F176AC"/>
    <w:rsid w:val="00F27714"/>
    <w:rsid w:val="00F3276E"/>
    <w:rsid w:val="00F33D3C"/>
    <w:rsid w:val="00F37A91"/>
    <w:rsid w:val="00F45CF5"/>
    <w:rsid w:val="00F47DB0"/>
    <w:rsid w:val="00F50E34"/>
    <w:rsid w:val="00F53EF7"/>
    <w:rsid w:val="00F54BF2"/>
    <w:rsid w:val="00F57E64"/>
    <w:rsid w:val="00F92355"/>
    <w:rsid w:val="00F93963"/>
    <w:rsid w:val="00F94291"/>
    <w:rsid w:val="00FA56DE"/>
    <w:rsid w:val="00FB2156"/>
    <w:rsid w:val="00FB7982"/>
    <w:rsid w:val="00FC0734"/>
    <w:rsid w:val="00FC0FC5"/>
    <w:rsid w:val="00FC588F"/>
    <w:rsid w:val="00FD3127"/>
    <w:rsid w:val="00FE1B30"/>
    <w:rsid w:val="00FE3A5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Rx2">
    <w:name w:val="Rx(2)"/>
    <w:aliases w:val="Subclause (2)"/>
    <w:basedOn w:val="Normal"/>
    <w:rsid w:val="006D483A"/>
    <w:pPr>
      <w:spacing w:before="180" w:line="260" w:lineRule="exact"/>
      <w:ind w:left="1134" w:hanging="1134"/>
    </w:pPr>
    <w:rPr>
      <w:rFonts w:eastAsia="Times New Roman"/>
      <w:szCs w:val="24"/>
    </w:rPr>
  </w:style>
  <w:style w:type="paragraph" w:customStyle="1" w:styleId="RxA">
    <w:name w:val="Rx(A)"/>
    <w:aliases w:val="CardSub-subpara"/>
    <w:basedOn w:val="Normal"/>
    <w:rsid w:val="006D483A"/>
    <w:pPr>
      <w:tabs>
        <w:tab w:val="right" w:pos="2438"/>
      </w:tabs>
      <w:spacing w:before="60" w:line="260" w:lineRule="exact"/>
      <w:ind w:left="2608" w:hanging="2608"/>
    </w:pPr>
    <w:rPr>
      <w:rFonts w:eastAsia="Times New Roman"/>
      <w:szCs w:val="24"/>
    </w:rPr>
  </w:style>
  <w:style w:type="paragraph" w:customStyle="1" w:styleId="ZRxa">
    <w:name w:val="ZRx(a)"/>
    <w:basedOn w:val="Normal"/>
    <w:rsid w:val="006D483A"/>
    <w:pPr>
      <w:keepNext/>
      <w:tabs>
        <w:tab w:val="right" w:pos="1361"/>
      </w:tabs>
      <w:spacing w:before="60" w:line="260" w:lineRule="exact"/>
      <w:ind w:left="1644" w:hanging="1644"/>
    </w:pPr>
    <w:rPr>
      <w:rFonts w:eastAsia="Times New Roman"/>
      <w:szCs w:val="24"/>
    </w:rPr>
  </w:style>
  <w:style w:type="paragraph" w:customStyle="1" w:styleId="ZRxi">
    <w:name w:val="ZRx(i)"/>
    <w:basedOn w:val="Normal"/>
    <w:rsid w:val="006D483A"/>
    <w:pPr>
      <w:keepNext/>
      <w:tabs>
        <w:tab w:val="right" w:pos="1985"/>
      </w:tabs>
      <w:spacing w:before="60" w:line="260" w:lineRule="exact"/>
      <w:ind w:left="2155" w:hanging="2155"/>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Rx2">
    <w:name w:val="Rx(2)"/>
    <w:aliases w:val="Subclause (2)"/>
    <w:basedOn w:val="Normal"/>
    <w:rsid w:val="006D483A"/>
    <w:pPr>
      <w:spacing w:before="180" w:line="260" w:lineRule="exact"/>
      <w:ind w:left="1134" w:hanging="1134"/>
    </w:pPr>
    <w:rPr>
      <w:rFonts w:eastAsia="Times New Roman"/>
      <w:szCs w:val="24"/>
    </w:rPr>
  </w:style>
  <w:style w:type="paragraph" w:customStyle="1" w:styleId="RxA">
    <w:name w:val="Rx(A)"/>
    <w:aliases w:val="CardSub-subpara"/>
    <w:basedOn w:val="Normal"/>
    <w:rsid w:val="006D483A"/>
    <w:pPr>
      <w:tabs>
        <w:tab w:val="right" w:pos="2438"/>
      </w:tabs>
      <w:spacing w:before="60" w:line="260" w:lineRule="exact"/>
      <w:ind w:left="2608" w:hanging="2608"/>
    </w:pPr>
    <w:rPr>
      <w:rFonts w:eastAsia="Times New Roman"/>
      <w:szCs w:val="24"/>
    </w:rPr>
  </w:style>
  <w:style w:type="paragraph" w:customStyle="1" w:styleId="ZRxa">
    <w:name w:val="ZRx(a)"/>
    <w:basedOn w:val="Normal"/>
    <w:rsid w:val="006D483A"/>
    <w:pPr>
      <w:keepNext/>
      <w:tabs>
        <w:tab w:val="right" w:pos="1361"/>
      </w:tabs>
      <w:spacing w:before="60" w:line="260" w:lineRule="exact"/>
      <w:ind w:left="1644" w:hanging="1644"/>
    </w:pPr>
    <w:rPr>
      <w:rFonts w:eastAsia="Times New Roman"/>
      <w:szCs w:val="24"/>
    </w:rPr>
  </w:style>
  <w:style w:type="paragraph" w:customStyle="1" w:styleId="ZRxi">
    <w:name w:val="ZRx(i)"/>
    <w:basedOn w:val="Normal"/>
    <w:rsid w:val="006D483A"/>
    <w:pPr>
      <w:keepNext/>
      <w:tabs>
        <w:tab w:val="right" w:pos="1985"/>
      </w:tabs>
      <w:spacing w:before="60" w:line="260" w:lineRule="exact"/>
      <w:ind w:left="2155" w:hanging="2155"/>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5130-F9EE-4A91-BDA1-706AC5FB7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10</Pages>
  <Words>3231</Words>
  <Characters>16512</Characters>
  <Application>Microsoft Office Word</Application>
  <DocSecurity>0</DocSecurity>
  <Lines>358</Lines>
  <Paragraphs>131</Paragraphs>
  <ScaleCrop>false</ScaleCrop>
  <HeadingPairs>
    <vt:vector size="2" baseType="variant">
      <vt:variant>
        <vt:lpstr>Title</vt:lpstr>
      </vt:variant>
      <vt:variant>
        <vt:i4>1</vt:i4>
      </vt:variant>
    </vt:vector>
  </HeadingPairs>
  <TitlesOfParts>
    <vt:vector size="1" baseType="lpstr">
      <vt:lpstr>Ramjali v Minister for Immigration and Border Protection [2017] FCA 271</vt:lpstr>
    </vt:vector>
  </TitlesOfParts>
  <Company>Federal Court of Australia</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Ramjali v Minister for Immigration and Border Protection [2017] FCA 271</dc:title>
  <dc:creator>Luke Teo</dc:creator>
  <cp:lastModifiedBy>Anna Masters</cp:lastModifiedBy>
  <cp:revision>3</cp:revision>
  <cp:lastPrinted>2017-03-19T21:57:00Z</cp:lastPrinted>
  <dcterms:created xsi:type="dcterms:W3CDTF">2017-03-20T03:45:00Z</dcterms:created>
  <dcterms:modified xsi:type="dcterms:W3CDTF">2017-03-20T03:45:00Z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BROMWICH J</vt:lpwstr>
  </property>
  <property fmtid="{D5CDD505-2E9C-101B-9397-08002B2CF9AE}" pid="4" name="Judgment_dated" linkTarget="Judgment_dated">
    <vt:lpwstr>20 MARCH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10</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