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C07C2A">
      <w:pPr>
        <w:pStyle w:val="MediaNeutralStyle"/>
      </w:pPr>
      <w:bookmarkStart w:id="0" w:name="MNC"/>
      <w:r>
        <w:t>AYJ15 v Minister for Immigration and</w:t>
      </w:r>
      <w:r w:rsidR="00CA7289">
        <w:t xml:space="preserve"> Border Protection [2016] FCA 863</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85BCD">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0245B1" w:rsidP="002539B3">
            <w:pPr>
              <w:pStyle w:val="CasesLegislationAppealFrom"/>
              <w:spacing w:after="60"/>
            </w:pPr>
            <w:bookmarkStart w:id="1" w:name="AppealFrom"/>
            <w:r w:rsidRPr="001874F6">
              <w:rPr>
                <w:i/>
              </w:rPr>
              <w:t>AYJ15 v Minister for Immigration &amp; Anor</w:t>
            </w:r>
            <w:r>
              <w:t xml:space="preserve"> [2016] FCCA 252</w:t>
            </w:r>
            <w:r w:rsidR="009264B3">
              <w:t xml:space="preserve"> </w:t>
            </w:r>
            <w:bookmarkEnd w:id="1"/>
          </w:p>
        </w:tc>
      </w:tr>
      <w:tr w:rsidR="00395B24" w:rsidTr="00985BC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85BCD">
        <w:tc>
          <w:tcPr>
            <w:tcW w:w="3085" w:type="dxa"/>
            <w:shd w:val="clear" w:color="auto" w:fill="auto"/>
          </w:tcPr>
          <w:p w:rsidR="00395B24" w:rsidRDefault="001874F6" w:rsidP="00663878">
            <w:pPr>
              <w:pStyle w:val="Normal1linespace"/>
              <w:widowControl w:val="0"/>
              <w:jc w:val="left"/>
            </w:pPr>
            <w:r>
              <w:t>File number</w:t>
            </w:r>
            <w:r w:rsidR="002C7385">
              <w:t>:</w:t>
            </w:r>
          </w:p>
        </w:tc>
        <w:tc>
          <w:tcPr>
            <w:tcW w:w="5989" w:type="dxa"/>
            <w:shd w:val="clear" w:color="auto" w:fill="auto"/>
          </w:tcPr>
          <w:p w:rsidR="00395B24" w:rsidRPr="007D5A55" w:rsidRDefault="00C76F43" w:rsidP="007D5A55">
            <w:pPr>
              <w:pStyle w:val="Normal1linespace"/>
              <w:jc w:val="left"/>
            </w:pPr>
            <w:fldSimple w:instr=" REF  FileNo  \* MERGEFORMAT " w:fldLock="1">
              <w:r w:rsidR="007D5A55" w:rsidRPr="007D5A55">
                <w:t>QUD 75 of 2016</w:t>
              </w:r>
            </w:fldSimple>
          </w:p>
        </w:tc>
      </w:tr>
      <w:tr w:rsidR="00395B24" w:rsidTr="00985BC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85BCD">
        <w:tc>
          <w:tcPr>
            <w:tcW w:w="3085" w:type="dxa"/>
            <w:shd w:val="clear" w:color="auto" w:fill="auto"/>
          </w:tcPr>
          <w:p w:rsidR="00395B24" w:rsidRDefault="001874F6"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7D5A55">
              <w:rPr>
                <w:b/>
              </w:rPr>
              <w:fldChar w:fldCharType="begin" w:fldLock="1"/>
            </w:r>
            <w:r w:rsidRPr="007D5A55">
              <w:rPr>
                <w:b/>
              </w:rPr>
              <w:instrText xml:space="preserve"> REF  Judge  \* MERGEFORMAT </w:instrText>
            </w:r>
            <w:r w:rsidRPr="007D5A55">
              <w:rPr>
                <w:b/>
              </w:rPr>
              <w:fldChar w:fldCharType="separate"/>
            </w:r>
            <w:r w:rsidR="007D5A55" w:rsidRPr="007D5A55">
              <w:rPr>
                <w:b/>
                <w:caps/>
                <w:szCs w:val="24"/>
              </w:rPr>
              <w:t>REEVES J</w:t>
            </w:r>
            <w:r w:rsidRPr="007D5A55">
              <w:rPr>
                <w:b/>
              </w:rPr>
              <w:fldChar w:fldCharType="end"/>
            </w:r>
          </w:p>
        </w:tc>
      </w:tr>
      <w:tr w:rsidR="00395B24" w:rsidTr="00985BC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85BC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B4618" w:rsidP="00FB4618">
            <w:pPr>
              <w:pStyle w:val="Normal1linespace"/>
              <w:widowControl w:val="0"/>
              <w:jc w:val="left"/>
            </w:pPr>
            <w:bookmarkStart w:id="2" w:name="JudgmentDate"/>
            <w:r>
              <w:t>2</w:t>
            </w:r>
            <w:r w:rsidR="007D5A55">
              <w:t xml:space="preserve"> </w:t>
            </w:r>
            <w:r>
              <w:t>August</w:t>
            </w:r>
            <w:r w:rsidR="007D5A55">
              <w:t xml:space="preserve"> 2016</w:t>
            </w:r>
            <w:bookmarkEnd w:id="2"/>
          </w:p>
        </w:tc>
      </w:tr>
      <w:tr w:rsidR="00395B24" w:rsidTr="00985BC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85BCD">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A30E90" w:rsidP="00663878">
            <w:pPr>
              <w:pStyle w:val="Normal1linespace"/>
              <w:widowControl w:val="0"/>
              <w:jc w:val="left"/>
            </w:pPr>
            <w:bookmarkStart w:id="3" w:name="Catchwords"/>
            <w:r w:rsidRPr="00A30E90">
              <w:rPr>
                <w:b/>
              </w:rPr>
              <w:t>MIGRATION</w:t>
            </w:r>
            <w:r w:rsidRPr="00A30E90">
              <w:t xml:space="preserve"> – appeal from a decision of the Federal Circuit Court dismissing an application for judicial review of a Refugee Review Tribunal decision – where appellant raised new grounds of appeal that were not before the Federal Circuit Court – where no clear merit in the proposed new grounds of appeal – appeal dismissed </w:t>
            </w:r>
            <w:r w:rsidR="002C7385">
              <w:t xml:space="preserve"> </w:t>
            </w:r>
            <w:bookmarkEnd w:id="3"/>
          </w:p>
        </w:tc>
      </w:tr>
      <w:tr w:rsidR="00395B24" w:rsidTr="00985BC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85BC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1F37F7" w:rsidRDefault="001F37F7" w:rsidP="00D82620">
            <w:pPr>
              <w:pStyle w:val="CasesLegislationAppealFrom"/>
              <w:spacing w:after="60"/>
            </w:pPr>
            <w:bookmarkStart w:id="4" w:name="Legislation"/>
            <w:r>
              <w:rPr>
                <w:i/>
              </w:rPr>
              <w:t>Migration Act 1958</w:t>
            </w:r>
            <w:r>
              <w:t xml:space="preserve"> (</w:t>
            </w:r>
            <w:proofErr w:type="spellStart"/>
            <w:r>
              <w:t>Cth</w:t>
            </w:r>
            <w:proofErr w:type="spellEnd"/>
            <w:r>
              <w:t>)</w:t>
            </w:r>
          </w:p>
          <w:p w:rsidR="00395B24" w:rsidRDefault="001F37F7" w:rsidP="001F37F7">
            <w:pPr>
              <w:pStyle w:val="CasesLegislationAppealFrom"/>
              <w:spacing w:after="60"/>
            </w:pPr>
            <w:r>
              <w:rPr>
                <w:i/>
              </w:rPr>
              <w:t>Migration Litigation Reform Act 2005</w:t>
            </w:r>
            <w:r>
              <w:t xml:space="preserve"> (</w:t>
            </w:r>
            <w:proofErr w:type="spellStart"/>
            <w:r>
              <w:t>Cth</w:t>
            </w:r>
            <w:proofErr w:type="spellEnd"/>
            <w:r>
              <w:t>)</w:t>
            </w:r>
            <w:bookmarkEnd w:id="4"/>
          </w:p>
        </w:tc>
      </w:tr>
      <w:tr w:rsidR="00395B24" w:rsidTr="00985BC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85BC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F37F7" w:rsidRDefault="001F37F7" w:rsidP="00D82620">
            <w:pPr>
              <w:pStyle w:val="CasesLegislationAppealFrom"/>
              <w:spacing w:after="60"/>
            </w:pPr>
            <w:bookmarkStart w:id="5" w:name="Cases_Cited"/>
            <w:r>
              <w:rPr>
                <w:i/>
              </w:rPr>
              <w:t>AYJ15 v Minister for Immigration &amp; Anor</w:t>
            </w:r>
            <w:r>
              <w:t xml:space="preserve"> [2016] FCCA 252 (</w:t>
            </w:r>
            <w:r>
              <w:rPr>
                <w:i/>
              </w:rPr>
              <w:t>AYJ15</w:t>
            </w:r>
            <w:r>
              <w:t>)</w:t>
            </w:r>
          </w:p>
          <w:p w:rsidR="001F37F7" w:rsidRDefault="001F37F7" w:rsidP="00D82620">
            <w:pPr>
              <w:pStyle w:val="CasesLegislationAppealFrom"/>
              <w:spacing w:after="60"/>
            </w:pPr>
            <w:r>
              <w:rPr>
                <w:i/>
              </w:rPr>
              <w:t>Coal and Allied Operations Pty Ltd v Australian Industrial Relations Commission</w:t>
            </w:r>
            <w:r>
              <w:t xml:space="preserve"> (2000) 203 CLR 194</w:t>
            </w:r>
          </w:p>
          <w:p w:rsidR="001F37F7" w:rsidRDefault="001F37F7" w:rsidP="00D82620">
            <w:pPr>
              <w:pStyle w:val="CasesLegislationAppealFrom"/>
              <w:spacing w:after="60"/>
            </w:pPr>
            <w:proofErr w:type="spellStart"/>
            <w:r>
              <w:rPr>
                <w:i/>
              </w:rPr>
              <w:t>Coulton</w:t>
            </w:r>
            <w:proofErr w:type="spellEnd"/>
            <w:r>
              <w:rPr>
                <w:i/>
              </w:rPr>
              <w:t xml:space="preserve"> v Holcombe</w:t>
            </w:r>
            <w:r>
              <w:t xml:space="preserve"> (1986) 162 CLR 1</w:t>
            </w:r>
          </w:p>
          <w:p w:rsidR="001F37F7" w:rsidRDefault="001F37F7" w:rsidP="00D82620">
            <w:pPr>
              <w:pStyle w:val="CasesLegislationAppealFrom"/>
              <w:spacing w:after="60"/>
              <w:rPr>
                <w:rFonts w:eastAsia="Times New Roman"/>
              </w:rPr>
            </w:pPr>
            <w:proofErr w:type="spellStart"/>
            <w:r>
              <w:rPr>
                <w:i/>
              </w:rPr>
              <w:t>Htun</w:t>
            </w:r>
            <w:proofErr w:type="spellEnd"/>
            <w:r>
              <w:rPr>
                <w:i/>
              </w:rPr>
              <w:t xml:space="preserve"> v </w:t>
            </w:r>
            <w:r>
              <w:rPr>
                <w:rFonts w:eastAsia="Times New Roman"/>
                <w:i/>
              </w:rPr>
              <w:t>Minister for Immigration and Multicultural Affairs</w:t>
            </w:r>
            <w:r>
              <w:rPr>
                <w:rFonts w:eastAsia="Times New Roman"/>
              </w:rPr>
              <w:t xml:space="preserve"> (2001) 194 ALR 244; [2001] FCA 1802</w:t>
            </w:r>
          </w:p>
          <w:p w:rsidR="001F37F7" w:rsidRDefault="001F37F7" w:rsidP="00D82620">
            <w:pPr>
              <w:pStyle w:val="CasesLegislationAppealFrom"/>
              <w:spacing w:after="60"/>
            </w:pPr>
            <w:r>
              <w:rPr>
                <w:i/>
              </w:rPr>
              <w:t>Minister for Immigration and Citizenship v SZMDS</w:t>
            </w:r>
            <w:r>
              <w:t xml:space="preserve"> (2010) 240 CLR 611; [2010] HCA 16</w:t>
            </w:r>
          </w:p>
          <w:p w:rsidR="001F37F7" w:rsidRDefault="001F37F7" w:rsidP="00D82620">
            <w:pPr>
              <w:pStyle w:val="CasesLegislationAppealFrom"/>
              <w:spacing w:after="60"/>
            </w:pPr>
            <w:r>
              <w:rPr>
                <w:i/>
              </w:rPr>
              <w:t>MZYPO v Minister for Immigration and Citizenship</w:t>
            </w:r>
            <w:r>
              <w:t xml:space="preserve"> [2013] FCAFC 1</w:t>
            </w:r>
          </w:p>
          <w:p w:rsidR="00395B24" w:rsidRDefault="001F37F7" w:rsidP="001F37F7">
            <w:pPr>
              <w:pStyle w:val="CasesLegislationAppealFrom"/>
              <w:spacing w:after="60"/>
            </w:pPr>
            <w:r>
              <w:rPr>
                <w:i/>
              </w:rPr>
              <w:t>VUAX v Minister for Immigration &amp; Multicultural &amp; Indigenous Affairs</w:t>
            </w:r>
            <w:r>
              <w:t xml:space="preserve"> [2004] FCAFC 158</w:t>
            </w:r>
            <w:bookmarkEnd w:id="5"/>
          </w:p>
        </w:tc>
      </w:tr>
      <w:tr w:rsidR="00985BCD" w:rsidRPr="00985BCD" w:rsidTr="00985BCD">
        <w:tc>
          <w:tcPr>
            <w:tcW w:w="3085" w:type="dxa"/>
            <w:shd w:val="clear" w:color="auto" w:fill="auto"/>
          </w:tcPr>
          <w:p w:rsidR="00985BCD" w:rsidRPr="00985BCD" w:rsidRDefault="00985BCD" w:rsidP="00985BCD">
            <w:pPr>
              <w:pStyle w:val="Normal1linespace"/>
              <w:jc w:val="left"/>
            </w:pPr>
          </w:p>
        </w:tc>
        <w:tc>
          <w:tcPr>
            <w:tcW w:w="5989" w:type="dxa"/>
            <w:shd w:val="clear" w:color="auto" w:fill="auto"/>
          </w:tcPr>
          <w:p w:rsidR="00985BCD" w:rsidRPr="00985BCD" w:rsidRDefault="00985BCD" w:rsidP="00985BCD">
            <w:pPr>
              <w:pStyle w:val="Normal1linespace"/>
              <w:jc w:val="left"/>
            </w:pPr>
          </w:p>
        </w:tc>
      </w:tr>
      <w:tr w:rsidR="00985BCD" w:rsidRPr="00985BCD" w:rsidTr="00985BCD">
        <w:tc>
          <w:tcPr>
            <w:tcW w:w="3085" w:type="dxa"/>
            <w:shd w:val="clear" w:color="auto" w:fill="auto"/>
          </w:tcPr>
          <w:p w:rsidR="00985BCD" w:rsidRPr="00985BCD" w:rsidRDefault="00985BCD" w:rsidP="00985BCD">
            <w:pPr>
              <w:pStyle w:val="Normal1linespace"/>
              <w:jc w:val="left"/>
            </w:pPr>
            <w:bookmarkStart w:id="6" w:name="CounselDate" w:colFirst="0" w:colLast="2"/>
            <w:r w:rsidRPr="00985BCD">
              <w:t>Date of hearing:</w:t>
            </w:r>
          </w:p>
        </w:tc>
        <w:tc>
          <w:tcPr>
            <w:tcW w:w="5989" w:type="dxa"/>
            <w:shd w:val="clear" w:color="auto" w:fill="auto"/>
          </w:tcPr>
          <w:p w:rsidR="00985BCD" w:rsidRPr="00985BCD" w:rsidRDefault="00985BCD" w:rsidP="00985BCD">
            <w:pPr>
              <w:pStyle w:val="Normal1linespace"/>
              <w:jc w:val="left"/>
            </w:pPr>
            <w:bookmarkStart w:id="7" w:name="HearingDate"/>
            <w:r>
              <w:t>3 May 2016</w:t>
            </w:r>
            <w:bookmarkEnd w:id="7"/>
          </w:p>
        </w:tc>
      </w:tr>
      <w:tr w:rsidR="00985BCD" w:rsidRPr="00985BCD" w:rsidTr="00985BCD">
        <w:tc>
          <w:tcPr>
            <w:tcW w:w="3085" w:type="dxa"/>
            <w:shd w:val="clear" w:color="auto" w:fill="auto"/>
          </w:tcPr>
          <w:p w:rsidR="00985BCD" w:rsidRPr="00985BCD" w:rsidRDefault="00985BCD" w:rsidP="00985BCD">
            <w:pPr>
              <w:pStyle w:val="Normal1linespace"/>
              <w:jc w:val="left"/>
            </w:pPr>
          </w:p>
        </w:tc>
        <w:tc>
          <w:tcPr>
            <w:tcW w:w="5989" w:type="dxa"/>
            <w:shd w:val="clear" w:color="auto" w:fill="auto"/>
          </w:tcPr>
          <w:p w:rsidR="00985BCD" w:rsidRPr="00985BCD" w:rsidRDefault="00985BCD" w:rsidP="00985BCD">
            <w:pPr>
              <w:pStyle w:val="Normal1linespace"/>
              <w:jc w:val="left"/>
            </w:pPr>
          </w:p>
        </w:tc>
      </w:tr>
      <w:bookmarkEnd w:id="6"/>
      <w:tr w:rsidR="00985BCD" w:rsidTr="00985BCD">
        <w:tc>
          <w:tcPr>
            <w:tcW w:w="3085" w:type="dxa"/>
            <w:shd w:val="clear" w:color="auto" w:fill="auto"/>
          </w:tcPr>
          <w:p w:rsidR="00985BCD" w:rsidRDefault="00985BCD" w:rsidP="00985BCD">
            <w:pPr>
              <w:pStyle w:val="Normal1linespace"/>
              <w:widowControl w:val="0"/>
              <w:jc w:val="left"/>
            </w:pPr>
            <w:r>
              <w:t>Registry:</w:t>
            </w:r>
          </w:p>
        </w:tc>
        <w:tc>
          <w:tcPr>
            <w:tcW w:w="5989" w:type="dxa"/>
            <w:shd w:val="clear" w:color="auto" w:fill="auto"/>
          </w:tcPr>
          <w:p w:rsidR="00985BCD" w:rsidRPr="00F17599" w:rsidRDefault="000C6A75" w:rsidP="00985BCD">
            <w:pPr>
              <w:pStyle w:val="Normal1linespace"/>
              <w:widowControl w:val="0"/>
              <w:jc w:val="left"/>
            </w:pPr>
            <w:r>
              <w:fldChar w:fldCharType="begin"/>
            </w:r>
            <w:r>
              <w:instrText xml:space="preserve"> DOCPROPERTY  Registry </w:instrText>
            </w:r>
            <w:r>
              <w:fldChar w:fldCharType="separate"/>
            </w:r>
            <w:r w:rsidR="00985BCD">
              <w:t>Queensland</w:t>
            </w:r>
            <w:r>
              <w:fldChar w:fldCharType="end"/>
            </w:r>
          </w:p>
        </w:tc>
      </w:tr>
      <w:tr w:rsidR="00985BCD" w:rsidTr="00985BCD">
        <w:tc>
          <w:tcPr>
            <w:tcW w:w="3085" w:type="dxa"/>
            <w:shd w:val="clear" w:color="auto" w:fill="auto"/>
          </w:tcPr>
          <w:p w:rsidR="00985BCD" w:rsidRDefault="00985BCD" w:rsidP="00985BCD">
            <w:pPr>
              <w:pStyle w:val="Normal1linespace"/>
              <w:widowControl w:val="0"/>
              <w:jc w:val="left"/>
            </w:pPr>
          </w:p>
        </w:tc>
        <w:tc>
          <w:tcPr>
            <w:tcW w:w="5989" w:type="dxa"/>
            <w:shd w:val="clear" w:color="auto" w:fill="auto"/>
          </w:tcPr>
          <w:p w:rsidR="00985BCD" w:rsidRDefault="00985BCD" w:rsidP="00985BCD">
            <w:pPr>
              <w:pStyle w:val="Normal1linespace"/>
              <w:widowControl w:val="0"/>
              <w:jc w:val="left"/>
            </w:pPr>
          </w:p>
        </w:tc>
      </w:tr>
      <w:tr w:rsidR="00985BCD" w:rsidTr="00985BCD">
        <w:tc>
          <w:tcPr>
            <w:tcW w:w="3085" w:type="dxa"/>
            <w:shd w:val="clear" w:color="auto" w:fill="auto"/>
          </w:tcPr>
          <w:p w:rsidR="00985BCD" w:rsidRDefault="00985BCD" w:rsidP="00985BCD">
            <w:pPr>
              <w:pStyle w:val="Normal1linespace"/>
              <w:widowControl w:val="0"/>
              <w:jc w:val="left"/>
            </w:pPr>
            <w:r>
              <w:t>Division:</w:t>
            </w:r>
          </w:p>
        </w:tc>
        <w:tc>
          <w:tcPr>
            <w:tcW w:w="5989" w:type="dxa"/>
            <w:shd w:val="clear" w:color="auto" w:fill="auto"/>
          </w:tcPr>
          <w:p w:rsidR="00985BCD" w:rsidRPr="00F17599" w:rsidRDefault="000C6A75" w:rsidP="00985BCD">
            <w:pPr>
              <w:pStyle w:val="Normal1linespace"/>
              <w:widowControl w:val="0"/>
              <w:jc w:val="left"/>
            </w:pPr>
            <w:r>
              <w:fldChar w:fldCharType="begin"/>
            </w:r>
            <w:r>
              <w:instrText xml:space="preserve"> DOCPROPERTY  Division </w:instrText>
            </w:r>
            <w:r>
              <w:fldChar w:fldCharType="separate"/>
            </w:r>
            <w:r w:rsidR="00985BCD">
              <w:t>General Division</w:t>
            </w:r>
            <w:r>
              <w:fldChar w:fldCharType="end"/>
            </w:r>
          </w:p>
        </w:tc>
      </w:tr>
      <w:tr w:rsidR="00985BCD" w:rsidTr="00985BCD">
        <w:tc>
          <w:tcPr>
            <w:tcW w:w="3085" w:type="dxa"/>
            <w:shd w:val="clear" w:color="auto" w:fill="auto"/>
          </w:tcPr>
          <w:p w:rsidR="00985BCD" w:rsidRDefault="00985BCD" w:rsidP="00985BCD">
            <w:pPr>
              <w:pStyle w:val="Normal1linespace"/>
              <w:widowControl w:val="0"/>
              <w:jc w:val="left"/>
            </w:pPr>
          </w:p>
        </w:tc>
        <w:tc>
          <w:tcPr>
            <w:tcW w:w="5989" w:type="dxa"/>
            <w:shd w:val="clear" w:color="auto" w:fill="auto"/>
          </w:tcPr>
          <w:p w:rsidR="00985BCD" w:rsidRPr="00F17599" w:rsidRDefault="00985BCD" w:rsidP="00985BCD">
            <w:pPr>
              <w:pStyle w:val="Normal1linespace"/>
              <w:widowControl w:val="0"/>
              <w:jc w:val="left"/>
              <w:rPr>
                <w:b/>
              </w:rPr>
            </w:pPr>
          </w:p>
        </w:tc>
      </w:tr>
      <w:tr w:rsidR="00985BCD" w:rsidTr="00985BCD">
        <w:tc>
          <w:tcPr>
            <w:tcW w:w="3085" w:type="dxa"/>
            <w:shd w:val="clear" w:color="auto" w:fill="auto"/>
          </w:tcPr>
          <w:p w:rsidR="00985BCD" w:rsidRDefault="00985BCD" w:rsidP="00985BCD">
            <w:pPr>
              <w:pStyle w:val="Normal1linespace"/>
              <w:widowControl w:val="0"/>
              <w:jc w:val="left"/>
            </w:pPr>
            <w:r>
              <w:t>National Practice Area:</w:t>
            </w:r>
          </w:p>
        </w:tc>
        <w:tc>
          <w:tcPr>
            <w:tcW w:w="5989" w:type="dxa"/>
            <w:shd w:val="clear" w:color="auto" w:fill="auto"/>
          </w:tcPr>
          <w:p w:rsidR="00985BCD" w:rsidRPr="00F17599" w:rsidRDefault="000C6A75" w:rsidP="00985BCD">
            <w:pPr>
              <w:pStyle w:val="Normal1linespace"/>
              <w:widowControl w:val="0"/>
              <w:jc w:val="left"/>
              <w:rPr>
                <w:b/>
              </w:rPr>
            </w:pPr>
            <w:r>
              <w:fldChar w:fldCharType="begin"/>
            </w:r>
            <w:r>
              <w:instrText xml:space="preserve"> DOCPROPERTY  "Practice Area"  \* MERGEFORMAT </w:instrText>
            </w:r>
            <w:r>
              <w:fldChar w:fldCharType="separate"/>
            </w:r>
            <w:r w:rsidR="00985BCD">
              <w:t>Administrative and Constitutional Law and Human Rights</w:t>
            </w:r>
            <w:r>
              <w:fldChar w:fldCharType="end"/>
            </w:r>
          </w:p>
        </w:tc>
      </w:tr>
      <w:tr w:rsidR="00985BCD" w:rsidTr="00985BCD">
        <w:tc>
          <w:tcPr>
            <w:tcW w:w="3085" w:type="dxa"/>
            <w:shd w:val="clear" w:color="auto" w:fill="auto"/>
          </w:tcPr>
          <w:p w:rsidR="00985BCD" w:rsidRDefault="00985BCD" w:rsidP="00985BCD">
            <w:pPr>
              <w:pStyle w:val="Normal1linespace"/>
              <w:widowControl w:val="0"/>
              <w:jc w:val="left"/>
            </w:pPr>
          </w:p>
        </w:tc>
        <w:tc>
          <w:tcPr>
            <w:tcW w:w="5989" w:type="dxa"/>
            <w:shd w:val="clear" w:color="auto" w:fill="auto"/>
          </w:tcPr>
          <w:p w:rsidR="00985BCD" w:rsidRDefault="00985BCD" w:rsidP="00985BCD">
            <w:pPr>
              <w:pStyle w:val="Normal1linespace"/>
              <w:widowControl w:val="0"/>
              <w:jc w:val="left"/>
            </w:pPr>
          </w:p>
        </w:tc>
      </w:tr>
      <w:tr w:rsidR="00985BCD" w:rsidTr="00985BCD">
        <w:tc>
          <w:tcPr>
            <w:tcW w:w="3085" w:type="dxa"/>
            <w:shd w:val="clear" w:color="auto" w:fill="auto"/>
          </w:tcPr>
          <w:p w:rsidR="00985BCD" w:rsidRDefault="00985BCD" w:rsidP="00985BCD">
            <w:pPr>
              <w:pStyle w:val="Normal1linespace"/>
              <w:widowControl w:val="0"/>
              <w:jc w:val="left"/>
            </w:pPr>
            <w:r>
              <w:t>Category:</w:t>
            </w:r>
          </w:p>
        </w:tc>
        <w:tc>
          <w:tcPr>
            <w:tcW w:w="5989" w:type="dxa"/>
            <w:shd w:val="clear" w:color="auto" w:fill="auto"/>
          </w:tcPr>
          <w:p w:rsidR="00985BCD" w:rsidRPr="004C097B" w:rsidRDefault="00985BCD" w:rsidP="00985BCD">
            <w:pPr>
              <w:pStyle w:val="Normal1linespace"/>
              <w:widowControl w:val="0"/>
              <w:jc w:val="left"/>
            </w:pPr>
            <w:r w:rsidRPr="004C097B">
              <w:t>Catchwords</w:t>
            </w:r>
          </w:p>
        </w:tc>
      </w:tr>
      <w:tr w:rsidR="00985BCD" w:rsidTr="00985BCD">
        <w:tc>
          <w:tcPr>
            <w:tcW w:w="3085" w:type="dxa"/>
            <w:shd w:val="clear" w:color="auto" w:fill="auto"/>
          </w:tcPr>
          <w:p w:rsidR="00985BCD" w:rsidRDefault="00985BCD" w:rsidP="00985BCD">
            <w:pPr>
              <w:pStyle w:val="Normal1linespace"/>
              <w:widowControl w:val="0"/>
              <w:jc w:val="left"/>
            </w:pPr>
          </w:p>
        </w:tc>
        <w:tc>
          <w:tcPr>
            <w:tcW w:w="5989" w:type="dxa"/>
            <w:shd w:val="clear" w:color="auto" w:fill="auto"/>
          </w:tcPr>
          <w:p w:rsidR="00985BCD" w:rsidRDefault="00985BCD" w:rsidP="00985BCD">
            <w:pPr>
              <w:pStyle w:val="Normal1linespace"/>
              <w:widowControl w:val="0"/>
              <w:jc w:val="left"/>
            </w:pPr>
          </w:p>
        </w:tc>
      </w:tr>
      <w:tr w:rsidR="00985BCD" w:rsidTr="00985BCD">
        <w:tc>
          <w:tcPr>
            <w:tcW w:w="3085" w:type="dxa"/>
            <w:shd w:val="clear" w:color="auto" w:fill="auto"/>
          </w:tcPr>
          <w:p w:rsidR="00985BCD" w:rsidRDefault="00985BCD" w:rsidP="00985BCD">
            <w:pPr>
              <w:pStyle w:val="Normal1linespace"/>
              <w:widowControl w:val="0"/>
              <w:jc w:val="left"/>
            </w:pPr>
            <w:r>
              <w:t>Number of paragraphs:</w:t>
            </w:r>
          </w:p>
        </w:tc>
        <w:tc>
          <w:tcPr>
            <w:tcW w:w="5989" w:type="dxa"/>
            <w:shd w:val="clear" w:color="auto" w:fill="auto"/>
          </w:tcPr>
          <w:p w:rsidR="00985BCD" w:rsidRDefault="00985BCD" w:rsidP="00985BCD">
            <w:pPr>
              <w:pStyle w:val="Normal1linespace"/>
              <w:widowControl w:val="0"/>
              <w:jc w:val="left"/>
            </w:pPr>
            <w:bookmarkStart w:id="8" w:name="PlaceCategoryParagraphs"/>
            <w:r>
              <w:t>27</w:t>
            </w:r>
            <w:bookmarkEnd w:id="8"/>
          </w:p>
        </w:tc>
      </w:tr>
      <w:tr w:rsidR="00985BCD" w:rsidTr="00985BCD">
        <w:tc>
          <w:tcPr>
            <w:tcW w:w="3085" w:type="dxa"/>
            <w:shd w:val="clear" w:color="auto" w:fill="auto"/>
          </w:tcPr>
          <w:p w:rsidR="00985BCD" w:rsidRDefault="00985BCD" w:rsidP="00985BCD">
            <w:pPr>
              <w:pStyle w:val="Normal1linespace"/>
              <w:widowControl w:val="0"/>
              <w:jc w:val="left"/>
            </w:pPr>
          </w:p>
        </w:tc>
        <w:tc>
          <w:tcPr>
            <w:tcW w:w="5989" w:type="dxa"/>
            <w:shd w:val="clear" w:color="auto" w:fill="auto"/>
          </w:tcPr>
          <w:p w:rsidR="00985BCD" w:rsidRDefault="00985BCD" w:rsidP="00985BCD">
            <w:pPr>
              <w:pStyle w:val="Normal1linespace"/>
              <w:widowControl w:val="0"/>
              <w:jc w:val="left"/>
            </w:pPr>
          </w:p>
        </w:tc>
      </w:tr>
      <w:tr w:rsidR="00985BCD" w:rsidTr="00985BCD">
        <w:tc>
          <w:tcPr>
            <w:tcW w:w="3085" w:type="dxa"/>
            <w:shd w:val="clear" w:color="auto" w:fill="auto"/>
          </w:tcPr>
          <w:p w:rsidR="00985BCD" w:rsidRDefault="004C097B" w:rsidP="00985BCD">
            <w:pPr>
              <w:pStyle w:val="Normal1linespace"/>
              <w:widowControl w:val="0"/>
              <w:jc w:val="left"/>
            </w:pPr>
            <w:bookmarkStart w:id="9" w:name="Counsel" w:colFirst="0" w:colLast="2"/>
            <w:r>
              <w:t>Solicitor</w:t>
            </w:r>
            <w:r w:rsidR="00320666">
              <w:t xml:space="preserve"> for the Appellant</w:t>
            </w:r>
            <w:r w:rsidR="00985BCD">
              <w:t>:</w:t>
            </w:r>
          </w:p>
        </w:tc>
        <w:tc>
          <w:tcPr>
            <w:tcW w:w="5989" w:type="dxa"/>
            <w:shd w:val="clear" w:color="auto" w:fill="auto"/>
          </w:tcPr>
          <w:p w:rsidR="00985BCD" w:rsidRDefault="00985BCD" w:rsidP="00985BCD">
            <w:pPr>
              <w:pStyle w:val="Normal1linespace"/>
              <w:widowControl w:val="0"/>
              <w:jc w:val="left"/>
            </w:pPr>
            <w:bookmarkStart w:id="10" w:name="AppCounsel"/>
            <w:bookmarkEnd w:id="10"/>
            <w:r>
              <w:t xml:space="preserve">Mr S Hodges of Hodges Legal </w:t>
            </w:r>
          </w:p>
        </w:tc>
      </w:tr>
      <w:tr w:rsidR="00985BCD" w:rsidTr="00985BCD">
        <w:tc>
          <w:tcPr>
            <w:tcW w:w="3085" w:type="dxa"/>
            <w:shd w:val="clear" w:color="auto" w:fill="auto"/>
          </w:tcPr>
          <w:p w:rsidR="00985BCD" w:rsidRDefault="00985BCD" w:rsidP="00985BCD">
            <w:pPr>
              <w:pStyle w:val="Normal1linespace"/>
              <w:widowControl w:val="0"/>
              <w:jc w:val="left"/>
            </w:pPr>
          </w:p>
        </w:tc>
        <w:tc>
          <w:tcPr>
            <w:tcW w:w="5989" w:type="dxa"/>
            <w:shd w:val="clear" w:color="auto" w:fill="auto"/>
          </w:tcPr>
          <w:p w:rsidR="00985BCD" w:rsidRDefault="00985BCD" w:rsidP="00985BCD">
            <w:pPr>
              <w:pStyle w:val="Normal1linespace"/>
              <w:widowControl w:val="0"/>
              <w:jc w:val="left"/>
            </w:pPr>
          </w:p>
        </w:tc>
      </w:tr>
      <w:tr w:rsidR="00985BCD" w:rsidTr="00985BCD">
        <w:tc>
          <w:tcPr>
            <w:tcW w:w="3085" w:type="dxa"/>
            <w:shd w:val="clear" w:color="auto" w:fill="auto"/>
          </w:tcPr>
          <w:p w:rsidR="00985BCD" w:rsidRDefault="004C097B" w:rsidP="00985BCD">
            <w:pPr>
              <w:pStyle w:val="Normal1linespace"/>
              <w:widowControl w:val="0"/>
              <w:jc w:val="left"/>
            </w:pPr>
            <w:r>
              <w:t xml:space="preserve">Solicitor </w:t>
            </w:r>
            <w:r w:rsidR="00985BCD">
              <w:t>for the First Respondent:</w:t>
            </w:r>
          </w:p>
        </w:tc>
        <w:tc>
          <w:tcPr>
            <w:tcW w:w="5989" w:type="dxa"/>
            <w:shd w:val="clear" w:color="auto" w:fill="auto"/>
          </w:tcPr>
          <w:p w:rsidR="00985BCD" w:rsidRDefault="00985BCD" w:rsidP="00985BCD">
            <w:pPr>
              <w:pStyle w:val="Normal1linespace"/>
              <w:widowControl w:val="0"/>
              <w:jc w:val="left"/>
            </w:pPr>
            <w:r>
              <w:t xml:space="preserve">Ms E Tattersall of Sparke </w:t>
            </w:r>
            <w:proofErr w:type="spellStart"/>
            <w:r>
              <w:t>Helmore</w:t>
            </w:r>
            <w:proofErr w:type="spellEnd"/>
            <w:r>
              <w:t xml:space="preserve"> Lawyers</w:t>
            </w:r>
          </w:p>
        </w:tc>
      </w:tr>
      <w:tr w:rsidR="00985BCD" w:rsidTr="00985BCD">
        <w:tc>
          <w:tcPr>
            <w:tcW w:w="3085" w:type="dxa"/>
            <w:shd w:val="clear" w:color="auto" w:fill="auto"/>
          </w:tcPr>
          <w:p w:rsidR="00985BCD" w:rsidRDefault="00985BCD" w:rsidP="00985BCD">
            <w:pPr>
              <w:pStyle w:val="Normal1linespace"/>
              <w:widowControl w:val="0"/>
              <w:jc w:val="left"/>
            </w:pPr>
          </w:p>
        </w:tc>
        <w:tc>
          <w:tcPr>
            <w:tcW w:w="5989" w:type="dxa"/>
            <w:shd w:val="clear" w:color="auto" w:fill="auto"/>
          </w:tcPr>
          <w:p w:rsidR="00985BCD" w:rsidRDefault="00985BCD" w:rsidP="00985BCD">
            <w:pPr>
              <w:pStyle w:val="Normal1linespace"/>
              <w:widowControl w:val="0"/>
              <w:jc w:val="left"/>
            </w:pPr>
          </w:p>
        </w:tc>
      </w:tr>
      <w:tr w:rsidR="00985BCD" w:rsidTr="00985BCD">
        <w:tc>
          <w:tcPr>
            <w:tcW w:w="3085" w:type="dxa"/>
            <w:shd w:val="clear" w:color="auto" w:fill="auto"/>
          </w:tcPr>
          <w:p w:rsidR="00985BCD" w:rsidRDefault="00985BCD" w:rsidP="00985BCD">
            <w:pPr>
              <w:pStyle w:val="Normal1linespace"/>
              <w:widowControl w:val="0"/>
              <w:jc w:val="left"/>
            </w:pPr>
            <w:r>
              <w:t>Counsel for the Second Respondent:</w:t>
            </w:r>
          </w:p>
        </w:tc>
        <w:tc>
          <w:tcPr>
            <w:tcW w:w="5989" w:type="dxa"/>
            <w:shd w:val="clear" w:color="auto" w:fill="auto"/>
          </w:tcPr>
          <w:p w:rsidR="00985BCD" w:rsidRDefault="00985BCD" w:rsidP="00985BCD">
            <w:pPr>
              <w:pStyle w:val="Normal1linespace"/>
              <w:widowControl w:val="0"/>
              <w:jc w:val="left"/>
            </w:pPr>
            <w:r>
              <w:t xml:space="preserve">The </w:t>
            </w:r>
            <w:r w:rsidR="001560DB">
              <w:t xml:space="preserve">Second Respondent </w:t>
            </w:r>
            <w:r>
              <w:t>filed a submitting notice</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D5A55" w:rsidP="00F92355">
            <w:pPr>
              <w:pStyle w:val="NormalHeadings"/>
              <w:jc w:val="right"/>
            </w:pPr>
            <w:bookmarkStart w:id="11" w:name="FileNo"/>
            <w:r>
              <w:t>QUD 75 of 2016</w:t>
            </w:r>
            <w:bookmarkEnd w:id="11"/>
          </w:p>
        </w:tc>
      </w:tr>
      <w:tr w:rsidR="00A76C13" w:rsidTr="00F461A4">
        <w:tc>
          <w:tcPr>
            <w:tcW w:w="9242" w:type="dxa"/>
            <w:gridSpan w:val="3"/>
          </w:tcPr>
          <w:p w:rsidR="00A76C13" w:rsidRPr="00A76C13" w:rsidRDefault="007D5A55" w:rsidP="007D5A55">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7D5A55" w:rsidRDefault="007D5A55" w:rsidP="007D5A55">
            <w:pPr>
              <w:pStyle w:val="NormalHeadings"/>
              <w:jc w:val="left"/>
            </w:pPr>
            <w:bookmarkStart w:id="14" w:name="Applicant"/>
            <w:r>
              <w:t>AYJ15</w:t>
            </w:r>
          </w:p>
          <w:p w:rsidR="007D5A55" w:rsidRDefault="007D5A55" w:rsidP="007D5A55">
            <w:pPr>
              <w:pStyle w:val="PartyType"/>
            </w:pPr>
            <w:r w:rsidRPr="00CD181A">
              <w:t>App</w:t>
            </w:r>
            <w:r w:rsidR="001874F6" w:rsidRPr="00CD181A">
              <w:t>e</w:t>
            </w:r>
            <w:r w:rsidRPr="00CD181A">
              <w:t>l</w:t>
            </w:r>
            <w:r w:rsidR="001874F6" w:rsidRPr="00CD181A">
              <w:t>l</w:t>
            </w:r>
            <w:r w:rsidRPr="00CD181A">
              <w:t>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7D5A55" w:rsidRDefault="007D5A55" w:rsidP="007D5A55">
            <w:pPr>
              <w:pStyle w:val="NormalHeadings"/>
              <w:jc w:val="left"/>
            </w:pPr>
            <w:bookmarkStart w:id="15" w:name="Respondent"/>
            <w:r>
              <w:t>MINISTER FOR IMMIGRATION AND BORDER PROTECTION</w:t>
            </w:r>
          </w:p>
          <w:p w:rsidR="007D5A55" w:rsidRDefault="007D5A55" w:rsidP="007D5A55">
            <w:pPr>
              <w:pStyle w:val="PartyType"/>
            </w:pPr>
            <w:r>
              <w:t>First Respondent</w:t>
            </w:r>
          </w:p>
          <w:p w:rsidR="007D5A55" w:rsidRDefault="007D5A55" w:rsidP="005041F0">
            <w:pPr>
              <w:pStyle w:val="NormalHeadings"/>
              <w:jc w:val="left"/>
              <w:rPr>
                <w:szCs w:val="24"/>
              </w:rPr>
            </w:pPr>
          </w:p>
          <w:p w:rsidR="007D5A55" w:rsidRDefault="007D5A55" w:rsidP="007D5A55">
            <w:pPr>
              <w:pStyle w:val="NormalHeadings"/>
              <w:jc w:val="left"/>
            </w:pPr>
            <w:r>
              <w:t>ADMINISTRATIVE APPEALS TRIBUNAL</w:t>
            </w:r>
          </w:p>
          <w:p w:rsidR="007D5A55" w:rsidRDefault="007D5A55" w:rsidP="007D5A55">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D5A55">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7D5A55">
            <w:pPr>
              <w:pStyle w:val="NormalHeadings"/>
              <w:jc w:val="left"/>
              <w:rPr>
                <w:caps/>
                <w:szCs w:val="24"/>
              </w:rPr>
            </w:pPr>
            <w:bookmarkStart w:id="18" w:name="Judge"/>
            <w:r>
              <w:rPr>
                <w:caps/>
                <w:szCs w:val="24"/>
              </w:rPr>
              <w:t>REEVES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B4618" w:rsidP="00FB4618">
            <w:pPr>
              <w:pStyle w:val="NormalHeadings"/>
              <w:jc w:val="left"/>
              <w:rPr>
                <w:caps/>
                <w:szCs w:val="24"/>
              </w:rPr>
            </w:pPr>
            <w:bookmarkStart w:id="19" w:name="Judgment_Dated"/>
            <w:r>
              <w:rPr>
                <w:caps/>
                <w:szCs w:val="24"/>
              </w:rPr>
              <w:t>2</w:t>
            </w:r>
            <w:r w:rsidR="007D5A55">
              <w:rPr>
                <w:caps/>
                <w:szCs w:val="24"/>
              </w:rPr>
              <w:t xml:space="preserve"> </w:t>
            </w:r>
            <w:r>
              <w:rPr>
                <w:caps/>
                <w:szCs w:val="24"/>
              </w:rPr>
              <w:t>August</w:t>
            </w:r>
            <w:r w:rsidR="007D5A55">
              <w:rPr>
                <w:caps/>
                <w:szCs w:val="24"/>
              </w:rPr>
              <w:t xml:space="preserve"> 2016</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60049B" w:rsidRDefault="0060049B" w:rsidP="00274F5B">
      <w:pPr>
        <w:pStyle w:val="Order1"/>
      </w:pPr>
      <w:bookmarkStart w:id="20" w:name="Order_Start_Text"/>
      <w:bookmarkEnd w:id="20"/>
      <w:r>
        <w:t>Leave to amend the notice of appeal is refused.</w:t>
      </w:r>
    </w:p>
    <w:p w:rsidR="00395B24" w:rsidRDefault="0060049B" w:rsidP="00274F5B">
      <w:pPr>
        <w:pStyle w:val="Order1"/>
      </w:pPr>
      <w:r>
        <w:t xml:space="preserve">The appeal is dismissed. </w:t>
      </w:r>
    </w:p>
    <w:p w:rsidR="0060049B" w:rsidRDefault="0060049B" w:rsidP="00274F5B">
      <w:pPr>
        <w:pStyle w:val="Order1"/>
      </w:pPr>
      <w:r>
        <w:t>The appellant is to pay the first respondent’s costs of the appeal.</w:t>
      </w:r>
    </w:p>
    <w:p w:rsidR="00636871" w:rsidRDefault="00636871" w:rsidP="002B0E91">
      <w:pPr>
        <w:pStyle w:val="BodyText"/>
      </w:pPr>
    </w:p>
    <w:p w:rsidR="00395B24" w:rsidRDefault="00395B24" w:rsidP="002B0E91">
      <w:pPr>
        <w:pStyle w:val="BodyText"/>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60049B" w:rsidRDefault="0060049B" w:rsidP="001874F6">
      <w:pPr>
        <w:pStyle w:val="SingleSpace"/>
      </w:pPr>
    </w:p>
    <w:p w:rsidR="0092590B" w:rsidRDefault="002C7385" w:rsidP="001874F6">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7D5A55" w:rsidP="005E0510">
      <w:pPr>
        <w:pStyle w:val="NormalHeadings"/>
        <w:spacing w:line="360" w:lineRule="auto"/>
        <w:jc w:val="left"/>
        <w:rPr>
          <w:sz w:val="26"/>
          <w:szCs w:val="26"/>
        </w:rPr>
      </w:pPr>
      <w:r>
        <w:rPr>
          <w:sz w:val="26"/>
          <w:szCs w:val="26"/>
        </w:rPr>
        <w:t>REEVES J</w:t>
      </w:r>
      <w:r w:rsidR="00484F6D" w:rsidRPr="00EA03CE">
        <w:rPr>
          <w:sz w:val="26"/>
          <w:szCs w:val="26"/>
        </w:rPr>
        <w:t>:</w:t>
      </w:r>
    </w:p>
    <w:p w:rsidR="001874F6" w:rsidRDefault="00E21CE3" w:rsidP="00E21CE3">
      <w:pPr>
        <w:pStyle w:val="Heading1"/>
      </w:pPr>
      <w:r>
        <w:t>Introduction</w:t>
      </w:r>
    </w:p>
    <w:p w:rsidR="001874F6" w:rsidRDefault="001874F6" w:rsidP="001874F6">
      <w:pPr>
        <w:pStyle w:val="ParaNumbering"/>
      </w:pPr>
      <w:r>
        <w:t xml:space="preserve">The appellant has appealed from a decision of the Federal Circuit Court: see </w:t>
      </w:r>
      <w:r w:rsidRPr="001874F6">
        <w:rPr>
          <w:i/>
        </w:rPr>
        <w:t>AYJ15 v Minister for Immigration &amp; Anor</w:t>
      </w:r>
      <w:r>
        <w:t xml:space="preserve"> [2016] FCCA 252 (</w:t>
      </w:r>
      <w:r w:rsidRPr="001874F6">
        <w:rPr>
          <w:i/>
        </w:rPr>
        <w:t>AYJ15</w:t>
      </w:r>
      <w:r>
        <w:t>).</w:t>
      </w:r>
    </w:p>
    <w:p w:rsidR="001874F6" w:rsidRDefault="00E21CE3" w:rsidP="00E21CE3">
      <w:pPr>
        <w:pStyle w:val="Heading1"/>
      </w:pPr>
      <w:r>
        <w:t>The grounds of this appeal</w:t>
      </w:r>
    </w:p>
    <w:p w:rsidR="001874F6" w:rsidRDefault="001874F6" w:rsidP="001874F6">
      <w:pPr>
        <w:pStyle w:val="ParaNumbering"/>
      </w:pPr>
      <w:r>
        <w:t xml:space="preserve">In his </w:t>
      </w:r>
      <w:r w:rsidR="00FB4618">
        <w:t xml:space="preserve">original </w:t>
      </w:r>
      <w:r>
        <w:t xml:space="preserve">notice of appeal, the appellant relied on </w:t>
      </w:r>
      <w:r w:rsidR="00FB4618">
        <w:t>a sole</w:t>
      </w:r>
      <w:r>
        <w:t xml:space="preserve"> ground of appeal:</w:t>
      </w:r>
    </w:p>
    <w:p w:rsidR="001874F6" w:rsidRDefault="001874F6" w:rsidP="001874F6">
      <w:pPr>
        <w:pStyle w:val="Quote1"/>
      </w:pPr>
      <w:r w:rsidRPr="001874F6">
        <w:t>That the Federal Circuit Court Judge erred in dismissing the proceedings without proper reasoning and that</w:t>
      </w:r>
      <w:r>
        <w:t xml:space="preserve"> to</w:t>
      </w:r>
      <w:r w:rsidR="00882E8E">
        <w:t xml:space="preserve"> do so was procedurally unfair.</w:t>
      </w:r>
    </w:p>
    <w:p w:rsidR="001874F6" w:rsidRDefault="001874F6" w:rsidP="001874F6">
      <w:pPr>
        <w:pStyle w:val="ParaNumbering"/>
      </w:pPr>
      <w:bookmarkStart w:id="22" w:name="_Ref457400654"/>
      <w:r>
        <w:t xml:space="preserve">However, in </w:t>
      </w:r>
      <w:r w:rsidR="00FB4618">
        <w:t>an</w:t>
      </w:r>
      <w:r>
        <w:t xml:space="preserve"> amended notice of appeal filed </w:t>
      </w:r>
      <w:r w:rsidR="00FB4618">
        <w:t>shortly before the hearing of his matter</w:t>
      </w:r>
      <w:r>
        <w:t xml:space="preserve">, the appellant sought leave to amend his notice of appeal to abandon his original </w:t>
      </w:r>
      <w:r w:rsidR="00FB4618">
        <w:t xml:space="preserve">sole </w:t>
      </w:r>
      <w:r>
        <w:t xml:space="preserve">ground </w:t>
      </w:r>
      <w:r w:rsidR="00FB4618">
        <w:t xml:space="preserve">of appeal </w:t>
      </w:r>
      <w:r>
        <w:t xml:space="preserve">and to </w:t>
      </w:r>
      <w:r w:rsidR="00FB4618">
        <w:t xml:space="preserve">replace it with </w:t>
      </w:r>
      <w:r>
        <w:t>three entirely new grounds</w:t>
      </w:r>
      <w:r w:rsidR="00453ACF">
        <w:t xml:space="preserve"> as follows</w:t>
      </w:r>
      <w:r>
        <w:t>:</w:t>
      </w:r>
      <w:bookmarkEnd w:id="22"/>
    </w:p>
    <w:p w:rsidR="001874F6" w:rsidRDefault="001874F6" w:rsidP="001874F6">
      <w:pPr>
        <w:pStyle w:val="Quote1"/>
        <w:numPr>
          <w:ilvl w:val="0"/>
          <w:numId w:val="49"/>
        </w:numPr>
        <w:ind w:left="1440" w:hanging="703"/>
      </w:pPr>
      <w:r>
        <w:t>That the AAT fell into jurisdictional error in failing to correctly or adequately identify and assess the appellant</w:t>
      </w:r>
      <w:r w:rsidR="00DE0B69">
        <w:t>’</w:t>
      </w:r>
      <w:r>
        <w:t>s particular social group or political op</w:t>
      </w:r>
      <w:r w:rsidR="00882E8E">
        <w:t>inion.</w:t>
      </w:r>
    </w:p>
    <w:p w:rsidR="001874F6" w:rsidRDefault="001874F6" w:rsidP="001874F6">
      <w:pPr>
        <w:pStyle w:val="Quote1"/>
        <w:ind w:left="1440" w:hanging="703"/>
      </w:pPr>
      <w:r>
        <w:t>...</w:t>
      </w:r>
    </w:p>
    <w:p w:rsidR="001874F6" w:rsidRDefault="001874F6" w:rsidP="001874F6">
      <w:pPr>
        <w:pStyle w:val="Quote1"/>
        <w:numPr>
          <w:ilvl w:val="0"/>
          <w:numId w:val="49"/>
        </w:numPr>
        <w:ind w:left="1440" w:hanging="703"/>
      </w:pPr>
      <w:proofErr w:type="gramStart"/>
      <w:r>
        <w:t>That particular and dispositive findings</w:t>
      </w:r>
      <w:proofErr w:type="gramEnd"/>
      <w:r>
        <w:t xml:space="preserve"> of the AAT were not co</w:t>
      </w:r>
      <w:r w:rsidR="00882E8E">
        <w:t>mpatible with rational process.</w:t>
      </w:r>
    </w:p>
    <w:p w:rsidR="001874F6" w:rsidRDefault="001874F6" w:rsidP="001874F6">
      <w:pPr>
        <w:pStyle w:val="Quote1"/>
        <w:ind w:left="1440" w:hanging="703"/>
      </w:pPr>
      <w:r>
        <w:t>...</w:t>
      </w:r>
    </w:p>
    <w:p w:rsidR="001874F6" w:rsidRDefault="001874F6" w:rsidP="001874F6">
      <w:pPr>
        <w:pStyle w:val="Quote1"/>
        <w:numPr>
          <w:ilvl w:val="0"/>
          <w:numId w:val="49"/>
        </w:numPr>
        <w:ind w:left="1440" w:hanging="703"/>
      </w:pPr>
      <w:r>
        <w:t>The AAT fell into error in failing to assess the nature and qualities of the extortion which had occurred and would likely reoccur if the appell</w:t>
      </w:r>
      <w:r w:rsidR="00882E8E">
        <w:t>ant was returned to Sri Lanka.</w:t>
      </w:r>
    </w:p>
    <w:p w:rsidR="001874F6" w:rsidRDefault="001874F6" w:rsidP="001874F6">
      <w:pPr>
        <w:pStyle w:val="ParaNumbering"/>
      </w:pPr>
      <w:bookmarkStart w:id="23" w:name="_Ref457570478"/>
      <w:r>
        <w:t xml:space="preserve">In his written </w:t>
      </w:r>
      <w:r w:rsidR="00D8629D">
        <w:t xml:space="preserve">and oral </w:t>
      </w:r>
      <w:r>
        <w:t>submissions</w:t>
      </w:r>
      <w:r w:rsidR="00FB4618">
        <w:t xml:space="preserve"> in support of </w:t>
      </w:r>
      <w:r w:rsidR="00453ACF">
        <w:t>t</w:t>
      </w:r>
      <w:r w:rsidR="00FB4618">
        <w:t>his application to amend</w:t>
      </w:r>
      <w:r>
        <w:t>, the appellant conceded that none of the</w:t>
      </w:r>
      <w:r w:rsidR="00D8629D">
        <w:t>se</w:t>
      </w:r>
      <w:r>
        <w:t xml:space="preserve"> three new grounds was raised before the Federal Circuit Court.  The Minister opposed the application.</w:t>
      </w:r>
      <w:bookmarkEnd w:id="23"/>
    </w:p>
    <w:p w:rsidR="001874F6" w:rsidRDefault="001874F6" w:rsidP="001874F6">
      <w:pPr>
        <w:pStyle w:val="ParaNumbering"/>
      </w:pPr>
      <w:r>
        <w:t xml:space="preserve">In </w:t>
      </w:r>
      <w:r w:rsidRPr="001874F6">
        <w:rPr>
          <w:i/>
        </w:rPr>
        <w:t>VUAX v Minister for Immigration &amp; Multicultural &amp; Indigenous Affairs</w:t>
      </w:r>
      <w:r>
        <w:t xml:space="preserve"> [2004] FCAFC 158, </w:t>
      </w:r>
      <w:proofErr w:type="spellStart"/>
      <w:r>
        <w:t>Kiefel</w:t>
      </w:r>
      <w:proofErr w:type="spellEnd"/>
      <w:r>
        <w:t xml:space="preserve">, Weinberg and Stone JJ </w:t>
      </w:r>
      <w:r w:rsidR="00FB4618">
        <w:t>outlin</w:t>
      </w:r>
      <w:r>
        <w:t xml:space="preserve">ed </w:t>
      </w:r>
      <w:r w:rsidR="00FB4618">
        <w:t xml:space="preserve">(at [46]) </w:t>
      </w:r>
      <w:r>
        <w:t>the principles pertinent to an application for leave to amend to rely on new grounds of appeal in the following terms:</w:t>
      </w:r>
    </w:p>
    <w:p w:rsidR="001874F6" w:rsidRDefault="001874F6" w:rsidP="001874F6">
      <w:pPr>
        <w:pStyle w:val="Quote1"/>
      </w:pPr>
      <w:r>
        <w:t xml:space="preserve">Leave to argue a ground of appeal not raised before the primary judge should only be granted if it is expedient in the interests of justice to do so: </w:t>
      </w:r>
      <w:r w:rsidRPr="001874F6">
        <w:rPr>
          <w:i/>
        </w:rPr>
        <w:t>O</w:t>
      </w:r>
      <w:r w:rsidR="00DE0B69">
        <w:rPr>
          <w:i/>
        </w:rPr>
        <w:t>’</w:t>
      </w:r>
      <w:r w:rsidRPr="001874F6">
        <w:rPr>
          <w:i/>
        </w:rPr>
        <w:t xml:space="preserve">Brien v </w:t>
      </w:r>
      <w:proofErr w:type="spellStart"/>
      <w:r w:rsidRPr="001874F6">
        <w:rPr>
          <w:i/>
        </w:rPr>
        <w:t>Komesaroff</w:t>
      </w:r>
      <w:proofErr w:type="spellEnd"/>
      <w:r>
        <w:t xml:space="preserve"> (1982) 150 CLR 310; </w:t>
      </w:r>
      <w:r w:rsidRPr="001874F6">
        <w:rPr>
          <w:i/>
        </w:rPr>
        <w:t>H v Minister for Immigration &amp; Multicultural Affairs</w:t>
      </w:r>
      <w:r>
        <w:t xml:space="preserve">; and </w:t>
      </w:r>
      <w:proofErr w:type="spellStart"/>
      <w:r w:rsidRPr="001874F6">
        <w:rPr>
          <w:i/>
        </w:rPr>
        <w:t>Branir</w:t>
      </w:r>
      <w:proofErr w:type="spellEnd"/>
      <w:r w:rsidRPr="001874F6">
        <w:rPr>
          <w:i/>
        </w:rPr>
        <w:t xml:space="preserve"> Pty Ltd v </w:t>
      </w:r>
      <w:proofErr w:type="spellStart"/>
      <w:r w:rsidRPr="001874F6">
        <w:rPr>
          <w:i/>
        </w:rPr>
        <w:t>Owston</w:t>
      </w:r>
      <w:proofErr w:type="spellEnd"/>
      <w:r w:rsidRPr="001874F6">
        <w:rPr>
          <w:i/>
        </w:rPr>
        <w:t xml:space="preserve"> Nominees (No 2) Pty Ltd</w:t>
      </w:r>
      <w:r>
        <w:t xml:space="preserve"> (2001) 117 FCR 424 at [20]-[24] and [38].</w:t>
      </w:r>
    </w:p>
    <w:p w:rsidR="001874F6" w:rsidRDefault="00FB4618" w:rsidP="001874F6">
      <w:pPr>
        <w:pStyle w:val="ParaNumbering"/>
      </w:pPr>
      <w:r>
        <w:lastRenderedPageBreak/>
        <w:t>Immediately thereafter</w:t>
      </w:r>
      <w:r w:rsidR="001874F6">
        <w:t xml:space="preserve">, their Honours went on to add the following observations about the prevalence of applications </w:t>
      </w:r>
      <w:r w:rsidR="00453ACF">
        <w:t xml:space="preserve">of this kind </w:t>
      </w:r>
      <w:r w:rsidR="001874F6">
        <w:t xml:space="preserve">in migration appeals </w:t>
      </w:r>
      <w:r w:rsidR="00453ACF">
        <w:t xml:space="preserve">such as this </w:t>
      </w:r>
      <w:r w:rsidR="00C15544">
        <w:t>(at [48</w:t>
      </w:r>
      <w:r w:rsidR="001874F6">
        <w:t>]):</w:t>
      </w:r>
    </w:p>
    <w:p w:rsidR="001874F6" w:rsidRDefault="001874F6" w:rsidP="001874F6">
      <w:pPr>
        <w:pStyle w:val="Quote1"/>
      </w:pPr>
      <w:r>
        <w:t>The practice of raising arguments for the first time before the Full Court has been particularly prevalent in appeals relating to migration matters. The Court may grant leave if some point that was not taken below, but which clearly has merit, is advanced, and there is no real prejudice to the respondent in permitting it to be agitated. Where, however, there is no adequate explanation for the failure to take the point, and it seems to be of doubtful merit, leave should generally be refused. In our view, the proposed ground of appeal has no merit. There is no justification, therefore, for permitting it to be raised for the first time before this Court.</w:t>
      </w:r>
    </w:p>
    <w:p w:rsidR="00DE0B69" w:rsidRDefault="001874F6" w:rsidP="00DE0B69">
      <w:pPr>
        <w:pStyle w:val="NoNum"/>
      </w:pPr>
      <w:r>
        <w:t xml:space="preserve">See also </w:t>
      </w:r>
      <w:r w:rsidRPr="00882E8E">
        <w:rPr>
          <w:i/>
        </w:rPr>
        <w:t>MZYPO v Minister for Immigration and Citizenship</w:t>
      </w:r>
      <w:r>
        <w:t xml:space="preserve"> [2013] FCAFC 1 (</w:t>
      </w:r>
      <w:r w:rsidRPr="00882E8E">
        <w:rPr>
          <w:i/>
        </w:rPr>
        <w:t>MZYPO</w:t>
      </w:r>
      <w:r>
        <w:t>) at [101], per Jessup J.</w:t>
      </w:r>
    </w:p>
    <w:p w:rsidR="001874F6" w:rsidRDefault="00DE0B69" w:rsidP="001874F6">
      <w:pPr>
        <w:pStyle w:val="ParaNumbering"/>
      </w:pPr>
      <w:r>
        <w:t>Before proceeding to consider whether the appellant has offered an adequate explanation</w:t>
      </w:r>
      <w:r w:rsidR="00453ACF">
        <w:t xml:space="preserve"> for his failure to raise these proposed new grounds before the </w:t>
      </w:r>
      <w:r w:rsidR="00453ACF" w:rsidRPr="00F95044">
        <w:t>Federal Circuit Court</w:t>
      </w:r>
      <w:r>
        <w:t xml:space="preserve"> and whether </w:t>
      </w:r>
      <w:r w:rsidR="00453ACF">
        <w:t>any of them clearly has</w:t>
      </w:r>
      <w:r>
        <w:t xml:space="preserve"> merit, it is </w:t>
      </w:r>
      <w:r w:rsidRPr="00443844">
        <w:t>appropriate to record</w:t>
      </w:r>
      <w:r w:rsidR="00C15544" w:rsidRPr="00443844">
        <w:t xml:space="preserve"> briefly</w:t>
      </w:r>
      <w:r w:rsidRPr="00443844">
        <w:t xml:space="preserve"> the factual</w:t>
      </w:r>
      <w:r>
        <w:t xml:space="preserve"> and procedural background to this </w:t>
      </w:r>
      <w:r w:rsidR="00FB4618">
        <w:t>appeal</w:t>
      </w:r>
      <w:r>
        <w:t>.</w:t>
      </w:r>
    </w:p>
    <w:p w:rsidR="001874F6" w:rsidRDefault="00E21CE3" w:rsidP="00E21CE3">
      <w:pPr>
        <w:pStyle w:val="Heading1"/>
      </w:pPr>
      <w:r>
        <w:t>The factual background</w:t>
      </w:r>
    </w:p>
    <w:p w:rsidR="00FB4618" w:rsidRDefault="001874F6" w:rsidP="001874F6">
      <w:pPr>
        <w:pStyle w:val="ParaNumbering"/>
      </w:pPr>
      <w:r>
        <w:t xml:space="preserve">The appellant is a citizen of Sri Lanka, who first arrived in Australia on 28 July 2012 as an unauthorised maritime arrival. </w:t>
      </w:r>
      <w:r w:rsidR="00DE0B69">
        <w:t xml:space="preserve"> </w:t>
      </w:r>
      <w:r>
        <w:t>He lodged an application for a protection (cla</w:t>
      </w:r>
      <w:r w:rsidR="00FB4618">
        <w:t>ss XA) visa on 17 January 2013.</w:t>
      </w:r>
    </w:p>
    <w:p w:rsidR="001874F6" w:rsidRDefault="001874F6" w:rsidP="001874F6">
      <w:pPr>
        <w:pStyle w:val="ParaNumbering"/>
      </w:pPr>
      <w:r>
        <w:t>Duri</w:t>
      </w:r>
      <w:r w:rsidR="00FB4618">
        <w:t xml:space="preserve">ng the civil war in Sri Lanka, </w:t>
      </w:r>
      <w:r>
        <w:t xml:space="preserve">he lived in an area that was controlled by the Liberation Tigers of Tamil Eelam (LTTE). </w:t>
      </w:r>
      <w:r w:rsidR="00DE0B69">
        <w:t xml:space="preserve"> </w:t>
      </w:r>
      <w:r w:rsidR="00FB4618">
        <w:t>H</w:t>
      </w:r>
      <w:r>
        <w:t>e</w:t>
      </w:r>
      <w:r w:rsidR="00FB4618">
        <w:t xml:space="preserve"> </w:t>
      </w:r>
      <w:r>
        <w:t xml:space="preserve">claimed to fear harm from the </w:t>
      </w:r>
      <w:proofErr w:type="spellStart"/>
      <w:r>
        <w:t>Karuna</w:t>
      </w:r>
      <w:proofErr w:type="spellEnd"/>
      <w:r>
        <w:t xml:space="preserve"> </w:t>
      </w:r>
      <w:r w:rsidR="00C15544">
        <w:t>g</w:t>
      </w:r>
      <w:r w:rsidR="00FB4618">
        <w:t>roup, a political group in Sri Lanka,</w:t>
      </w:r>
      <w:r w:rsidR="00DE0B69">
        <w:t xml:space="preserve"> primarily because </w:t>
      </w:r>
      <w:r>
        <w:t>he is of Tamil ethnicity, but also bec</w:t>
      </w:r>
      <w:r w:rsidR="00FB4618">
        <w:t>ause of his political support for</w:t>
      </w:r>
      <w:r>
        <w:t xml:space="preserve"> the Ceylon Tamil </w:t>
      </w:r>
      <w:proofErr w:type="spellStart"/>
      <w:r>
        <w:t>Arasu</w:t>
      </w:r>
      <w:proofErr w:type="spellEnd"/>
      <w:r>
        <w:t xml:space="preserve"> Party which is opposed to the Sri Lankan government and to the </w:t>
      </w:r>
      <w:proofErr w:type="spellStart"/>
      <w:r>
        <w:t>Karuna</w:t>
      </w:r>
      <w:proofErr w:type="spellEnd"/>
      <w:r>
        <w:t xml:space="preserve"> </w:t>
      </w:r>
      <w:r w:rsidR="00C15544">
        <w:t>g</w:t>
      </w:r>
      <w:r w:rsidR="00FB4618">
        <w:t>roup</w:t>
      </w:r>
      <w:r>
        <w:t xml:space="preserve">. </w:t>
      </w:r>
      <w:r w:rsidR="00DE0B69">
        <w:t xml:space="preserve"> </w:t>
      </w:r>
      <w:r>
        <w:t xml:space="preserve">He also claimed to fear harm </w:t>
      </w:r>
      <w:r w:rsidR="00453ACF">
        <w:t>as a result of</w:t>
      </w:r>
      <w:r>
        <w:t xml:space="preserve"> his illegal departure from Sri Lanka and his extended presence in Australia as an asylum seeker. </w:t>
      </w:r>
      <w:r w:rsidR="00DE0B69">
        <w:t xml:space="preserve"> </w:t>
      </w:r>
      <w:r w:rsidR="00FB4618">
        <w:t xml:space="preserve">Finally, he </w:t>
      </w:r>
      <w:r>
        <w:t xml:space="preserve">claimed to fear harm based on his membership of </w:t>
      </w:r>
      <w:r w:rsidR="00453ACF">
        <w:t xml:space="preserve">a </w:t>
      </w:r>
      <w:r>
        <w:t>particular social g</w:t>
      </w:r>
      <w:r w:rsidR="00882E8E">
        <w:t>roup</w:t>
      </w:r>
      <w:r w:rsidR="00FB4618">
        <w:t>, namely that</w:t>
      </w:r>
      <w:r w:rsidR="00882E8E">
        <w:t xml:space="preserve"> comprised of Tamil males.</w:t>
      </w:r>
    </w:p>
    <w:p w:rsidR="001874F6" w:rsidRDefault="00E21CE3" w:rsidP="00E21CE3">
      <w:pPr>
        <w:pStyle w:val="Heading1"/>
      </w:pPr>
      <w:r>
        <w:t>The proceeding before the Tribunal</w:t>
      </w:r>
    </w:p>
    <w:p w:rsidR="001874F6" w:rsidRDefault="00DE0B69" w:rsidP="001874F6">
      <w:pPr>
        <w:pStyle w:val="ParaNumbering"/>
      </w:pPr>
      <w:r>
        <w:t xml:space="preserve">After the Minister’s delegate refused the appellant’s application for a protection visa, he applied to the Refugee Review Tribunal, now the Administrative Appeals Tribunal (the Tribunal), for </w:t>
      </w:r>
      <w:r w:rsidR="00882E8E">
        <w:t>merits review of that decision.</w:t>
      </w:r>
      <w:r w:rsidR="00D8629D">
        <w:t xml:space="preserve">  </w:t>
      </w:r>
      <w:r w:rsidR="001874F6">
        <w:t xml:space="preserve">The appellant attended a hearing before the Tribunal in April 2015. </w:t>
      </w:r>
      <w:r>
        <w:t xml:space="preserve"> </w:t>
      </w:r>
      <w:r w:rsidR="001874F6">
        <w:t>The Tribunal affirm</w:t>
      </w:r>
      <w:r w:rsidR="00FB4618">
        <w:t>ed</w:t>
      </w:r>
      <w:r w:rsidR="001874F6">
        <w:t xml:space="preserve"> the delegate</w:t>
      </w:r>
      <w:r>
        <w:t>’s decision in May 2015.</w:t>
      </w:r>
    </w:p>
    <w:p w:rsidR="001874F6" w:rsidRDefault="001874F6" w:rsidP="001874F6">
      <w:pPr>
        <w:pStyle w:val="ParaNumbering"/>
      </w:pPr>
      <w:bookmarkStart w:id="24" w:name="_Ref450907346"/>
      <w:r>
        <w:lastRenderedPageBreak/>
        <w:t xml:space="preserve">In </w:t>
      </w:r>
      <w:r w:rsidR="00FB4618">
        <w:t>short</w:t>
      </w:r>
      <w:r>
        <w:t xml:space="preserve">, the Tribunal did not accept that the appellant was a credible witness. </w:t>
      </w:r>
      <w:r w:rsidR="00DE0B69">
        <w:t xml:space="preserve"> It fou</w:t>
      </w:r>
      <w:r>
        <w:t>nd</w:t>
      </w:r>
      <w:r w:rsidR="00DE0B69">
        <w:t xml:space="preserve"> that,</w:t>
      </w:r>
      <w:r w:rsidR="00FB4618">
        <w:t xml:space="preserve"> although </w:t>
      </w:r>
      <w:r>
        <w:t>he gave clear and consistent evidence in re</w:t>
      </w:r>
      <w:r w:rsidR="00FB4618">
        <w:t xml:space="preserve">lation </w:t>
      </w:r>
      <w:r>
        <w:t>to his (and his wife</w:t>
      </w:r>
      <w:r w:rsidR="00DE0B69">
        <w:t>’</w:t>
      </w:r>
      <w:r>
        <w:t xml:space="preserve">s) family, his business earnings and the rental outgoings of his fruit shop, key aspects of his evidence were evasive, vague and repetitive, </w:t>
      </w:r>
      <w:r w:rsidR="00FB4618">
        <w:t>in particular</w:t>
      </w:r>
      <w:r>
        <w:t xml:space="preserve"> </w:t>
      </w:r>
      <w:r w:rsidR="00453ACF">
        <w:t>concerning</w:t>
      </w:r>
      <w:r>
        <w:t xml:space="preserve"> the two places </w:t>
      </w:r>
      <w:r w:rsidR="00FB4618">
        <w:t xml:space="preserve">where </w:t>
      </w:r>
      <w:r>
        <w:t>he c</w:t>
      </w:r>
      <w:r w:rsidR="00D17225">
        <w:t xml:space="preserve">laimed to have lived since 2005.  </w:t>
      </w:r>
      <w:r w:rsidR="00BE7253">
        <w:t xml:space="preserve">Further, the </w:t>
      </w:r>
      <w:r>
        <w:t>appellant</w:t>
      </w:r>
      <w:r w:rsidR="00DE0B69">
        <w:t>’</w:t>
      </w:r>
      <w:r>
        <w:t>s lack of spontanei</w:t>
      </w:r>
      <w:r w:rsidR="00D17225">
        <w:t>ty in his responses to questioning</w:t>
      </w:r>
      <w:r>
        <w:t xml:space="preserve"> suggested </w:t>
      </w:r>
      <w:r w:rsidR="00FB4618">
        <w:t xml:space="preserve">to the </w:t>
      </w:r>
      <w:r w:rsidR="00FB4618">
        <w:rPr>
          <w:rFonts w:eastAsia="Times New Roman"/>
        </w:rPr>
        <w:t>Tribunal</w:t>
      </w:r>
      <w:r w:rsidR="00FB4618">
        <w:t xml:space="preserve"> </w:t>
      </w:r>
      <w:r>
        <w:t xml:space="preserve">he was falsifying his account, even </w:t>
      </w:r>
      <w:r w:rsidR="00D17225">
        <w:t>making</w:t>
      </w:r>
      <w:r>
        <w:t xml:space="preserve"> allowance</w:t>
      </w:r>
      <w:r w:rsidR="00D17225">
        <w:t>s</w:t>
      </w:r>
      <w:r>
        <w:t xml:space="preserve"> </w:t>
      </w:r>
      <w:r w:rsidR="00D17225">
        <w:t>for his</w:t>
      </w:r>
      <w:r>
        <w:t xml:space="preserve"> limited education</w:t>
      </w:r>
      <w:r w:rsidR="00D17225">
        <w:t xml:space="preserve">.  </w:t>
      </w:r>
      <w:r w:rsidR="00BE7253">
        <w:t xml:space="preserve">The </w:t>
      </w:r>
      <w:r w:rsidR="00BE7253">
        <w:rPr>
          <w:rFonts w:eastAsia="Times New Roman"/>
        </w:rPr>
        <w:t>Tribunal</w:t>
      </w:r>
      <w:r w:rsidR="00D17225">
        <w:t xml:space="preserve"> also found </w:t>
      </w:r>
      <w:r w:rsidR="00BE7253">
        <w:t xml:space="preserve">that </w:t>
      </w:r>
      <w:r w:rsidR="00FB4618">
        <w:t>hi</w:t>
      </w:r>
      <w:r>
        <w:t>s evidence evolved and changed over time.</w:t>
      </w:r>
      <w:bookmarkEnd w:id="24"/>
    </w:p>
    <w:p w:rsidR="001874F6" w:rsidRDefault="00D17225" w:rsidP="001874F6">
      <w:pPr>
        <w:pStyle w:val="ParaNumbering"/>
      </w:pPr>
      <w:r>
        <w:t>Consequently, t</w:t>
      </w:r>
      <w:r w:rsidR="001874F6">
        <w:t>he Tribunal rejected the appellant</w:t>
      </w:r>
      <w:r w:rsidR="00DE0B69">
        <w:t>’</w:t>
      </w:r>
      <w:r w:rsidR="001874F6">
        <w:t>s claims</w:t>
      </w:r>
      <w:r>
        <w:t xml:space="preserve"> that</w:t>
      </w:r>
      <w:r w:rsidR="001874F6">
        <w:t>:</w:t>
      </w:r>
    </w:p>
    <w:p w:rsidR="001874F6" w:rsidRDefault="001874F6" w:rsidP="00D17225">
      <w:pPr>
        <w:pStyle w:val="ListNo1"/>
      </w:pPr>
      <w:r>
        <w:t xml:space="preserve">his house had been </w:t>
      </w:r>
      <w:r w:rsidR="00FB4618">
        <w:t>occupied</w:t>
      </w:r>
      <w:r>
        <w:t xml:space="preserve"> by the </w:t>
      </w:r>
      <w:proofErr w:type="spellStart"/>
      <w:r>
        <w:t>Karuna</w:t>
      </w:r>
      <w:proofErr w:type="spellEnd"/>
      <w:r>
        <w:t xml:space="preserve"> </w:t>
      </w:r>
      <w:r w:rsidR="00C15544">
        <w:t>g</w:t>
      </w:r>
      <w:r w:rsidR="00FB4618">
        <w:t>roup</w:t>
      </w:r>
      <w:r>
        <w:t>;</w:t>
      </w:r>
    </w:p>
    <w:p w:rsidR="001874F6" w:rsidRDefault="00FB4618" w:rsidP="00D17225">
      <w:pPr>
        <w:pStyle w:val="ListNo1"/>
      </w:pPr>
      <w:r>
        <w:t>t</w:t>
      </w:r>
      <w:r w:rsidR="001874F6">
        <w:t xml:space="preserve">he </w:t>
      </w:r>
      <w:proofErr w:type="spellStart"/>
      <w:r>
        <w:t>Karuna</w:t>
      </w:r>
      <w:proofErr w:type="spellEnd"/>
      <w:r>
        <w:t xml:space="preserve"> </w:t>
      </w:r>
      <w:r w:rsidR="00C15544">
        <w:t>g</w:t>
      </w:r>
      <w:r>
        <w:t>roup had</w:t>
      </w:r>
      <w:r w:rsidR="001874F6">
        <w:t xml:space="preserve"> abducted and detained </w:t>
      </w:r>
      <w:r>
        <w:t xml:space="preserve">him </w:t>
      </w:r>
      <w:r w:rsidR="001874F6">
        <w:t xml:space="preserve">for 10 days in 2010; </w:t>
      </w:r>
    </w:p>
    <w:p w:rsidR="001874F6" w:rsidRDefault="001874F6" w:rsidP="00D17225">
      <w:pPr>
        <w:pStyle w:val="ListNo1"/>
      </w:pPr>
      <w:r>
        <w:t>he was a member, or active supporter, of the Tamil United Liberation Front (TULF), the Tamil National Alliance (TNA), or any other party;</w:t>
      </w:r>
    </w:p>
    <w:p w:rsidR="001874F6" w:rsidRDefault="001874F6" w:rsidP="00D17225">
      <w:pPr>
        <w:pStyle w:val="ListNo1"/>
      </w:pPr>
      <w:r>
        <w:t xml:space="preserve">the </w:t>
      </w:r>
      <w:proofErr w:type="spellStart"/>
      <w:r>
        <w:t>Karuna</w:t>
      </w:r>
      <w:proofErr w:type="spellEnd"/>
      <w:r>
        <w:t xml:space="preserve"> </w:t>
      </w:r>
      <w:r w:rsidR="00C15544">
        <w:t>g</w:t>
      </w:r>
      <w:r w:rsidR="00FB4618">
        <w:t xml:space="preserve">roup </w:t>
      </w:r>
      <w:r>
        <w:t>took his van;</w:t>
      </w:r>
    </w:p>
    <w:p w:rsidR="001874F6" w:rsidRDefault="001874F6" w:rsidP="00D17225">
      <w:pPr>
        <w:pStyle w:val="ListNo1"/>
      </w:pPr>
      <w:r>
        <w:t>his brother was a member</w:t>
      </w:r>
      <w:r w:rsidR="00FB4618">
        <w:t>,</w:t>
      </w:r>
      <w:r>
        <w:t xml:space="preserve"> </w:t>
      </w:r>
      <w:r w:rsidR="00FB4618">
        <w:t xml:space="preserve">or was suspected of being a member, </w:t>
      </w:r>
      <w:r>
        <w:t xml:space="preserve">of the LTTE; and </w:t>
      </w:r>
    </w:p>
    <w:p w:rsidR="001874F6" w:rsidRDefault="001874F6" w:rsidP="00D17225">
      <w:pPr>
        <w:pStyle w:val="ListNo1"/>
      </w:pPr>
      <w:proofErr w:type="gramStart"/>
      <w:r>
        <w:t>the</w:t>
      </w:r>
      <w:proofErr w:type="gramEnd"/>
      <w:r>
        <w:t xml:space="preserve"> </w:t>
      </w:r>
      <w:proofErr w:type="spellStart"/>
      <w:r>
        <w:t>Kar</w:t>
      </w:r>
      <w:r w:rsidR="00882E8E">
        <w:t>una</w:t>
      </w:r>
      <w:proofErr w:type="spellEnd"/>
      <w:r w:rsidR="00882E8E">
        <w:t xml:space="preserve"> </w:t>
      </w:r>
      <w:r w:rsidR="00C15544">
        <w:t>g</w:t>
      </w:r>
      <w:r w:rsidR="00FB4618">
        <w:t xml:space="preserve">roup </w:t>
      </w:r>
      <w:r w:rsidR="00882E8E">
        <w:t>were looking for him.</w:t>
      </w:r>
    </w:p>
    <w:p w:rsidR="001874F6" w:rsidRDefault="001874F6" w:rsidP="001874F6">
      <w:pPr>
        <w:pStyle w:val="ParaNumbering"/>
      </w:pPr>
      <w:r>
        <w:t xml:space="preserve">The Tribunal did, however, accept </w:t>
      </w:r>
      <w:r w:rsidR="00D17225">
        <w:t xml:space="preserve">some </w:t>
      </w:r>
      <w:r>
        <w:t>aspects of the appellant</w:t>
      </w:r>
      <w:r w:rsidR="00DE0B69">
        <w:t>’</w:t>
      </w:r>
      <w:r>
        <w:t>s claims</w:t>
      </w:r>
      <w:r w:rsidR="00D17225">
        <w:t>.  In particular, it accepted that</w:t>
      </w:r>
      <w:r>
        <w:t>:</w:t>
      </w:r>
    </w:p>
    <w:p w:rsidR="00C76F43" w:rsidRDefault="001874F6" w:rsidP="00D17225">
      <w:pPr>
        <w:pStyle w:val="ListNo1"/>
        <w:numPr>
          <w:ilvl w:val="0"/>
          <w:numId w:val="50"/>
        </w:numPr>
      </w:pPr>
      <w:r>
        <w:t>he had been made to walk naked at a checkpoint during the civil war in Sri Lanka when he was approximately 17 years of age;</w:t>
      </w:r>
    </w:p>
    <w:p w:rsidR="00C76F43" w:rsidRDefault="001874F6" w:rsidP="00D17225">
      <w:pPr>
        <w:pStyle w:val="ListNo1"/>
        <w:numPr>
          <w:ilvl w:val="0"/>
          <w:numId w:val="50"/>
        </w:numPr>
      </w:pPr>
      <w:r>
        <w:t>he had seen people die during the civil war in Sri Lanka;</w:t>
      </w:r>
    </w:p>
    <w:p w:rsidR="00C76F43" w:rsidRDefault="001874F6" w:rsidP="00D17225">
      <w:pPr>
        <w:pStyle w:val="ListNo1"/>
        <w:numPr>
          <w:ilvl w:val="0"/>
          <w:numId w:val="50"/>
        </w:numPr>
      </w:pPr>
      <w:r>
        <w:t>h</w:t>
      </w:r>
      <w:r w:rsidR="00D17225">
        <w:t>is</w:t>
      </w:r>
      <w:r>
        <w:t xml:space="preserve"> father had been </w:t>
      </w:r>
      <w:r w:rsidR="00DE0B69">
        <w:t>“</w:t>
      </w:r>
      <w:r>
        <w:t>rounded up</w:t>
      </w:r>
      <w:r w:rsidR="00DE0B69">
        <w:t>”</w:t>
      </w:r>
      <w:r>
        <w:t xml:space="preserve"> during the civil war in Sri Lanka; and</w:t>
      </w:r>
    </w:p>
    <w:p w:rsidR="001874F6" w:rsidRDefault="001874F6" w:rsidP="00D17225">
      <w:pPr>
        <w:pStyle w:val="ListNo1"/>
        <w:numPr>
          <w:ilvl w:val="0"/>
          <w:numId w:val="50"/>
        </w:numPr>
      </w:pPr>
      <w:proofErr w:type="gramStart"/>
      <w:r>
        <w:t>he</w:t>
      </w:r>
      <w:proofErr w:type="gramEnd"/>
      <w:r>
        <w:t xml:space="preserve"> had been required to pay an unofficial tax </w:t>
      </w:r>
      <w:r w:rsidR="00882E8E">
        <w:t xml:space="preserve">to the </w:t>
      </w:r>
      <w:proofErr w:type="spellStart"/>
      <w:r w:rsidR="00882E8E">
        <w:t>Karuna</w:t>
      </w:r>
      <w:proofErr w:type="spellEnd"/>
      <w:r w:rsidR="00882E8E">
        <w:t xml:space="preserve"> </w:t>
      </w:r>
      <w:r w:rsidR="00604DD7">
        <w:t>g</w:t>
      </w:r>
      <w:r w:rsidR="00FB4618">
        <w:t>roup</w:t>
      </w:r>
      <w:r w:rsidR="00882E8E">
        <w:t>.</w:t>
      </w:r>
    </w:p>
    <w:p w:rsidR="001874F6" w:rsidRDefault="001874F6" w:rsidP="001874F6">
      <w:pPr>
        <w:pStyle w:val="ParaNumbering"/>
      </w:pPr>
      <w:r>
        <w:t xml:space="preserve">Despite </w:t>
      </w:r>
      <w:r w:rsidR="00FB4618">
        <w:t xml:space="preserve">accepting </w:t>
      </w:r>
      <w:r>
        <w:t>the</w:t>
      </w:r>
      <w:r w:rsidR="00FB4618">
        <w:t>se</w:t>
      </w:r>
      <w:r>
        <w:t xml:space="preserve"> aspects of the appellant</w:t>
      </w:r>
      <w:r w:rsidR="00DE0B69">
        <w:t>’</w:t>
      </w:r>
      <w:r>
        <w:t>s claims</w:t>
      </w:r>
      <w:r w:rsidR="00FB4618">
        <w:t>,</w:t>
      </w:r>
      <w:r>
        <w:t xml:space="preserve"> the Tribunal did not accept that he had suffered signifi</w:t>
      </w:r>
      <w:r w:rsidR="00D17225">
        <w:t>cant</w:t>
      </w:r>
      <w:r w:rsidR="00FB4618">
        <w:t>,</w:t>
      </w:r>
      <w:r w:rsidR="00D17225">
        <w:t xml:space="preserve"> or serious</w:t>
      </w:r>
      <w:r w:rsidR="00FB4618">
        <w:t>,</w:t>
      </w:r>
      <w:r w:rsidR="00D17225">
        <w:t xml:space="preserve"> harm, </w:t>
      </w:r>
      <w:proofErr w:type="gramStart"/>
      <w:r w:rsidR="00D17225">
        <w:t>nor</w:t>
      </w:r>
      <w:proofErr w:type="gramEnd"/>
      <w:r w:rsidR="00D17225">
        <w:t xml:space="preserve"> that </w:t>
      </w:r>
      <w:r>
        <w:t xml:space="preserve">he was at risk of future harm. </w:t>
      </w:r>
      <w:r w:rsidR="00D17225">
        <w:t xml:space="preserve"> </w:t>
      </w:r>
      <w:r>
        <w:t xml:space="preserve">The Tribunal </w:t>
      </w:r>
      <w:r w:rsidR="00FB4618">
        <w:t xml:space="preserve">also </w:t>
      </w:r>
      <w:r>
        <w:t xml:space="preserve">rejected </w:t>
      </w:r>
      <w:r w:rsidR="00D17225">
        <w:t>his</w:t>
      </w:r>
      <w:r>
        <w:t xml:space="preserve"> c</w:t>
      </w:r>
      <w:r w:rsidR="00D17225">
        <w:t xml:space="preserve">laims that </w:t>
      </w:r>
      <w:r>
        <w:t>he was at risk of being suspected as a person who had links</w:t>
      </w:r>
      <w:r w:rsidR="00FB4618">
        <w:t>,</w:t>
      </w:r>
      <w:r>
        <w:t xml:space="preserve"> or associations</w:t>
      </w:r>
      <w:r w:rsidR="00FB4618">
        <w:t>,</w:t>
      </w:r>
      <w:r>
        <w:t xml:space="preserve"> with the LTTE</w:t>
      </w:r>
      <w:r w:rsidR="00FB4618">
        <w:t>,</w:t>
      </w:r>
      <w:r>
        <w:t xml:space="preserve"> o</w:t>
      </w:r>
      <w:r w:rsidR="00D17225">
        <w:t>r anti-government organisations</w:t>
      </w:r>
      <w:r w:rsidR="00FB4618">
        <w:t>.</w:t>
      </w:r>
      <w:r>
        <w:t xml:space="preserve"> </w:t>
      </w:r>
      <w:r w:rsidR="00FB4618">
        <w:t xml:space="preserve">As well, </w:t>
      </w:r>
      <w:r>
        <w:t xml:space="preserve">it was not satisfied that he had a real chance of being persecuted should he </w:t>
      </w:r>
      <w:r w:rsidR="00453ACF">
        <w:t>return</w:t>
      </w:r>
      <w:r>
        <w:t xml:space="preserve"> to Sri Lanka as a failed asylum seeker, </w:t>
      </w:r>
      <w:r w:rsidR="00D17225">
        <w:t>n</w:t>
      </w:r>
      <w:r>
        <w:t xml:space="preserve">or due to his extended presence in Australia. </w:t>
      </w:r>
      <w:r w:rsidR="00D17225">
        <w:t xml:space="preserve"> </w:t>
      </w:r>
      <w:r>
        <w:t>F</w:t>
      </w:r>
      <w:r w:rsidR="00FB4618">
        <w:t>inally</w:t>
      </w:r>
      <w:r>
        <w:t xml:space="preserve">, the Tribunal did not accept that there was a real risk that the appellant would suffer serious or significant harm </w:t>
      </w:r>
      <w:r>
        <w:lastRenderedPageBreak/>
        <w:t xml:space="preserve">because of his Tamil </w:t>
      </w:r>
      <w:proofErr w:type="gramStart"/>
      <w:r>
        <w:t>ethnicity</w:t>
      </w:r>
      <w:r w:rsidR="00FB4618">
        <w:t>,</w:t>
      </w:r>
      <w:proofErr w:type="gramEnd"/>
      <w:r>
        <w:t xml:space="preserve"> or </w:t>
      </w:r>
      <w:r w:rsidR="00D17225">
        <w:t xml:space="preserve">because of </w:t>
      </w:r>
      <w:r>
        <w:t>the particular social group to which he bel</w:t>
      </w:r>
      <w:r w:rsidR="00453ACF">
        <w:t>onged</w:t>
      </w:r>
      <w:r w:rsidR="00D17225">
        <w:t>.</w:t>
      </w:r>
    </w:p>
    <w:p w:rsidR="001874F6" w:rsidRDefault="001874F6" w:rsidP="001874F6">
      <w:pPr>
        <w:pStyle w:val="ParaNumbering"/>
      </w:pPr>
      <w:r>
        <w:t>The Tribunal therefore concluded that the appellant did not sat</w:t>
      </w:r>
      <w:r w:rsidR="001F37F7">
        <w:t>isfy the refugee criterion in s </w:t>
      </w:r>
      <w:r>
        <w:t>36(2</w:t>
      </w:r>
      <w:proofErr w:type="gramStart"/>
      <w:r>
        <w:t>)(</w:t>
      </w:r>
      <w:proofErr w:type="gramEnd"/>
      <w:r>
        <w:t xml:space="preserve">a) of the </w:t>
      </w:r>
      <w:r w:rsidRPr="00C15544">
        <w:rPr>
          <w:i/>
        </w:rPr>
        <w:t>Migration Act 1958</w:t>
      </w:r>
      <w:r>
        <w:t xml:space="preserve"> (</w:t>
      </w:r>
      <w:proofErr w:type="spellStart"/>
      <w:r>
        <w:t>Cth</w:t>
      </w:r>
      <w:proofErr w:type="spellEnd"/>
      <w:r>
        <w:t xml:space="preserve">) (the Act). </w:t>
      </w:r>
      <w:r w:rsidR="00D17225">
        <w:t xml:space="preserve"> </w:t>
      </w:r>
      <w:r>
        <w:t xml:space="preserve">In light of </w:t>
      </w:r>
      <w:r w:rsidR="00D17225">
        <w:t>i</w:t>
      </w:r>
      <w:r>
        <w:t>t</w:t>
      </w:r>
      <w:r w:rsidR="00D17225">
        <w:t>s</w:t>
      </w:r>
      <w:r>
        <w:t xml:space="preserve"> factual and credibility findings, the Tribunal also concluded that the appellant did not satisfy the complementary protection crite</w:t>
      </w:r>
      <w:r w:rsidR="00D17225">
        <w:t>rion in s 36(2</w:t>
      </w:r>
      <w:proofErr w:type="gramStart"/>
      <w:r w:rsidR="00D17225">
        <w:t>)(</w:t>
      </w:r>
      <w:proofErr w:type="gramEnd"/>
      <w:r w:rsidR="00D17225">
        <w:t>aa) of the Act.</w:t>
      </w:r>
    </w:p>
    <w:p w:rsidR="001874F6" w:rsidRDefault="00E21CE3" w:rsidP="00E21CE3">
      <w:pPr>
        <w:pStyle w:val="Heading1"/>
      </w:pPr>
      <w:r>
        <w:t>The decision of the Federal Circuit Court</w:t>
      </w:r>
    </w:p>
    <w:p w:rsidR="001874F6" w:rsidRDefault="001874F6" w:rsidP="001874F6">
      <w:pPr>
        <w:pStyle w:val="ParaNumbering"/>
      </w:pPr>
      <w:r>
        <w:t xml:space="preserve">By an application filed in </w:t>
      </w:r>
      <w:r w:rsidR="00BE7253">
        <w:t xml:space="preserve">the Federal Circuit Court in </w:t>
      </w:r>
      <w:r>
        <w:t>June 2015, the appellant sought judicial review of the Tribunal</w:t>
      </w:r>
      <w:r w:rsidR="00DE0B69">
        <w:t>’</w:t>
      </w:r>
      <w:r>
        <w:t>s decision.</w:t>
      </w:r>
      <w:r w:rsidR="003D4A35">
        <w:t xml:space="preserve">  Sinc</w:t>
      </w:r>
      <w:r w:rsidR="00BE7253">
        <w:t>e the appellant frankly conceded (see at [</w:t>
      </w:r>
      <w:r w:rsidR="00BE7253">
        <w:fldChar w:fldCharType="begin"/>
      </w:r>
      <w:r w:rsidR="00BE7253">
        <w:instrText xml:space="preserve"> REF _Ref457570478 \r \h </w:instrText>
      </w:r>
      <w:r w:rsidR="00BE7253">
        <w:fldChar w:fldCharType="separate"/>
      </w:r>
      <w:r w:rsidR="00604DD7">
        <w:t>4</w:t>
      </w:r>
      <w:r w:rsidR="00BE7253">
        <w:fldChar w:fldCharType="end"/>
      </w:r>
      <w:r w:rsidR="00BE7253">
        <w:t>] above)</w:t>
      </w:r>
      <w:r w:rsidR="003D4A35">
        <w:t xml:space="preserve"> that none of his three proposed grounds of appeal was put to the Federal Circuit Court, it would be pointless to outline the details of th</w:t>
      </w:r>
      <w:r w:rsidR="00BE7253">
        <w:t xml:space="preserve">e Federal Circuit Court’s decision dismissing his </w:t>
      </w:r>
      <w:r w:rsidR="003D4A35">
        <w:t>a</w:t>
      </w:r>
      <w:r w:rsidR="00BE7253">
        <w:t>pplica</w:t>
      </w:r>
      <w:r w:rsidR="003D4A35">
        <w:t>t</w:t>
      </w:r>
      <w:r w:rsidR="00BE7253">
        <w:t>ion</w:t>
      </w:r>
      <w:r w:rsidR="003D4A35">
        <w:t>.</w:t>
      </w:r>
    </w:p>
    <w:p w:rsidR="001874F6" w:rsidRDefault="00B368E9" w:rsidP="00B368E9">
      <w:pPr>
        <w:pStyle w:val="Heading1"/>
      </w:pPr>
      <w:r>
        <w:t>T</w:t>
      </w:r>
      <w:r w:rsidR="001874F6">
        <w:t xml:space="preserve">here is </w:t>
      </w:r>
      <w:r>
        <w:t>no</w:t>
      </w:r>
      <w:r w:rsidR="001874F6">
        <w:t xml:space="preserve"> adequate explanation for the appellant</w:t>
      </w:r>
      <w:r w:rsidR="00DE0B69">
        <w:t>’</w:t>
      </w:r>
      <w:r w:rsidR="001874F6">
        <w:t>s failure to raise the</w:t>
      </w:r>
      <w:r w:rsidR="00D17225">
        <w:t xml:space="preserve"> three</w:t>
      </w:r>
      <w:r w:rsidR="001874F6">
        <w:t xml:space="preserve"> </w:t>
      </w:r>
      <w:r w:rsidR="00D17225">
        <w:t xml:space="preserve">new </w:t>
      </w:r>
      <w:r w:rsidR="001874F6">
        <w:t>grounds of appeal b</w:t>
      </w:r>
      <w:r w:rsidR="00453ACF">
        <w:t>efore the Federal Circuit Court</w:t>
      </w:r>
    </w:p>
    <w:p w:rsidR="00E21CE3" w:rsidRDefault="00E21CE3" w:rsidP="00E21CE3">
      <w:pPr>
        <w:pStyle w:val="ParaNumbering"/>
      </w:pPr>
      <w:r>
        <w:t xml:space="preserve">The only explanation </w:t>
      </w:r>
      <w:r w:rsidR="00453ACF">
        <w:t xml:space="preserve">the appellant has </w:t>
      </w:r>
      <w:r>
        <w:t xml:space="preserve">offered for his failure to </w:t>
      </w:r>
      <w:proofErr w:type="gramStart"/>
      <w:r>
        <w:t>raise</w:t>
      </w:r>
      <w:proofErr w:type="gramEnd"/>
      <w:r>
        <w:t xml:space="preserve"> </w:t>
      </w:r>
      <w:r w:rsidR="00BE7253">
        <w:t xml:space="preserve">before the </w:t>
      </w:r>
      <w:r w:rsidR="00BE7253" w:rsidRPr="00F95044">
        <w:t xml:space="preserve">Federal Circuit Court </w:t>
      </w:r>
      <w:r>
        <w:t xml:space="preserve">any of his three proposed new grounds of appeal was that he had changed his lawyer and his new lawyer had taken a different view of the matter.  For </w:t>
      </w:r>
      <w:r w:rsidR="00B368E9">
        <w:t>obvious</w:t>
      </w:r>
      <w:r>
        <w:t xml:space="preserve"> reasons, this is not an adequate explanation.  It moves the arena for judicial review of the </w:t>
      </w:r>
      <w:r>
        <w:rPr>
          <w:rFonts w:eastAsia="Times New Roman"/>
        </w:rPr>
        <w:t>Tribunal</w:t>
      </w:r>
      <w:r>
        <w:t xml:space="preserve">’s decisions from the Federal Circuit Court to this Court:  see </w:t>
      </w:r>
      <w:proofErr w:type="spellStart"/>
      <w:r>
        <w:rPr>
          <w:i/>
        </w:rPr>
        <w:t>Coulton</w:t>
      </w:r>
      <w:proofErr w:type="spellEnd"/>
      <w:r>
        <w:rPr>
          <w:i/>
        </w:rPr>
        <w:t xml:space="preserve"> v Holcombe</w:t>
      </w:r>
      <w:r>
        <w:t xml:space="preserve"> (1986) 162 CLR 1 at 7 per Gibbs CJ, Wilson, Brennan and Dawson JJ.  It perverts the role of this Court as an appellate court reviewing error in the Federal Circuit Court:  see </w:t>
      </w:r>
      <w:r>
        <w:rPr>
          <w:i/>
        </w:rPr>
        <w:t xml:space="preserve">Coal and Allied Operations Pty Ltd v Australian Industrial Relations </w:t>
      </w:r>
      <w:r w:rsidRPr="00E21CE3">
        <w:rPr>
          <w:i/>
        </w:rPr>
        <w:t>Commission</w:t>
      </w:r>
      <w:r>
        <w:t xml:space="preserve"> (2000) 203 CLR 194 at [14] per Gleeson CJ, </w:t>
      </w:r>
      <w:proofErr w:type="spellStart"/>
      <w:r>
        <w:t>Gaudron</w:t>
      </w:r>
      <w:proofErr w:type="spellEnd"/>
      <w:r>
        <w:t xml:space="preserve"> and Hayne JJ.</w:t>
      </w:r>
      <w:r w:rsidR="00A3111D">
        <w:t xml:space="preserve">  It subverts the deliberate intention of the Legislature expressed in the </w:t>
      </w:r>
      <w:r w:rsidR="00A3111D" w:rsidRPr="00A3111D">
        <w:rPr>
          <w:i/>
        </w:rPr>
        <w:t>Migration Litigation Reform Act 2005</w:t>
      </w:r>
      <w:r w:rsidR="00A3111D">
        <w:t xml:space="preserve"> (</w:t>
      </w:r>
      <w:proofErr w:type="spellStart"/>
      <w:r w:rsidR="00A3111D">
        <w:t>Cth</w:t>
      </w:r>
      <w:proofErr w:type="spellEnd"/>
      <w:r w:rsidR="00A3111D">
        <w:t xml:space="preserve">) to remove this Court’s original judicial review jurisdiction in migration matters and confer that role on </w:t>
      </w:r>
      <w:r w:rsidR="00A3111D" w:rsidRPr="00A3111D">
        <w:t>the Federal Magistrates Court</w:t>
      </w:r>
      <w:r w:rsidR="00A3111D">
        <w:rPr>
          <w:i/>
        </w:rPr>
        <w:t xml:space="preserve"> </w:t>
      </w:r>
      <w:r w:rsidR="00A3111D">
        <w:t>(now Federal Circuit Court) confining the role of this Court, in such matters</w:t>
      </w:r>
      <w:r w:rsidR="00C15544">
        <w:t xml:space="preserve">, to that of an appellate court </w:t>
      </w:r>
      <w:r w:rsidR="00B368E9">
        <w:t>(</w:t>
      </w:r>
      <w:proofErr w:type="spellStart"/>
      <w:r w:rsidR="00B368E9">
        <w:t>ss</w:t>
      </w:r>
      <w:proofErr w:type="spellEnd"/>
      <w:r w:rsidR="00B368E9">
        <w:t xml:space="preserve"> 476 and 476A</w:t>
      </w:r>
      <w:r w:rsidR="00C15544">
        <w:t xml:space="preserve"> of the Act</w:t>
      </w:r>
      <w:r w:rsidR="00B368E9">
        <w:t>)</w:t>
      </w:r>
      <w:r w:rsidR="00A3111D">
        <w:t xml:space="preserve">.  It is </w:t>
      </w:r>
      <w:r w:rsidR="00B368E9">
        <w:t xml:space="preserve">therefore </w:t>
      </w:r>
      <w:r w:rsidR="00A3111D">
        <w:t xml:space="preserve">inimical to the due administration of justice in migration </w:t>
      </w:r>
      <w:r w:rsidR="00B368E9">
        <w:t>appeals</w:t>
      </w:r>
      <w:r w:rsidR="00453ACF">
        <w:t>.</w:t>
      </w:r>
    </w:p>
    <w:p w:rsidR="00A3111D" w:rsidRDefault="00A3111D" w:rsidP="00E21CE3">
      <w:pPr>
        <w:pStyle w:val="ParaNumbering"/>
      </w:pPr>
      <w:r>
        <w:t xml:space="preserve">This lack of an adequate explanation </w:t>
      </w:r>
      <w:r w:rsidR="00C15544">
        <w:t>would be</w:t>
      </w:r>
      <w:r>
        <w:t xml:space="preserve"> sufficient</w:t>
      </w:r>
      <w:r w:rsidR="00453ACF">
        <w:t>,</w:t>
      </w:r>
      <w:r>
        <w:t xml:space="preserve"> by itself</w:t>
      </w:r>
      <w:r w:rsidR="00453ACF">
        <w:t>,</w:t>
      </w:r>
      <w:r>
        <w:t xml:space="preserve"> to dispose of this application</w:t>
      </w:r>
      <w:r w:rsidR="00B368E9">
        <w:t xml:space="preserve"> to amend</w:t>
      </w:r>
      <w:r>
        <w:t xml:space="preserve">.  Nonetheless, I will briefly consider whether any of the three proposed new grounds of appeal “clearly has merit”.  This need for clear merit is obviously intended to </w:t>
      </w:r>
      <w:r>
        <w:lastRenderedPageBreak/>
        <w:t xml:space="preserve">discourage appellants from employing this approach to the Court’s appellate jurisdiction in the expectation that they will obtain a hearing on entirely new grounds of appeal, even though they have no adequate explanation for not raising them before the primary judge.  On the other hand, it accommodates the interests of justice in the sense that </w:t>
      </w:r>
      <w:r w:rsidR="00D8629D">
        <w:t xml:space="preserve">if </w:t>
      </w:r>
      <w:r w:rsidR="00B368E9">
        <w:t>any</w:t>
      </w:r>
      <w:r>
        <w:t xml:space="preserve"> of the </w:t>
      </w:r>
      <w:r w:rsidR="00B368E9">
        <w:t xml:space="preserve">proposed </w:t>
      </w:r>
      <w:r>
        <w:t>new grounds has such clear merit</w:t>
      </w:r>
      <w:r w:rsidR="00B368E9">
        <w:t xml:space="preserve">, </w:t>
      </w:r>
      <w:r>
        <w:t xml:space="preserve">the appellant </w:t>
      </w:r>
      <w:r w:rsidR="00B368E9">
        <w:t xml:space="preserve">should be allowed </w:t>
      </w:r>
      <w:r>
        <w:t>to advance it</w:t>
      </w:r>
      <w:r w:rsidR="00B368E9">
        <w:t>,</w:t>
      </w:r>
      <w:r>
        <w:t xml:space="preserve"> notwithstanding the extraordinary departure from the normal </w:t>
      </w:r>
      <w:r w:rsidR="00BE7253">
        <w:t xml:space="preserve">review and </w:t>
      </w:r>
      <w:r>
        <w:t xml:space="preserve">appellate procedures </w:t>
      </w:r>
      <w:r w:rsidR="00B368E9">
        <w:t xml:space="preserve">described </w:t>
      </w:r>
      <w:r>
        <w:t>above.</w:t>
      </w:r>
    </w:p>
    <w:p w:rsidR="00B368E9" w:rsidRDefault="00B368E9" w:rsidP="00B368E9">
      <w:pPr>
        <w:pStyle w:val="Heading1"/>
      </w:pPr>
      <w:r>
        <w:t>None of the proposed new grounds</w:t>
      </w:r>
      <w:r w:rsidR="00C15544">
        <w:t xml:space="preserve"> OF APPEAL</w:t>
      </w:r>
      <w:r>
        <w:t xml:space="preserve"> has clear merit</w:t>
      </w:r>
    </w:p>
    <w:p w:rsidR="00882E8E" w:rsidRPr="00E21CE3" w:rsidRDefault="00B368E9" w:rsidP="00882E8E">
      <w:pPr>
        <w:pStyle w:val="ParaNumbering"/>
      </w:pPr>
      <w:r>
        <w:t>The three proposed new grounds are set out at [</w:t>
      </w:r>
      <w:r>
        <w:fldChar w:fldCharType="begin"/>
      </w:r>
      <w:r>
        <w:instrText xml:space="preserve"> REF _Ref457400654 \r \h </w:instrText>
      </w:r>
      <w:r>
        <w:fldChar w:fldCharType="separate"/>
      </w:r>
      <w:r w:rsidR="00604DD7">
        <w:t>3</w:t>
      </w:r>
      <w:r>
        <w:fldChar w:fldCharType="end"/>
      </w:r>
      <w:r>
        <w:t>] above.</w:t>
      </w:r>
      <w:r w:rsidR="00882E8E">
        <w:t xml:space="preserve"> </w:t>
      </w:r>
      <w:r>
        <w:t xml:space="preserve"> It should</w:t>
      </w:r>
      <w:r w:rsidR="00882E8E">
        <w:t xml:space="preserve"> be noted that, at the hearing of this appeal, </w:t>
      </w:r>
      <w:r>
        <w:t xml:space="preserve">the </w:t>
      </w:r>
      <w:r w:rsidR="00882E8E">
        <w:t>appellant’s counsel stated that grounds 1 and 3 raised essentially the same issue.</w:t>
      </w:r>
      <w:r>
        <w:t xml:space="preserve">  I will therefore consider those two grounds together.</w:t>
      </w:r>
    </w:p>
    <w:p w:rsidR="00BE7253" w:rsidRDefault="00B368E9" w:rsidP="001874F6">
      <w:pPr>
        <w:pStyle w:val="ParaNumbering"/>
      </w:pPr>
      <w:r>
        <w:t xml:space="preserve">Both </w:t>
      </w:r>
      <w:r w:rsidR="00453ACF">
        <w:t xml:space="preserve">those </w:t>
      </w:r>
      <w:r>
        <w:t xml:space="preserve">grounds relate to the identification of the particular social group of which the appellant claimed to be a member.  Surprisingly, that group is not identified in </w:t>
      </w:r>
      <w:r w:rsidR="00453ACF">
        <w:t xml:space="preserve">either of </w:t>
      </w:r>
      <w:r>
        <w:t>th</w:t>
      </w:r>
      <w:r w:rsidR="00BE7253">
        <w:t>o</w:t>
      </w:r>
      <w:r>
        <w:t xml:space="preserve">se grounds.  In </w:t>
      </w:r>
      <w:r w:rsidRPr="00B368E9">
        <w:rPr>
          <w:rFonts w:eastAsia="Times New Roman"/>
        </w:rPr>
        <w:t xml:space="preserve">submissions, </w:t>
      </w:r>
      <w:r w:rsidR="00453ACF">
        <w:rPr>
          <w:rFonts w:eastAsia="Times New Roman"/>
        </w:rPr>
        <w:t>that group</w:t>
      </w:r>
      <w:r w:rsidRPr="00B368E9">
        <w:rPr>
          <w:rFonts w:eastAsia="Times New Roman"/>
        </w:rPr>
        <w:t xml:space="preserve"> was described as wealthy Sri Lan</w:t>
      </w:r>
      <w:r w:rsidR="00C15544">
        <w:rPr>
          <w:rFonts w:eastAsia="Times New Roman"/>
        </w:rPr>
        <w:t>kans who were opposed to the Sri</w:t>
      </w:r>
      <w:r w:rsidRPr="00B368E9">
        <w:rPr>
          <w:rFonts w:eastAsia="Times New Roman"/>
        </w:rPr>
        <w:t xml:space="preserve"> Lanka Freedom Party (SLFP).  The appellant claimed he would be </w:t>
      </w:r>
      <w:r>
        <w:t xml:space="preserve">subject to “extortion” in the future if he were to return to Sri Lanka by reason of his membership of that particular social group.  In this respect, it is important to note that the expression “extortion” and the act of being forced to pay an “unofficial </w:t>
      </w:r>
      <w:r w:rsidR="00604DD7">
        <w:t xml:space="preserve">tax” to the </w:t>
      </w:r>
      <w:proofErr w:type="spellStart"/>
      <w:r w:rsidR="00604DD7">
        <w:t>Karuna</w:t>
      </w:r>
      <w:proofErr w:type="spellEnd"/>
      <w:r w:rsidR="00604DD7">
        <w:t xml:space="preserve"> g</w:t>
      </w:r>
      <w:r>
        <w:t>roup have been used interchangeably throughout this proceeding.</w:t>
      </w:r>
    </w:p>
    <w:p w:rsidR="001B1B6A" w:rsidRDefault="00B368E9" w:rsidP="001874F6">
      <w:pPr>
        <w:pStyle w:val="ParaNumbering"/>
      </w:pPr>
      <w:r>
        <w:t xml:space="preserve">The appellant claimed that the Tribunal had committed jurisdictional error because it failed to consider this </w:t>
      </w:r>
      <w:r w:rsidR="00453ACF">
        <w:t xml:space="preserve">particular </w:t>
      </w:r>
      <w:r>
        <w:t xml:space="preserve">component of his claims.  </w:t>
      </w:r>
      <w:r w:rsidR="00453ACF">
        <w:t xml:space="preserve">There is no doubt such an obligation is imposed on the </w:t>
      </w:r>
      <w:r w:rsidR="00453ACF">
        <w:rPr>
          <w:rFonts w:eastAsia="Times New Roman"/>
        </w:rPr>
        <w:t>Tribunal</w:t>
      </w:r>
      <w:r w:rsidR="00453ACF">
        <w:t xml:space="preserve"> with respect to every component integer of the claims </w:t>
      </w:r>
      <w:r w:rsidR="00BE7253">
        <w:t>an applicant</w:t>
      </w:r>
      <w:r w:rsidR="00453ACF">
        <w:t xml:space="preserve"> put</w:t>
      </w:r>
      <w:r w:rsidR="00BE7253">
        <w:t>s</w:t>
      </w:r>
      <w:r w:rsidR="00453ACF">
        <w:t xml:space="preserve"> before it:  see </w:t>
      </w:r>
      <w:proofErr w:type="spellStart"/>
      <w:r w:rsidR="00453ACF">
        <w:rPr>
          <w:i/>
        </w:rPr>
        <w:t>Htun</w:t>
      </w:r>
      <w:proofErr w:type="spellEnd"/>
      <w:r w:rsidR="00453ACF">
        <w:rPr>
          <w:i/>
        </w:rPr>
        <w:t xml:space="preserve"> v </w:t>
      </w:r>
      <w:r w:rsidR="00453ACF" w:rsidRPr="00453ACF">
        <w:rPr>
          <w:rFonts w:eastAsia="Times New Roman"/>
          <w:i/>
        </w:rPr>
        <w:t>Minister for Immigration and Multicultural Affairs</w:t>
      </w:r>
      <w:r w:rsidR="00C15544">
        <w:rPr>
          <w:rFonts w:eastAsia="Times New Roman"/>
        </w:rPr>
        <w:t xml:space="preserve"> (2001) 194 ALR 244; [2001] FCA 1802</w:t>
      </w:r>
      <w:r w:rsidR="00453ACF">
        <w:rPr>
          <w:rFonts w:eastAsia="Times New Roman"/>
        </w:rPr>
        <w:t xml:space="preserve"> at [42] per Allsop J (as he then was) with whom Spender J agreed.</w:t>
      </w:r>
      <w:r w:rsidR="00453ACF">
        <w:t xml:space="preserve">  </w:t>
      </w:r>
      <w:r>
        <w:t xml:space="preserve">However, </w:t>
      </w:r>
      <w:r w:rsidR="00453ACF">
        <w:t xml:space="preserve">in oral </w:t>
      </w:r>
      <w:r w:rsidR="00453ACF">
        <w:rPr>
          <w:rFonts w:eastAsia="Times New Roman"/>
        </w:rPr>
        <w:t>s</w:t>
      </w:r>
      <w:r w:rsidR="00453ACF" w:rsidRPr="00DF733E">
        <w:rPr>
          <w:rFonts w:eastAsia="Times New Roman"/>
        </w:rPr>
        <w:t>ubmissions</w:t>
      </w:r>
      <w:r w:rsidR="00453ACF">
        <w:t xml:space="preserve">, </w:t>
      </w:r>
      <w:r w:rsidR="004A791E">
        <w:t>t</w:t>
      </w:r>
      <w:r>
        <w:t xml:space="preserve">he </w:t>
      </w:r>
      <w:r w:rsidR="004A791E">
        <w:t xml:space="preserve">appellant </w:t>
      </w:r>
      <w:r>
        <w:t xml:space="preserve">was forced to accept that he had not </w:t>
      </w:r>
      <w:r w:rsidR="00453ACF">
        <w:t xml:space="preserve">actually </w:t>
      </w:r>
      <w:r>
        <w:t xml:space="preserve">articulated such a claim before the </w:t>
      </w:r>
      <w:r>
        <w:rPr>
          <w:rFonts w:eastAsia="Times New Roman"/>
        </w:rPr>
        <w:t>Tribunal</w:t>
      </w:r>
      <w:r>
        <w:t xml:space="preserve">.  Instead, he </w:t>
      </w:r>
      <w:r w:rsidR="001B1B6A">
        <w:t>asserted</w:t>
      </w:r>
      <w:r>
        <w:t xml:space="preserve"> that </w:t>
      </w:r>
      <w:r w:rsidR="001B1B6A">
        <w:t>i</w:t>
      </w:r>
      <w:r>
        <w:t>t</w:t>
      </w:r>
      <w:r w:rsidR="001B1B6A">
        <w:t xml:space="preserve"> was a </w:t>
      </w:r>
      <w:r>
        <w:t xml:space="preserve">claim </w:t>
      </w:r>
      <w:r w:rsidR="001B1B6A">
        <w:t xml:space="preserve">that </w:t>
      </w:r>
      <w:r>
        <w:t>clearly arose from the materials he had placed before t</w:t>
      </w:r>
      <w:r w:rsidR="001B1B6A">
        <w:t xml:space="preserve">he </w:t>
      </w:r>
      <w:r w:rsidR="001B1B6A">
        <w:rPr>
          <w:rFonts w:eastAsia="Times New Roman"/>
        </w:rPr>
        <w:t>Tribunal</w:t>
      </w:r>
      <w:r>
        <w:t xml:space="preserve">.  Despite this assertion, the appellant was not able to point to anything in the </w:t>
      </w:r>
      <w:r>
        <w:rPr>
          <w:rFonts w:eastAsia="Times New Roman"/>
        </w:rPr>
        <w:t>Tribunal</w:t>
      </w:r>
      <w:r>
        <w:t xml:space="preserve">’s decision record, or elsewhere, to support it.  Even if he were able to do so, as the Minister correctly submitted, the </w:t>
      </w:r>
      <w:r>
        <w:rPr>
          <w:rFonts w:eastAsia="Times New Roman"/>
        </w:rPr>
        <w:t>Tribunal</w:t>
      </w:r>
      <w:r>
        <w:t xml:space="preserve"> expressly found that</w:t>
      </w:r>
      <w:r w:rsidR="001B1B6A">
        <w:t xml:space="preserve"> this “extortion”, or having</w:t>
      </w:r>
      <w:r>
        <w:t xml:space="preserve"> to pay an unofficial tax to the </w:t>
      </w:r>
      <w:proofErr w:type="spellStart"/>
      <w:r>
        <w:t>Karuna</w:t>
      </w:r>
      <w:proofErr w:type="spellEnd"/>
      <w:r>
        <w:t xml:space="preserve"> </w:t>
      </w:r>
      <w:r w:rsidR="00604DD7">
        <w:t>g</w:t>
      </w:r>
      <w:r>
        <w:t xml:space="preserve">roup, did not amount to “serious or significant harm”.  </w:t>
      </w:r>
      <w:r w:rsidR="001B1B6A">
        <w:t>This is a finding of a fact that is not open to review by this Court or the Federal Circuit Court.</w:t>
      </w:r>
    </w:p>
    <w:p w:rsidR="00B368E9" w:rsidRDefault="00B368E9" w:rsidP="001874F6">
      <w:pPr>
        <w:pStyle w:val="ParaNumbering"/>
      </w:pPr>
      <w:r>
        <w:lastRenderedPageBreak/>
        <w:t>For these reasons, I do not consider that the appellant’s proposed new grounds 1 and 3 have any merit, much less such clear merit that he should be given leave to advance them for the first time in this appeal.</w:t>
      </w:r>
    </w:p>
    <w:p w:rsidR="004A791E" w:rsidRDefault="00B368E9" w:rsidP="001874F6">
      <w:pPr>
        <w:pStyle w:val="ParaNumbering"/>
      </w:pPr>
      <w:r>
        <w:t xml:space="preserve">The appellant’s remaining proposed new ground of appeal seeks to raise an allegation that the </w:t>
      </w:r>
      <w:r>
        <w:rPr>
          <w:rFonts w:eastAsia="Times New Roman"/>
        </w:rPr>
        <w:t>Tribunal</w:t>
      </w:r>
      <w:r>
        <w:t xml:space="preserve">’s reasoning process was irrational or illogical.  To succeed on such a ground, the appellant would need to establish that the </w:t>
      </w:r>
      <w:r>
        <w:rPr>
          <w:rFonts w:eastAsia="Times New Roman"/>
        </w:rPr>
        <w:t>Tribunal</w:t>
      </w:r>
      <w:r>
        <w:t>’s decision was of the following kind:  “</w:t>
      </w:r>
      <w:r w:rsidR="00CF31BF">
        <w:t>[a]</w:t>
      </w:r>
      <w:r>
        <w:t xml:space="preserve"> decision might be said to be illogical or irrational if only one conclusion is open on the </w:t>
      </w:r>
      <w:r w:rsidRPr="00DF733E">
        <w:t>evidence</w:t>
      </w:r>
      <w:r w:rsidR="00CF31BF">
        <w:t>,</w:t>
      </w:r>
      <w:r>
        <w:t xml:space="preserve"> and the decision-maker does not come to that conclusion</w:t>
      </w:r>
      <w:r w:rsidR="00CF31BF">
        <w:t>,</w:t>
      </w:r>
      <w:r>
        <w:t xml:space="preserve"> or if the decision to which the decision-maker came was simply not open on the </w:t>
      </w:r>
      <w:r w:rsidRPr="00DF733E">
        <w:t>evidence</w:t>
      </w:r>
      <w:r>
        <w:t xml:space="preserve"> or if there is no logical connection between the </w:t>
      </w:r>
      <w:r w:rsidRPr="00DF733E">
        <w:t>evidence</w:t>
      </w:r>
      <w:r>
        <w:t xml:space="preserve"> and the inferences or conclusions drawn”:  see </w:t>
      </w:r>
      <w:r>
        <w:rPr>
          <w:i/>
        </w:rPr>
        <w:t>Minister for Immigration and Citizenship v SZMDS</w:t>
      </w:r>
      <w:r>
        <w:t xml:space="preserve"> (2010) 240 CLR 611; [2010] </w:t>
      </w:r>
      <w:r w:rsidR="00CF31BF">
        <w:t xml:space="preserve">HCA 16 </w:t>
      </w:r>
      <w:r>
        <w:t xml:space="preserve">at </w:t>
      </w:r>
      <w:r w:rsidR="004A791E">
        <w:t xml:space="preserve">[135] per </w:t>
      </w:r>
      <w:proofErr w:type="spellStart"/>
      <w:r w:rsidR="004A791E">
        <w:t>Crennan</w:t>
      </w:r>
      <w:proofErr w:type="spellEnd"/>
      <w:r w:rsidR="004A791E">
        <w:t xml:space="preserve"> and Bell JJ.</w:t>
      </w:r>
    </w:p>
    <w:p w:rsidR="00CF31BF" w:rsidRDefault="00CF31BF" w:rsidP="001874F6">
      <w:pPr>
        <w:pStyle w:val="ParaNumbering"/>
      </w:pPr>
      <w:r>
        <w:t>To make out this claim, the appellant has pointed to the use of the word</w:t>
      </w:r>
      <w:r w:rsidR="001B1B6A">
        <w:t>s</w:t>
      </w:r>
      <w:r>
        <w:t xml:space="preserve"> “target” </w:t>
      </w:r>
      <w:r w:rsidR="001B1B6A">
        <w:t>and</w:t>
      </w:r>
      <w:r>
        <w:t xml:space="preserve"> “target</w:t>
      </w:r>
      <w:r w:rsidR="001B1B6A">
        <w:t xml:space="preserve">ing” in the following parts of </w:t>
      </w:r>
      <w:r>
        <w:t>t</w:t>
      </w:r>
      <w:r w:rsidR="001B1B6A">
        <w:t xml:space="preserve">he </w:t>
      </w:r>
      <w:r w:rsidR="001B1B6A">
        <w:rPr>
          <w:rFonts w:eastAsia="Times New Roman"/>
        </w:rPr>
        <w:t>Tribunal</w:t>
      </w:r>
      <w:r w:rsidR="001B1B6A">
        <w:t>’</w:t>
      </w:r>
      <w:r>
        <w:t xml:space="preserve">s decision record where it </w:t>
      </w:r>
      <w:r w:rsidR="001B1B6A">
        <w:t>recorded</w:t>
      </w:r>
      <w:r>
        <w:t xml:space="preserve"> the </w:t>
      </w:r>
      <w:r w:rsidRPr="00DF733E">
        <w:t>evidence</w:t>
      </w:r>
      <w:r>
        <w:t xml:space="preserve"> </w:t>
      </w:r>
      <w:r w:rsidR="001B1B6A">
        <w:t xml:space="preserve">before it concerning </w:t>
      </w:r>
      <w:r w:rsidR="00604DD7">
        <w:t xml:space="preserve">the activities of the </w:t>
      </w:r>
      <w:proofErr w:type="spellStart"/>
      <w:r w:rsidR="00604DD7">
        <w:t>Karuna</w:t>
      </w:r>
      <w:proofErr w:type="spellEnd"/>
      <w:r w:rsidR="00604DD7">
        <w:t xml:space="preserve"> g</w:t>
      </w:r>
      <w:r>
        <w:t>roup:</w:t>
      </w:r>
    </w:p>
    <w:p w:rsidR="00CF31BF" w:rsidRDefault="00CF31BF" w:rsidP="00D17225">
      <w:pPr>
        <w:pStyle w:val="Quote1"/>
      </w:pPr>
      <w:proofErr w:type="spellStart"/>
      <w:r>
        <w:t>Karuna</w:t>
      </w:r>
      <w:proofErr w:type="spellEnd"/>
      <w:r>
        <w:t xml:space="preserve"> target anyone opposed to SLFP regardless of whether they are Tamil or Singhalese or Muslin and extort money</w:t>
      </w:r>
    </w:p>
    <w:p w:rsidR="00CF31BF" w:rsidRDefault="00CF31BF" w:rsidP="00D17225">
      <w:pPr>
        <w:pStyle w:val="Quote1"/>
      </w:pPr>
      <w:proofErr w:type="gramStart"/>
      <w:r>
        <w:t>and</w:t>
      </w:r>
      <w:proofErr w:type="gramEnd"/>
    </w:p>
    <w:p w:rsidR="00CF31BF" w:rsidRDefault="00CF31BF" w:rsidP="00D17225">
      <w:pPr>
        <w:pStyle w:val="Quote1"/>
      </w:pPr>
      <w:r>
        <w:t xml:space="preserve">… </w:t>
      </w:r>
      <w:proofErr w:type="gramStart"/>
      <w:r>
        <w:t>the</w:t>
      </w:r>
      <w:proofErr w:type="gramEnd"/>
      <w:r>
        <w:t xml:space="preserve"> targeting of wealthy Tamils is known to continue on a small scale in the Eastern Province.</w:t>
      </w:r>
    </w:p>
    <w:p w:rsidR="001874F6" w:rsidRDefault="00CF31BF" w:rsidP="001874F6">
      <w:pPr>
        <w:pStyle w:val="ParaNumbering"/>
      </w:pPr>
      <w:r>
        <w:t>T</w:t>
      </w:r>
      <w:r w:rsidR="001874F6">
        <w:t xml:space="preserve">he appellant </w:t>
      </w:r>
      <w:r>
        <w:t xml:space="preserve">then </w:t>
      </w:r>
      <w:r w:rsidR="001B1B6A">
        <w:t>point</w:t>
      </w:r>
      <w:r>
        <w:t>ed t</w:t>
      </w:r>
      <w:r w:rsidR="001B1B6A">
        <w:t xml:space="preserve">o </w:t>
      </w:r>
      <w:r>
        <w:t xml:space="preserve">the conclusion the </w:t>
      </w:r>
      <w:r>
        <w:rPr>
          <w:rFonts w:eastAsia="Times New Roman"/>
        </w:rPr>
        <w:t>Tribunal</w:t>
      </w:r>
      <w:r>
        <w:t xml:space="preserve"> reached about the </w:t>
      </w:r>
      <w:proofErr w:type="spellStart"/>
      <w:r>
        <w:t>Karuna</w:t>
      </w:r>
      <w:proofErr w:type="spellEnd"/>
      <w:r>
        <w:t xml:space="preserve"> </w:t>
      </w:r>
      <w:r w:rsidR="00604DD7">
        <w:t>g</w:t>
      </w:r>
      <w:r>
        <w:t>roup’s activities</w:t>
      </w:r>
      <w:r w:rsidR="001B1B6A" w:rsidRPr="001B1B6A">
        <w:t xml:space="preserve"> </w:t>
      </w:r>
      <w:r w:rsidR="001B1B6A">
        <w:t>and, in particular, its use of the word “indiscriminate”</w:t>
      </w:r>
      <w:r w:rsidR="004A791E">
        <w:t xml:space="preserve"> as follows:  “the country information is that the </w:t>
      </w:r>
      <w:proofErr w:type="spellStart"/>
      <w:r w:rsidR="004A791E">
        <w:t>Karuna</w:t>
      </w:r>
      <w:proofErr w:type="spellEnd"/>
      <w:r w:rsidR="004A791E">
        <w:t xml:space="preserve"> group do not target Tamils but are indiscriminate and they are involved in criminal activities”</w:t>
      </w:r>
      <w:r w:rsidR="001B1B6A">
        <w:t xml:space="preserve">. </w:t>
      </w:r>
      <w:r>
        <w:t xml:space="preserve"> </w:t>
      </w:r>
      <w:r w:rsidR="001B1B6A">
        <w:t xml:space="preserve">He claimed this provided </w:t>
      </w:r>
      <w:r w:rsidR="001B1B6A" w:rsidRPr="00DF733E">
        <w:t>evidence</w:t>
      </w:r>
      <w:r w:rsidR="001B1B6A">
        <w:t xml:space="preserve"> the </w:t>
      </w:r>
      <w:r w:rsidR="001B1B6A">
        <w:rPr>
          <w:rFonts w:eastAsia="Times New Roman"/>
        </w:rPr>
        <w:t>Tribunal</w:t>
      </w:r>
      <w:r w:rsidR="001B1B6A">
        <w:t xml:space="preserve">’s decision </w:t>
      </w:r>
      <w:r>
        <w:t>was irrational.</w:t>
      </w:r>
    </w:p>
    <w:p w:rsidR="00CF31BF" w:rsidRDefault="004A791E" w:rsidP="001874F6">
      <w:pPr>
        <w:pStyle w:val="ParaNumbering"/>
      </w:pPr>
      <w:r>
        <w:t xml:space="preserve">Read in the context of the </w:t>
      </w:r>
      <w:r>
        <w:rPr>
          <w:rFonts w:eastAsia="Times New Roman"/>
        </w:rPr>
        <w:t>Tribunal’</w:t>
      </w:r>
      <w:r>
        <w:t xml:space="preserve">s decision as a whole, </w:t>
      </w:r>
      <w:r w:rsidR="00CF31BF">
        <w:t>I do not consider there is any inconsistency between the expressions “target” and “targeting”, on the one hand, and “indiscriminate”, on the other, much less one that meets the test for illogicality or irrationality set out above.  There is</w:t>
      </w:r>
      <w:r w:rsidR="001B1B6A">
        <w:t>,</w:t>
      </w:r>
      <w:r w:rsidR="00CF31BF">
        <w:t xml:space="preserve"> therefore, in my view, no merit, let alone clear merit, in this remaining proposed new ground of appeal.</w:t>
      </w:r>
    </w:p>
    <w:p w:rsidR="001874F6" w:rsidRDefault="00E21CE3" w:rsidP="00E21CE3">
      <w:pPr>
        <w:pStyle w:val="Heading1"/>
      </w:pPr>
      <w:r>
        <w:lastRenderedPageBreak/>
        <w:t>Conclusion</w:t>
      </w:r>
    </w:p>
    <w:p w:rsidR="001874F6" w:rsidRDefault="00CF31BF" w:rsidP="001874F6">
      <w:pPr>
        <w:pStyle w:val="ParaNumbering"/>
      </w:pPr>
      <w:r>
        <w:t xml:space="preserve">For these reasons, the appellant’s application to amend his notice of appeal to introduce the three new proposed grounds of appeal is refused.  </w:t>
      </w:r>
      <w:r w:rsidR="001B1B6A">
        <w:t xml:space="preserve">Since the appellant has not advanced any other ground of appeal, it </w:t>
      </w:r>
      <w:r>
        <w:t xml:space="preserve">necessarily follows that </w:t>
      </w:r>
      <w:r w:rsidR="004A791E">
        <w:t>hi</w:t>
      </w:r>
      <w:r>
        <w:t>s appeal must be dismissed</w:t>
      </w:r>
      <w:r w:rsidR="004A791E">
        <w:t>.</w:t>
      </w:r>
      <w:r>
        <w:t xml:space="preserve"> </w:t>
      </w:r>
      <w:r w:rsidR="004A791E">
        <w:t xml:space="preserve"> H</w:t>
      </w:r>
      <w:r>
        <w:t xml:space="preserve">e should </w:t>
      </w:r>
      <w:r w:rsidR="004A791E">
        <w:t xml:space="preserve">also </w:t>
      </w:r>
      <w:r>
        <w:t>be ordered to pay the Minister’s costs.</w:t>
      </w:r>
    </w:p>
    <w:p w:rsidR="00985BCD" w:rsidRDefault="00985BCD" w:rsidP="00815065">
      <w:pPr>
        <w:pStyle w:val="BodyText"/>
      </w:pPr>
      <w:bookmarkStart w:id="25" w:name="Certification"/>
    </w:p>
    <w:tbl>
      <w:tblPr>
        <w:tblW w:w="0" w:type="auto"/>
        <w:tblLook w:val="04A0" w:firstRow="1" w:lastRow="0" w:firstColumn="1" w:lastColumn="0" w:noHBand="0" w:noVBand="1"/>
      </w:tblPr>
      <w:tblGrid>
        <w:gridCol w:w="3794"/>
      </w:tblGrid>
      <w:tr w:rsidR="00985BCD" w:rsidRPr="00985BCD">
        <w:tc>
          <w:tcPr>
            <w:tcW w:w="3794" w:type="dxa"/>
            <w:shd w:val="clear" w:color="auto" w:fill="auto"/>
          </w:tcPr>
          <w:p w:rsidR="00985BCD" w:rsidRPr="00985BCD" w:rsidRDefault="00985BCD" w:rsidP="00985BCD">
            <w:pPr>
              <w:pStyle w:val="Normal1linespace"/>
            </w:pPr>
            <w:r w:rsidRPr="00985BCD">
              <w:t xml:space="preserve">I certify that the preceding </w:t>
            </w:r>
            <w:bookmarkStart w:id="26" w:name="NumberWord"/>
            <w:r>
              <w:t>twenty-seven</w:t>
            </w:r>
            <w:bookmarkEnd w:id="26"/>
            <w:r w:rsidRPr="00985BCD">
              <w:t xml:space="preserve"> (</w:t>
            </w:r>
            <w:bookmarkStart w:id="27" w:name="NumberNumeral"/>
            <w:r>
              <w:t>27</w:t>
            </w:r>
            <w:bookmarkEnd w:id="27"/>
            <w:r w:rsidRPr="00985BCD">
              <w:t xml:space="preserve">) numbered </w:t>
            </w:r>
            <w:bookmarkStart w:id="28" w:name="CertPara"/>
            <w:r>
              <w:t>paragraphs are</w:t>
            </w:r>
            <w:bookmarkEnd w:id="28"/>
            <w:r w:rsidRPr="00985BCD">
              <w:t xml:space="preserve"> a true copy of the Reasons for Judgment herein of the Honourable </w:t>
            </w:r>
            <w:bookmarkStart w:id="29" w:name="Justice"/>
            <w:r>
              <w:t>Justice Reeves</w:t>
            </w:r>
            <w:bookmarkEnd w:id="29"/>
            <w:r w:rsidRPr="00985BCD">
              <w:t>.</w:t>
            </w:r>
          </w:p>
        </w:tc>
      </w:tr>
    </w:tbl>
    <w:p w:rsidR="00985BCD" w:rsidRDefault="00985BCD" w:rsidP="00815065">
      <w:pPr>
        <w:pStyle w:val="BodyText"/>
      </w:pPr>
    </w:p>
    <w:p w:rsidR="00985BCD" w:rsidRDefault="00985BCD" w:rsidP="00815065">
      <w:pPr>
        <w:pStyle w:val="BodyText"/>
      </w:pPr>
      <w:r>
        <w:t>Associate:</w:t>
      </w:r>
      <w:r>
        <w:tab/>
      </w:r>
      <w:bookmarkStart w:id="30" w:name="_GoBack"/>
      <w:bookmarkEnd w:id="30"/>
    </w:p>
    <w:p w:rsidR="00985BCD" w:rsidRDefault="00985BCD" w:rsidP="00815065">
      <w:pPr>
        <w:pStyle w:val="BodyText"/>
      </w:pPr>
    </w:p>
    <w:p w:rsidR="00985BCD" w:rsidRDefault="00985BCD" w:rsidP="00815065">
      <w:pPr>
        <w:pStyle w:val="BodyText"/>
        <w:tabs>
          <w:tab w:val="left" w:pos="1134"/>
        </w:tabs>
      </w:pPr>
      <w:r>
        <w:t>Dated:</w:t>
      </w:r>
      <w:r>
        <w:tab/>
      </w:r>
      <w:bookmarkStart w:id="31" w:name="CertifyDated"/>
      <w:r>
        <w:t>2 August 2016</w:t>
      </w:r>
      <w:bookmarkEnd w:id="25"/>
      <w:bookmarkEnd w:id="31"/>
    </w:p>
    <w:sectPr w:rsidR="00985BCD">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2C" w:rsidRDefault="0074612C">
      <w:pPr>
        <w:spacing w:line="20" w:lineRule="exact"/>
      </w:pPr>
    </w:p>
    <w:p w:rsidR="0074612C" w:rsidRDefault="0074612C"/>
    <w:p w:rsidR="0074612C" w:rsidRDefault="0074612C"/>
  </w:endnote>
  <w:endnote w:type="continuationSeparator" w:id="0">
    <w:p w:rsidR="0074612C" w:rsidRDefault="0074612C">
      <w:r>
        <w:t xml:space="preserve"> </w:t>
      </w:r>
    </w:p>
    <w:p w:rsidR="0074612C" w:rsidRDefault="0074612C"/>
    <w:p w:rsidR="0074612C" w:rsidRDefault="0074612C"/>
  </w:endnote>
  <w:endnote w:type="continuationNotice" w:id="1">
    <w:p w:rsidR="0074612C" w:rsidRDefault="0074612C">
      <w:r>
        <w:t xml:space="preserve"> </w:t>
      </w:r>
    </w:p>
    <w:p w:rsidR="0074612C" w:rsidRDefault="0074612C"/>
    <w:p w:rsidR="0074612C" w:rsidRDefault="00746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DF29F9" w:rsidRDefault="00395B24" w:rsidP="00DF2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DF29F9" w:rsidRDefault="002F1E49" w:rsidP="00DF2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2C" w:rsidRDefault="0074612C"/>
    <w:p w:rsidR="0074612C" w:rsidRDefault="0074612C"/>
    <w:p w:rsidR="0074612C" w:rsidRDefault="0074612C"/>
  </w:footnote>
  <w:footnote w:type="continuationSeparator" w:id="0">
    <w:p w:rsidR="0074612C" w:rsidRDefault="0074612C">
      <w:r>
        <w:continuationSeparator/>
      </w:r>
    </w:p>
    <w:p w:rsidR="0074612C" w:rsidRDefault="0074612C"/>
    <w:p w:rsidR="0074612C" w:rsidRDefault="007461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60049B">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0C6A75">
      <w:rPr>
        <w:noProof/>
      </w:rPr>
      <w:t>7</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10F53E4"/>
    <w:multiLevelType w:val="hybridMultilevel"/>
    <w:tmpl w:val="761EBC04"/>
    <w:lvl w:ilvl="0" w:tplc="673A9D6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9"/>
  </w:num>
  <w:num w:numId="17">
    <w:abstractNumId w:val="20"/>
  </w:num>
  <w:num w:numId="18">
    <w:abstractNumId w:val="20"/>
  </w:num>
  <w:num w:numId="19">
    <w:abstractNumId w:val="27"/>
  </w:num>
  <w:num w:numId="20">
    <w:abstractNumId w:val="23"/>
  </w:num>
  <w:num w:numId="21">
    <w:abstractNumId w:val="24"/>
  </w:num>
  <w:num w:numId="22">
    <w:abstractNumId w:val="30"/>
  </w:num>
  <w:num w:numId="23">
    <w:abstractNumId w:val="30"/>
  </w:num>
  <w:num w:numId="24">
    <w:abstractNumId w:val="30"/>
  </w:num>
  <w:num w:numId="25">
    <w:abstractNumId w:val="30"/>
  </w:num>
  <w:num w:numId="26">
    <w:abstractNumId w:val="30"/>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6"/>
  </w:num>
  <w:num w:numId="5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YJ15"/>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75 of 2016"/>
    <w:docVar w:name="HearingDate" w:val="3 May 2016"/>
    <w:docVar w:name="Initiators" w:val="(and another named in the Schedule)"/>
    <w:docVar w:name="Judgdate" w:val="2 August 2016"/>
    <w:docVar w:name="Judge" w:val="Reeves"/>
    <w:docVar w:name="Justices" w:val="Justice"/>
    <w:docVar w:name="lstEntryList" w:val="-1"/>
    <w:docVar w:name="myEntryList" w:val="Counsel for the Applicant=Mr S Hodges of Hodges Legal |Counsel for the First Respondent=Ms E Tattersall of Sparke Helmore Lawyers|Counsel for the Second Respondent=The second respondent filed a submitting notice"/>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Queensland"/>
    <w:docVar w:name="SubArea" w:val="[none]"/>
  </w:docVars>
  <w:rsids>
    <w:rsidRoot w:val="007D5A55"/>
    <w:rsid w:val="0001469E"/>
    <w:rsid w:val="00015993"/>
    <w:rsid w:val="00022289"/>
    <w:rsid w:val="000245B1"/>
    <w:rsid w:val="00032F9F"/>
    <w:rsid w:val="00041C07"/>
    <w:rsid w:val="00045BB7"/>
    <w:rsid w:val="00055719"/>
    <w:rsid w:val="0005641B"/>
    <w:rsid w:val="00060ECE"/>
    <w:rsid w:val="00081497"/>
    <w:rsid w:val="000A2E76"/>
    <w:rsid w:val="000A4807"/>
    <w:rsid w:val="000A4BE4"/>
    <w:rsid w:val="000C023E"/>
    <w:rsid w:val="000C5195"/>
    <w:rsid w:val="000C62EF"/>
    <w:rsid w:val="000C6A75"/>
    <w:rsid w:val="000D2137"/>
    <w:rsid w:val="000D3FD2"/>
    <w:rsid w:val="000E7BAE"/>
    <w:rsid w:val="000F133D"/>
    <w:rsid w:val="0010536B"/>
    <w:rsid w:val="0011145C"/>
    <w:rsid w:val="001128BD"/>
    <w:rsid w:val="0011419D"/>
    <w:rsid w:val="00132054"/>
    <w:rsid w:val="001560DB"/>
    <w:rsid w:val="001727A4"/>
    <w:rsid w:val="0017376C"/>
    <w:rsid w:val="001738AB"/>
    <w:rsid w:val="001765E0"/>
    <w:rsid w:val="00177759"/>
    <w:rsid w:val="00185E6B"/>
    <w:rsid w:val="001874F6"/>
    <w:rsid w:val="00187BBC"/>
    <w:rsid w:val="001932F3"/>
    <w:rsid w:val="001A4309"/>
    <w:rsid w:val="001B1053"/>
    <w:rsid w:val="001B14AC"/>
    <w:rsid w:val="001B1B6A"/>
    <w:rsid w:val="001B7940"/>
    <w:rsid w:val="001C37CA"/>
    <w:rsid w:val="001D4303"/>
    <w:rsid w:val="001D6746"/>
    <w:rsid w:val="001E3B49"/>
    <w:rsid w:val="001E7388"/>
    <w:rsid w:val="001F13DD"/>
    <w:rsid w:val="001F2DBC"/>
    <w:rsid w:val="001F37F7"/>
    <w:rsid w:val="0020066D"/>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0666"/>
    <w:rsid w:val="00322A7C"/>
    <w:rsid w:val="003402D3"/>
    <w:rsid w:val="00343ABC"/>
    <w:rsid w:val="003463FE"/>
    <w:rsid w:val="00353026"/>
    <w:rsid w:val="003554B3"/>
    <w:rsid w:val="00356632"/>
    <w:rsid w:val="003845A9"/>
    <w:rsid w:val="00390883"/>
    <w:rsid w:val="003922F8"/>
    <w:rsid w:val="00395B24"/>
    <w:rsid w:val="003A2D38"/>
    <w:rsid w:val="003A7ECC"/>
    <w:rsid w:val="003B2C72"/>
    <w:rsid w:val="003C1333"/>
    <w:rsid w:val="003C20FF"/>
    <w:rsid w:val="003D2650"/>
    <w:rsid w:val="003D4A35"/>
    <w:rsid w:val="003D560C"/>
    <w:rsid w:val="003E5874"/>
    <w:rsid w:val="003F193E"/>
    <w:rsid w:val="003F34F1"/>
    <w:rsid w:val="00411AE8"/>
    <w:rsid w:val="00413B74"/>
    <w:rsid w:val="00435C5F"/>
    <w:rsid w:val="00441E98"/>
    <w:rsid w:val="00443844"/>
    <w:rsid w:val="004532F7"/>
    <w:rsid w:val="00453ACF"/>
    <w:rsid w:val="00472027"/>
    <w:rsid w:val="004804CF"/>
    <w:rsid w:val="00484962"/>
    <w:rsid w:val="00484F6D"/>
    <w:rsid w:val="0049338A"/>
    <w:rsid w:val="0049417F"/>
    <w:rsid w:val="004A791E"/>
    <w:rsid w:val="004B3EFA"/>
    <w:rsid w:val="004C097B"/>
    <w:rsid w:val="004C2A87"/>
    <w:rsid w:val="004C4ED3"/>
    <w:rsid w:val="004D2EA5"/>
    <w:rsid w:val="004D32A6"/>
    <w:rsid w:val="004D53E5"/>
    <w:rsid w:val="00501A12"/>
    <w:rsid w:val="0051346D"/>
    <w:rsid w:val="00513EAE"/>
    <w:rsid w:val="0051655D"/>
    <w:rsid w:val="00516806"/>
    <w:rsid w:val="00525A49"/>
    <w:rsid w:val="00535613"/>
    <w:rsid w:val="005359EB"/>
    <w:rsid w:val="0054254A"/>
    <w:rsid w:val="005466B5"/>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49B"/>
    <w:rsid w:val="006007BD"/>
    <w:rsid w:val="006013C8"/>
    <w:rsid w:val="0060270D"/>
    <w:rsid w:val="00604611"/>
    <w:rsid w:val="00604DD7"/>
    <w:rsid w:val="00611586"/>
    <w:rsid w:val="00621887"/>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4612C"/>
    <w:rsid w:val="0078003A"/>
    <w:rsid w:val="00780771"/>
    <w:rsid w:val="007929CF"/>
    <w:rsid w:val="007A6F28"/>
    <w:rsid w:val="007B03C6"/>
    <w:rsid w:val="007B0DB1"/>
    <w:rsid w:val="007D2EF8"/>
    <w:rsid w:val="007D561F"/>
    <w:rsid w:val="007D5A55"/>
    <w:rsid w:val="007D7FD2"/>
    <w:rsid w:val="007E13D9"/>
    <w:rsid w:val="007E4DB6"/>
    <w:rsid w:val="007E7CD4"/>
    <w:rsid w:val="00801800"/>
    <w:rsid w:val="00801B5B"/>
    <w:rsid w:val="008276B4"/>
    <w:rsid w:val="00831927"/>
    <w:rsid w:val="00841BD3"/>
    <w:rsid w:val="0084273D"/>
    <w:rsid w:val="00844E3F"/>
    <w:rsid w:val="00845A83"/>
    <w:rsid w:val="00850B31"/>
    <w:rsid w:val="00862094"/>
    <w:rsid w:val="008712BB"/>
    <w:rsid w:val="00882E8E"/>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5BCD"/>
    <w:rsid w:val="00987097"/>
    <w:rsid w:val="009B046C"/>
    <w:rsid w:val="009B13FA"/>
    <w:rsid w:val="009B1E2D"/>
    <w:rsid w:val="009C59FB"/>
    <w:rsid w:val="009C6F3B"/>
    <w:rsid w:val="009E4FA6"/>
    <w:rsid w:val="009E7D93"/>
    <w:rsid w:val="009F5C33"/>
    <w:rsid w:val="00A03EAC"/>
    <w:rsid w:val="00A11CA6"/>
    <w:rsid w:val="00A20C49"/>
    <w:rsid w:val="00A269CA"/>
    <w:rsid w:val="00A30E90"/>
    <w:rsid w:val="00A3111D"/>
    <w:rsid w:val="00A359AC"/>
    <w:rsid w:val="00A41413"/>
    <w:rsid w:val="00A45FB1"/>
    <w:rsid w:val="00A46CCC"/>
    <w:rsid w:val="00A51CFE"/>
    <w:rsid w:val="00A76C13"/>
    <w:rsid w:val="00A92E79"/>
    <w:rsid w:val="00A950B6"/>
    <w:rsid w:val="00AA5B8F"/>
    <w:rsid w:val="00AB41C1"/>
    <w:rsid w:val="00AD12A8"/>
    <w:rsid w:val="00AF3577"/>
    <w:rsid w:val="00AF35F9"/>
    <w:rsid w:val="00B05C7D"/>
    <w:rsid w:val="00B17C05"/>
    <w:rsid w:val="00B346C3"/>
    <w:rsid w:val="00B368E9"/>
    <w:rsid w:val="00B4471C"/>
    <w:rsid w:val="00B451A6"/>
    <w:rsid w:val="00B665D3"/>
    <w:rsid w:val="00B722DE"/>
    <w:rsid w:val="00B76C44"/>
    <w:rsid w:val="00B83F87"/>
    <w:rsid w:val="00BA2EFA"/>
    <w:rsid w:val="00BA3DBC"/>
    <w:rsid w:val="00BB2DA2"/>
    <w:rsid w:val="00BB56DC"/>
    <w:rsid w:val="00BE183D"/>
    <w:rsid w:val="00BE7253"/>
    <w:rsid w:val="00BF5D7A"/>
    <w:rsid w:val="00C07C2A"/>
    <w:rsid w:val="00C15544"/>
    <w:rsid w:val="00C36442"/>
    <w:rsid w:val="00C400CE"/>
    <w:rsid w:val="00C410FD"/>
    <w:rsid w:val="00C539FB"/>
    <w:rsid w:val="00C76F43"/>
    <w:rsid w:val="00CA246D"/>
    <w:rsid w:val="00CA7289"/>
    <w:rsid w:val="00CB5636"/>
    <w:rsid w:val="00CD181A"/>
    <w:rsid w:val="00CF31BF"/>
    <w:rsid w:val="00D10F21"/>
    <w:rsid w:val="00D15E18"/>
    <w:rsid w:val="00D17225"/>
    <w:rsid w:val="00D34040"/>
    <w:rsid w:val="00D34E69"/>
    <w:rsid w:val="00D375EE"/>
    <w:rsid w:val="00D62699"/>
    <w:rsid w:val="00D82620"/>
    <w:rsid w:val="00D8629D"/>
    <w:rsid w:val="00D9725F"/>
    <w:rsid w:val="00DA01B1"/>
    <w:rsid w:val="00DA11A2"/>
    <w:rsid w:val="00DA14ED"/>
    <w:rsid w:val="00DB2EF1"/>
    <w:rsid w:val="00DB3DE1"/>
    <w:rsid w:val="00DB5DA0"/>
    <w:rsid w:val="00DB716C"/>
    <w:rsid w:val="00DC5C85"/>
    <w:rsid w:val="00DD4236"/>
    <w:rsid w:val="00DD44F1"/>
    <w:rsid w:val="00DE0B69"/>
    <w:rsid w:val="00DE3067"/>
    <w:rsid w:val="00DF29F9"/>
    <w:rsid w:val="00E027BC"/>
    <w:rsid w:val="00E14EA5"/>
    <w:rsid w:val="00E21133"/>
    <w:rsid w:val="00E21CE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AA9"/>
    <w:rsid w:val="00EA4E2E"/>
    <w:rsid w:val="00EB2CCB"/>
    <w:rsid w:val="00EC57A7"/>
    <w:rsid w:val="00ED0817"/>
    <w:rsid w:val="00ED7DD9"/>
    <w:rsid w:val="00EF03E2"/>
    <w:rsid w:val="00EF3113"/>
    <w:rsid w:val="00EF3F84"/>
    <w:rsid w:val="00F176AC"/>
    <w:rsid w:val="00F27714"/>
    <w:rsid w:val="00F3276E"/>
    <w:rsid w:val="00F33D3C"/>
    <w:rsid w:val="00F37A91"/>
    <w:rsid w:val="00F45CF5"/>
    <w:rsid w:val="00F47DB0"/>
    <w:rsid w:val="00F50E34"/>
    <w:rsid w:val="00F53EF7"/>
    <w:rsid w:val="00F54BF2"/>
    <w:rsid w:val="00F92355"/>
    <w:rsid w:val="00F93963"/>
    <w:rsid w:val="00F94291"/>
    <w:rsid w:val="00FB4618"/>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10</Pages>
  <Words>2828</Words>
  <Characters>14254</Characters>
  <Application>Microsoft Office Word</Application>
  <DocSecurity>0</DocSecurity>
  <Lines>356</Lines>
  <Paragraphs>148</Paragraphs>
  <ScaleCrop>false</ScaleCrop>
  <HeadingPairs>
    <vt:vector size="2" baseType="variant">
      <vt:variant>
        <vt:lpstr>Title</vt:lpstr>
      </vt:variant>
      <vt:variant>
        <vt:i4>1</vt:i4>
      </vt:variant>
    </vt:vector>
  </HeadingPairs>
  <TitlesOfParts>
    <vt:vector size="1" baseType="lpstr">
      <vt:lpstr>AYJ15 v Minister for Immigration and Border Protection [2016] FCA 863</vt:lpstr>
    </vt:vector>
  </TitlesOfParts>
  <Company>Federal Court of Australia</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AYJ15 v Minister for Immigration and Border Protection [2016] FCA 863</dc:title>
  <dc:creator>Dorothy White</dc:creator>
  <cp:lastModifiedBy>Anna Masters</cp:lastModifiedBy>
  <cp:revision>3</cp:revision>
  <cp:lastPrinted>2016-08-02T04:04:00Z</cp:lastPrinted>
  <dcterms:created xsi:type="dcterms:W3CDTF">2016-08-03T00:51:00Z</dcterms:created>
  <dcterms:modified xsi:type="dcterms:W3CDTF">2016-08-03T00:51:00Z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REEVES J</vt:lpwstr>
  </property>
  <property fmtid="{D5CDD505-2E9C-101B-9397-08002B2CF9AE}" pid="4" name="Judgment_dated" linkTarget="Judgment_dated">
    <vt:lpwstr>2 August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