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header6.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5B24" w:rsidRDefault="002C7385">
      <w:pPr>
        <w:pStyle w:val="NormalHeadings"/>
        <w:jc w:val="center"/>
        <w:rPr>
          <w:sz w:val="32"/>
        </w:rPr>
      </w:pPr>
      <w:r>
        <w:rPr>
          <w:sz w:val="32"/>
        </w:rPr>
        <w:t>FEDERAL COURT OF AUSTRALIA</w:t>
      </w:r>
    </w:p>
    <w:p w:rsidR="00395B24" w:rsidRDefault="00395B24">
      <w:pPr>
        <w:pStyle w:val="NormalHeadings"/>
        <w:jc w:val="center"/>
        <w:rPr>
          <w:sz w:val="32"/>
        </w:rPr>
      </w:pPr>
    </w:p>
    <w:p w:rsidR="00395B24" w:rsidRDefault="0081081F">
      <w:pPr>
        <w:pStyle w:val="MediaNeutralStyle"/>
      </w:pPr>
      <w:bookmarkStart w:id="0" w:name="MNC"/>
      <w:proofErr w:type="spellStart"/>
      <w:r>
        <w:t>SZUOY</w:t>
      </w:r>
      <w:proofErr w:type="spellEnd"/>
      <w:r>
        <w:t xml:space="preserve"> v Minister for Immigration and Border Protection [2015] </w:t>
      </w:r>
      <w:proofErr w:type="spellStart"/>
      <w:r>
        <w:t>FCA</w:t>
      </w:r>
      <w:proofErr w:type="spellEnd"/>
      <w:r>
        <w:t xml:space="preserve"> </w:t>
      </w:r>
      <w:r w:rsidR="00266BD3">
        <w:t>769</w:t>
      </w:r>
      <w:bookmarkEnd w:id="0"/>
    </w:p>
    <w:p w:rsidR="00395B24" w:rsidRDefault="00395B24">
      <w:pPr>
        <w:pStyle w:val="Normal1linespace"/>
      </w:pPr>
    </w:p>
    <w:tbl>
      <w:tblPr>
        <w:tblW w:w="9074" w:type="dxa"/>
        <w:tblLayout w:type="fixed"/>
        <w:tblLook w:val="01E0" w:firstRow="1" w:lastRow="1" w:firstColumn="1" w:lastColumn="1" w:noHBand="0" w:noVBand="0"/>
      </w:tblPr>
      <w:tblGrid>
        <w:gridCol w:w="3085"/>
        <w:gridCol w:w="5989"/>
      </w:tblGrid>
      <w:tr w:rsidR="00395B24" w:rsidTr="001D786C">
        <w:tc>
          <w:tcPr>
            <w:tcW w:w="3085" w:type="dxa"/>
            <w:shd w:val="clear" w:color="auto" w:fill="auto"/>
          </w:tcPr>
          <w:p w:rsidR="00395B24" w:rsidRDefault="002C7385">
            <w:pPr>
              <w:pStyle w:val="Normal1linespace"/>
              <w:widowControl w:val="0"/>
            </w:pPr>
            <w:r>
              <w:t>Citation:</w:t>
            </w:r>
          </w:p>
        </w:tc>
        <w:tc>
          <w:tcPr>
            <w:tcW w:w="5989" w:type="dxa"/>
            <w:shd w:val="clear" w:color="auto" w:fill="auto"/>
          </w:tcPr>
          <w:p w:rsidR="00395B24" w:rsidRDefault="0081081F" w:rsidP="00266BD3">
            <w:pPr>
              <w:pStyle w:val="Normal1linespace"/>
              <w:widowControl w:val="0"/>
              <w:jc w:val="left"/>
            </w:pPr>
            <w:proofErr w:type="spellStart"/>
            <w:r>
              <w:t>SZUOY</w:t>
            </w:r>
            <w:proofErr w:type="spellEnd"/>
            <w:r>
              <w:t xml:space="preserve"> v Minister for Immigration and Border Protection [2015] </w:t>
            </w:r>
            <w:proofErr w:type="spellStart"/>
            <w:r>
              <w:t>FCA</w:t>
            </w:r>
            <w:proofErr w:type="spellEnd"/>
            <w:r>
              <w:t xml:space="preserve"> </w:t>
            </w:r>
            <w:r w:rsidR="00266BD3">
              <w:t>769</w:t>
            </w:r>
          </w:p>
        </w:tc>
      </w:tr>
      <w:tr w:rsidR="00395B24" w:rsidTr="001D786C">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1D786C">
        <w:tc>
          <w:tcPr>
            <w:tcW w:w="3085" w:type="dxa"/>
            <w:shd w:val="clear" w:color="auto" w:fill="auto"/>
          </w:tcPr>
          <w:p w:rsidR="00395B24" w:rsidRDefault="002C7385">
            <w:pPr>
              <w:pStyle w:val="Normal1linespace"/>
              <w:widowControl w:val="0"/>
            </w:pPr>
            <w:r>
              <w:t>Appeal from:</w:t>
            </w:r>
          </w:p>
        </w:tc>
        <w:tc>
          <w:tcPr>
            <w:tcW w:w="5989" w:type="dxa"/>
            <w:shd w:val="clear" w:color="auto" w:fill="auto"/>
          </w:tcPr>
          <w:p w:rsidR="00395B24" w:rsidRDefault="0081081F">
            <w:pPr>
              <w:pStyle w:val="Normal1linespace"/>
              <w:widowControl w:val="0"/>
              <w:jc w:val="left"/>
            </w:pPr>
            <w:proofErr w:type="spellStart"/>
            <w:r>
              <w:t>SZUOY</w:t>
            </w:r>
            <w:proofErr w:type="spellEnd"/>
            <w:r>
              <w:t xml:space="preserve"> v Minister for Immigration and Border Protection [2015] </w:t>
            </w:r>
            <w:proofErr w:type="spellStart"/>
            <w:r>
              <w:t>FCCA</w:t>
            </w:r>
            <w:proofErr w:type="spellEnd"/>
            <w:r>
              <w:t xml:space="preserve"> 1343</w:t>
            </w:r>
          </w:p>
        </w:tc>
      </w:tr>
      <w:tr w:rsidR="00395B24" w:rsidTr="001D786C">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1D786C">
        <w:tc>
          <w:tcPr>
            <w:tcW w:w="3085" w:type="dxa"/>
            <w:shd w:val="clear" w:color="auto" w:fill="auto"/>
          </w:tcPr>
          <w:p w:rsidR="00395B24" w:rsidRDefault="002C7385">
            <w:pPr>
              <w:pStyle w:val="Normal1linespace"/>
              <w:widowControl w:val="0"/>
            </w:pPr>
            <w:r>
              <w:t>Parties:</w:t>
            </w:r>
          </w:p>
        </w:tc>
        <w:tc>
          <w:tcPr>
            <w:tcW w:w="5989" w:type="dxa"/>
            <w:shd w:val="clear" w:color="auto" w:fill="auto"/>
          </w:tcPr>
          <w:p w:rsidR="00395B24" w:rsidRDefault="007A7076" w:rsidP="009B1BFB">
            <w:pPr>
              <w:pStyle w:val="Normal1linespace"/>
              <w:widowControl w:val="0"/>
              <w:jc w:val="left"/>
              <w:rPr>
                <w:b/>
              </w:rPr>
            </w:pPr>
            <w:bookmarkStart w:id="1" w:name="JudgmentFP"/>
            <w:proofErr w:type="spellStart"/>
            <w:r>
              <w:rPr>
                <w:b/>
              </w:rPr>
              <w:t>SZUOY</w:t>
            </w:r>
            <w:proofErr w:type="spellEnd"/>
            <w:r>
              <w:rPr>
                <w:b/>
              </w:rPr>
              <w:t xml:space="preserve"> v MINISTER FOR IMMIGRATION AND BORDER PROTECTION and </w:t>
            </w:r>
            <w:r w:rsidR="009B1BFB">
              <w:rPr>
                <w:b/>
              </w:rPr>
              <w:t>ADMINISTRATIVE APPEALS</w:t>
            </w:r>
            <w:r>
              <w:rPr>
                <w:b/>
              </w:rPr>
              <w:t xml:space="preserve"> TRIBUNAL</w:t>
            </w:r>
            <w:bookmarkEnd w:id="1"/>
          </w:p>
        </w:tc>
      </w:tr>
      <w:tr w:rsidR="00395B24" w:rsidTr="001D786C">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1D786C">
        <w:tc>
          <w:tcPr>
            <w:tcW w:w="3085" w:type="dxa"/>
            <w:shd w:val="clear" w:color="auto" w:fill="auto"/>
          </w:tcPr>
          <w:p w:rsidR="00395B24" w:rsidRDefault="0081081F">
            <w:pPr>
              <w:pStyle w:val="Normal1linespace"/>
              <w:widowControl w:val="0"/>
            </w:pPr>
            <w:r>
              <w:t>File number</w:t>
            </w:r>
            <w:r w:rsidR="002C7385">
              <w:t>:</w:t>
            </w:r>
          </w:p>
        </w:tc>
        <w:tc>
          <w:tcPr>
            <w:tcW w:w="5989" w:type="dxa"/>
            <w:shd w:val="clear" w:color="auto" w:fill="auto"/>
          </w:tcPr>
          <w:p w:rsidR="00395B24" w:rsidRDefault="002C7385">
            <w:pPr>
              <w:pStyle w:val="Normal1linespace"/>
              <w:widowControl w:val="0"/>
              <w:jc w:val="left"/>
            </w:pPr>
            <w:r>
              <w:rPr>
                <w:szCs w:val="24"/>
              </w:rPr>
              <w:fldChar w:fldCharType="begin" w:fldLock="1"/>
            </w:r>
            <w:r>
              <w:rPr>
                <w:szCs w:val="24"/>
              </w:rPr>
              <w:instrText xml:space="preserve"> REF  Num  \* MERGEFORMAT </w:instrText>
            </w:r>
            <w:r>
              <w:rPr>
                <w:szCs w:val="24"/>
              </w:rPr>
              <w:fldChar w:fldCharType="separate"/>
            </w:r>
            <w:proofErr w:type="spellStart"/>
            <w:r w:rsidR="007A7076">
              <w:rPr>
                <w:szCs w:val="24"/>
              </w:rPr>
              <w:t>NSD</w:t>
            </w:r>
            <w:proofErr w:type="spellEnd"/>
            <w:r w:rsidR="007A7076">
              <w:rPr>
                <w:szCs w:val="24"/>
              </w:rPr>
              <w:t xml:space="preserve"> 678 of 2015</w:t>
            </w:r>
            <w:r>
              <w:rPr>
                <w:szCs w:val="24"/>
              </w:rPr>
              <w:fldChar w:fldCharType="end"/>
            </w:r>
          </w:p>
        </w:tc>
      </w:tr>
      <w:tr w:rsidR="00395B24" w:rsidTr="001D786C">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1D786C">
        <w:tc>
          <w:tcPr>
            <w:tcW w:w="3085" w:type="dxa"/>
            <w:shd w:val="clear" w:color="auto" w:fill="auto"/>
          </w:tcPr>
          <w:p w:rsidR="00395B24" w:rsidRDefault="0081081F">
            <w:pPr>
              <w:pStyle w:val="Normal1linespace"/>
              <w:widowControl w:val="0"/>
            </w:pPr>
            <w:r>
              <w:t>Judge</w:t>
            </w:r>
            <w:r w:rsidR="002C7385">
              <w:t>:</w:t>
            </w:r>
          </w:p>
        </w:tc>
        <w:tc>
          <w:tcPr>
            <w:tcW w:w="5989" w:type="dxa"/>
            <w:shd w:val="clear" w:color="auto" w:fill="auto"/>
          </w:tcPr>
          <w:p w:rsidR="00395B24" w:rsidRDefault="002C7385">
            <w:pPr>
              <w:pStyle w:val="Normal1linespace"/>
              <w:widowControl w:val="0"/>
              <w:jc w:val="left"/>
              <w:rPr>
                <w:b/>
              </w:rPr>
            </w:pPr>
            <w:r w:rsidRPr="007A7076">
              <w:rPr>
                <w:b/>
              </w:rPr>
              <w:fldChar w:fldCharType="begin" w:fldLock="1"/>
            </w:r>
            <w:r w:rsidRPr="007A7076">
              <w:rPr>
                <w:b/>
              </w:rPr>
              <w:instrText xml:space="preserve"> REF  Judge  \* MERGEFORMAT </w:instrText>
            </w:r>
            <w:r w:rsidRPr="007A7076">
              <w:rPr>
                <w:b/>
              </w:rPr>
              <w:fldChar w:fldCharType="separate"/>
            </w:r>
            <w:r w:rsidR="007A7076" w:rsidRPr="007A7076">
              <w:rPr>
                <w:b/>
                <w:caps/>
                <w:szCs w:val="24"/>
              </w:rPr>
              <w:t>FARRELL J</w:t>
            </w:r>
            <w:r w:rsidRPr="007A7076">
              <w:rPr>
                <w:b/>
              </w:rPr>
              <w:fldChar w:fldCharType="end"/>
            </w:r>
          </w:p>
        </w:tc>
      </w:tr>
      <w:tr w:rsidR="00395B24" w:rsidTr="001D786C">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1D786C">
        <w:tc>
          <w:tcPr>
            <w:tcW w:w="3085" w:type="dxa"/>
            <w:shd w:val="clear" w:color="auto" w:fill="auto"/>
          </w:tcPr>
          <w:p w:rsidR="00395B24" w:rsidRDefault="002C7385">
            <w:pPr>
              <w:pStyle w:val="Normal1linespace"/>
              <w:widowControl w:val="0"/>
            </w:pPr>
            <w:r>
              <w:t>Date of judgment:</w:t>
            </w:r>
          </w:p>
        </w:tc>
        <w:tc>
          <w:tcPr>
            <w:tcW w:w="5989" w:type="dxa"/>
            <w:shd w:val="clear" w:color="auto" w:fill="auto"/>
          </w:tcPr>
          <w:p w:rsidR="00395B24" w:rsidRDefault="0081081F">
            <w:pPr>
              <w:pStyle w:val="Normal1linespace"/>
              <w:widowControl w:val="0"/>
              <w:jc w:val="left"/>
            </w:pPr>
            <w:bookmarkStart w:id="2" w:name="JudgmentDate"/>
            <w:bookmarkEnd w:id="2"/>
            <w:r>
              <w:t>27 July 2015</w:t>
            </w:r>
          </w:p>
        </w:tc>
      </w:tr>
      <w:tr w:rsidR="00395B24" w:rsidTr="001D786C">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1D786C">
        <w:tc>
          <w:tcPr>
            <w:tcW w:w="3085" w:type="dxa"/>
            <w:shd w:val="clear" w:color="auto" w:fill="auto"/>
          </w:tcPr>
          <w:p w:rsidR="00395B24" w:rsidRDefault="002C7385">
            <w:pPr>
              <w:pStyle w:val="Normal1linespace"/>
              <w:widowControl w:val="0"/>
            </w:pPr>
            <w:r>
              <w:t>Catchwords:</w:t>
            </w:r>
          </w:p>
        </w:tc>
        <w:tc>
          <w:tcPr>
            <w:tcW w:w="5989" w:type="dxa"/>
            <w:shd w:val="clear" w:color="auto" w:fill="auto"/>
          </w:tcPr>
          <w:p w:rsidR="00395B24" w:rsidRDefault="0081081F" w:rsidP="0081081F">
            <w:pPr>
              <w:pStyle w:val="Normal1linespace"/>
              <w:widowControl w:val="0"/>
              <w:jc w:val="left"/>
            </w:pPr>
            <w:bookmarkStart w:id="3" w:name="Catchwords"/>
            <w:r>
              <w:rPr>
                <w:b/>
              </w:rPr>
              <w:t>MIGRATION</w:t>
            </w:r>
            <w:r>
              <w:t xml:space="preserve"> – appeal from decision of Federal Circuit Court dismissing application for judicial review of decision of Refugee Review Tribunal – decision of delegate of Minister to refuse Protection (Class </w:t>
            </w:r>
            <w:proofErr w:type="spellStart"/>
            <w:r>
              <w:t>XA</w:t>
            </w:r>
            <w:proofErr w:type="spellEnd"/>
            <w:r>
              <w:t>) visa</w:t>
            </w:r>
            <w:bookmarkEnd w:id="3"/>
          </w:p>
        </w:tc>
      </w:tr>
      <w:tr w:rsidR="00395B24" w:rsidTr="001D786C">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1D786C">
        <w:tc>
          <w:tcPr>
            <w:tcW w:w="3085" w:type="dxa"/>
            <w:shd w:val="clear" w:color="auto" w:fill="auto"/>
          </w:tcPr>
          <w:p w:rsidR="00395B24" w:rsidRDefault="002C7385">
            <w:pPr>
              <w:pStyle w:val="Normal1linespace"/>
              <w:widowControl w:val="0"/>
            </w:pPr>
            <w:r>
              <w:t>Legislation:</w:t>
            </w:r>
          </w:p>
        </w:tc>
        <w:tc>
          <w:tcPr>
            <w:tcW w:w="5989" w:type="dxa"/>
            <w:shd w:val="clear" w:color="auto" w:fill="auto"/>
          </w:tcPr>
          <w:p w:rsidR="00395B24" w:rsidRDefault="001D786C">
            <w:pPr>
              <w:pStyle w:val="Normal1linespace"/>
              <w:widowControl w:val="0"/>
              <w:jc w:val="left"/>
            </w:pPr>
            <w:bookmarkStart w:id="4" w:name="Legislation"/>
            <w:r w:rsidRPr="001D786C">
              <w:rPr>
                <w:i/>
              </w:rPr>
              <w:t xml:space="preserve">Migration Act 1958 </w:t>
            </w:r>
            <w:r w:rsidRPr="001D786C">
              <w:t>(</w:t>
            </w:r>
            <w:proofErr w:type="spellStart"/>
            <w:r w:rsidRPr="001D786C">
              <w:t>Cth</w:t>
            </w:r>
            <w:proofErr w:type="spellEnd"/>
            <w:r w:rsidRPr="001D786C">
              <w:t xml:space="preserve">) </w:t>
            </w:r>
            <w:proofErr w:type="spellStart"/>
            <w:r w:rsidRPr="001D786C">
              <w:t>s</w:t>
            </w:r>
            <w:r>
              <w:t>s</w:t>
            </w:r>
            <w:proofErr w:type="spellEnd"/>
            <w:r w:rsidRPr="001D786C">
              <w:t xml:space="preserve"> </w:t>
            </w:r>
            <w:proofErr w:type="spellStart"/>
            <w:r w:rsidRPr="001D786C">
              <w:t>91R</w:t>
            </w:r>
            <w:proofErr w:type="spellEnd"/>
            <w:r w:rsidRPr="001D786C">
              <w:t>(3)</w:t>
            </w:r>
            <w:r w:rsidR="00EA5D8C">
              <w:t xml:space="preserve"> (repealed)</w:t>
            </w:r>
            <w:r>
              <w:t xml:space="preserve">, </w:t>
            </w:r>
            <w:proofErr w:type="spellStart"/>
            <w:r>
              <w:t>424AA</w:t>
            </w:r>
            <w:proofErr w:type="spellEnd"/>
            <w:r>
              <w:t xml:space="preserve">, </w:t>
            </w:r>
            <w:proofErr w:type="spellStart"/>
            <w:r>
              <w:t>424A</w:t>
            </w:r>
            <w:proofErr w:type="spellEnd"/>
            <w:r>
              <w:t>, 425</w:t>
            </w:r>
            <w:bookmarkEnd w:id="4"/>
          </w:p>
        </w:tc>
      </w:tr>
      <w:tr w:rsidR="00395B24" w:rsidTr="001D786C">
        <w:tc>
          <w:tcPr>
            <w:tcW w:w="3085" w:type="dxa"/>
            <w:shd w:val="clear" w:color="auto" w:fill="auto"/>
          </w:tcPr>
          <w:p w:rsidR="00395B24" w:rsidRDefault="00395B24">
            <w:pPr>
              <w:pStyle w:val="Normal1linespace"/>
              <w:widowControl w:val="0"/>
            </w:pPr>
          </w:p>
        </w:tc>
        <w:tc>
          <w:tcPr>
            <w:tcW w:w="5989" w:type="dxa"/>
            <w:shd w:val="clear" w:color="auto" w:fill="auto"/>
          </w:tcPr>
          <w:p w:rsidR="00395B24" w:rsidRDefault="00395B24">
            <w:pPr>
              <w:pStyle w:val="Normal1linespace"/>
              <w:widowControl w:val="0"/>
              <w:jc w:val="left"/>
            </w:pPr>
          </w:p>
        </w:tc>
      </w:tr>
      <w:tr w:rsidR="00395B24" w:rsidTr="001D786C">
        <w:tc>
          <w:tcPr>
            <w:tcW w:w="3085" w:type="dxa"/>
            <w:shd w:val="clear" w:color="auto" w:fill="auto"/>
          </w:tcPr>
          <w:p w:rsidR="00395B24" w:rsidRDefault="002C7385">
            <w:pPr>
              <w:pStyle w:val="Normal1linespace"/>
              <w:widowControl w:val="0"/>
            </w:pPr>
            <w:r>
              <w:t>Cases cited:</w:t>
            </w:r>
          </w:p>
        </w:tc>
        <w:tc>
          <w:tcPr>
            <w:tcW w:w="5989" w:type="dxa"/>
            <w:shd w:val="clear" w:color="auto" w:fill="auto"/>
          </w:tcPr>
          <w:p w:rsidR="001D786C" w:rsidRPr="001D786C" w:rsidRDefault="001D786C" w:rsidP="001D786C">
            <w:pPr>
              <w:pStyle w:val="Normal1linespace"/>
              <w:widowControl w:val="0"/>
              <w:jc w:val="left"/>
            </w:pPr>
            <w:bookmarkStart w:id="5" w:name="Cases_Cited"/>
            <w:proofErr w:type="spellStart"/>
            <w:r w:rsidRPr="001D786C">
              <w:rPr>
                <w:i/>
              </w:rPr>
              <w:t>SZLPN</w:t>
            </w:r>
            <w:proofErr w:type="spellEnd"/>
            <w:r w:rsidRPr="001D786C">
              <w:rPr>
                <w:i/>
              </w:rPr>
              <w:t xml:space="preserve"> v Minister for Immigration and Citizenship</w:t>
            </w:r>
            <w:r w:rsidRPr="001D786C">
              <w:t xml:space="preserve"> [2010] </w:t>
            </w:r>
            <w:proofErr w:type="spellStart"/>
            <w:r w:rsidRPr="001D786C">
              <w:t>FCA</w:t>
            </w:r>
            <w:proofErr w:type="spellEnd"/>
            <w:r w:rsidRPr="001D786C">
              <w:t xml:space="preserve"> 202</w:t>
            </w:r>
          </w:p>
          <w:p w:rsidR="00395B24" w:rsidRDefault="001D786C" w:rsidP="001D786C">
            <w:pPr>
              <w:pStyle w:val="Normal1linespace"/>
              <w:widowControl w:val="0"/>
              <w:jc w:val="left"/>
            </w:pPr>
            <w:proofErr w:type="spellStart"/>
            <w:r w:rsidRPr="001D786C">
              <w:rPr>
                <w:i/>
              </w:rPr>
              <w:t>SZUOY</w:t>
            </w:r>
            <w:proofErr w:type="spellEnd"/>
            <w:r w:rsidRPr="001D786C">
              <w:rPr>
                <w:i/>
              </w:rPr>
              <w:t xml:space="preserve"> v Minister for Immigration and Border Protection </w:t>
            </w:r>
            <w:r w:rsidRPr="001D786C">
              <w:t xml:space="preserve">[2015] </w:t>
            </w:r>
            <w:proofErr w:type="spellStart"/>
            <w:r w:rsidRPr="001D786C">
              <w:t>FCCA</w:t>
            </w:r>
            <w:proofErr w:type="spellEnd"/>
            <w:r w:rsidRPr="001D786C">
              <w:t xml:space="preserve"> 1343</w:t>
            </w:r>
            <w:r w:rsidR="002C7385">
              <w:t xml:space="preserve"> </w:t>
            </w:r>
            <w:bookmarkEnd w:id="5"/>
          </w:p>
        </w:tc>
      </w:tr>
      <w:tr w:rsidR="001D786C" w:rsidRPr="001D786C" w:rsidTr="001D786C">
        <w:tc>
          <w:tcPr>
            <w:tcW w:w="3085" w:type="dxa"/>
            <w:shd w:val="clear" w:color="auto" w:fill="auto"/>
          </w:tcPr>
          <w:p w:rsidR="001D786C" w:rsidRPr="001D786C" w:rsidRDefault="001D786C" w:rsidP="001D786C">
            <w:pPr>
              <w:pStyle w:val="Normal1linespace"/>
              <w:jc w:val="left"/>
            </w:pPr>
          </w:p>
        </w:tc>
        <w:tc>
          <w:tcPr>
            <w:tcW w:w="5989" w:type="dxa"/>
            <w:shd w:val="clear" w:color="auto" w:fill="auto"/>
          </w:tcPr>
          <w:p w:rsidR="001D786C" w:rsidRPr="001D786C" w:rsidRDefault="001D786C" w:rsidP="001D786C">
            <w:pPr>
              <w:pStyle w:val="Normal1linespace"/>
              <w:jc w:val="left"/>
            </w:pPr>
          </w:p>
        </w:tc>
      </w:tr>
      <w:tr w:rsidR="001D786C" w:rsidRPr="001D786C" w:rsidTr="001D786C">
        <w:tc>
          <w:tcPr>
            <w:tcW w:w="3085" w:type="dxa"/>
            <w:shd w:val="clear" w:color="auto" w:fill="auto"/>
          </w:tcPr>
          <w:p w:rsidR="001D786C" w:rsidRPr="001D786C" w:rsidRDefault="001D786C" w:rsidP="001D786C">
            <w:pPr>
              <w:pStyle w:val="Normal1linespace"/>
              <w:jc w:val="left"/>
            </w:pPr>
            <w:bookmarkStart w:id="6" w:name="CounselDate" w:colFirst="0" w:colLast="2"/>
            <w:r w:rsidRPr="001D786C">
              <w:t>Date of hearing:</w:t>
            </w:r>
          </w:p>
        </w:tc>
        <w:tc>
          <w:tcPr>
            <w:tcW w:w="5989" w:type="dxa"/>
            <w:shd w:val="clear" w:color="auto" w:fill="auto"/>
          </w:tcPr>
          <w:p w:rsidR="001D786C" w:rsidRPr="001D786C" w:rsidRDefault="001D786C" w:rsidP="001D786C">
            <w:pPr>
              <w:pStyle w:val="Normal1linespace"/>
              <w:jc w:val="left"/>
            </w:pPr>
            <w:bookmarkStart w:id="7" w:name="HearingDate"/>
            <w:r>
              <w:t>27 July 2015</w:t>
            </w:r>
            <w:bookmarkEnd w:id="7"/>
          </w:p>
        </w:tc>
      </w:tr>
      <w:tr w:rsidR="001D786C" w:rsidRPr="001D786C" w:rsidTr="001D786C">
        <w:tc>
          <w:tcPr>
            <w:tcW w:w="3085" w:type="dxa"/>
            <w:shd w:val="clear" w:color="auto" w:fill="auto"/>
          </w:tcPr>
          <w:p w:rsidR="001D786C" w:rsidRPr="001D786C" w:rsidRDefault="001D786C" w:rsidP="001D786C">
            <w:pPr>
              <w:pStyle w:val="Normal1linespace"/>
              <w:jc w:val="left"/>
            </w:pPr>
          </w:p>
        </w:tc>
        <w:tc>
          <w:tcPr>
            <w:tcW w:w="5989" w:type="dxa"/>
            <w:shd w:val="clear" w:color="auto" w:fill="auto"/>
          </w:tcPr>
          <w:p w:rsidR="001D786C" w:rsidRPr="001D786C" w:rsidRDefault="001D786C" w:rsidP="001D786C">
            <w:pPr>
              <w:pStyle w:val="Normal1linespace"/>
              <w:jc w:val="left"/>
            </w:pPr>
          </w:p>
        </w:tc>
      </w:tr>
      <w:bookmarkEnd w:id="6"/>
      <w:tr w:rsidR="001D786C" w:rsidTr="001D786C">
        <w:tc>
          <w:tcPr>
            <w:tcW w:w="3085" w:type="dxa"/>
            <w:shd w:val="clear" w:color="auto" w:fill="auto"/>
          </w:tcPr>
          <w:p w:rsidR="001D786C" w:rsidRDefault="001D786C" w:rsidP="001D786C">
            <w:pPr>
              <w:pStyle w:val="Normal1linespace"/>
              <w:widowControl w:val="0"/>
              <w:jc w:val="left"/>
            </w:pPr>
            <w:r>
              <w:t>Place:</w:t>
            </w:r>
          </w:p>
        </w:tc>
        <w:tc>
          <w:tcPr>
            <w:tcW w:w="5989" w:type="dxa"/>
            <w:shd w:val="clear" w:color="auto" w:fill="auto"/>
          </w:tcPr>
          <w:p w:rsidR="001D786C" w:rsidRDefault="00CE08A3" w:rsidP="001D786C">
            <w:pPr>
              <w:pStyle w:val="Normal1linespace"/>
              <w:widowControl w:val="0"/>
              <w:jc w:val="left"/>
            </w:pPr>
            <w:fldSimple w:instr=" DOCVARIABLE  Place_SentenceCase  \* MERGEFORMAT ">
              <w:r w:rsidR="001D786C">
                <w:t>Sydney</w:t>
              </w:r>
            </w:fldSimple>
          </w:p>
        </w:tc>
      </w:tr>
      <w:tr w:rsidR="001D786C" w:rsidTr="001D786C">
        <w:tc>
          <w:tcPr>
            <w:tcW w:w="3085" w:type="dxa"/>
            <w:shd w:val="clear" w:color="auto" w:fill="auto"/>
          </w:tcPr>
          <w:p w:rsidR="001D786C" w:rsidRDefault="001D786C" w:rsidP="001D786C">
            <w:pPr>
              <w:pStyle w:val="Normal1linespace"/>
              <w:widowControl w:val="0"/>
              <w:jc w:val="left"/>
            </w:pPr>
          </w:p>
        </w:tc>
        <w:tc>
          <w:tcPr>
            <w:tcW w:w="5989" w:type="dxa"/>
            <w:shd w:val="clear" w:color="auto" w:fill="auto"/>
          </w:tcPr>
          <w:p w:rsidR="001D786C" w:rsidRDefault="001D786C" w:rsidP="001D786C">
            <w:pPr>
              <w:pStyle w:val="Normal1linespace"/>
              <w:widowControl w:val="0"/>
              <w:jc w:val="left"/>
            </w:pPr>
          </w:p>
        </w:tc>
      </w:tr>
      <w:tr w:rsidR="001D786C" w:rsidTr="001D786C">
        <w:tc>
          <w:tcPr>
            <w:tcW w:w="3085" w:type="dxa"/>
            <w:shd w:val="clear" w:color="auto" w:fill="auto"/>
          </w:tcPr>
          <w:p w:rsidR="001D786C" w:rsidRDefault="001D786C" w:rsidP="001D786C">
            <w:pPr>
              <w:pStyle w:val="Normal1linespace"/>
              <w:widowControl w:val="0"/>
              <w:jc w:val="left"/>
            </w:pPr>
            <w:r>
              <w:t>Division:</w:t>
            </w:r>
          </w:p>
        </w:tc>
        <w:tc>
          <w:tcPr>
            <w:tcW w:w="5989" w:type="dxa"/>
            <w:shd w:val="clear" w:color="auto" w:fill="auto"/>
          </w:tcPr>
          <w:p w:rsidR="001D786C" w:rsidRPr="00C67B37" w:rsidRDefault="001D786C" w:rsidP="001D786C">
            <w:pPr>
              <w:pStyle w:val="Normal1linespace"/>
              <w:widowControl w:val="0"/>
              <w:jc w:val="left"/>
              <w:rPr>
                <w:caps/>
              </w:rPr>
            </w:pPr>
            <w:r>
              <w:rPr>
                <w:caps/>
              </w:rPr>
              <w:fldChar w:fldCharType="begin"/>
            </w:r>
            <w:r>
              <w:rPr>
                <w:caps/>
              </w:rPr>
              <w:instrText xml:space="preserve"> REF  Division </w:instrText>
            </w:r>
            <w:r>
              <w:rPr>
                <w:caps/>
              </w:rPr>
              <w:fldChar w:fldCharType="separate"/>
            </w:r>
            <w:r w:rsidR="00EA5D8C">
              <w:rPr>
                <w:caps/>
                <w:szCs w:val="24"/>
              </w:rPr>
              <w:t>GENERAL DIVISION</w:t>
            </w:r>
            <w:r>
              <w:rPr>
                <w:caps/>
              </w:rPr>
              <w:fldChar w:fldCharType="end"/>
            </w:r>
          </w:p>
        </w:tc>
      </w:tr>
      <w:tr w:rsidR="001D786C" w:rsidTr="001D786C">
        <w:tc>
          <w:tcPr>
            <w:tcW w:w="3085" w:type="dxa"/>
            <w:shd w:val="clear" w:color="auto" w:fill="auto"/>
          </w:tcPr>
          <w:p w:rsidR="001D786C" w:rsidRDefault="001D786C" w:rsidP="001D786C">
            <w:pPr>
              <w:pStyle w:val="Normal1linespace"/>
              <w:widowControl w:val="0"/>
              <w:jc w:val="left"/>
            </w:pPr>
          </w:p>
        </w:tc>
        <w:tc>
          <w:tcPr>
            <w:tcW w:w="5989" w:type="dxa"/>
            <w:shd w:val="clear" w:color="auto" w:fill="auto"/>
          </w:tcPr>
          <w:p w:rsidR="001D786C" w:rsidRDefault="001D786C" w:rsidP="001D786C">
            <w:pPr>
              <w:pStyle w:val="Normal1linespace"/>
              <w:widowControl w:val="0"/>
              <w:jc w:val="left"/>
              <w:rPr>
                <w:b/>
              </w:rPr>
            </w:pPr>
          </w:p>
        </w:tc>
      </w:tr>
      <w:tr w:rsidR="001D786C" w:rsidTr="001D786C">
        <w:tc>
          <w:tcPr>
            <w:tcW w:w="3085" w:type="dxa"/>
            <w:shd w:val="clear" w:color="auto" w:fill="auto"/>
          </w:tcPr>
          <w:p w:rsidR="001D786C" w:rsidRDefault="001D786C" w:rsidP="001D786C">
            <w:pPr>
              <w:pStyle w:val="Normal1linespace"/>
              <w:widowControl w:val="0"/>
              <w:jc w:val="left"/>
            </w:pPr>
            <w:r>
              <w:t>Category:</w:t>
            </w:r>
          </w:p>
        </w:tc>
        <w:tc>
          <w:tcPr>
            <w:tcW w:w="5989" w:type="dxa"/>
            <w:shd w:val="clear" w:color="auto" w:fill="auto"/>
          </w:tcPr>
          <w:p w:rsidR="001D786C" w:rsidRDefault="001D786C" w:rsidP="001D786C">
            <w:pPr>
              <w:pStyle w:val="Normal1linespace"/>
              <w:widowControl w:val="0"/>
              <w:jc w:val="left"/>
            </w:pPr>
            <w:r w:rsidRPr="001D786C">
              <w:t xml:space="preserve">Catchwords </w:t>
            </w:r>
          </w:p>
        </w:tc>
      </w:tr>
      <w:tr w:rsidR="001D786C" w:rsidTr="001D786C">
        <w:tc>
          <w:tcPr>
            <w:tcW w:w="3085" w:type="dxa"/>
            <w:shd w:val="clear" w:color="auto" w:fill="auto"/>
          </w:tcPr>
          <w:p w:rsidR="001D786C" w:rsidRDefault="001D786C" w:rsidP="001D786C">
            <w:pPr>
              <w:pStyle w:val="Normal1linespace"/>
              <w:widowControl w:val="0"/>
              <w:jc w:val="left"/>
            </w:pPr>
          </w:p>
        </w:tc>
        <w:tc>
          <w:tcPr>
            <w:tcW w:w="5989" w:type="dxa"/>
            <w:shd w:val="clear" w:color="auto" w:fill="auto"/>
          </w:tcPr>
          <w:p w:rsidR="001D786C" w:rsidRDefault="001D786C" w:rsidP="001D786C">
            <w:pPr>
              <w:pStyle w:val="Normal1linespace"/>
              <w:widowControl w:val="0"/>
              <w:jc w:val="left"/>
            </w:pPr>
          </w:p>
        </w:tc>
      </w:tr>
      <w:tr w:rsidR="001D786C" w:rsidTr="001D786C">
        <w:tc>
          <w:tcPr>
            <w:tcW w:w="3085" w:type="dxa"/>
            <w:shd w:val="clear" w:color="auto" w:fill="auto"/>
          </w:tcPr>
          <w:p w:rsidR="001D786C" w:rsidRDefault="001D786C" w:rsidP="001D786C">
            <w:pPr>
              <w:pStyle w:val="Normal1linespace"/>
              <w:widowControl w:val="0"/>
              <w:jc w:val="left"/>
            </w:pPr>
            <w:r>
              <w:t>Number of paragraphs:</w:t>
            </w:r>
          </w:p>
        </w:tc>
        <w:tc>
          <w:tcPr>
            <w:tcW w:w="5989" w:type="dxa"/>
            <w:shd w:val="clear" w:color="auto" w:fill="auto"/>
          </w:tcPr>
          <w:p w:rsidR="001D786C" w:rsidRDefault="001D786C" w:rsidP="001D786C">
            <w:pPr>
              <w:pStyle w:val="Normal1linespace"/>
              <w:widowControl w:val="0"/>
              <w:jc w:val="left"/>
            </w:pPr>
            <w:bookmarkStart w:id="8" w:name="PlaceCategoryParagraphs"/>
            <w:r>
              <w:t>30</w:t>
            </w:r>
            <w:bookmarkEnd w:id="8"/>
          </w:p>
        </w:tc>
      </w:tr>
      <w:tr w:rsidR="001D786C" w:rsidTr="001D786C">
        <w:tc>
          <w:tcPr>
            <w:tcW w:w="3085" w:type="dxa"/>
            <w:shd w:val="clear" w:color="auto" w:fill="auto"/>
          </w:tcPr>
          <w:p w:rsidR="001D786C" w:rsidRDefault="001D786C" w:rsidP="001D786C">
            <w:pPr>
              <w:pStyle w:val="Normal1linespace"/>
              <w:widowControl w:val="0"/>
              <w:jc w:val="left"/>
            </w:pPr>
          </w:p>
        </w:tc>
        <w:tc>
          <w:tcPr>
            <w:tcW w:w="5989" w:type="dxa"/>
            <w:shd w:val="clear" w:color="auto" w:fill="auto"/>
          </w:tcPr>
          <w:p w:rsidR="001D786C" w:rsidRDefault="001D786C" w:rsidP="001D786C">
            <w:pPr>
              <w:pStyle w:val="Normal1linespace"/>
              <w:widowControl w:val="0"/>
              <w:jc w:val="left"/>
            </w:pPr>
          </w:p>
        </w:tc>
      </w:tr>
      <w:tr w:rsidR="001D786C" w:rsidTr="001D786C">
        <w:tc>
          <w:tcPr>
            <w:tcW w:w="3085" w:type="dxa"/>
            <w:shd w:val="clear" w:color="auto" w:fill="auto"/>
          </w:tcPr>
          <w:p w:rsidR="001D786C" w:rsidRDefault="001D786C" w:rsidP="001D786C">
            <w:pPr>
              <w:pStyle w:val="Normal1linespace"/>
              <w:widowControl w:val="0"/>
              <w:jc w:val="left"/>
            </w:pPr>
            <w:bookmarkStart w:id="9" w:name="Counsel" w:colFirst="0" w:colLast="2"/>
            <w:r>
              <w:t>Counsel for the Appellant:</w:t>
            </w:r>
          </w:p>
        </w:tc>
        <w:tc>
          <w:tcPr>
            <w:tcW w:w="5989" w:type="dxa"/>
            <w:shd w:val="clear" w:color="auto" w:fill="auto"/>
          </w:tcPr>
          <w:p w:rsidR="001D786C" w:rsidRDefault="001D786C" w:rsidP="001D786C">
            <w:pPr>
              <w:pStyle w:val="Normal1linespace"/>
              <w:widowControl w:val="0"/>
              <w:jc w:val="left"/>
            </w:pPr>
            <w:bookmarkStart w:id="10" w:name="AppCounsel"/>
            <w:bookmarkEnd w:id="10"/>
            <w:r>
              <w:t>The appellant appeared in person with the assistance of an interpreter</w:t>
            </w:r>
          </w:p>
        </w:tc>
      </w:tr>
      <w:tr w:rsidR="001D786C" w:rsidTr="001D786C">
        <w:tc>
          <w:tcPr>
            <w:tcW w:w="3085" w:type="dxa"/>
            <w:shd w:val="clear" w:color="auto" w:fill="auto"/>
          </w:tcPr>
          <w:p w:rsidR="001D786C" w:rsidRDefault="001D786C" w:rsidP="001D786C">
            <w:pPr>
              <w:pStyle w:val="Normal1linespace"/>
              <w:widowControl w:val="0"/>
              <w:jc w:val="left"/>
            </w:pPr>
          </w:p>
        </w:tc>
        <w:tc>
          <w:tcPr>
            <w:tcW w:w="5989" w:type="dxa"/>
            <w:shd w:val="clear" w:color="auto" w:fill="auto"/>
          </w:tcPr>
          <w:p w:rsidR="001D786C" w:rsidRDefault="001D786C" w:rsidP="001D786C">
            <w:pPr>
              <w:pStyle w:val="Normal1linespace"/>
              <w:widowControl w:val="0"/>
              <w:jc w:val="left"/>
            </w:pPr>
          </w:p>
        </w:tc>
      </w:tr>
      <w:tr w:rsidR="001D786C" w:rsidTr="001D786C">
        <w:tc>
          <w:tcPr>
            <w:tcW w:w="3085" w:type="dxa"/>
            <w:shd w:val="clear" w:color="auto" w:fill="auto"/>
          </w:tcPr>
          <w:p w:rsidR="001D786C" w:rsidRDefault="001D786C" w:rsidP="001D786C">
            <w:pPr>
              <w:pStyle w:val="Normal1linespace"/>
              <w:widowControl w:val="0"/>
              <w:jc w:val="left"/>
            </w:pPr>
            <w:r>
              <w:t>Solicitor for the First Respondent:</w:t>
            </w:r>
          </w:p>
        </w:tc>
        <w:tc>
          <w:tcPr>
            <w:tcW w:w="5989" w:type="dxa"/>
            <w:shd w:val="clear" w:color="auto" w:fill="auto"/>
          </w:tcPr>
          <w:p w:rsidR="001D786C" w:rsidRDefault="001D786C" w:rsidP="001D786C">
            <w:pPr>
              <w:pStyle w:val="Normal1linespace"/>
              <w:widowControl w:val="0"/>
              <w:jc w:val="left"/>
            </w:pPr>
            <w:r>
              <w:t xml:space="preserve">Ms A </w:t>
            </w:r>
            <w:proofErr w:type="spellStart"/>
            <w:r>
              <w:t>Carr</w:t>
            </w:r>
            <w:proofErr w:type="spellEnd"/>
            <w:r>
              <w:t xml:space="preserve"> of </w:t>
            </w:r>
            <w:proofErr w:type="spellStart"/>
            <w:r>
              <w:t>DLA</w:t>
            </w:r>
            <w:proofErr w:type="spellEnd"/>
            <w:r>
              <w:t xml:space="preserve"> Piper Australia</w:t>
            </w:r>
          </w:p>
        </w:tc>
      </w:tr>
      <w:tr w:rsidR="001D786C" w:rsidTr="001D786C">
        <w:tc>
          <w:tcPr>
            <w:tcW w:w="3085" w:type="dxa"/>
            <w:shd w:val="clear" w:color="auto" w:fill="auto"/>
          </w:tcPr>
          <w:p w:rsidR="001D786C" w:rsidRDefault="001D786C" w:rsidP="001D786C">
            <w:pPr>
              <w:pStyle w:val="Normal1linespace"/>
              <w:widowControl w:val="0"/>
              <w:jc w:val="left"/>
            </w:pPr>
          </w:p>
        </w:tc>
        <w:tc>
          <w:tcPr>
            <w:tcW w:w="5989" w:type="dxa"/>
            <w:shd w:val="clear" w:color="auto" w:fill="auto"/>
          </w:tcPr>
          <w:p w:rsidR="001D786C" w:rsidRDefault="001D786C" w:rsidP="001D786C">
            <w:pPr>
              <w:pStyle w:val="Normal1linespace"/>
              <w:widowControl w:val="0"/>
              <w:jc w:val="left"/>
            </w:pPr>
          </w:p>
        </w:tc>
      </w:tr>
      <w:tr w:rsidR="001D786C" w:rsidTr="001D786C">
        <w:tc>
          <w:tcPr>
            <w:tcW w:w="3085" w:type="dxa"/>
            <w:shd w:val="clear" w:color="auto" w:fill="auto"/>
          </w:tcPr>
          <w:p w:rsidR="001D786C" w:rsidRDefault="001D786C" w:rsidP="001D786C">
            <w:pPr>
              <w:pStyle w:val="Normal1linespace"/>
              <w:widowControl w:val="0"/>
              <w:jc w:val="left"/>
            </w:pPr>
            <w:r>
              <w:lastRenderedPageBreak/>
              <w:t>Counsel for the Second Respondent:</w:t>
            </w:r>
          </w:p>
        </w:tc>
        <w:tc>
          <w:tcPr>
            <w:tcW w:w="5989" w:type="dxa"/>
            <w:shd w:val="clear" w:color="auto" w:fill="auto"/>
          </w:tcPr>
          <w:p w:rsidR="001D786C" w:rsidRDefault="001D786C" w:rsidP="001D786C">
            <w:pPr>
              <w:pStyle w:val="Normal1linespace"/>
              <w:widowControl w:val="0"/>
              <w:jc w:val="left"/>
            </w:pPr>
            <w:r>
              <w:t>The second respondent submitted save as to costs</w:t>
            </w:r>
          </w:p>
        </w:tc>
      </w:tr>
      <w:bookmarkEnd w:id="9"/>
    </w:tbl>
    <w:p w:rsidR="00395B24" w:rsidRDefault="00395B24">
      <w:pPr>
        <w:pStyle w:val="Normal1linespace"/>
      </w:pPr>
    </w:p>
    <w:p w:rsidR="00395B24" w:rsidRDefault="00395B24">
      <w:pPr>
        <w:pStyle w:val="Normal1linespace"/>
      </w:pPr>
    </w:p>
    <w:p w:rsidR="00395B24" w:rsidRDefault="00395B24">
      <w:pPr>
        <w:pStyle w:val="Normal1linespace"/>
        <w:sectPr w:rsidR="00395B24">
          <w:headerReference w:type="default" r:id="rId8"/>
          <w:endnotePr>
            <w:numFmt w:val="decimal"/>
          </w:endnotePr>
          <w:type w:val="continuous"/>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tc>
          <w:tcPr>
            <w:tcW w:w="6771" w:type="dxa"/>
          </w:tcPr>
          <w:p w:rsidR="00395B24" w:rsidRDefault="002C7385">
            <w:pPr>
              <w:pStyle w:val="NormalHeadings"/>
              <w:spacing w:after="120"/>
              <w:jc w:val="left"/>
              <w:rPr>
                <w:caps/>
                <w:szCs w:val="24"/>
              </w:rPr>
            </w:pPr>
            <w:r>
              <w:rPr>
                <w:caps/>
                <w:szCs w:val="24"/>
              </w:rPr>
              <w:lastRenderedPageBreak/>
              <w:t>IN THE FEDERAL COURT OF AUSTRALIA</w:t>
            </w:r>
          </w:p>
        </w:tc>
        <w:tc>
          <w:tcPr>
            <w:tcW w:w="2471" w:type="dxa"/>
          </w:tcPr>
          <w:p w:rsidR="00395B24" w:rsidRDefault="00395B24">
            <w:pPr>
              <w:pStyle w:val="NormalHeadings"/>
              <w:jc w:val="left"/>
              <w:rPr>
                <w:caps/>
                <w:szCs w:val="24"/>
              </w:rPr>
            </w:pPr>
          </w:p>
        </w:tc>
      </w:tr>
      <w:tr w:rsidR="00395B24">
        <w:tc>
          <w:tcPr>
            <w:tcW w:w="6771" w:type="dxa"/>
          </w:tcPr>
          <w:p w:rsidR="00395B24" w:rsidRDefault="007A7076">
            <w:pPr>
              <w:pStyle w:val="NormalHeadings"/>
              <w:spacing w:after="120"/>
              <w:jc w:val="left"/>
              <w:rPr>
                <w:caps/>
                <w:szCs w:val="24"/>
              </w:rPr>
            </w:pPr>
            <w:bookmarkStart w:id="11" w:name="State"/>
            <w:r>
              <w:rPr>
                <w:caps/>
                <w:szCs w:val="24"/>
              </w:rPr>
              <w:t>NEW SOUTH WALES</w:t>
            </w:r>
            <w:bookmarkEnd w:id="11"/>
            <w:r w:rsidR="002C7385">
              <w:rPr>
                <w:caps/>
                <w:szCs w:val="24"/>
              </w:rPr>
              <w:t xml:space="preserve"> DISTRICT REGISTRY</w:t>
            </w:r>
          </w:p>
        </w:tc>
        <w:tc>
          <w:tcPr>
            <w:tcW w:w="2471" w:type="dxa"/>
          </w:tcPr>
          <w:p w:rsidR="00395B24" w:rsidRDefault="00395B24">
            <w:pPr>
              <w:pStyle w:val="NormalHeadings"/>
              <w:tabs>
                <w:tab w:val="right" w:pos="3609"/>
              </w:tabs>
              <w:jc w:val="right"/>
              <w:rPr>
                <w:szCs w:val="24"/>
              </w:rPr>
            </w:pPr>
          </w:p>
        </w:tc>
      </w:tr>
      <w:tr w:rsidR="00395B24">
        <w:tc>
          <w:tcPr>
            <w:tcW w:w="6771" w:type="dxa"/>
          </w:tcPr>
          <w:p w:rsidR="00395B24" w:rsidRDefault="007A7076">
            <w:pPr>
              <w:pStyle w:val="NormalHeadings"/>
              <w:spacing w:after="120"/>
              <w:jc w:val="left"/>
              <w:rPr>
                <w:caps/>
                <w:szCs w:val="24"/>
              </w:rPr>
            </w:pPr>
            <w:bookmarkStart w:id="12" w:name="Division"/>
            <w:r>
              <w:rPr>
                <w:caps/>
                <w:szCs w:val="24"/>
              </w:rPr>
              <w:t>GENERAL DIVISION</w:t>
            </w:r>
            <w:bookmarkEnd w:id="12"/>
          </w:p>
        </w:tc>
        <w:tc>
          <w:tcPr>
            <w:tcW w:w="2471" w:type="dxa"/>
          </w:tcPr>
          <w:p w:rsidR="00395B24" w:rsidRDefault="007A7076">
            <w:pPr>
              <w:pStyle w:val="NormalHeadings"/>
              <w:tabs>
                <w:tab w:val="right" w:pos="3609"/>
              </w:tabs>
              <w:jc w:val="right"/>
              <w:rPr>
                <w:szCs w:val="24"/>
              </w:rPr>
            </w:pPr>
            <w:bookmarkStart w:id="13" w:name="Num"/>
            <w:proofErr w:type="spellStart"/>
            <w:r>
              <w:rPr>
                <w:szCs w:val="24"/>
              </w:rPr>
              <w:t>NSD</w:t>
            </w:r>
            <w:proofErr w:type="spellEnd"/>
            <w:r>
              <w:rPr>
                <w:szCs w:val="24"/>
              </w:rPr>
              <w:t xml:space="preserve"> 678 of 2015</w:t>
            </w:r>
            <w:bookmarkEnd w:id="13"/>
          </w:p>
        </w:tc>
      </w:tr>
    </w:tbl>
    <w:p w:rsidR="00DA1C43" w:rsidRDefault="00DA1C43">
      <w:pPr>
        <w:pStyle w:val="AppealTable"/>
        <w:rPr>
          <w:sz w:val="24"/>
        </w:rPr>
      </w:pPr>
      <w:bookmarkStart w:id="14" w:name="AppealTable"/>
    </w:p>
    <w:p w:rsidR="00DA1C43" w:rsidRDefault="00862795">
      <w:pPr>
        <w:pStyle w:val="AppealTable"/>
        <w:rPr>
          <w:sz w:val="24"/>
        </w:rPr>
      </w:pPr>
      <w:r>
        <w:rPr>
          <w:sz w:val="24"/>
        </w:rPr>
        <w:t>ON APPEAL FROM THE FEDERAL CIRCUIT COURT OF AUSTRALIA</w:t>
      </w:r>
    </w:p>
    <w:p w:rsidR="00395B24" w:rsidRPr="007A7076" w:rsidRDefault="002C7385">
      <w:pPr>
        <w:pStyle w:val="AppealTable"/>
        <w:rPr>
          <w:sz w:val="24"/>
        </w:rPr>
      </w:pPr>
      <w:r w:rsidRPr="007A7076">
        <w:rPr>
          <w:sz w:val="24"/>
        </w:rPr>
        <w:t xml:space="preserve"> </w:t>
      </w:r>
      <w:bookmarkEnd w:id="14"/>
    </w:p>
    <w:tbl>
      <w:tblPr>
        <w:tblW w:w="0" w:type="auto"/>
        <w:tblLayout w:type="fixed"/>
        <w:tblLook w:val="0000" w:firstRow="0" w:lastRow="0" w:firstColumn="0" w:lastColumn="0" w:noHBand="0" w:noVBand="0"/>
      </w:tblPr>
      <w:tblGrid>
        <w:gridCol w:w="2376"/>
        <w:gridCol w:w="6866"/>
      </w:tblGrid>
      <w:tr w:rsidR="00395B24">
        <w:trPr>
          <w:trHeight w:val="386"/>
        </w:trPr>
        <w:tc>
          <w:tcPr>
            <w:tcW w:w="2376" w:type="dxa"/>
          </w:tcPr>
          <w:p w:rsidR="00395B24" w:rsidRDefault="002C7385">
            <w:pPr>
              <w:pStyle w:val="NormalHeadings"/>
              <w:jc w:val="left"/>
              <w:rPr>
                <w:caps/>
                <w:szCs w:val="24"/>
              </w:rPr>
            </w:pPr>
            <w:bookmarkStart w:id="15" w:name="Parties"/>
            <w:r>
              <w:rPr>
                <w:caps/>
                <w:szCs w:val="24"/>
              </w:rPr>
              <w:t>BETWEEN:</w:t>
            </w:r>
          </w:p>
        </w:tc>
        <w:tc>
          <w:tcPr>
            <w:tcW w:w="6866" w:type="dxa"/>
          </w:tcPr>
          <w:p w:rsidR="007A7076" w:rsidRDefault="007A7076">
            <w:pPr>
              <w:pStyle w:val="NormalHeadings"/>
              <w:jc w:val="left"/>
              <w:rPr>
                <w:szCs w:val="24"/>
              </w:rPr>
            </w:pPr>
            <w:bookmarkStart w:id="16" w:name="Applicant"/>
            <w:proofErr w:type="spellStart"/>
            <w:r>
              <w:rPr>
                <w:szCs w:val="24"/>
              </w:rPr>
              <w:t>SZUOY</w:t>
            </w:r>
            <w:proofErr w:type="spellEnd"/>
          </w:p>
          <w:p w:rsidR="007A7076" w:rsidRDefault="007A7076">
            <w:pPr>
              <w:pStyle w:val="NormalHeadings"/>
              <w:jc w:val="left"/>
              <w:rPr>
                <w:szCs w:val="24"/>
              </w:rPr>
            </w:pPr>
            <w:r>
              <w:rPr>
                <w:szCs w:val="24"/>
              </w:rPr>
              <w:t>Appellant</w:t>
            </w:r>
          </w:p>
          <w:bookmarkEnd w:id="16"/>
          <w:p w:rsidR="00395B24" w:rsidRDefault="00395B24">
            <w:pPr>
              <w:pStyle w:val="NormalHeadings"/>
              <w:jc w:val="left"/>
              <w:rPr>
                <w:szCs w:val="24"/>
              </w:rPr>
            </w:pPr>
          </w:p>
        </w:tc>
      </w:tr>
      <w:tr w:rsidR="00395B24">
        <w:trPr>
          <w:trHeight w:val="386"/>
        </w:trPr>
        <w:tc>
          <w:tcPr>
            <w:tcW w:w="2376" w:type="dxa"/>
          </w:tcPr>
          <w:p w:rsidR="00395B24" w:rsidRDefault="002C7385">
            <w:pPr>
              <w:pStyle w:val="NormalHeadings"/>
              <w:jc w:val="left"/>
              <w:rPr>
                <w:caps/>
                <w:szCs w:val="24"/>
              </w:rPr>
            </w:pPr>
            <w:r>
              <w:rPr>
                <w:caps/>
                <w:szCs w:val="24"/>
              </w:rPr>
              <w:t>AND:</w:t>
            </w:r>
          </w:p>
        </w:tc>
        <w:tc>
          <w:tcPr>
            <w:tcW w:w="6866" w:type="dxa"/>
          </w:tcPr>
          <w:p w:rsidR="007A7076" w:rsidRDefault="007A7076">
            <w:pPr>
              <w:pStyle w:val="NormalHeadings"/>
              <w:jc w:val="left"/>
              <w:rPr>
                <w:szCs w:val="24"/>
              </w:rPr>
            </w:pPr>
            <w:bookmarkStart w:id="17" w:name="Respondent"/>
            <w:r>
              <w:rPr>
                <w:szCs w:val="24"/>
              </w:rPr>
              <w:t>MINISTER FOR IMMIGRATION AND BORDER PROTECTION</w:t>
            </w:r>
          </w:p>
          <w:p w:rsidR="007A7076" w:rsidRDefault="007A7076">
            <w:pPr>
              <w:pStyle w:val="NormalHeadings"/>
              <w:jc w:val="left"/>
              <w:rPr>
                <w:szCs w:val="24"/>
              </w:rPr>
            </w:pPr>
            <w:r>
              <w:rPr>
                <w:szCs w:val="24"/>
              </w:rPr>
              <w:t>First Respondent</w:t>
            </w:r>
          </w:p>
          <w:p w:rsidR="007A7076" w:rsidRDefault="007A7076">
            <w:pPr>
              <w:pStyle w:val="NormalHeadings"/>
              <w:jc w:val="left"/>
              <w:rPr>
                <w:szCs w:val="24"/>
              </w:rPr>
            </w:pPr>
          </w:p>
          <w:p w:rsidR="007A7076" w:rsidRDefault="009B1BFB">
            <w:pPr>
              <w:pStyle w:val="NormalHeadings"/>
              <w:jc w:val="left"/>
              <w:rPr>
                <w:szCs w:val="24"/>
              </w:rPr>
            </w:pPr>
            <w:r>
              <w:rPr>
                <w:szCs w:val="24"/>
              </w:rPr>
              <w:t>ADMINISTRATIVE APPEALS</w:t>
            </w:r>
            <w:r w:rsidR="007A7076">
              <w:rPr>
                <w:szCs w:val="24"/>
              </w:rPr>
              <w:t xml:space="preserve"> TRIBUNAL</w:t>
            </w:r>
          </w:p>
          <w:p w:rsidR="007A7076" w:rsidRDefault="007A7076">
            <w:pPr>
              <w:pStyle w:val="NormalHeadings"/>
              <w:jc w:val="left"/>
              <w:rPr>
                <w:szCs w:val="24"/>
              </w:rPr>
            </w:pPr>
            <w:r>
              <w:rPr>
                <w:szCs w:val="24"/>
              </w:rPr>
              <w:t>Second Respondent</w:t>
            </w:r>
          </w:p>
          <w:bookmarkEnd w:id="17"/>
          <w:p w:rsidR="00395B24" w:rsidRDefault="00395B24">
            <w:pPr>
              <w:pStyle w:val="NormalHeadings"/>
              <w:jc w:val="left"/>
              <w:rPr>
                <w:szCs w:val="24"/>
              </w:rPr>
            </w:pPr>
          </w:p>
        </w:tc>
      </w:tr>
      <w:bookmarkEnd w:id="15"/>
    </w:tbl>
    <w:p w:rsidR="00395B24" w:rsidRDefault="00395B24">
      <w:pPr>
        <w:pStyle w:val="NormalHeadings"/>
      </w:pPr>
    </w:p>
    <w:tbl>
      <w:tblPr>
        <w:tblW w:w="0" w:type="auto"/>
        <w:tblLayout w:type="fixed"/>
        <w:tblLook w:val="0000" w:firstRow="0" w:lastRow="0" w:firstColumn="0" w:lastColumn="0" w:noHBand="0" w:noVBand="0"/>
      </w:tblPr>
      <w:tblGrid>
        <w:gridCol w:w="2376"/>
        <w:gridCol w:w="6866"/>
      </w:tblGrid>
      <w:tr w:rsidR="00395B24">
        <w:tc>
          <w:tcPr>
            <w:tcW w:w="2376" w:type="dxa"/>
          </w:tcPr>
          <w:p w:rsidR="00395B24" w:rsidRDefault="007A7076">
            <w:pPr>
              <w:pStyle w:val="NormalHeadings"/>
              <w:spacing w:after="120"/>
              <w:jc w:val="left"/>
              <w:rPr>
                <w:caps/>
                <w:szCs w:val="24"/>
              </w:rPr>
            </w:pPr>
            <w:bookmarkStart w:id="18" w:name="JudgeText"/>
            <w:r>
              <w:rPr>
                <w:caps/>
                <w:szCs w:val="24"/>
              </w:rPr>
              <w:t>JUDGE</w:t>
            </w:r>
            <w:bookmarkEnd w:id="18"/>
            <w:r w:rsidR="002C7385">
              <w:rPr>
                <w:caps/>
                <w:szCs w:val="24"/>
              </w:rPr>
              <w:t>:</w:t>
            </w:r>
          </w:p>
        </w:tc>
        <w:tc>
          <w:tcPr>
            <w:tcW w:w="6866" w:type="dxa"/>
          </w:tcPr>
          <w:p w:rsidR="00395B24" w:rsidRDefault="001D786C">
            <w:pPr>
              <w:pStyle w:val="NormalHeadings"/>
              <w:jc w:val="left"/>
              <w:rPr>
                <w:caps/>
                <w:szCs w:val="24"/>
              </w:rPr>
            </w:pPr>
            <w:bookmarkStart w:id="19" w:name="Judge"/>
            <w:r>
              <w:rPr>
                <w:caps/>
                <w:szCs w:val="24"/>
              </w:rPr>
              <w:t>FARRELL J</w:t>
            </w:r>
            <w:bookmarkEnd w:id="19"/>
          </w:p>
        </w:tc>
      </w:tr>
      <w:tr w:rsidR="00395B24">
        <w:tc>
          <w:tcPr>
            <w:tcW w:w="2376" w:type="dxa"/>
          </w:tcPr>
          <w:p w:rsidR="00395B24" w:rsidRDefault="002C7385">
            <w:pPr>
              <w:pStyle w:val="NormalHeadings"/>
              <w:spacing w:after="120"/>
              <w:jc w:val="left"/>
              <w:rPr>
                <w:caps/>
                <w:szCs w:val="24"/>
              </w:rPr>
            </w:pPr>
            <w:r>
              <w:rPr>
                <w:caps/>
                <w:szCs w:val="24"/>
              </w:rPr>
              <w:t>DATE OF ORDER:</w:t>
            </w:r>
          </w:p>
        </w:tc>
        <w:tc>
          <w:tcPr>
            <w:tcW w:w="6866" w:type="dxa"/>
          </w:tcPr>
          <w:p w:rsidR="00395B24" w:rsidRDefault="0081081F">
            <w:pPr>
              <w:pStyle w:val="NormalHeadings"/>
              <w:jc w:val="left"/>
              <w:rPr>
                <w:caps/>
                <w:szCs w:val="24"/>
              </w:rPr>
            </w:pPr>
            <w:bookmarkStart w:id="20" w:name="Judgment_Dated"/>
            <w:bookmarkEnd w:id="20"/>
            <w:r>
              <w:rPr>
                <w:caps/>
                <w:szCs w:val="24"/>
              </w:rPr>
              <w:t>27 July 2015</w:t>
            </w:r>
          </w:p>
        </w:tc>
      </w:tr>
      <w:tr w:rsidR="00395B24">
        <w:tc>
          <w:tcPr>
            <w:tcW w:w="2376" w:type="dxa"/>
          </w:tcPr>
          <w:p w:rsidR="00395B24" w:rsidRDefault="002C7385">
            <w:pPr>
              <w:pStyle w:val="NormalHeadings"/>
              <w:spacing w:after="120"/>
              <w:jc w:val="left"/>
              <w:rPr>
                <w:caps/>
                <w:szCs w:val="24"/>
              </w:rPr>
            </w:pPr>
            <w:r>
              <w:rPr>
                <w:caps/>
                <w:szCs w:val="24"/>
              </w:rPr>
              <w:t>WHERE MADE:</w:t>
            </w:r>
          </w:p>
        </w:tc>
        <w:tc>
          <w:tcPr>
            <w:tcW w:w="6866" w:type="dxa"/>
          </w:tcPr>
          <w:p w:rsidR="00395B24" w:rsidRDefault="007A7076">
            <w:pPr>
              <w:pStyle w:val="NormalHeadings"/>
              <w:jc w:val="left"/>
              <w:rPr>
                <w:caps/>
                <w:szCs w:val="24"/>
              </w:rPr>
            </w:pPr>
            <w:bookmarkStart w:id="21" w:name="Place"/>
            <w:r>
              <w:rPr>
                <w:caps/>
                <w:szCs w:val="24"/>
              </w:rPr>
              <w:t>SYDNEY</w:t>
            </w:r>
            <w:bookmarkEnd w:id="21"/>
          </w:p>
        </w:tc>
      </w:tr>
    </w:tbl>
    <w:p w:rsidR="00395B24" w:rsidRDefault="00395B24">
      <w:pPr>
        <w:pStyle w:val="NormalHeadings"/>
        <w:rPr>
          <w:b w:val="0"/>
        </w:rPr>
      </w:pPr>
    </w:p>
    <w:p w:rsidR="00395B24" w:rsidRDefault="002C7385">
      <w:pPr>
        <w:pStyle w:val="NormalHeadings"/>
      </w:pPr>
      <w:r>
        <w:t>THE COURT ORDERS THAT:</w:t>
      </w:r>
    </w:p>
    <w:p w:rsidR="00395B24" w:rsidRDefault="00395B24">
      <w:pPr>
        <w:pStyle w:val="NormalHeadings"/>
      </w:pPr>
    </w:p>
    <w:p w:rsidR="004E2606" w:rsidRDefault="004E2606" w:rsidP="004E2606">
      <w:pPr>
        <w:pStyle w:val="Order1"/>
      </w:pPr>
      <w:bookmarkStart w:id="22" w:name="Order_Start_Text"/>
      <w:bookmarkEnd w:id="22"/>
      <w:r>
        <w:t xml:space="preserve">The name of the second respondent </w:t>
      </w:r>
      <w:proofErr w:type="gramStart"/>
      <w:r>
        <w:t>be</w:t>
      </w:r>
      <w:proofErr w:type="gramEnd"/>
      <w:r>
        <w:t xml:space="preserve"> changed so as to read “Administrative Appeals Tribunal”. </w:t>
      </w:r>
    </w:p>
    <w:p w:rsidR="00395B24" w:rsidRDefault="0081081F" w:rsidP="00274F5B">
      <w:pPr>
        <w:pStyle w:val="Order1"/>
      </w:pPr>
      <w:r>
        <w:t xml:space="preserve">The appeal </w:t>
      </w:r>
      <w:proofErr w:type="gramStart"/>
      <w:r w:rsidR="009B1BFB">
        <w:t>be</w:t>
      </w:r>
      <w:proofErr w:type="gramEnd"/>
      <w:r>
        <w:t xml:space="preserve"> dismissed.</w:t>
      </w:r>
    </w:p>
    <w:p w:rsidR="0081081F" w:rsidRDefault="0081081F" w:rsidP="00274F5B">
      <w:pPr>
        <w:pStyle w:val="Order1"/>
      </w:pPr>
      <w:r>
        <w:t>The appellant pay the first respondent’s costs, as agreed or taxed.</w:t>
      </w:r>
    </w:p>
    <w:p w:rsidR="00636871" w:rsidRDefault="00636871" w:rsidP="002B0E91">
      <w:pPr>
        <w:pStyle w:val="BodyText"/>
      </w:pPr>
    </w:p>
    <w:p w:rsidR="00395B24" w:rsidRDefault="00395B24" w:rsidP="002B0E91">
      <w:pPr>
        <w:pStyle w:val="BodyText"/>
      </w:pPr>
    </w:p>
    <w:p w:rsidR="00395B24" w:rsidRDefault="002C7385" w:rsidP="004D53E5">
      <w:pPr>
        <w:pStyle w:val="SingleSpace"/>
      </w:pPr>
      <w:r>
        <w:t>Note:</w:t>
      </w:r>
      <w:r>
        <w:tab/>
        <w:t xml:space="preserve">Entry of orders is dealt with in Rule 39.32 of the </w:t>
      </w:r>
      <w:r>
        <w:rPr>
          <w:i/>
        </w:rPr>
        <w:t>Federal Court Rules 2011</w:t>
      </w:r>
      <w:r>
        <w:t>.</w:t>
      </w:r>
    </w:p>
    <w:p w:rsidR="00395B24" w:rsidRDefault="00395B24" w:rsidP="002B0E91">
      <w:pPr>
        <w:pStyle w:val="BodyText"/>
      </w:pPr>
    </w:p>
    <w:p w:rsidR="00395B24" w:rsidRDefault="00395B24" w:rsidP="002B0E91">
      <w:pPr>
        <w:pStyle w:val="BodyText"/>
      </w:pPr>
    </w:p>
    <w:p w:rsidR="00395B24" w:rsidRDefault="00395B24">
      <w:pPr>
        <w:pStyle w:val="NormalHeadings"/>
        <w:spacing w:before="240" w:after="120"/>
        <w:rPr>
          <w:b w:val="0"/>
        </w:rPr>
        <w:sectPr w:rsidR="00395B24">
          <w:headerReference w:type="default" r:id="rId9"/>
          <w:headerReference w:type="first" r:id="rId10"/>
          <w:endnotePr>
            <w:numFmt w:val="decimal"/>
          </w:endnotePr>
          <w:pgSz w:w="11907" w:h="16840" w:code="9"/>
          <w:pgMar w:top="1440" w:right="1440" w:bottom="1440" w:left="1440" w:header="851" w:footer="851" w:gutter="0"/>
          <w:pgNumType w:start="1"/>
          <w:cols w:space="720"/>
          <w:noEndnote/>
          <w:titlePg/>
        </w:sectPr>
      </w:pPr>
    </w:p>
    <w:tbl>
      <w:tblPr>
        <w:tblW w:w="0" w:type="auto"/>
        <w:tblLayout w:type="fixed"/>
        <w:tblLook w:val="0000" w:firstRow="0" w:lastRow="0" w:firstColumn="0" w:lastColumn="0" w:noHBand="0" w:noVBand="0"/>
      </w:tblPr>
      <w:tblGrid>
        <w:gridCol w:w="6771"/>
        <w:gridCol w:w="2471"/>
      </w:tblGrid>
      <w:tr w:rsidR="00395B24">
        <w:tc>
          <w:tcPr>
            <w:tcW w:w="6771" w:type="dxa"/>
          </w:tcPr>
          <w:p w:rsidR="00395B24" w:rsidRDefault="002C7385">
            <w:pPr>
              <w:pStyle w:val="NormalHeadings"/>
              <w:spacing w:after="120"/>
              <w:jc w:val="left"/>
              <w:rPr>
                <w:caps/>
                <w:szCs w:val="24"/>
              </w:rPr>
            </w:pPr>
            <w:bookmarkStart w:id="23" w:name="ReasonsPage"/>
            <w:bookmarkEnd w:id="23"/>
            <w:r>
              <w:rPr>
                <w:caps/>
                <w:szCs w:val="24"/>
              </w:rPr>
              <w:lastRenderedPageBreak/>
              <w:t>IN THE FEDERAL COURT OF AUSTRALIA</w:t>
            </w:r>
          </w:p>
        </w:tc>
        <w:tc>
          <w:tcPr>
            <w:tcW w:w="2471" w:type="dxa"/>
          </w:tcPr>
          <w:p w:rsidR="00395B24" w:rsidRDefault="00395B24">
            <w:pPr>
              <w:pStyle w:val="NormalHeadings"/>
            </w:pPr>
          </w:p>
        </w:tc>
      </w:tr>
      <w:tr w:rsidR="00395B24">
        <w:tc>
          <w:tcPr>
            <w:tcW w:w="6771"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State \* MERGEFORMAT </w:instrText>
            </w:r>
            <w:r>
              <w:rPr>
                <w:caps/>
                <w:szCs w:val="24"/>
              </w:rPr>
              <w:fldChar w:fldCharType="separate"/>
            </w:r>
            <w:r w:rsidR="007A7076">
              <w:rPr>
                <w:caps/>
                <w:szCs w:val="24"/>
              </w:rPr>
              <w:t>NEW SOUTH WALES</w:t>
            </w:r>
            <w:r>
              <w:rPr>
                <w:caps/>
                <w:szCs w:val="24"/>
              </w:rPr>
              <w:fldChar w:fldCharType="end"/>
            </w:r>
            <w:r>
              <w:rPr>
                <w:caps/>
                <w:szCs w:val="24"/>
              </w:rPr>
              <w:t xml:space="preserve"> DISTRICT REGISTRY</w:t>
            </w:r>
          </w:p>
        </w:tc>
        <w:tc>
          <w:tcPr>
            <w:tcW w:w="2471" w:type="dxa"/>
          </w:tcPr>
          <w:p w:rsidR="00395B24" w:rsidRDefault="00395B24">
            <w:pPr>
              <w:pStyle w:val="NormalHeadings"/>
              <w:tabs>
                <w:tab w:val="right" w:pos="3609"/>
              </w:tabs>
              <w:jc w:val="right"/>
              <w:rPr>
                <w:caps/>
                <w:szCs w:val="24"/>
              </w:rPr>
            </w:pPr>
          </w:p>
        </w:tc>
      </w:tr>
      <w:tr w:rsidR="00395B24">
        <w:tc>
          <w:tcPr>
            <w:tcW w:w="6771"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Division \* MERGEFORMAT </w:instrText>
            </w:r>
            <w:r>
              <w:rPr>
                <w:caps/>
                <w:szCs w:val="24"/>
              </w:rPr>
              <w:fldChar w:fldCharType="separate"/>
            </w:r>
            <w:r w:rsidR="007A7076">
              <w:rPr>
                <w:caps/>
                <w:szCs w:val="24"/>
              </w:rPr>
              <w:t>GENERAL DIVISION</w:t>
            </w:r>
            <w:r>
              <w:rPr>
                <w:caps/>
                <w:szCs w:val="24"/>
              </w:rPr>
              <w:fldChar w:fldCharType="end"/>
            </w:r>
          </w:p>
        </w:tc>
        <w:tc>
          <w:tcPr>
            <w:tcW w:w="2471" w:type="dxa"/>
          </w:tcPr>
          <w:p w:rsidR="00395B24" w:rsidRDefault="002C7385">
            <w:pPr>
              <w:pStyle w:val="NormalHeadings"/>
              <w:tabs>
                <w:tab w:val="right" w:pos="3609"/>
              </w:tabs>
              <w:jc w:val="right"/>
              <w:rPr>
                <w:caps/>
                <w:szCs w:val="24"/>
              </w:rPr>
            </w:pPr>
            <w:r>
              <w:rPr>
                <w:caps/>
                <w:szCs w:val="24"/>
              </w:rPr>
              <w:fldChar w:fldCharType="begin" w:fldLock="1"/>
            </w:r>
            <w:r>
              <w:rPr>
                <w:caps/>
                <w:szCs w:val="24"/>
              </w:rPr>
              <w:instrText xml:space="preserve"> REF  Num  \* MERGEFORMAT </w:instrText>
            </w:r>
            <w:r>
              <w:rPr>
                <w:caps/>
                <w:szCs w:val="24"/>
              </w:rPr>
              <w:fldChar w:fldCharType="separate"/>
            </w:r>
            <w:proofErr w:type="spellStart"/>
            <w:r w:rsidR="007A7076" w:rsidRPr="007A7076">
              <w:rPr>
                <w:caps/>
                <w:szCs w:val="24"/>
              </w:rPr>
              <w:t>NSD</w:t>
            </w:r>
            <w:proofErr w:type="spellEnd"/>
            <w:r w:rsidR="007A7076">
              <w:rPr>
                <w:szCs w:val="24"/>
              </w:rPr>
              <w:t xml:space="preserve"> 678 of 2015</w:t>
            </w:r>
            <w:r>
              <w:rPr>
                <w:caps/>
                <w:szCs w:val="24"/>
              </w:rPr>
              <w:fldChar w:fldCharType="end"/>
            </w:r>
          </w:p>
        </w:tc>
      </w:tr>
    </w:tbl>
    <w:p w:rsidR="00395B24" w:rsidRDefault="00CE08A3">
      <w:pPr>
        <w:pStyle w:val="AppealTable"/>
      </w:pPr>
      <w:fldSimple w:instr=" Ref AppealTable  \* MERGEFORMAT " w:fldLock="1">
        <w:r w:rsidR="007A7076" w:rsidRPr="007A7076">
          <w:rPr>
            <w:sz w:val="24"/>
          </w:rPr>
          <w:t xml:space="preserve"> </w:t>
        </w:r>
      </w:fldSimple>
    </w:p>
    <w:p w:rsidR="00DA1C43" w:rsidRDefault="00862795">
      <w:pPr>
        <w:pStyle w:val="AppealTable"/>
        <w:rPr>
          <w:sz w:val="24"/>
          <w:szCs w:val="24"/>
        </w:rPr>
      </w:pPr>
      <w:r>
        <w:rPr>
          <w:sz w:val="24"/>
          <w:szCs w:val="24"/>
        </w:rPr>
        <w:t>ON APPEAL FROM THE FEDERAL CIRCUIT COURT OF AUSTRALIA</w:t>
      </w:r>
    </w:p>
    <w:p w:rsidR="00DA1C43" w:rsidRPr="00DA1C43" w:rsidRDefault="00DA1C43">
      <w:pPr>
        <w:pStyle w:val="AppealTable"/>
        <w:rPr>
          <w:sz w:val="24"/>
          <w:szCs w:val="24"/>
        </w:rPr>
      </w:pPr>
    </w:p>
    <w:tbl>
      <w:tblPr>
        <w:tblW w:w="0" w:type="auto"/>
        <w:tblLayout w:type="fixed"/>
        <w:tblLook w:val="0000" w:firstRow="0" w:lastRow="0" w:firstColumn="0" w:lastColumn="0" w:noHBand="0" w:noVBand="0"/>
      </w:tblPr>
      <w:tblGrid>
        <w:gridCol w:w="2376"/>
        <w:gridCol w:w="6866"/>
      </w:tblGrid>
      <w:tr w:rsidR="00395B24">
        <w:trPr>
          <w:trHeight w:val="386"/>
        </w:trPr>
        <w:tc>
          <w:tcPr>
            <w:tcW w:w="2376" w:type="dxa"/>
          </w:tcPr>
          <w:p w:rsidR="00395B24" w:rsidRPr="00DA1C43" w:rsidRDefault="002C7385">
            <w:pPr>
              <w:pStyle w:val="NormalHeadings"/>
              <w:jc w:val="left"/>
              <w:rPr>
                <w:caps/>
                <w:szCs w:val="24"/>
              </w:rPr>
            </w:pPr>
            <w:r w:rsidRPr="00DA1C43">
              <w:rPr>
                <w:caps/>
                <w:szCs w:val="24"/>
              </w:rPr>
              <w:t>BETWEEN:</w:t>
            </w:r>
          </w:p>
        </w:tc>
        <w:tc>
          <w:tcPr>
            <w:tcW w:w="6866" w:type="dxa"/>
          </w:tcPr>
          <w:p w:rsidR="007A7076" w:rsidRDefault="002C7385">
            <w:pPr>
              <w:pStyle w:val="NormalHeadings"/>
              <w:jc w:val="left"/>
              <w:rPr>
                <w:szCs w:val="24"/>
              </w:rPr>
            </w:pPr>
            <w:r>
              <w:rPr>
                <w:caps/>
                <w:szCs w:val="24"/>
              </w:rPr>
              <w:fldChar w:fldCharType="begin" w:fldLock="1"/>
            </w:r>
            <w:r>
              <w:rPr>
                <w:caps/>
                <w:szCs w:val="24"/>
              </w:rPr>
              <w:instrText xml:space="preserve"> REF Applicant  \* MERGEFORMAT </w:instrText>
            </w:r>
            <w:r>
              <w:rPr>
                <w:caps/>
                <w:szCs w:val="24"/>
              </w:rPr>
              <w:fldChar w:fldCharType="separate"/>
            </w:r>
            <w:proofErr w:type="spellStart"/>
            <w:r w:rsidR="007A7076" w:rsidRPr="007A7076">
              <w:rPr>
                <w:caps/>
                <w:szCs w:val="24"/>
              </w:rPr>
              <w:t>SZUOY</w:t>
            </w:r>
            <w:proofErr w:type="spellEnd"/>
          </w:p>
          <w:p w:rsidR="007A7076" w:rsidRDefault="007A7076">
            <w:pPr>
              <w:pStyle w:val="NormalHeadings"/>
              <w:jc w:val="left"/>
              <w:rPr>
                <w:szCs w:val="24"/>
              </w:rPr>
            </w:pPr>
            <w:r>
              <w:rPr>
                <w:szCs w:val="24"/>
              </w:rPr>
              <w:t>Appellant</w:t>
            </w:r>
          </w:p>
          <w:p w:rsidR="00395B24" w:rsidRDefault="002C7385">
            <w:pPr>
              <w:pStyle w:val="NormalHeadings"/>
              <w:jc w:val="left"/>
              <w:rPr>
                <w:caps/>
                <w:szCs w:val="24"/>
              </w:rPr>
            </w:pPr>
            <w:r>
              <w:rPr>
                <w:caps/>
                <w:szCs w:val="24"/>
              </w:rPr>
              <w:fldChar w:fldCharType="end"/>
            </w:r>
          </w:p>
        </w:tc>
      </w:tr>
      <w:tr w:rsidR="00395B24">
        <w:trPr>
          <w:trHeight w:val="386"/>
        </w:trPr>
        <w:tc>
          <w:tcPr>
            <w:tcW w:w="2376" w:type="dxa"/>
          </w:tcPr>
          <w:p w:rsidR="00395B24" w:rsidRDefault="002C7385">
            <w:pPr>
              <w:pStyle w:val="NormalHeadings"/>
              <w:jc w:val="left"/>
              <w:rPr>
                <w:caps/>
                <w:szCs w:val="24"/>
              </w:rPr>
            </w:pPr>
            <w:r>
              <w:rPr>
                <w:caps/>
                <w:szCs w:val="24"/>
              </w:rPr>
              <w:t>AND:</w:t>
            </w:r>
          </w:p>
        </w:tc>
        <w:tc>
          <w:tcPr>
            <w:tcW w:w="6866" w:type="dxa"/>
          </w:tcPr>
          <w:p w:rsidR="007A7076" w:rsidRDefault="002C7385">
            <w:pPr>
              <w:pStyle w:val="NormalHeadings"/>
              <w:jc w:val="left"/>
              <w:rPr>
                <w:szCs w:val="24"/>
              </w:rPr>
            </w:pPr>
            <w:r>
              <w:rPr>
                <w:caps/>
                <w:szCs w:val="24"/>
              </w:rPr>
              <w:fldChar w:fldCharType="begin" w:fldLock="1"/>
            </w:r>
            <w:r>
              <w:rPr>
                <w:caps/>
                <w:szCs w:val="24"/>
              </w:rPr>
              <w:instrText xml:space="preserve"> REF Respondent  \* MERGEFORMAT </w:instrText>
            </w:r>
            <w:r>
              <w:rPr>
                <w:caps/>
                <w:szCs w:val="24"/>
              </w:rPr>
              <w:fldChar w:fldCharType="separate"/>
            </w:r>
            <w:r w:rsidR="007A7076" w:rsidRPr="007A7076">
              <w:rPr>
                <w:caps/>
                <w:szCs w:val="24"/>
              </w:rPr>
              <w:t>MINISTER</w:t>
            </w:r>
            <w:r w:rsidR="007A7076">
              <w:rPr>
                <w:szCs w:val="24"/>
              </w:rPr>
              <w:t xml:space="preserve"> FOR IMMIGRATION AND BORDER PROTECTION</w:t>
            </w:r>
          </w:p>
          <w:p w:rsidR="007A7076" w:rsidRDefault="007A7076">
            <w:pPr>
              <w:pStyle w:val="NormalHeadings"/>
              <w:jc w:val="left"/>
              <w:rPr>
                <w:szCs w:val="24"/>
              </w:rPr>
            </w:pPr>
            <w:r>
              <w:rPr>
                <w:szCs w:val="24"/>
              </w:rPr>
              <w:t>First Respondent</w:t>
            </w:r>
          </w:p>
          <w:p w:rsidR="007A7076" w:rsidRDefault="007A7076">
            <w:pPr>
              <w:pStyle w:val="NormalHeadings"/>
              <w:jc w:val="left"/>
              <w:rPr>
                <w:szCs w:val="24"/>
              </w:rPr>
            </w:pPr>
          </w:p>
          <w:p w:rsidR="007A7076" w:rsidRDefault="009B1BFB">
            <w:pPr>
              <w:pStyle w:val="NormalHeadings"/>
              <w:jc w:val="left"/>
              <w:rPr>
                <w:szCs w:val="24"/>
              </w:rPr>
            </w:pPr>
            <w:r>
              <w:rPr>
                <w:szCs w:val="24"/>
              </w:rPr>
              <w:t>ADMINISTRATIVE APPEALS</w:t>
            </w:r>
            <w:r w:rsidR="007A7076">
              <w:rPr>
                <w:szCs w:val="24"/>
              </w:rPr>
              <w:t xml:space="preserve"> TRIBUNAL</w:t>
            </w:r>
          </w:p>
          <w:p w:rsidR="007A7076" w:rsidRDefault="007A7076">
            <w:pPr>
              <w:pStyle w:val="NormalHeadings"/>
              <w:jc w:val="left"/>
              <w:rPr>
                <w:szCs w:val="24"/>
              </w:rPr>
            </w:pPr>
            <w:r>
              <w:rPr>
                <w:szCs w:val="24"/>
              </w:rPr>
              <w:t>Second Respondent</w:t>
            </w:r>
          </w:p>
          <w:p w:rsidR="00395B24" w:rsidRDefault="002C7385">
            <w:pPr>
              <w:pStyle w:val="NormalHeadings"/>
              <w:jc w:val="left"/>
              <w:rPr>
                <w:caps/>
                <w:szCs w:val="24"/>
              </w:rPr>
            </w:pPr>
            <w:r>
              <w:rPr>
                <w:caps/>
                <w:szCs w:val="24"/>
              </w:rPr>
              <w:fldChar w:fldCharType="end"/>
            </w:r>
          </w:p>
        </w:tc>
      </w:tr>
    </w:tbl>
    <w:p w:rsidR="00395B24" w:rsidRDefault="00395B24">
      <w:pPr>
        <w:pStyle w:val="NormalHeadings"/>
      </w:pPr>
    </w:p>
    <w:tbl>
      <w:tblPr>
        <w:tblW w:w="0" w:type="auto"/>
        <w:tblLayout w:type="fixed"/>
        <w:tblLook w:val="0000" w:firstRow="0" w:lastRow="0" w:firstColumn="0" w:lastColumn="0" w:noHBand="0" w:noVBand="0"/>
      </w:tblPr>
      <w:tblGrid>
        <w:gridCol w:w="2376"/>
        <w:gridCol w:w="6866"/>
      </w:tblGrid>
      <w:tr w:rsidR="00395B24">
        <w:tc>
          <w:tcPr>
            <w:tcW w:w="2376" w:type="dxa"/>
          </w:tcPr>
          <w:p w:rsidR="00395B24" w:rsidRDefault="002C7385">
            <w:pPr>
              <w:pStyle w:val="NormalHeadings"/>
              <w:spacing w:after="120"/>
              <w:jc w:val="left"/>
              <w:rPr>
                <w:caps/>
                <w:szCs w:val="24"/>
              </w:rPr>
            </w:pPr>
            <w:r>
              <w:rPr>
                <w:caps/>
                <w:szCs w:val="24"/>
              </w:rPr>
              <w:fldChar w:fldCharType="begin" w:fldLock="1"/>
            </w:r>
            <w:r>
              <w:rPr>
                <w:caps/>
                <w:szCs w:val="24"/>
              </w:rPr>
              <w:instrText xml:space="preserve"> REF JudgeText  \* MERGEFORMAT </w:instrText>
            </w:r>
            <w:r>
              <w:rPr>
                <w:caps/>
                <w:szCs w:val="24"/>
              </w:rPr>
              <w:fldChar w:fldCharType="separate"/>
            </w:r>
            <w:r w:rsidR="007A7076">
              <w:rPr>
                <w:caps/>
                <w:szCs w:val="24"/>
              </w:rPr>
              <w:t>JUDGE</w:t>
            </w:r>
            <w:r>
              <w:rPr>
                <w:caps/>
                <w:szCs w:val="24"/>
              </w:rPr>
              <w:fldChar w:fldCharType="end"/>
            </w:r>
            <w:r>
              <w:rPr>
                <w:caps/>
                <w:szCs w:val="24"/>
              </w:rPr>
              <w:t>:</w:t>
            </w:r>
          </w:p>
        </w:tc>
        <w:tc>
          <w:tcPr>
            <w:tcW w:w="6866" w:type="dxa"/>
          </w:tcPr>
          <w:p w:rsidR="00395B24" w:rsidRDefault="002C7385">
            <w:pPr>
              <w:pStyle w:val="NormalHeadings"/>
              <w:rPr>
                <w:caps/>
                <w:szCs w:val="24"/>
              </w:rPr>
            </w:pPr>
            <w:r>
              <w:rPr>
                <w:caps/>
                <w:szCs w:val="24"/>
              </w:rPr>
              <w:fldChar w:fldCharType="begin" w:fldLock="1"/>
            </w:r>
            <w:r>
              <w:rPr>
                <w:caps/>
                <w:szCs w:val="24"/>
              </w:rPr>
              <w:instrText xml:space="preserve"> REF  Judge  \* MERGEFORMAT </w:instrText>
            </w:r>
            <w:r>
              <w:rPr>
                <w:caps/>
                <w:szCs w:val="24"/>
              </w:rPr>
              <w:fldChar w:fldCharType="separate"/>
            </w:r>
            <w:r w:rsidR="007A7076">
              <w:rPr>
                <w:caps/>
                <w:szCs w:val="24"/>
              </w:rPr>
              <w:t>FARRELL J</w:t>
            </w:r>
            <w:r>
              <w:rPr>
                <w:caps/>
                <w:szCs w:val="24"/>
              </w:rPr>
              <w:fldChar w:fldCharType="end"/>
            </w:r>
          </w:p>
        </w:tc>
      </w:tr>
      <w:tr w:rsidR="00395B24">
        <w:tc>
          <w:tcPr>
            <w:tcW w:w="2376" w:type="dxa"/>
          </w:tcPr>
          <w:p w:rsidR="00395B24" w:rsidRDefault="002C7385">
            <w:pPr>
              <w:pStyle w:val="NormalHeadings"/>
              <w:spacing w:after="120"/>
              <w:jc w:val="left"/>
              <w:rPr>
                <w:caps/>
                <w:szCs w:val="24"/>
              </w:rPr>
            </w:pPr>
            <w:r>
              <w:rPr>
                <w:caps/>
                <w:szCs w:val="24"/>
              </w:rPr>
              <w:t>DATE:</w:t>
            </w:r>
          </w:p>
        </w:tc>
        <w:tc>
          <w:tcPr>
            <w:tcW w:w="6866" w:type="dxa"/>
          </w:tcPr>
          <w:p w:rsidR="00395B24" w:rsidRDefault="0081081F">
            <w:pPr>
              <w:pStyle w:val="NormalHeadings"/>
              <w:rPr>
                <w:caps/>
                <w:szCs w:val="24"/>
              </w:rPr>
            </w:pPr>
            <w:r>
              <w:rPr>
                <w:caps/>
                <w:szCs w:val="24"/>
              </w:rPr>
              <w:t>27 July 2015</w:t>
            </w:r>
            <w:r w:rsidR="002C7385">
              <w:rPr>
                <w:caps/>
                <w:szCs w:val="24"/>
              </w:rPr>
              <w:fldChar w:fldCharType="begin" w:fldLock="1"/>
            </w:r>
            <w:r w:rsidR="002C7385">
              <w:rPr>
                <w:caps/>
                <w:szCs w:val="24"/>
              </w:rPr>
              <w:instrText xml:space="preserve"> REF Judgment_Dated  \* MERGEFORMAT </w:instrText>
            </w:r>
            <w:r w:rsidR="002C7385">
              <w:rPr>
                <w:caps/>
                <w:szCs w:val="24"/>
              </w:rPr>
              <w:fldChar w:fldCharType="end"/>
            </w:r>
          </w:p>
        </w:tc>
      </w:tr>
      <w:tr w:rsidR="00395B24">
        <w:tc>
          <w:tcPr>
            <w:tcW w:w="2376" w:type="dxa"/>
          </w:tcPr>
          <w:p w:rsidR="00395B24" w:rsidRDefault="002C7385">
            <w:pPr>
              <w:pStyle w:val="NormalHeadings"/>
              <w:spacing w:after="120"/>
              <w:jc w:val="left"/>
              <w:rPr>
                <w:caps/>
                <w:szCs w:val="24"/>
              </w:rPr>
            </w:pPr>
            <w:r>
              <w:rPr>
                <w:caps/>
                <w:szCs w:val="24"/>
              </w:rPr>
              <w:t>PLACE:</w:t>
            </w:r>
          </w:p>
        </w:tc>
        <w:tc>
          <w:tcPr>
            <w:tcW w:w="6866" w:type="dxa"/>
          </w:tcPr>
          <w:p w:rsidR="00395B24" w:rsidRDefault="002C7385">
            <w:pPr>
              <w:pStyle w:val="NormalHeadings"/>
              <w:rPr>
                <w:caps/>
                <w:szCs w:val="24"/>
              </w:rPr>
            </w:pPr>
            <w:r>
              <w:rPr>
                <w:caps/>
                <w:szCs w:val="24"/>
              </w:rPr>
              <w:fldChar w:fldCharType="begin" w:fldLock="1"/>
            </w:r>
            <w:r>
              <w:rPr>
                <w:caps/>
                <w:szCs w:val="24"/>
              </w:rPr>
              <w:instrText xml:space="preserve"> REF Place  \* MERGEFORMAT </w:instrText>
            </w:r>
            <w:r>
              <w:rPr>
                <w:caps/>
                <w:szCs w:val="24"/>
              </w:rPr>
              <w:fldChar w:fldCharType="separate"/>
            </w:r>
            <w:r w:rsidR="007A7076">
              <w:rPr>
                <w:caps/>
                <w:szCs w:val="24"/>
              </w:rPr>
              <w:t>SYDNEY</w:t>
            </w:r>
            <w:r>
              <w:rPr>
                <w:caps/>
                <w:szCs w:val="24"/>
              </w:rPr>
              <w:fldChar w:fldCharType="end"/>
            </w:r>
          </w:p>
        </w:tc>
      </w:tr>
    </w:tbl>
    <w:p w:rsidR="00395B24" w:rsidRDefault="00395B24" w:rsidP="002B0E91">
      <w:pPr>
        <w:pStyle w:val="BodyText"/>
      </w:pPr>
    </w:p>
    <w:p w:rsidR="00395B24" w:rsidRDefault="002C7385" w:rsidP="00EB2CCB">
      <w:pPr>
        <w:pStyle w:val="StyleBold"/>
        <w:keepNext/>
        <w:jc w:val="center"/>
        <w:rPr>
          <w:b/>
        </w:rPr>
      </w:pPr>
      <w:r>
        <w:rPr>
          <w:b/>
        </w:rPr>
        <w:t>REASONS FOR JUDGMENT</w:t>
      </w:r>
    </w:p>
    <w:p w:rsidR="00624520" w:rsidRDefault="00A8505F" w:rsidP="0081081F">
      <w:pPr>
        <w:pStyle w:val="ParaNumbering"/>
      </w:pPr>
      <w:r>
        <w:t xml:space="preserve">This is an appeal from a decision of Judge </w:t>
      </w:r>
      <w:proofErr w:type="spellStart"/>
      <w:r>
        <w:t>Manousaridis</w:t>
      </w:r>
      <w:proofErr w:type="spellEnd"/>
      <w:r>
        <w:t xml:space="preserve"> of the Federal Circuit Court of Australia delivered on 22 May 2015: see </w:t>
      </w:r>
      <w:proofErr w:type="spellStart"/>
      <w:r>
        <w:rPr>
          <w:i/>
        </w:rPr>
        <w:t>SZUOY</w:t>
      </w:r>
      <w:proofErr w:type="spellEnd"/>
      <w:r>
        <w:rPr>
          <w:i/>
        </w:rPr>
        <w:t xml:space="preserve"> v Minister for Immigration and Border Protection </w:t>
      </w:r>
      <w:r>
        <w:t xml:space="preserve">[2015] </w:t>
      </w:r>
      <w:proofErr w:type="spellStart"/>
      <w:r>
        <w:t>FCCA</w:t>
      </w:r>
      <w:proofErr w:type="spellEnd"/>
      <w:r>
        <w:t xml:space="preserve"> 1343 (“</w:t>
      </w:r>
      <w:proofErr w:type="spellStart"/>
      <w:r>
        <w:rPr>
          <w:i/>
        </w:rPr>
        <w:t>SZUOY</w:t>
      </w:r>
      <w:proofErr w:type="spellEnd"/>
      <w:r>
        <w:t>”).</w:t>
      </w:r>
      <w:r w:rsidR="004E2606">
        <w:t xml:space="preserve"> The primary judge dismissed with costs an application for judicial review of a decision of the Refugee Review Tribunal made on 30 May 2014.</w:t>
      </w:r>
      <w:r w:rsidR="004F64A5">
        <w:t xml:space="preserve"> These reasons have been revised from an ex tempore judgment.</w:t>
      </w:r>
    </w:p>
    <w:p w:rsidR="004E2606" w:rsidRDefault="004E2606" w:rsidP="004E2606">
      <w:pPr>
        <w:pStyle w:val="ParaNumbering"/>
      </w:pPr>
      <w:r>
        <w:t>The Minister sought leave to change the name of the second respondent to “Administrative Appeals Tribunal”.</w:t>
      </w:r>
      <w:r w:rsidR="009B1BFB">
        <w:t xml:space="preserve"> </w:t>
      </w:r>
      <w:r>
        <w:t xml:space="preserve">I granted that leave. </w:t>
      </w:r>
    </w:p>
    <w:p w:rsidR="00A8505F" w:rsidRDefault="00A8505F" w:rsidP="00A8505F">
      <w:pPr>
        <w:pStyle w:val="Heading1"/>
      </w:pPr>
      <w:r>
        <w:t>Background</w:t>
      </w:r>
    </w:p>
    <w:p w:rsidR="00F254A5" w:rsidRDefault="00A8505F" w:rsidP="00A8505F">
      <w:pPr>
        <w:pStyle w:val="ParaNumbering"/>
      </w:pPr>
      <w:r>
        <w:t>The appellant is a male citizen of the People’s Republic of China.</w:t>
      </w:r>
      <w:r w:rsidR="007D55B1">
        <w:t xml:space="preserve"> He arrived in Australia on 28 July 2012 on a tourist visa, which was valid until 28 October 2012.</w:t>
      </w:r>
      <w:r>
        <w:t xml:space="preserve"> </w:t>
      </w:r>
      <w:r w:rsidR="00F254A5">
        <w:t xml:space="preserve">The appellant applied for a Protection (Class </w:t>
      </w:r>
      <w:proofErr w:type="spellStart"/>
      <w:r w:rsidR="00F254A5">
        <w:t>XA</w:t>
      </w:r>
      <w:proofErr w:type="spellEnd"/>
      <w:r w:rsidR="00F254A5">
        <w:t xml:space="preserve">) visa on 25 September 2012. A delegate of the Minister </w:t>
      </w:r>
      <w:r w:rsidR="004E2606">
        <w:t xml:space="preserve">decided to refuse </w:t>
      </w:r>
      <w:r w:rsidR="00F254A5">
        <w:t xml:space="preserve">to </w:t>
      </w:r>
      <w:r w:rsidR="004E2606">
        <w:t xml:space="preserve">grant </w:t>
      </w:r>
      <w:r w:rsidR="00F254A5">
        <w:t>the visa on 8 February 2013.</w:t>
      </w:r>
    </w:p>
    <w:p w:rsidR="00656042" w:rsidRDefault="00656042" w:rsidP="00A8505F">
      <w:pPr>
        <w:pStyle w:val="ParaNumbering"/>
      </w:pPr>
      <w:r>
        <w:t>The basis for the appellant’s claim for protection is set out at [2]-[8] of the primary judge’s reasons, as follows (footnotes omitted):</w:t>
      </w:r>
    </w:p>
    <w:p w:rsidR="00656042" w:rsidRDefault="00656042" w:rsidP="00656042">
      <w:pPr>
        <w:pStyle w:val="Quote2"/>
      </w:pPr>
      <w:r>
        <w:lastRenderedPageBreak/>
        <w:t>[2] The applicant is from the Fujian Province in China. He claimed his family owned a pig farm which they were forced to close in 2009 when the local government sold it for a real estate development project. The applicant’s family received no compensation for the sale of the land.</w:t>
      </w:r>
    </w:p>
    <w:p w:rsidR="00656042" w:rsidRDefault="00656042" w:rsidP="00656042">
      <w:pPr>
        <w:pStyle w:val="Quote2"/>
      </w:pPr>
    </w:p>
    <w:p w:rsidR="00656042" w:rsidRDefault="00656042" w:rsidP="00656042">
      <w:pPr>
        <w:pStyle w:val="Quote2"/>
      </w:pPr>
      <w:r>
        <w:t>[3] In January 2010 the applicant participated in a protest against the local government and the real estate development company. The protest was organised by another landowner. The Public Security Bureau (</w:t>
      </w:r>
      <w:proofErr w:type="spellStart"/>
      <w:r>
        <w:t>PSB</w:t>
      </w:r>
      <w:proofErr w:type="spellEnd"/>
      <w:r>
        <w:t>) arrested the applicant, the landowner, and 10 other people. The authorities alleged that those participating in the protest were engaging in “</w:t>
      </w:r>
      <w:r w:rsidRPr="00656042">
        <w:rPr>
          <w:i/>
        </w:rPr>
        <w:t>anti-government activities and</w:t>
      </w:r>
      <w:r>
        <w:t xml:space="preserve"> [disturbing] </w:t>
      </w:r>
      <w:r w:rsidRPr="00656042">
        <w:rPr>
          <w:i/>
        </w:rPr>
        <w:t>normal social orders</w:t>
      </w:r>
      <w:r>
        <w:t xml:space="preserve">”. The applicant was detained for one month at a detention centre and during that time he was physically and mentally harmed and mistreated by the police. The applicant was released after his father paid a </w:t>
      </w:r>
      <w:proofErr w:type="spellStart"/>
      <w:r>
        <w:t>9,000RMB</w:t>
      </w:r>
      <w:proofErr w:type="spellEnd"/>
      <w:r>
        <w:t xml:space="preserve"> fine and promised in writing not to attend any further protests in the future.</w:t>
      </w:r>
    </w:p>
    <w:p w:rsidR="00656042" w:rsidRDefault="00656042" w:rsidP="00656042">
      <w:pPr>
        <w:pStyle w:val="Quote2"/>
      </w:pPr>
    </w:p>
    <w:p w:rsidR="00656042" w:rsidRDefault="00656042" w:rsidP="00656042">
      <w:pPr>
        <w:pStyle w:val="Quote2"/>
      </w:pPr>
      <w:r>
        <w:t>[4] The applicant suffered from depression after his arrest and detention. In May 2010 a distant relative of his wife, who was Christian and a secret member of the Local Church, came to the applicant’s home. The applicant was evangelised by his wi</w:t>
      </w:r>
      <w:bookmarkStart w:id="24" w:name="_GoBack"/>
      <w:bookmarkEnd w:id="24"/>
      <w:r>
        <w:t xml:space="preserve">fe’s relative and she persuaded the applicant and the applicant’s wife to attend secret meetings of the Local Church. In July 2010 the applicant and his wife were baptised at a church brother’s home. </w:t>
      </w:r>
    </w:p>
    <w:p w:rsidR="00656042" w:rsidRDefault="00656042" w:rsidP="00656042">
      <w:pPr>
        <w:pStyle w:val="Quote2"/>
      </w:pPr>
    </w:p>
    <w:p w:rsidR="00656042" w:rsidRDefault="00656042" w:rsidP="00656042">
      <w:pPr>
        <w:pStyle w:val="Quote2"/>
      </w:pPr>
      <w:r>
        <w:t>[5] In late 2010 the applicant started working for a “</w:t>
      </w:r>
      <w:r w:rsidRPr="00656042">
        <w:rPr>
          <w:i/>
        </w:rPr>
        <w:t>construction team</w:t>
      </w:r>
      <w:r>
        <w:t xml:space="preserve">” owned by his wife’s relative’s husband in a town </w:t>
      </w:r>
      <w:proofErr w:type="spellStart"/>
      <w:r>
        <w:t>250km</w:t>
      </w:r>
      <w:proofErr w:type="spellEnd"/>
      <w:r>
        <w:t xml:space="preserve"> from the applicant’s hometown in Fujian. The applicant and his wife’s relative’s husband could not find any meeting groups of the Local Church in the town, so they established and developed three secret meeting groups between the period of December 2010 and November 2011.</w:t>
      </w:r>
    </w:p>
    <w:p w:rsidR="00656042" w:rsidRDefault="00656042" w:rsidP="00656042">
      <w:pPr>
        <w:pStyle w:val="Quote2"/>
      </w:pPr>
    </w:p>
    <w:p w:rsidR="00656042" w:rsidRDefault="00656042" w:rsidP="00656042">
      <w:pPr>
        <w:pStyle w:val="Quote2"/>
      </w:pPr>
      <w:r>
        <w:t xml:space="preserve">[6] The applicant returned to his hometown in April 2012. He was there informed by a church brother that one of the secret meeting groups had been raided by the </w:t>
      </w:r>
      <w:proofErr w:type="spellStart"/>
      <w:r>
        <w:t>PSB</w:t>
      </w:r>
      <w:proofErr w:type="spellEnd"/>
      <w:r>
        <w:t xml:space="preserve"> and the wife’s relative’s husband and other church brothers and sisters were arrested. Two days later the applicant learnt that the </w:t>
      </w:r>
      <w:proofErr w:type="spellStart"/>
      <w:r>
        <w:t>PSB</w:t>
      </w:r>
      <w:proofErr w:type="spellEnd"/>
      <w:r>
        <w:t xml:space="preserve"> had discovered the “</w:t>
      </w:r>
      <w:r w:rsidRPr="00656042">
        <w:rPr>
          <w:i/>
        </w:rPr>
        <w:t>leading role</w:t>
      </w:r>
      <w:r>
        <w:t xml:space="preserve">” played by the applicant in the Local Church. The applicant sensed he was in danger and went into hiding at a friend’s place for three months. </w:t>
      </w:r>
    </w:p>
    <w:p w:rsidR="00656042" w:rsidRDefault="00656042" w:rsidP="00656042">
      <w:pPr>
        <w:pStyle w:val="Quote2"/>
      </w:pPr>
    </w:p>
    <w:p w:rsidR="00656042" w:rsidRDefault="00656042" w:rsidP="00656042">
      <w:pPr>
        <w:pStyle w:val="Quote2"/>
      </w:pPr>
      <w:r>
        <w:t>[7] During the time the applicant was in hiding, the police questioned the applicant’s wife, parents and sisters and searched the applicant’s home. In July 2012 the applicant left China with the help of a church brother who arranged the applicant’s trip to Australia through a “</w:t>
      </w:r>
      <w:r w:rsidRPr="00656042">
        <w:rPr>
          <w:i/>
        </w:rPr>
        <w:t>snake head</w:t>
      </w:r>
      <w:r>
        <w:t xml:space="preserve">”. The applicant has continued to actively attend the Local Church in Australia. </w:t>
      </w:r>
    </w:p>
    <w:p w:rsidR="00656042" w:rsidRDefault="00656042" w:rsidP="00656042">
      <w:pPr>
        <w:pStyle w:val="Quote2"/>
      </w:pPr>
    </w:p>
    <w:p w:rsidR="00656042" w:rsidRDefault="00656042" w:rsidP="00656042">
      <w:pPr>
        <w:pStyle w:val="Quote2"/>
      </w:pPr>
      <w:r>
        <w:t>[8] The applicant believes he will be subjected to persecution because of his Christian belief if he returns to China.</w:t>
      </w:r>
    </w:p>
    <w:p w:rsidR="00F254A5" w:rsidRDefault="00F254A5" w:rsidP="00F254A5">
      <w:pPr>
        <w:pStyle w:val="Heading1"/>
      </w:pPr>
      <w:r>
        <w:t>Tribunal Decision</w:t>
      </w:r>
    </w:p>
    <w:p w:rsidR="002608A7" w:rsidRDefault="00F254A5" w:rsidP="00F254A5">
      <w:pPr>
        <w:pStyle w:val="ParaNumbering"/>
      </w:pPr>
      <w:r>
        <w:t xml:space="preserve">The appellant applied for review of the delegate’s decision on 26 February 2013. </w:t>
      </w:r>
      <w:r w:rsidR="002608A7">
        <w:t>The Tribunal affirmed the del</w:t>
      </w:r>
      <w:r w:rsidR="004E2606">
        <w:t>egate’s decision on 30 May 2014 for the reasons set out in the Statement of Decision and Reasons of that date (“Decision Record”).</w:t>
      </w:r>
    </w:p>
    <w:p w:rsidR="004E2606" w:rsidRDefault="0041252B" w:rsidP="007D55B1">
      <w:pPr>
        <w:pStyle w:val="ParaNumbering"/>
      </w:pPr>
      <w:r>
        <w:lastRenderedPageBreak/>
        <w:t>In summary, t</w:t>
      </w:r>
      <w:r w:rsidR="004E2606">
        <w:t>he Decision Record indicates that:</w:t>
      </w:r>
    </w:p>
    <w:p w:rsidR="004E2606" w:rsidRDefault="007D55B1" w:rsidP="004E2606">
      <w:pPr>
        <w:pStyle w:val="FCBullets"/>
      </w:pPr>
      <w:r>
        <w:t>The Tribunal found that the appellant’s claims were not credible and that the appellant had fabricated his claims in order to obtain a pr</w:t>
      </w:r>
      <w:r w:rsidR="004E2606">
        <w:t xml:space="preserve">otection visa: </w:t>
      </w:r>
      <w:r>
        <w:t>[45]</w:t>
      </w:r>
      <w:r w:rsidR="004E2606">
        <w:t>;</w:t>
      </w:r>
    </w:p>
    <w:p w:rsidR="0041252B" w:rsidRDefault="00656042" w:rsidP="004E2606">
      <w:pPr>
        <w:pStyle w:val="FCBullets"/>
      </w:pPr>
      <w:r>
        <w:t>The Tribunal did not accept that the appellant “was involved with the Local Church in China and/or that the [appellant] suffered persecution from the Chinese authorities because of hitting [sic] his involvement with the Local Church”</w:t>
      </w:r>
      <w:r w:rsidR="00474058">
        <w:t>. The finding was based on country of origin information which reports that Fujian authorities are more liberal in relation to Christians,</w:t>
      </w:r>
      <w:r w:rsidR="001D786C">
        <w:t xml:space="preserve"> but</w:t>
      </w:r>
      <w:r w:rsidR="00474058">
        <w:t xml:space="preserve"> that there is a 4,000 seat Local Church in </w:t>
      </w:r>
      <w:proofErr w:type="spellStart"/>
      <w:r w:rsidR="00AD5520">
        <w:t>Longtian</w:t>
      </w:r>
      <w:proofErr w:type="spellEnd"/>
      <w:r w:rsidR="00AD5520">
        <w:t xml:space="preserve"> </w:t>
      </w:r>
      <w:r w:rsidR="00474058">
        <w:t>and that both registered and unregistered churches are full of worshippers</w:t>
      </w:r>
      <w:r w:rsidR="007735F4">
        <w:t>. The Tribunal noted a submission made after the hearing which noted that the</w:t>
      </w:r>
      <w:r w:rsidR="004F64A5">
        <w:t xml:space="preserve"> 4,000 seat</w:t>
      </w:r>
      <w:r w:rsidR="007735F4">
        <w:t xml:space="preserve"> Church has only been reported from one source, being Jason </w:t>
      </w:r>
      <w:proofErr w:type="spellStart"/>
      <w:r w:rsidR="007735F4">
        <w:t>Kindopp</w:t>
      </w:r>
      <w:proofErr w:type="spellEnd"/>
      <w:r w:rsidR="007735F4">
        <w:t>.</w:t>
      </w:r>
      <w:r w:rsidR="009B1BFB">
        <w:t xml:space="preserve"> </w:t>
      </w:r>
      <w:r w:rsidR="007735F4">
        <w:t xml:space="preserve">However, the Tribunal was not satisfied that this brought the information into disrepute; the same submission refers to evidence by Mr </w:t>
      </w:r>
      <w:proofErr w:type="spellStart"/>
      <w:r w:rsidR="007735F4">
        <w:t>Kindopp</w:t>
      </w:r>
      <w:proofErr w:type="spellEnd"/>
      <w:r w:rsidR="007735F4">
        <w:t xml:space="preserve"> in attachments A and C</w:t>
      </w:r>
      <w:r w:rsidR="007D55B1">
        <w:t>: [37]</w:t>
      </w:r>
      <w:r w:rsidR="0041252B">
        <w:t>;</w:t>
      </w:r>
    </w:p>
    <w:p w:rsidR="00474058" w:rsidRDefault="00474058" w:rsidP="004E2606">
      <w:pPr>
        <w:pStyle w:val="FCBullets"/>
      </w:pPr>
      <w:r>
        <w:t xml:space="preserve">The Tribunal considered post-hearing submissions made by the appellant’s migration agent regarding the difference between the Local Church (shouters) and Little Flock (Christian assembly) and the suggestion that </w:t>
      </w:r>
      <w:r w:rsidR="00AD5520">
        <w:t xml:space="preserve">the 4,000 seat church in </w:t>
      </w:r>
      <w:proofErr w:type="spellStart"/>
      <w:r w:rsidR="00AD5520">
        <w:t>Longtia</w:t>
      </w:r>
      <w:r>
        <w:t>n</w:t>
      </w:r>
      <w:proofErr w:type="spellEnd"/>
      <w:r>
        <w:t xml:space="preserve"> belongs to Little Flock.</w:t>
      </w:r>
      <w:r w:rsidR="009B1BFB">
        <w:t xml:space="preserve"> </w:t>
      </w:r>
      <w:r>
        <w:t xml:space="preserve">The Tribunal did not accept at face </w:t>
      </w:r>
      <w:r w:rsidR="00AD5520">
        <w:t xml:space="preserve">value that the church in </w:t>
      </w:r>
      <w:proofErr w:type="spellStart"/>
      <w:r w:rsidR="00AD5520">
        <w:t>Longtia</w:t>
      </w:r>
      <w:r>
        <w:t>n</w:t>
      </w:r>
      <w:proofErr w:type="spellEnd"/>
      <w:r>
        <w:t xml:space="preserve"> belongs to Little Flock and that that was the reason that the appellant was not aware of it “due to the lack of any independent evidence that the Church [be]longs to Little Flock and the lack of credibility of the applicant’s overall claims”: [38];</w:t>
      </w:r>
    </w:p>
    <w:p w:rsidR="00474058" w:rsidRDefault="00474058" w:rsidP="00474058">
      <w:pPr>
        <w:pStyle w:val="FCBullets"/>
      </w:pPr>
      <w:r>
        <w:t>The Tribunal found that the appellant’s evidence that he was a member of a Local Church which is different to that referred to in the country of origin information was “fanciful and fabricated”</w:t>
      </w:r>
      <w:r w:rsidR="00733565">
        <w:t xml:space="preserve"> because in his evidence to the Minister’s delegate and the Tribunal the app</w:t>
      </w:r>
      <w:r w:rsidR="00266BD3">
        <w:t>ellant</w:t>
      </w:r>
      <w:r w:rsidR="00733565">
        <w:t xml:space="preserve"> referred extensively to Witness Lee, Watchman Nee and the Recovery Bible.</w:t>
      </w:r>
      <w:r w:rsidR="009B1BFB">
        <w:t xml:space="preserve"> </w:t>
      </w:r>
      <w:r w:rsidR="00733565">
        <w:t xml:space="preserve">It also noted that Mr </w:t>
      </w:r>
      <w:proofErr w:type="spellStart"/>
      <w:r w:rsidR="00733565">
        <w:t>Kindopp</w:t>
      </w:r>
      <w:proofErr w:type="spellEnd"/>
      <w:r w:rsidR="00733565">
        <w:t xml:space="preserve"> recor</w:t>
      </w:r>
      <w:r w:rsidR="00AD5520">
        <w:t xml:space="preserve">ded that the Church at </w:t>
      </w:r>
      <w:proofErr w:type="spellStart"/>
      <w:r w:rsidR="00AD5520">
        <w:t>Longtia</w:t>
      </w:r>
      <w:r w:rsidR="00733565">
        <w:t>n</w:t>
      </w:r>
      <w:proofErr w:type="spellEnd"/>
      <w:r w:rsidR="00733565">
        <w:t xml:space="preserve"> was a “local church” as opposed to “little flock”. Mr </w:t>
      </w:r>
      <w:proofErr w:type="spellStart"/>
      <w:r w:rsidR="00733565">
        <w:t>Kindopp’s</w:t>
      </w:r>
      <w:proofErr w:type="spellEnd"/>
      <w:r w:rsidR="00733565">
        <w:t xml:space="preserve"> work was quoted regularly in country of origin information and the Tribunal ha</w:t>
      </w:r>
      <w:r w:rsidR="00266BD3">
        <w:t>d</w:t>
      </w:r>
      <w:r w:rsidR="00733565">
        <w:t xml:space="preserve"> no reason to think he made a mistake or did not understand the distinction</w:t>
      </w:r>
      <w:r>
        <w:t>: [39];</w:t>
      </w:r>
    </w:p>
    <w:p w:rsidR="0041252B" w:rsidRDefault="0041252B" w:rsidP="004E2606">
      <w:pPr>
        <w:pStyle w:val="FCBullets"/>
      </w:pPr>
      <w:r>
        <w:t xml:space="preserve">Although </w:t>
      </w:r>
      <w:r w:rsidR="007D55B1">
        <w:t xml:space="preserve">the Tribunal accepted that the appellant had had at least some contact with the Local Church in Australia, this conduct was disregarded under s </w:t>
      </w:r>
      <w:proofErr w:type="spellStart"/>
      <w:r w:rsidR="007D55B1">
        <w:t>91R</w:t>
      </w:r>
      <w:proofErr w:type="spellEnd"/>
      <w:r w:rsidR="007D55B1">
        <w:t>(3)</w:t>
      </w:r>
      <w:r w:rsidR="00266BD3">
        <w:t xml:space="preserve"> (now repealed</w:t>
      </w:r>
      <w:r w:rsidR="00AF3E9C">
        <w:t xml:space="preserve"> and contained in s </w:t>
      </w:r>
      <w:proofErr w:type="spellStart"/>
      <w:r w:rsidR="00AF3E9C">
        <w:t>5J</w:t>
      </w:r>
      <w:proofErr w:type="spellEnd"/>
      <w:r w:rsidR="00AF3E9C">
        <w:t>(6)</w:t>
      </w:r>
      <w:r w:rsidR="00266BD3">
        <w:t>)</w:t>
      </w:r>
      <w:r w:rsidR="007D55B1">
        <w:t xml:space="preserve"> of the </w:t>
      </w:r>
      <w:r w:rsidR="007D55B1">
        <w:rPr>
          <w:i/>
        </w:rPr>
        <w:t xml:space="preserve">Migration Act 1958 </w:t>
      </w:r>
      <w:r w:rsidR="007D55B1">
        <w:t>(</w:t>
      </w:r>
      <w:proofErr w:type="spellStart"/>
      <w:r w:rsidR="007D55B1">
        <w:t>Cth</w:t>
      </w:r>
      <w:proofErr w:type="spellEnd"/>
      <w:r w:rsidR="007D55B1">
        <w:t>)</w:t>
      </w:r>
      <w:r w:rsidR="00266BD3">
        <w:t xml:space="preserve"> </w:t>
      </w:r>
      <w:r w:rsidR="007D55B1">
        <w:t xml:space="preserve">because the </w:t>
      </w:r>
      <w:r w:rsidR="007D55B1">
        <w:lastRenderedPageBreak/>
        <w:t>Tribunal found that the conduct was engaged in for the purposes of strengthening the appellant’s refugee claim: [</w:t>
      </w:r>
      <w:r w:rsidR="00266BD3">
        <w:t>44</w:t>
      </w:r>
      <w:r w:rsidR="007D55B1">
        <w:t>]</w:t>
      </w:r>
      <w:r>
        <w:t>;</w:t>
      </w:r>
    </w:p>
    <w:p w:rsidR="007D55B1" w:rsidRDefault="0041252B" w:rsidP="0041252B">
      <w:pPr>
        <w:pStyle w:val="FCBullets"/>
      </w:pPr>
      <w:r>
        <w:t>The Tribunal did not accept the appellant’s claims that his father’s land had been confiscated, and that he had been involved in a protest</w:t>
      </w:r>
      <w:r w:rsidR="00266BD3">
        <w:t>,</w:t>
      </w:r>
      <w:r>
        <w:t xml:space="preserve"> for reasons which include that</w:t>
      </w:r>
      <w:r w:rsidR="007816DC">
        <w:t xml:space="preserve"> the appellant’s family </w:t>
      </w:r>
      <w:r>
        <w:t xml:space="preserve">(his parents, wife and two children) </w:t>
      </w:r>
      <w:r w:rsidR="007816DC">
        <w:t>continued to live at the residence where the appellant was allegedly harassed</w:t>
      </w:r>
      <w:r w:rsidR="00266BD3">
        <w:t>;</w:t>
      </w:r>
      <w:r>
        <w:t xml:space="preserve"> the fact that they remain indicates that they are not at risk or of interest to the authorities</w:t>
      </w:r>
      <w:r w:rsidR="007816DC">
        <w:t>.</w:t>
      </w:r>
      <w:r w:rsidR="00187F3C">
        <w:t xml:space="preserve"> </w:t>
      </w:r>
      <w:r>
        <w:t xml:space="preserve">Acknowledging the appellant’s evidence that his family could not move because of financial difficulty and that he could not afford to send money to China to help them and at the same time support himself in Australia, the Tribunal did not consider it realistic that the appellant would leave his family in a place where they would be at risk: [41]; and </w:t>
      </w:r>
    </w:p>
    <w:p w:rsidR="007816DC" w:rsidRDefault="007816DC" w:rsidP="0041252B">
      <w:pPr>
        <w:pStyle w:val="FCBullets"/>
      </w:pPr>
      <w:r>
        <w:t xml:space="preserve">The Tribunal thought it was significant that the appellant was able to leave China using his own passport through legal channels: [42]. </w:t>
      </w:r>
    </w:p>
    <w:p w:rsidR="00020D63" w:rsidRDefault="00187F3C" w:rsidP="007D55B1">
      <w:pPr>
        <w:pStyle w:val="ParaNumbering"/>
      </w:pPr>
      <w:r>
        <w:t>The Tribunal concluded that the appellant was not of interest to Chinese authorities while he was in China, or after he left, and would not become a person of interest if he were to return</w:t>
      </w:r>
      <w:r w:rsidR="00474058">
        <w:t xml:space="preserve"> because of his involvement in the Local Church in Australia. The Tribunal relied on “reputable country of origin information” regarding acceptance of the Local Church and Christianity more broadly in the local area</w:t>
      </w:r>
      <w:r w:rsidR="00020D63">
        <w:t>; it said that information was</w:t>
      </w:r>
      <w:r w:rsidR="00474058">
        <w:t xml:space="preserve"> more recent and reliable than information (including </w:t>
      </w:r>
      <w:r w:rsidR="00AD5520">
        <w:t xml:space="preserve">from </w:t>
      </w:r>
      <w:r w:rsidR="00474058">
        <w:t xml:space="preserve">Wikipedia) </w:t>
      </w:r>
      <w:r w:rsidR="00020D63">
        <w:t>provided by the appellant: Decision Record at [45]-[47]</w:t>
      </w:r>
      <w:r>
        <w:t xml:space="preserve">. </w:t>
      </w:r>
    </w:p>
    <w:p w:rsidR="00187F3C" w:rsidRDefault="00187F3C" w:rsidP="007D55B1">
      <w:pPr>
        <w:pStyle w:val="ParaNumbering"/>
      </w:pPr>
      <w:r>
        <w:t xml:space="preserve">In the result, the Tribunal found that the appellant was not owed protection obligations either as a refugee or as a beneficiary of complementary protection. </w:t>
      </w:r>
    </w:p>
    <w:p w:rsidR="002608A7" w:rsidRDefault="002608A7" w:rsidP="002608A7">
      <w:pPr>
        <w:pStyle w:val="Heading1"/>
      </w:pPr>
      <w:r>
        <w:t>Federal Ci</w:t>
      </w:r>
      <w:r w:rsidR="00C21AAA">
        <w:t>r</w:t>
      </w:r>
      <w:r>
        <w:t>cuit Court Decision</w:t>
      </w:r>
    </w:p>
    <w:p w:rsidR="002608A7" w:rsidRDefault="002608A7" w:rsidP="002608A7">
      <w:pPr>
        <w:pStyle w:val="ParaNumbering"/>
      </w:pPr>
      <w:r>
        <w:t>The appellant applied for judicial review of the Tribunal’s decision by an application filed 25 June 2014. The grounds of the application were as follows (as written):</w:t>
      </w:r>
    </w:p>
    <w:p w:rsidR="002608A7" w:rsidRDefault="002608A7" w:rsidP="002608A7">
      <w:pPr>
        <w:pStyle w:val="Quote2"/>
      </w:pPr>
      <w:r>
        <w:t>1. The Applicant appeals against or in the alternative seeks a declaration as specified above regarding the entirety of the purported privative clause decision of the Refugee Review Tribunal made on 30 May 2014 on the grounds that it was not a decision under the act.</w:t>
      </w:r>
    </w:p>
    <w:p w:rsidR="002608A7" w:rsidRDefault="002608A7" w:rsidP="002608A7">
      <w:pPr>
        <w:pStyle w:val="Quote2"/>
      </w:pPr>
    </w:p>
    <w:p w:rsidR="002608A7" w:rsidRDefault="002608A7" w:rsidP="002608A7">
      <w:pPr>
        <w:pStyle w:val="Quote2"/>
        <w:jc w:val="center"/>
      </w:pPr>
      <w:r>
        <w:t>Particulars</w:t>
      </w:r>
    </w:p>
    <w:p w:rsidR="002608A7" w:rsidRDefault="002608A7" w:rsidP="002608A7">
      <w:pPr>
        <w:pStyle w:val="Quote2"/>
      </w:pPr>
    </w:p>
    <w:p w:rsidR="002608A7" w:rsidRDefault="002608A7" w:rsidP="002608A7">
      <w:pPr>
        <w:pStyle w:val="Quote2"/>
      </w:pPr>
      <w:proofErr w:type="spellStart"/>
      <w:r>
        <w:t>i</w:t>
      </w:r>
      <w:proofErr w:type="spellEnd"/>
      <w:r>
        <w:t xml:space="preserve">. Section </w:t>
      </w:r>
      <w:proofErr w:type="spellStart"/>
      <w:r>
        <w:t>5E</w:t>
      </w:r>
      <w:proofErr w:type="spellEnd"/>
    </w:p>
    <w:p w:rsidR="002608A7" w:rsidRDefault="002608A7" w:rsidP="002608A7">
      <w:pPr>
        <w:pStyle w:val="Quote2"/>
      </w:pPr>
    </w:p>
    <w:p w:rsidR="002608A7" w:rsidRDefault="002608A7" w:rsidP="002608A7">
      <w:pPr>
        <w:pStyle w:val="Quote2"/>
      </w:pPr>
      <w:r>
        <w:t xml:space="preserve">ii. Transcript and evidence, whereby the Tribunal refused to accept facts that </w:t>
      </w:r>
      <w:r>
        <w:lastRenderedPageBreak/>
        <w:t>are obvious.</w:t>
      </w:r>
    </w:p>
    <w:p w:rsidR="002608A7" w:rsidRDefault="002608A7" w:rsidP="002608A7">
      <w:pPr>
        <w:pStyle w:val="Quote2"/>
      </w:pPr>
    </w:p>
    <w:p w:rsidR="002608A7" w:rsidRDefault="002608A7" w:rsidP="002608A7">
      <w:pPr>
        <w:pStyle w:val="Quote2"/>
      </w:pPr>
      <w:r>
        <w:t>2. According to the standards of the reasonable observer, it is apprehended that the Tribunal could not have arrived at its erroneous conclusions as to the level of religious tolerance in China had it given the Applicant a fair hearing according to the requirements of the Act.</w:t>
      </w:r>
    </w:p>
    <w:p w:rsidR="002608A7" w:rsidRDefault="002608A7" w:rsidP="002608A7">
      <w:pPr>
        <w:pStyle w:val="Quote2"/>
      </w:pPr>
    </w:p>
    <w:p w:rsidR="002608A7" w:rsidRPr="002608A7" w:rsidRDefault="002608A7" w:rsidP="002608A7">
      <w:pPr>
        <w:pStyle w:val="Quote2"/>
        <w:jc w:val="center"/>
        <w:rPr>
          <w:i/>
          <w:u w:val="single"/>
        </w:rPr>
      </w:pPr>
      <w:r w:rsidRPr="002608A7">
        <w:rPr>
          <w:i/>
          <w:u w:val="single"/>
        </w:rPr>
        <w:t>Particulars</w:t>
      </w:r>
    </w:p>
    <w:p w:rsidR="002608A7" w:rsidRDefault="002608A7" w:rsidP="002608A7">
      <w:pPr>
        <w:pStyle w:val="Quote2"/>
        <w:rPr>
          <w:i/>
        </w:rPr>
      </w:pPr>
    </w:p>
    <w:p w:rsidR="002608A7" w:rsidRPr="002608A7" w:rsidRDefault="002608A7" w:rsidP="002608A7">
      <w:pPr>
        <w:pStyle w:val="Quote2"/>
        <w:rPr>
          <w:i/>
        </w:rPr>
      </w:pPr>
      <w:proofErr w:type="spellStart"/>
      <w:r w:rsidRPr="00266BD3">
        <w:t>i</w:t>
      </w:r>
      <w:proofErr w:type="spellEnd"/>
      <w:r w:rsidRPr="00266BD3">
        <w:t>.</w:t>
      </w:r>
      <w:r w:rsidRPr="002608A7">
        <w:rPr>
          <w:i/>
        </w:rPr>
        <w:t xml:space="preserve"> Including but not limited to an assertion that the intolerance of the Chinese Government towards religious practice is “improving”. </w:t>
      </w:r>
    </w:p>
    <w:p w:rsidR="002608A7" w:rsidRDefault="002608A7" w:rsidP="002608A7">
      <w:pPr>
        <w:pStyle w:val="Quote2"/>
        <w:rPr>
          <w:i/>
        </w:rPr>
      </w:pPr>
    </w:p>
    <w:p w:rsidR="002608A7" w:rsidRPr="002608A7" w:rsidRDefault="002608A7" w:rsidP="002608A7">
      <w:pPr>
        <w:pStyle w:val="Quote2"/>
        <w:rPr>
          <w:i/>
        </w:rPr>
      </w:pPr>
      <w:r w:rsidRPr="00266BD3">
        <w:t>ii.</w:t>
      </w:r>
      <w:r w:rsidRPr="002608A7">
        <w:rPr>
          <w:i/>
        </w:rPr>
        <w:t xml:space="preserve"> The consequent declaration that the Applicant will not suffer persecution on his return.</w:t>
      </w:r>
    </w:p>
    <w:p w:rsidR="002608A7" w:rsidRDefault="002608A7" w:rsidP="002608A7">
      <w:pPr>
        <w:pStyle w:val="Quote2"/>
      </w:pPr>
    </w:p>
    <w:p w:rsidR="002608A7" w:rsidRDefault="002608A7" w:rsidP="002608A7">
      <w:pPr>
        <w:pStyle w:val="Quote2"/>
      </w:pPr>
      <w:r>
        <w:t>3. The Tribunal appeared to not permit the facts as to the application of the Refugee Convention to be considered.</w:t>
      </w:r>
    </w:p>
    <w:p w:rsidR="002608A7" w:rsidRDefault="002608A7" w:rsidP="002608A7">
      <w:pPr>
        <w:pStyle w:val="Quote2"/>
      </w:pPr>
    </w:p>
    <w:p w:rsidR="002608A7" w:rsidRPr="002608A7" w:rsidRDefault="002608A7" w:rsidP="002608A7">
      <w:pPr>
        <w:pStyle w:val="Quote2"/>
        <w:jc w:val="center"/>
        <w:rPr>
          <w:i/>
        </w:rPr>
      </w:pPr>
      <w:r w:rsidRPr="002608A7">
        <w:rPr>
          <w:i/>
        </w:rPr>
        <w:t>Particulars</w:t>
      </w:r>
    </w:p>
    <w:p w:rsidR="002608A7" w:rsidRDefault="002608A7" w:rsidP="002608A7">
      <w:pPr>
        <w:pStyle w:val="Quote2"/>
        <w:rPr>
          <w:i/>
        </w:rPr>
      </w:pPr>
    </w:p>
    <w:p w:rsidR="002608A7" w:rsidRPr="002608A7" w:rsidRDefault="002608A7" w:rsidP="002608A7">
      <w:pPr>
        <w:pStyle w:val="Quote2"/>
        <w:rPr>
          <w:i/>
        </w:rPr>
      </w:pPr>
      <w:proofErr w:type="gramStart"/>
      <w:r w:rsidRPr="002608A7">
        <w:rPr>
          <w:i/>
        </w:rPr>
        <w:t>Refusal to consider obvious and well known facts regarding religious persecution in China.</w:t>
      </w:r>
      <w:proofErr w:type="gramEnd"/>
    </w:p>
    <w:p w:rsidR="002608A7" w:rsidRDefault="002608A7" w:rsidP="002608A7">
      <w:pPr>
        <w:pStyle w:val="Quote2"/>
      </w:pPr>
    </w:p>
    <w:p w:rsidR="002608A7" w:rsidRDefault="002608A7" w:rsidP="002608A7">
      <w:pPr>
        <w:pStyle w:val="Quote2"/>
      </w:pPr>
      <w:r>
        <w:t xml:space="preserve">4. The Tribunal was apparently so predisposed to refuse to believe the applicant as to deny them procedural fairness by way of statutory breach </w:t>
      </w:r>
    </w:p>
    <w:p w:rsidR="002608A7" w:rsidRDefault="002608A7" w:rsidP="002608A7">
      <w:pPr>
        <w:pStyle w:val="Quote2"/>
      </w:pPr>
    </w:p>
    <w:p w:rsidR="002608A7" w:rsidRDefault="002608A7" w:rsidP="002608A7">
      <w:pPr>
        <w:pStyle w:val="Quote2"/>
      </w:pPr>
      <w:r>
        <w:t xml:space="preserve">5. The Tribunal’s conclusion was encumbered by characteristics which would lead a reasonable person to apprehend bias, and was thus not an effective decision that is protected by Section 474. </w:t>
      </w:r>
    </w:p>
    <w:p w:rsidR="002608A7" w:rsidRDefault="002608A7" w:rsidP="002608A7">
      <w:pPr>
        <w:pStyle w:val="Quote2"/>
      </w:pPr>
    </w:p>
    <w:p w:rsidR="00A8505F" w:rsidRDefault="002608A7" w:rsidP="002608A7">
      <w:pPr>
        <w:pStyle w:val="Quote2"/>
      </w:pPr>
      <w:r>
        <w:t>6. Such other grounds as this Honourable Court may deem just.</w:t>
      </w:r>
      <w:r w:rsidR="009B1BFB">
        <w:t xml:space="preserve"> </w:t>
      </w:r>
    </w:p>
    <w:p w:rsidR="007816DC" w:rsidRDefault="007816DC" w:rsidP="002608A7">
      <w:pPr>
        <w:pStyle w:val="ParaNumbering"/>
      </w:pPr>
      <w:r>
        <w:t xml:space="preserve">The appellant also handed up written submissions at the hearing. The primary judge found that there was a large overlap between the written submissions and the grounds of application; the primary judge decided to consider the application primarily by reference to the matters raised in the written submissions. </w:t>
      </w:r>
    </w:p>
    <w:p w:rsidR="00371C2C" w:rsidRDefault="00371C2C" w:rsidP="002608A7">
      <w:pPr>
        <w:pStyle w:val="ParaNumbering"/>
      </w:pPr>
      <w:r>
        <w:t>First, the primary judge found that paragraphs 1-8 and 19 of the written submissions repeated the app</w:t>
      </w:r>
      <w:r w:rsidR="00266BD3">
        <w:t>ellant</w:t>
      </w:r>
      <w:r>
        <w:t xml:space="preserve">’s claims made to the Tribunal; they therefore sought impermissible merits review: </w:t>
      </w:r>
      <w:proofErr w:type="spellStart"/>
      <w:r>
        <w:rPr>
          <w:i/>
        </w:rPr>
        <w:t>SZUOY</w:t>
      </w:r>
      <w:proofErr w:type="spellEnd"/>
      <w:r>
        <w:rPr>
          <w:i/>
        </w:rPr>
        <w:t xml:space="preserve"> </w:t>
      </w:r>
      <w:r>
        <w:t xml:space="preserve">at [14]. </w:t>
      </w:r>
    </w:p>
    <w:p w:rsidR="00371C2C" w:rsidRDefault="00371C2C" w:rsidP="002608A7">
      <w:pPr>
        <w:pStyle w:val="ParaNumbering"/>
      </w:pPr>
      <w:r>
        <w:t>Paragraph 9 complained that that the delegate and the Tribunal had searched for something until they “caught [him] out”</w:t>
      </w:r>
      <w:r w:rsidR="00E30F44">
        <w:t xml:space="preserve">; he explained by way of example that </w:t>
      </w:r>
      <w:r>
        <w:t>he had been unable to recite the opening verses of some of the gospels in the Bible. The primary judge held that this ground did not raise jurisdictional error</w:t>
      </w:r>
      <w:r w:rsidR="0063139B">
        <w:t xml:space="preserve">: </w:t>
      </w:r>
      <w:proofErr w:type="spellStart"/>
      <w:r w:rsidR="0063139B">
        <w:rPr>
          <w:i/>
        </w:rPr>
        <w:t>SZUOY</w:t>
      </w:r>
      <w:proofErr w:type="spellEnd"/>
      <w:r w:rsidR="0063139B">
        <w:rPr>
          <w:i/>
        </w:rPr>
        <w:t xml:space="preserve"> </w:t>
      </w:r>
      <w:r w:rsidR="0063139B">
        <w:t>at [15]-[16]. The transcript did not reveal that the Tribunal had asked the app</w:t>
      </w:r>
      <w:r w:rsidR="00266BD3">
        <w:t>ellant</w:t>
      </w:r>
      <w:r w:rsidR="0063139B">
        <w:t xml:space="preserve"> questions about his knowledge of the gospels, and </w:t>
      </w:r>
      <w:r w:rsidR="0063139B">
        <w:lastRenderedPageBreak/>
        <w:t>the Tribunal did not rely on the app</w:t>
      </w:r>
      <w:r w:rsidR="00266BD3">
        <w:t>ellant</w:t>
      </w:r>
      <w:r w:rsidR="0063139B">
        <w:t>’s knowledge of the gospels or of Christianity as a reason for rejecting the app</w:t>
      </w:r>
      <w:r w:rsidR="00266BD3">
        <w:t>ellant</w:t>
      </w:r>
      <w:r w:rsidR="0063139B">
        <w:t xml:space="preserve">’s claims. </w:t>
      </w:r>
    </w:p>
    <w:p w:rsidR="0063139B" w:rsidRDefault="0063139B" w:rsidP="002608A7">
      <w:pPr>
        <w:pStyle w:val="ParaNumbering"/>
      </w:pPr>
      <w:r>
        <w:t>In paragraph 10, the app</w:t>
      </w:r>
      <w:r w:rsidR="00266BD3">
        <w:t>ellant</w:t>
      </w:r>
      <w:r>
        <w:t xml:space="preserve"> submitted that the Tribunal “got that ‘country information’ wrong”, being information regarding the treatment of the </w:t>
      </w:r>
      <w:r w:rsidR="00361C6F">
        <w:t xml:space="preserve">“Shouters” churches. The primary judge rejected this submission because it sought merits review; the weight to place on country information was a matter for the Tribunal: </w:t>
      </w:r>
      <w:proofErr w:type="spellStart"/>
      <w:r w:rsidR="00361C6F">
        <w:rPr>
          <w:i/>
        </w:rPr>
        <w:t>SZUOY</w:t>
      </w:r>
      <w:proofErr w:type="spellEnd"/>
      <w:r w:rsidR="00361C6F">
        <w:rPr>
          <w:i/>
        </w:rPr>
        <w:t xml:space="preserve"> </w:t>
      </w:r>
      <w:r w:rsidR="00361C6F">
        <w:t>at [17].</w:t>
      </w:r>
    </w:p>
    <w:p w:rsidR="00361C6F" w:rsidRDefault="00007791" w:rsidP="002608A7">
      <w:pPr>
        <w:pStyle w:val="ParaNumbering"/>
      </w:pPr>
      <w:r>
        <w:t>Paragraphs 11 and 12 contained allegations that the app</w:t>
      </w:r>
      <w:r w:rsidR="00266BD3">
        <w:t>ellant</w:t>
      </w:r>
      <w:r>
        <w:t xml:space="preserve"> had been denied a fair hearing and that the Tribunal was not going to believe him regardless of what he said.</w:t>
      </w:r>
      <w:r w:rsidR="005B505C">
        <w:t xml:space="preserve"> The app</w:t>
      </w:r>
      <w:r w:rsidR="00266BD3">
        <w:t xml:space="preserve">ellant </w:t>
      </w:r>
      <w:r w:rsidR="005B505C">
        <w:t>referred to the fact that the Tribunal concluded that the app</w:t>
      </w:r>
      <w:r w:rsidR="00266BD3">
        <w:t>ellant</w:t>
      </w:r>
      <w:r w:rsidR="005B505C">
        <w:t xml:space="preserve"> “may have worked” on a pig farm, even though the Tribunal, contrary to the delegate, found that the app</w:t>
      </w:r>
      <w:r w:rsidR="00266BD3">
        <w:t>ellant</w:t>
      </w:r>
      <w:r w:rsidR="005B505C">
        <w:t xml:space="preserve"> was aware of the breed of pigs in his district.</w:t>
      </w:r>
      <w:r>
        <w:t xml:space="preserve"> </w:t>
      </w:r>
      <w:r w:rsidR="005B505C">
        <w:t xml:space="preserve">The primary judge rejected these submissions because the Tribunal’s conclusion did not itself indicate any unfairness: </w:t>
      </w:r>
      <w:proofErr w:type="spellStart"/>
      <w:r w:rsidR="005B505C">
        <w:rPr>
          <w:i/>
        </w:rPr>
        <w:t>SZUOY</w:t>
      </w:r>
      <w:proofErr w:type="spellEnd"/>
      <w:r w:rsidR="005B505C">
        <w:rPr>
          <w:i/>
        </w:rPr>
        <w:t xml:space="preserve"> </w:t>
      </w:r>
      <w:r w:rsidR="005B505C">
        <w:t>at [18].</w:t>
      </w:r>
      <w:r w:rsidR="009B1BFB">
        <w:t xml:space="preserve"> </w:t>
      </w:r>
    </w:p>
    <w:p w:rsidR="00007791" w:rsidRDefault="005B505C" w:rsidP="002608A7">
      <w:pPr>
        <w:pStyle w:val="ParaNumbering"/>
      </w:pPr>
      <w:r>
        <w:t>The app</w:t>
      </w:r>
      <w:r w:rsidR="00266BD3">
        <w:t>ellant</w:t>
      </w:r>
      <w:r>
        <w:t xml:space="preserve"> submitted at paragraphs 13, 14 and 18 that the Tribunal member had decided the matter before she heard the app</w:t>
      </w:r>
      <w:r w:rsidR="00266BD3">
        <w:t>ellant</w:t>
      </w:r>
      <w:r>
        <w:t>, on the basis of: the length of the Tribunal hearing</w:t>
      </w:r>
      <w:r w:rsidR="00020D63">
        <w:t xml:space="preserve"> (about an hour)</w:t>
      </w:r>
      <w:r>
        <w:t xml:space="preserve">; that the Tribunal member “seemed in a hurry to get [him] out the door”; that the Tribunal member did not believe the witnesses; and that </w:t>
      </w:r>
      <w:r w:rsidR="00E30F44">
        <w:t xml:space="preserve">he had the impression that </w:t>
      </w:r>
      <w:r>
        <w:t xml:space="preserve">the member had written </w:t>
      </w:r>
      <w:r w:rsidR="00E30F44">
        <w:t xml:space="preserve">much of </w:t>
      </w:r>
      <w:r>
        <w:t xml:space="preserve">her decision before the hearing. </w:t>
      </w:r>
      <w:r w:rsidR="00020D63">
        <w:t>Having considered a transcript of the hearing, t</w:t>
      </w:r>
      <w:r>
        <w:t xml:space="preserve">he primary judge found that the Tribunal member appropriately put </w:t>
      </w:r>
      <w:r w:rsidR="003C3D79">
        <w:t xml:space="preserve">the issues she had with their evidence </w:t>
      </w:r>
      <w:r>
        <w:t xml:space="preserve">to the witnesses; the expression of those views did not manifest any actual bias or give rise to a reasonable apprehension of bias: </w:t>
      </w:r>
      <w:proofErr w:type="spellStart"/>
      <w:r>
        <w:rPr>
          <w:i/>
        </w:rPr>
        <w:t>SZUOY</w:t>
      </w:r>
      <w:proofErr w:type="spellEnd"/>
      <w:r>
        <w:rPr>
          <w:i/>
        </w:rPr>
        <w:t xml:space="preserve"> </w:t>
      </w:r>
      <w:r>
        <w:t>at [20]-[21]. In addition, there was nothing to suggest that the Tribunal did not accord the app</w:t>
      </w:r>
      <w:r w:rsidR="00266BD3">
        <w:t>ellant</w:t>
      </w:r>
      <w:r>
        <w:t xml:space="preserve"> a </w:t>
      </w:r>
      <w:r w:rsidR="00E30F44">
        <w:t xml:space="preserve">fair </w:t>
      </w:r>
      <w:r>
        <w:t xml:space="preserve">hearing as required by s 425(1) of the </w:t>
      </w:r>
      <w:r>
        <w:rPr>
          <w:i/>
        </w:rPr>
        <w:t xml:space="preserve">Migration Act 1958 </w:t>
      </w:r>
      <w:r>
        <w:t>(</w:t>
      </w:r>
      <w:proofErr w:type="spellStart"/>
      <w:r>
        <w:t>Cth</w:t>
      </w:r>
      <w:proofErr w:type="spellEnd"/>
      <w:r>
        <w:t xml:space="preserve">): </w:t>
      </w:r>
      <w:proofErr w:type="spellStart"/>
      <w:r>
        <w:rPr>
          <w:i/>
        </w:rPr>
        <w:t>SZUOY</w:t>
      </w:r>
      <w:proofErr w:type="spellEnd"/>
      <w:r>
        <w:rPr>
          <w:i/>
        </w:rPr>
        <w:t xml:space="preserve"> </w:t>
      </w:r>
      <w:r>
        <w:t xml:space="preserve">at [21]. </w:t>
      </w:r>
    </w:p>
    <w:p w:rsidR="005B505C" w:rsidRDefault="005B505C" w:rsidP="002608A7">
      <w:pPr>
        <w:pStyle w:val="ParaNumbering"/>
      </w:pPr>
      <w:r>
        <w:t>Paragraph 15 complains about the Tribunal member’s repeated reference</w:t>
      </w:r>
      <w:r w:rsidR="00E30F44">
        <w:t>s</w:t>
      </w:r>
      <w:r>
        <w:t xml:space="preserve"> to the 4</w:t>
      </w:r>
      <w:r w:rsidR="00AF3E9C">
        <w:t>,</w:t>
      </w:r>
      <w:r>
        <w:t>000 seat church in Fujian</w:t>
      </w:r>
      <w:r w:rsidR="001B3E34">
        <w:t xml:space="preserve"> and</w:t>
      </w:r>
      <w:r w:rsidR="00266BD3">
        <w:t xml:space="preserve"> that the member</w:t>
      </w:r>
      <w:r w:rsidR="001B3E34">
        <w:t xml:space="preserve"> “would [not] listen to the obvious”. The primary judge did not accept this submission insofar as it claimed that the Tribunal did not consider the app</w:t>
      </w:r>
      <w:r w:rsidR="00266BD3">
        <w:t>ellant</w:t>
      </w:r>
      <w:r w:rsidR="001B3E34">
        <w:t xml:space="preserve">’s response to country information put to him relating to the </w:t>
      </w:r>
      <w:proofErr w:type="spellStart"/>
      <w:r w:rsidR="001B3E34">
        <w:t>Longtian</w:t>
      </w:r>
      <w:proofErr w:type="spellEnd"/>
      <w:r w:rsidR="001B3E34">
        <w:t xml:space="preserve"> church: </w:t>
      </w:r>
      <w:proofErr w:type="spellStart"/>
      <w:r w:rsidR="001B3E34">
        <w:rPr>
          <w:i/>
        </w:rPr>
        <w:t>SZUOY</w:t>
      </w:r>
      <w:proofErr w:type="spellEnd"/>
      <w:r w:rsidR="001B3E34">
        <w:rPr>
          <w:i/>
        </w:rPr>
        <w:t xml:space="preserve"> </w:t>
      </w:r>
      <w:r w:rsidR="001B3E34">
        <w:t>at [22]. The Tribunal rejected the app</w:t>
      </w:r>
      <w:r w:rsidR="00266BD3">
        <w:t>ellant</w:t>
      </w:r>
      <w:r w:rsidR="001B3E34">
        <w:t xml:space="preserve">’s explanation about his Local Church being different from the one which existed in </w:t>
      </w:r>
      <w:proofErr w:type="spellStart"/>
      <w:r w:rsidR="001B3E34">
        <w:t>Longtian</w:t>
      </w:r>
      <w:proofErr w:type="spellEnd"/>
      <w:r w:rsidR="001B3E34">
        <w:t xml:space="preserve"> as “fanciful and fabricated” on the basis of evidence from both the app</w:t>
      </w:r>
      <w:r w:rsidR="00266BD3">
        <w:t>ellant</w:t>
      </w:r>
      <w:r w:rsidR="001B3E34">
        <w:t xml:space="preserve"> and from one of the witnesses called by the app</w:t>
      </w:r>
      <w:r w:rsidR="00266BD3">
        <w:t>ellant</w:t>
      </w:r>
      <w:r w:rsidR="001B3E34">
        <w:t xml:space="preserve">: </w:t>
      </w:r>
      <w:proofErr w:type="spellStart"/>
      <w:r w:rsidR="001B3E34">
        <w:rPr>
          <w:i/>
        </w:rPr>
        <w:t>SZUOY</w:t>
      </w:r>
      <w:proofErr w:type="spellEnd"/>
      <w:r w:rsidR="001B3E34">
        <w:rPr>
          <w:i/>
        </w:rPr>
        <w:t xml:space="preserve"> </w:t>
      </w:r>
      <w:r w:rsidR="001B3E34">
        <w:t xml:space="preserve">at [24]. </w:t>
      </w:r>
    </w:p>
    <w:p w:rsidR="001B3E34" w:rsidRDefault="001B3E34" w:rsidP="002608A7">
      <w:pPr>
        <w:pStyle w:val="ParaNumbering"/>
      </w:pPr>
      <w:r>
        <w:lastRenderedPageBreak/>
        <w:t>Finally, in relation to paragraphs 16 and 17, the app</w:t>
      </w:r>
      <w:r w:rsidR="00266BD3">
        <w:t>ellant</w:t>
      </w:r>
      <w:r>
        <w:t xml:space="preserve"> disagreed with the Tribunal’s reliance on the app</w:t>
      </w:r>
      <w:r w:rsidR="00266BD3">
        <w:t>ellant</w:t>
      </w:r>
      <w:r>
        <w:t>’s not having sent money to China as a reason for not accepting the app</w:t>
      </w:r>
      <w:r w:rsidR="00266BD3">
        <w:t>ellant</w:t>
      </w:r>
      <w:r>
        <w:t>’s explanation for his family not moving from the place at which the app</w:t>
      </w:r>
      <w:r w:rsidR="00266BD3">
        <w:t>ellant</w:t>
      </w:r>
      <w:r>
        <w:t xml:space="preserve"> feared harm. The primary judge held that these paragraphs sought impermissible merits review: </w:t>
      </w:r>
      <w:proofErr w:type="spellStart"/>
      <w:r>
        <w:rPr>
          <w:i/>
        </w:rPr>
        <w:t>SZUOY</w:t>
      </w:r>
      <w:proofErr w:type="spellEnd"/>
      <w:r>
        <w:rPr>
          <w:i/>
        </w:rPr>
        <w:t xml:space="preserve"> </w:t>
      </w:r>
      <w:r>
        <w:t xml:space="preserve">at [25]. </w:t>
      </w:r>
    </w:p>
    <w:p w:rsidR="00DB6C33" w:rsidRDefault="00DB6C33" w:rsidP="002608A7">
      <w:pPr>
        <w:pStyle w:val="ParaNumbering"/>
      </w:pPr>
      <w:r>
        <w:t>The primary judge</w:t>
      </w:r>
      <w:r w:rsidR="007816DC">
        <w:t xml:space="preserve"> then</w:t>
      </w:r>
      <w:r>
        <w:t xml:space="preserve"> dismissed the grounds listed in the application at [26]-[27] of </w:t>
      </w:r>
      <w:proofErr w:type="spellStart"/>
      <w:r>
        <w:rPr>
          <w:i/>
        </w:rPr>
        <w:t>SZUOY</w:t>
      </w:r>
      <w:proofErr w:type="spellEnd"/>
      <w:r>
        <w:rPr>
          <w:i/>
        </w:rPr>
        <w:t xml:space="preserve"> </w:t>
      </w:r>
      <w:r>
        <w:t>as follows:</w:t>
      </w:r>
    </w:p>
    <w:p w:rsidR="00DB6C33" w:rsidRPr="00DB6C33" w:rsidRDefault="00DA1C43" w:rsidP="00DB6C33">
      <w:pPr>
        <w:pStyle w:val="Quote2"/>
        <w:rPr>
          <w:lang w:eastAsia="en-AU"/>
        </w:rPr>
      </w:pPr>
      <w:r>
        <w:rPr>
          <w:lang w:eastAsia="en-AU"/>
        </w:rPr>
        <w:t xml:space="preserve">[26] </w:t>
      </w:r>
      <w:r w:rsidR="00DB6C33" w:rsidRPr="00DB6C33">
        <w:rPr>
          <w:lang w:eastAsia="en-AU"/>
        </w:rPr>
        <w:t xml:space="preserve">The first ground of the application is a bald assertion that the Tribunal’s decision was not one authorised or made under the Act. By itself, it does not identify any jurisdictional error by the Tribunal. The remaining grounds are all to the same effect, namely, the Tribunal conducted itself in such manner as to give rise to a reasonable apprehension of bias. The only submissions the applicant made in support of that claim are those the applicant made in the Written Submissions which I have already considered and not accepted. </w:t>
      </w:r>
    </w:p>
    <w:p w:rsidR="00DB6C33" w:rsidRDefault="00DB6C33" w:rsidP="00DB6C33">
      <w:pPr>
        <w:pStyle w:val="Quote2"/>
        <w:rPr>
          <w:lang w:eastAsia="en-AU"/>
        </w:rPr>
      </w:pPr>
    </w:p>
    <w:p w:rsidR="00DB6C33" w:rsidRPr="00DB6C33" w:rsidRDefault="00DA1C43" w:rsidP="00DB6C33">
      <w:pPr>
        <w:pStyle w:val="Quote2"/>
        <w:rPr>
          <w:lang w:eastAsia="en-AU"/>
        </w:rPr>
      </w:pPr>
      <w:r>
        <w:rPr>
          <w:lang w:eastAsia="en-AU"/>
        </w:rPr>
        <w:t>[27] …</w:t>
      </w:r>
      <w:r w:rsidR="00DB6C33" w:rsidRPr="00DB6C33">
        <w:rPr>
          <w:lang w:eastAsia="en-AU"/>
        </w:rPr>
        <w:t xml:space="preserve"> the applicant made one submission in relation to the grounds stated in the application, and that was in relation to ground 2. The applicant claimed he attended the Local Church, he was persecuted by the government, and that if he returned to China he would be arrested. These submissions seek to restate the claims the applicant made before the Tribunal, and disclose no jurisdictional error.</w:t>
      </w:r>
    </w:p>
    <w:p w:rsidR="005554C4" w:rsidRDefault="005554C4" w:rsidP="002608A7">
      <w:pPr>
        <w:pStyle w:val="ParaNumbering"/>
      </w:pPr>
      <w:r>
        <w:t xml:space="preserve">In the result, the primary judge found that the Tribunal did not commit any jurisdictional error. </w:t>
      </w:r>
    </w:p>
    <w:p w:rsidR="00F254A5" w:rsidRDefault="00F254A5" w:rsidP="00F254A5">
      <w:pPr>
        <w:pStyle w:val="Heading1"/>
      </w:pPr>
      <w:r>
        <w:t>Appeal to this Court</w:t>
      </w:r>
    </w:p>
    <w:p w:rsidR="00F254A5" w:rsidRDefault="00F254A5" w:rsidP="00F254A5">
      <w:pPr>
        <w:pStyle w:val="ParaNumbering"/>
      </w:pPr>
      <w:r>
        <w:t>There are three grounds of appeal</w:t>
      </w:r>
      <w:r w:rsidR="00286876">
        <w:t xml:space="preserve"> listed in the appellant’s notice of appeal filed in this Court on 12 June 2015</w:t>
      </w:r>
      <w:r>
        <w:t>. They are (as written):</w:t>
      </w:r>
    </w:p>
    <w:p w:rsidR="00F254A5" w:rsidRDefault="00F254A5" w:rsidP="00F254A5">
      <w:pPr>
        <w:pStyle w:val="Quote2"/>
      </w:pPr>
      <w:r>
        <w:t xml:space="preserve">1. </w:t>
      </w:r>
      <w:proofErr w:type="spellStart"/>
      <w:r>
        <w:t>RRT</w:t>
      </w:r>
      <w:proofErr w:type="spellEnd"/>
      <w:r>
        <w:t xml:space="preserve"> has bias against me as I was deprived of the benefits of doubts.</w:t>
      </w:r>
    </w:p>
    <w:p w:rsidR="00F254A5" w:rsidRDefault="00F254A5" w:rsidP="00F254A5">
      <w:pPr>
        <w:pStyle w:val="Quote2"/>
      </w:pPr>
    </w:p>
    <w:p w:rsidR="00F254A5" w:rsidRDefault="00F254A5" w:rsidP="00F254A5">
      <w:pPr>
        <w:pStyle w:val="Quote2"/>
      </w:pPr>
      <w:r>
        <w:t xml:space="preserve">2. </w:t>
      </w:r>
      <w:proofErr w:type="spellStart"/>
      <w:r>
        <w:t>RRT</w:t>
      </w:r>
      <w:proofErr w:type="spellEnd"/>
      <w:r>
        <w:t xml:space="preserve"> has denied me procedural fairness by failing to provide adequate reasons for the finding of a fact.</w:t>
      </w:r>
    </w:p>
    <w:p w:rsidR="00F254A5" w:rsidRDefault="00F254A5" w:rsidP="00F254A5">
      <w:pPr>
        <w:pStyle w:val="Quote2"/>
      </w:pPr>
    </w:p>
    <w:p w:rsidR="00F254A5" w:rsidRDefault="00F254A5" w:rsidP="00F254A5">
      <w:pPr>
        <w:pStyle w:val="Quote2"/>
      </w:pPr>
      <w:r>
        <w:t>3. The Tribunal under evaluated the risk of serious harm that I will face if going back to China.</w:t>
      </w:r>
    </w:p>
    <w:p w:rsidR="00286876" w:rsidRDefault="00286876" w:rsidP="002608A7">
      <w:pPr>
        <w:pStyle w:val="ParaNumbering"/>
      </w:pPr>
      <w:r>
        <w:t>The appellant filed an affidavit on the same date, in which he states that all the evidence he gave to the Tribunal and to the primary judge was true and that he wished to seek review of his case.</w:t>
      </w:r>
    </w:p>
    <w:p w:rsidR="00286876" w:rsidRDefault="00286876" w:rsidP="002608A7">
      <w:pPr>
        <w:pStyle w:val="ParaNumbering"/>
      </w:pPr>
      <w:r>
        <w:t xml:space="preserve">The appellant </w:t>
      </w:r>
      <w:r w:rsidR="00733565">
        <w:t xml:space="preserve">also provided </w:t>
      </w:r>
      <w:r>
        <w:t xml:space="preserve">written submissions as an annexure to a second affidavit filed in this Court on 19 July 2015. The written submissions contain two introductory paragraphs and </w:t>
      </w:r>
      <w:r>
        <w:lastRenderedPageBreak/>
        <w:t xml:space="preserve">then 19 numbered paragraphs. </w:t>
      </w:r>
      <w:r w:rsidR="00B75602">
        <w:t>Except for the deletion of one introductory paragraph relating to the loss of the app</w:t>
      </w:r>
      <w:r w:rsidR="00E30F44">
        <w:t>ellant</w:t>
      </w:r>
      <w:r w:rsidR="00B75602">
        <w:t>’s lawyer, the written submissions filed in this Court are identical to those filed in the</w:t>
      </w:r>
      <w:r w:rsidR="00020D63">
        <w:t xml:space="preserve"> Federal Circuit Court</w:t>
      </w:r>
      <w:r w:rsidR="00B75602">
        <w:t xml:space="preserve">. </w:t>
      </w:r>
    </w:p>
    <w:p w:rsidR="00733565" w:rsidRDefault="00733565" w:rsidP="002608A7">
      <w:pPr>
        <w:pStyle w:val="ParaNumbering"/>
      </w:pPr>
      <w:r>
        <w:t xml:space="preserve">In addition to the copies of the Decision Record and the primary judge’s reasons, the </w:t>
      </w:r>
      <w:r w:rsidR="00266BD3">
        <w:t xml:space="preserve">Appeal </w:t>
      </w:r>
      <w:r>
        <w:t>Book contained a copy of the submissions provided to the Tribunal by the appellant’s migration agent after the Tribunal hearing and a copy of the transcript of the Tribunal hearing.</w:t>
      </w:r>
    </w:p>
    <w:p w:rsidR="00020D63" w:rsidRDefault="00733565" w:rsidP="002608A7">
      <w:pPr>
        <w:pStyle w:val="ParaNumbering"/>
      </w:pPr>
      <w:r>
        <w:t>The app</w:t>
      </w:r>
      <w:r w:rsidR="00266BD3">
        <w:t>ellant</w:t>
      </w:r>
      <w:r>
        <w:t xml:space="preserve"> appeared at the hearing with the assistance of an interpreter.</w:t>
      </w:r>
    </w:p>
    <w:p w:rsidR="00020D63" w:rsidRDefault="00C202C4" w:rsidP="002608A7">
      <w:pPr>
        <w:pStyle w:val="ParaNumbering"/>
      </w:pPr>
      <w:r>
        <w:t>Although the grounds of the appea</w:t>
      </w:r>
      <w:r w:rsidR="00E27AB5">
        <w:t xml:space="preserve">l are slightly differently cast compared with </w:t>
      </w:r>
      <w:r>
        <w:t>the grounds of the application considered by the primary judge</w:t>
      </w:r>
      <w:r w:rsidR="00E27AB5">
        <w:t xml:space="preserve">, </w:t>
      </w:r>
      <w:r>
        <w:t xml:space="preserve">the matters raised </w:t>
      </w:r>
      <w:r w:rsidR="00E27AB5">
        <w:t xml:space="preserve">by the appellant </w:t>
      </w:r>
      <w:r>
        <w:t xml:space="preserve">in </w:t>
      </w:r>
      <w:r w:rsidR="00E27AB5">
        <w:t xml:space="preserve">his </w:t>
      </w:r>
      <w:r>
        <w:t>written and oral submissions</w:t>
      </w:r>
      <w:r w:rsidR="00E27AB5">
        <w:t xml:space="preserve"> are </w:t>
      </w:r>
      <w:r>
        <w:t>the same.</w:t>
      </w:r>
      <w:r w:rsidR="009B1BFB">
        <w:t xml:space="preserve"> </w:t>
      </w:r>
      <w:r w:rsidR="00E27AB5">
        <w:t xml:space="preserve">The Minister correctly submits that the appellant’s grounds </w:t>
      </w:r>
      <w:r w:rsidR="00AA2783">
        <w:t xml:space="preserve">do not set out any ground of error by the primary judge; a claim of error must </w:t>
      </w:r>
      <w:r w:rsidR="00266BD3">
        <w:t xml:space="preserve">be </w:t>
      </w:r>
      <w:r w:rsidR="00AA2783">
        <w:t>implied from the restated complaints concerning the Tribunal’s conduct, reasoning and decision.</w:t>
      </w:r>
    </w:p>
    <w:p w:rsidR="00031EFB" w:rsidRDefault="00E27AB5" w:rsidP="00974C3A">
      <w:pPr>
        <w:pStyle w:val="ParaNumbering"/>
      </w:pPr>
      <w:r>
        <w:t>In relation the</w:t>
      </w:r>
      <w:r w:rsidR="00031EFB">
        <w:t xml:space="preserve"> first ground:</w:t>
      </w:r>
      <w:r w:rsidR="009B1BFB">
        <w:t xml:space="preserve"> </w:t>
      </w:r>
      <w:r w:rsidR="00031EFB">
        <w:t>From my review of the transcript of the hearing and the Decision Record, i</w:t>
      </w:r>
      <w:r>
        <w:t>t is plain that the Tribunal member had a number of issues relating to the appellant’s application arising out of the interview with the delegate. It appears that an interpretation error during the interview with the delegate (in relation to whether the appellant was able to name types of pigs kept by his father) raised a credibility issue which was in part addressed by correct interpretation at the Tribunal</w:t>
      </w:r>
      <w:r w:rsidR="00C21AAA">
        <w:t xml:space="preserve"> hearing</w:t>
      </w:r>
      <w:r w:rsidR="00AA2783">
        <w:t>; it is unfortunate that a credibility issue can arise in this way</w:t>
      </w:r>
      <w:r>
        <w:t xml:space="preserve">. </w:t>
      </w:r>
    </w:p>
    <w:p w:rsidR="00E27AB5" w:rsidRDefault="00E27AB5" w:rsidP="00974C3A">
      <w:pPr>
        <w:pStyle w:val="ParaNumbering"/>
      </w:pPr>
      <w:r>
        <w:t xml:space="preserve">Each of the issues of concern to the Tribunal member was raised with the appellant and with two witnesses who are members of the Local Church in Sydney. While that process caused concern to the appellant that he was not believed and that the Tribunal member was biased against him, </w:t>
      </w:r>
      <w:r w:rsidR="00AF3E9C">
        <w:t xml:space="preserve">it was appropriate for </w:t>
      </w:r>
      <w:r>
        <w:t>the Tribunal member</w:t>
      </w:r>
      <w:r w:rsidR="00AF3E9C">
        <w:t xml:space="preserve"> to put issues of concern to the appellant to give </w:t>
      </w:r>
      <w:r w:rsidR="00925F81">
        <w:t xml:space="preserve">him an opportunity to comment. </w:t>
      </w:r>
      <w:r w:rsidR="00AF3E9C">
        <w:t xml:space="preserve">The Tribunal member would be required to put “information” (other than information which falls within s </w:t>
      </w:r>
      <w:proofErr w:type="spellStart"/>
      <w:proofErr w:type="gramStart"/>
      <w:r w:rsidR="00AF3E9C">
        <w:t>424A</w:t>
      </w:r>
      <w:proofErr w:type="spellEnd"/>
      <w:r w:rsidR="00AF3E9C">
        <w:t>(</w:t>
      </w:r>
      <w:proofErr w:type="gramEnd"/>
      <w:r w:rsidR="00AF3E9C">
        <w:t xml:space="preserve">3)) which would be a reason or part of a reason for affirming the delegate’s decision to the appellant at the hearing or in writing in accordance with </w:t>
      </w:r>
      <w:proofErr w:type="spellStart"/>
      <w:r w:rsidR="00AA2783">
        <w:t>ss</w:t>
      </w:r>
      <w:proofErr w:type="spellEnd"/>
      <w:r w:rsidR="00AA2783">
        <w:t xml:space="preserve"> </w:t>
      </w:r>
      <w:proofErr w:type="spellStart"/>
      <w:r w:rsidR="00AA2783">
        <w:t>424AA</w:t>
      </w:r>
      <w:proofErr w:type="spellEnd"/>
      <w:r w:rsidR="00AA2783">
        <w:t xml:space="preserve"> and </w:t>
      </w:r>
      <w:proofErr w:type="spellStart"/>
      <w:r w:rsidR="00AA2783">
        <w:t>424A</w:t>
      </w:r>
      <w:proofErr w:type="spellEnd"/>
      <w:r w:rsidR="00AA2783">
        <w:t xml:space="preserve"> of the Migration Act</w:t>
      </w:r>
      <w:r>
        <w:t>.</w:t>
      </w:r>
      <w:r w:rsidR="009B1BFB">
        <w:t xml:space="preserve"> </w:t>
      </w:r>
      <w:r w:rsidR="00974C3A">
        <w:t xml:space="preserve">I do not perceive from the questioning by the Tribunal member at the hearing, by reason of the length of the Tribunal hearing or from the Tribunal </w:t>
      </w:r>
      <w:r w:rsidR="00C21AAA">
        <w:t>R</w:t>
      </w:r>
      <w:r w:rsidR="00974C3A">
        <w:t xml:space="preserve">ecord evidence that the Tribunal member’s mind was </w:t>
      </w:r>
      <w:r w:rsidR="00974C3A">
        <w:lastRenderedPageBreak/>
        <w:t>not open to persuasion or that a hypothetical fair-minded lay person who is properly informed as to the nature of the proceedin</w:t>
      </w:r>
      <w:r w:rsidR="00031EFB">
        <w:t>gs, the matters in issue and that conduct would think that the Tribunal member was biased</w:t>
      </w:r>
      <w:r w:rsidR="00974C3A">
        <w:t>.</w:t>
      </w:r>
      <w:r w:rsidR="00031EFB">
        <w:t xml:space="preserve"> Robust questioning and the tentative expression of views do not establish bias.</w:t>
      </w:r>
      <w:r w:rsidR="009B1BFB">
        <w:t xml:space="preserve"> </w:t>
      </w:r>
      <w:r w:rsidR="00AF3E9C">
        <w:t xml:space="preserve">There is no indication that the Tribunal member sought to prevent the appellant from putting any evidence or submission that he wished to at the hearing and the Tribunal member received written submissions after it. </w:t>
      </w:r>
      <w:r w:rsidR="00031EFB">
        <w:t xml:space="preserve">I do not perceive legal error in the way the primary judge dealt with the issue of bias at </w:t>
      </w:r>
      <w:proofErr w:type="spellStart"/>
      <w:r w:rsidR="00031EFB">
        <w:rPr>
          <w:i/>
        </w:rPr>
        <w:t>SZUOY</w:t>
      </w:r>
      <w:proofErr w:type="spellEnd"/>
      <w:r w:rsidR="00031EFB">
        <w:rPr>
          <w:i/>
        </w:rPr>
        <w:t xml:space="preserve"> </w:t>
      </w:r>
      <w:r w:rsidR="00031EFB">
        <w:t>at [18]-[21].</w:t>
      </w:r>
      <w:r w:rsidR="009B1BFB">
        <w:t xml:space="preserve"> </w:t>
      </w:r>
      <w:r w:rsidR="00031EFB">
        <w:t>Further, insofar as the appellant now suggests that he was not given the benefit of the doubt, it has little (if any) role to play w</w:t>
      </w:r>
      <w:r w:rsidR="00266BD3">
        <w:t>h</w:t>
      </w:r>
      <w:r w:rsidR="00031EFB">
        <w:t xml:space="preserve">ere a claim has been rejected upon the basis of an assessment of the claimant’s credibility: see </w:t>
      </w:r>
      <w:proofErr w:type="spellStart"/>
      <w:r w:rsidR="00031EFB">
        <w:rPr>
          <w:i/>
        </w:rPr>
        <w:t>SZLPN</w:t>
      </w:r>
      <w:proofErr w:type="spellEnd"/>
      <w:r w:rsidR="00031EFB">
        <w:rPr>
          <w:i/>
        </w:rPr>
        <w:t xml:space="preserve"> v Minister for Immigration and Citizenship</w:t>
      </w:r>
      <w:r w:rsidR="00031EFB">
        <w:t xml:space="preserve"> [2010] </w:t>
      </w:r>
      <w:proofErr w:type="spellStart"/>
      <w:r w:rsidR="00031EFB">
        <w:t>FCA</w:t>
      </w:r>
      <w:proofErr w:type="spellEnd"/>
      <w:r w:rsidR="00031EFB">
        <w:t xml:space="preserve"> 202 at [17] per Flick J.</w:t>
      </w:r>
    </w:p>
    <w:p w:rsidR="00031EFB" w:rsidRDefault="00031EFB" w:rsidP="00974C3A">
      <w:pPr>
        <w:pStyle w:val="ParaNumbering"/>
      </w:pPr>
      <w:r>
        <w:t xml:space="preserve">In relation to ground </w:t>
      </w:r>
      <w:r w:rsidR="00266BD3">
        <w:t>two</w:t>
      </w:r>
      <w:r>
        <w:t xml:space="preserve">, </w:t>
      </w:r>
      <w:r w:rsidR="001973EB">
        <w:t>the Tribunal gave detailed reasons for its findings of fact.</w:t>
      </w:r>
      <w:r w:rsidR="009B1BFB">
        <w:t xml:space="preserve"> </w:t>
      </w:r>
      <w:r w:rsidR="001973EB">
        <w:t>The Tribunal member considered the appellant</w:t>
      </w:r>
      <w:r w:rsidR="00266BD3">
        <w:t>’</w:t>
      </w:r>
      <w:r w:rsidR="001973EB">
        <w:t>s application, the matters put at the hearing and in submissions made by the migration agent after the hearing; it stated its findings at [36]-[51]</w:t>
      </w:r>
      <w:r w:rsidR="00266BD3">
        <w:t xml:space="preserve"> of the Decision Record</w:t>
      </w:r>
      <w:r w:rsidR="001973EB">
        <w:t>.</w:t>
      </w:r>
      <w:r w:rsidR="009B1BFB">
        <w:t xml:space="preserve"> </w:t>
      </w:r>
      <w:r w:rsidR="001973EB">
        <w:t xml:space="preserve">The appellant’s primary concern appears to be the Tribunal’s reliance on country of origin information in relation to the Local Church, the </w:t>
      </w:r>
      <w:proofErr w:type="spellStart"/>
      <w:r w:rsidR="001973EB">
        <w:t>Longtian</w:t>
      </w:r>
      <w:proofErr w:type="spellEnd"/>
      <w:r w:rsidR="001973EB">
        <w:t xml:space="preserve"> church and whether he is part of a sect peculiarly targeted by the authorities in Fujian province.</w:t>
      </w:r>
      <w:r w:rsidR="009B1BFB">
        <w:t xml:space="preserve"> </w:t>
      </w:r>
      <w:r w:rsidR="001973EB">
        <w:t xml:space="preserve">While minds may differ, the weight to be accorded to country of origin evidence available to the Tribunal and as submitted by the appellant’s migration agent is peculiarly a matter for the Tribunal. I perceive no error in the way the primary judge dealt with this issue in </w:t>
      </w:r>
      <w:proofErr w:type="spellStart"/>
      <w:r w:rsidR="001973EB">
        <w:rPr>
          <w:i/>
        </w:rPr>
        <w:t>SZUOY</w:t>
      </w:r>
      <w:proofErr w:type="spellEnd"/>
      <w:r w:rsidR="001973EB">
        <w:rPr>
          <w:i/>
        </w:rPr>
        <w:t xml:space="preserve"> </w:t>
      </w:r>
      <w:r w:rsidR="001973EB">
        <w:t>at [17]-[24].</w:t>
      </w:r>
    </w:p>
    <w:p w:rsidR="00913DAE" w:rsidRDefault="00913DAE" w:rsidP="00974C3A">
      <w:pPr>
        <w:pStyle w:val="ParaNumbering"/>
      </w:pPr>
      <w:r>
        <w:t>The third ground invites impermissible merits review. The Tribunal did, in fact, consider the risks to the appellant if he</w:t>
      </w:r>
      <w:r w:rsidR="00266BD3">
        <w:t xml:space="preserve"> were to</w:t>
      </w:r>
      <w:r>
        <w:t xml:space="preserve"> return to China but was not satisfied that he was at risk of harm in light of the Tribunal’s other findings and it was satisfied that the appellant’s contact with the Local Church in Australia was for the purpose of furthering his refugee claims and so should be disregarded under s </w:t>
      </w:r>
      <w:proofErr w:type="spellStart"/>
      <w:proofErr w:type="gramStart"/>
      <w:r>
        <w:t>91R</w:t>
      </w:r>
      <w:proofErr w:type="spellEnd"/>
      <w:r>
        <w:t>(</w:t>
      </w:r>
      <w:proofErr w:type="gramEnd"/>
      <w:r>
        <w:t>3)</w:t>
      </w:r>
      <w:r w:rsidR="00266BD3">
        <w:t xml:space="preserve"> (now repealed)</w:t>
      </w:r>
      <w:r>
        <w:t xml:space="preserve"> of the Migration Act.</w:t>
      </w:r>
    </w:p>
    <w:p w:rsidR="00020D63" w:rsidRDefault="00913DAE" w:rsidP="002608A7">
      <w:pPr>
        <w:pStyle w:val="ParaNumbering"/>
      </w:pPr>
      <w:r>
        <w:t>I will therefore dismiss the appeal with costs.</w:t>
      </w:r>
    </w:p>
    <w:p w:rsidR="001D786C" w:rsidRDefault="001D786C" w:rsidP="001A213F">
      <w:pPr>
        <w:pStyle w:val="BodyText"/>
      </w:pPr>
      <w:bookmarkStart w:id="25" w:name="Certification"/>
    </w:p>
    <w:tbl>
      <w:tblPr>
        <w:tblW w:w="0" w:type="auto"/>
        <w:tblLook w:val="04A0" w:firstRow="1" w:lastRow="0" w:firstColumn="1" w:lastColumn="0" w:noHBand="0" w:noVBand="1"/>
      </w:tblPr>
      <w:tblGrid>
        <w:gridCol w:w="3794"/>
      </w:tblGrid>
      <w:tr w:rsidR="001D786C" w:rsidRPr="001D786C">
        <w:tc>
          <w:tcPr>
            <w:tcW w:w="3794" w:type="dxa"/>
            <w:shd w:val="clear" w:color="auto" w:fill="auto"/>
          </w:tcPr>
          <w:p w:rsidR="001D786C" w:rsidRPr="001D786C" w:rsidRDefault="001D786C" w:rsidP="001D786C">
            <w:pPr>
              <w:pStyle w:val="Normal1linespace"/>
            </w:pPr>
            <w:r w:rsidRPr="001D786C">
              <w:t xml:space="preserve">I certify that the preceding </w:t>
            </w:r>
            <w:bookmarkStart w:id="26" w:name="NumberWord"/>
            <w:r>
              <w:t>thirty</w:t>
            </w:r>
            <w:bookmarkEnd w:id="26"/>
            <w:r w:rsidRPr="001D786C">
              <w:t xml:space="preserve"> (</w:t>
            </w:r>
            <w:bookmarkStart w:id="27" w:name="NumberNumeral"/>
            <w:r>
              <w:t>30</w:t>
            </w:r>
            <w:bookmarkEnd w:id="27"/>
            <w:r w:rsidRPr="001D786C">
              <w:t xml:space="preserve">) numbered </w:t>
            </w:r>
            <w:bookmarkStart w:id="28" w:name="CertPara"/>
            <w:r>
              <w:t>paragraphs are</w:t>
            </w:r>
            <w:bookmarkEnd w:id="28"/>
            <w:r w:rsidRPr="001D786C">
              <w:t xml:space="preserve"> a true copy of the Reasons for Judgment herein of the Honourable </w:t>
            </w:r>
            <w:bookmarkStart w:id="29" w:name="Justice"/>
            <w:r>
              <w:t>Justice Farrell</w:t>
            </w:r>
            <w:bookmarkEnd w:id="29"/>
            <w:r w:rsidRPr="001D786C">
              <w:t>.</w:t>
            </w:r>
          </w:p>
        </w:tc>
      </w:tr>
    </w:tbl>
    <w:p w:rsidR="001D786C" w:rsidRDefault="001D786C" w:rsidP="001A213F">
      <w:pPr>
        <w:pStyle w:val="BodyText"/>
      </w:pPr>
    </w:p>
    <w:p w:rsidR="001D786C" w:rsidRDefault="001D786C" w:rsidP="001A213F">
      <w:pPr>
        <w:pStyle w:val="BodyText"/>
      </w:pPr>
    </w:p>
    <w:p w:rsidR="001D786C" w:rsidRDefault="001D786C" w:rsidP="001A213F">
      <w:pPr>
        <w:pStyle w:val="BodyText"/>
      </w:pPr>
    </w:p>
    <w:p w:rsidR="001D786C" w:rsidRDefault="001D786C" w:rsidP="001A213F">
      <w:pPr>
        <w:pStyle w:val="BodyText"/>
      </w:pPr>
      <w:r>
        <w:t>Associate:</w:t>
      </w:r>
    </w:p>
    <w:p w:rsidR="001D786C" w:rsidRDefault="001D786C" w:rsidP="001A213F">
      <w:pPr>
        <w:pStyle w:val="BodyText"/>
        <w:tabs>
          <w:tab w:val="left" w:pos="1134"/>
        </w:tabs>
      </w:pPr>
      <w:r>
        <w:t>Dated:</w:t>
      </w:r>
      <w:r>
        <w:tab/>
      </w:r>
      <w:bookmarkStart w:id="30" w:name="CertifyDated"/>
      <w:r>
        <w:t>28 July 2015</w:t>
      </w:r>
      <w:bookmarkEnd w:id="30"/>
    </w:p>
    <w:p w:rsidR="001D786C" w:rsidRDefault="001D786C" w:rsidP="001A213F">
      <w:pPr>
        <w:pStyle w:val="BodyText"/>
      </w:pPr>
    </w:p>
    <w:bookmarkEnd w:id="25"/>
    <w:p w:rsidR="001D786C" w:rsidRPr="001D786C" w:rsidRDefault="001D786C" w:rsidP="001D786C">
      <w:pPr>
        <w:pStyle w:val="ParaNumbering"/>
        <w:numPr>
          <w:ilvl w:val="0"/>
          <w:numId w:val="0"/>
        </w:numPr>
        <w:rPr>
          <w:highlight w:val="yellow"/>
        </w:rPr>
      </w:pPr>
    </w:p>
    <w:sectPr w:rsidR="001D786C" w:rsidRPr="001D786C">
      <w:headerReference w:type="even" r:id="rId11"/>
      <w:headerReference w:type="default" r:id="rId12"/>
      <w:footerReference w:type="default" r:id="rId13"/>
      <w:headerReference w:type="first" r:id="rId14"/>
      <w:footerReference w:type="first" r:id="rId15"/>
      <w:endnotePr>
        <w:numFmt w:val="decimal"/>
      </w:endnotePr>
      <w:pgSz w:w="11907" w:h="16840" w:code="9"/>
      <w:pgMar w:top="1440" w:right="1440" w:bottom="1440" w:left="1440" w:header="851" w:footer="851" w:gutter="0"/>
      <w:pgNumType w:start="1"/>
      <w:cols w:space="720"/>
      <w:noEndnote/>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13322" w:rsidRDefault="00313322">
      <w:pPr>
        <w:spacing w:line="20" w:lineRule="exact"/>
      </w:pPr>
    </w:p>
    <w:p w:rsidR="00313322" w:rsidRDefault="00313322"/>
    <w:p w:rsidR="00313322" w:rsidRDefault="00313322"/>
  </w:endnote>
  <w:endnote w:type="continuationSeparator" w:id="0">
    <w:p w:rsidR="00313322" w:rsidRDefault="00313322">
      <w:r>
        <w:t xml:space="preserve"> </w:t>
      </w:r>
    </w:p>
    <w:p w:rsidR="00313322" w:rsidRDefault="00313322"/>
    <w:p w:rsidR="00313322" w:rsidRDefault="00313322"/>
  </w:endnote>
  <w:endnote w:type="continuationNotice" w:id="1">
    <w:p w:rsidR="00313322" w:rsidRDefault="00313322">
      <w:r>
        <w:t xml:space="preserve"> </w:t>
      </w:r>
    </w:p>
    <w:p w:rsidR="00313322" w:rsidRDefault="00313322"/>
    <w:p w:rsidR="00313322" w:rsidRDefault="0031332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Batang">
    <w:altName w:val="¢®E¡Ëc¡Ë¢ç¢®¢¯IoUAA"/>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Pr="00925F81" w:rsidRDefault="00395B24" w:rsidP="00925F8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1E49" w:rsidRPr="00925F81" w:rsidRDefault="002F1E49" w:rsidP="00925F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13322" w:rsidRDefault="00313322"/>
    <w:p w:rsidR="00313322" w:rsidRDefault="00313322"/>
    <w:p w:rsidR="00313322" w:rsidRDefault="00313322"/>
  </w:footnote>
  <w:footnote w:type="continuationSeparator" w:id="0">
    <w:p w:rsidR="00313322" w:rsidRDefault="00313322">
      <w:r>
        <w:continuationSeparator/>
      </w:r>
    </w:p>
    <w:p w:rsidR="00313322" w:rsidRDefault="00313322"/>
    <w:p w:rsidR="00313322" w:rsidRDefault="0031332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rPr>
        <w:spacing w:val="-3"/>
      </w:rPr>
    </w:pPr>
    <w:r>
      <w:rPr>
        <w:spacing w:val="-3"/>
      </w:rPr>
      <w:tab/>
      <w:t xml:space="preserve">- </w:t>
    </w:r>
    <w:r>
      <w:rPr>
        <w:spacing w:val="-3"/>
      </w:rPr>
      <w:fldChar w:fldCharType="begin"/>
    </w:r>
    <w:r>
      <w:rPr>
        <w:spacing w:val="-3"/>
      </w:rPr>
      <w:instrText>page \* arabic</w:instrText>
    </w:r>
    <w:r>
      <w:rPr>
        <w:spacing w:val="-3"/>
      </w:rPr>
      <w:fldChar w:fldCharType="separate"/>
    </w:r>
    <w:r w:rsidR="00862795">
      <w:rPr>
        <w:noProof/>
        <w:spacing w:val="-3"/>
      </w:rPr>
      <w:t>2</w:t>
    </w:r>
    <w:r>
      <w:rPr>
        <w:spacing w:val="-3"/>
      </w:rPr>
      <w:fldChar w:fldCharType="end"/>
    </w:r>
    <w:r>
      <w:rPr>
        <w:spacing w:val="-3"/>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fldChar w:fldCharType="begin"/>
    </w:r>
    <w:r>
      <w:instrText>page \* arabic</w:instrText>
    </w:r>
    <w:r>
      <w:fldChar w:fldCharType="separate"/>
    </w:r>
    <w:r w:rsidR="00624520">
      <w:rPr>
        <w:noProof/>
      </w:rPr>
      <w:t>2</w:t>
    </w:r>
    <w:r>
      <w:fldChar w:fldCharType="end"/>
    </w:r>
    <w: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2C7385">
    <w:pPr>
      <w:tabs>
        <w:tab w:val="center" w:pos="4512"/>
      </w:tabs>
      <w:suppressAutoHyphens/>
    </w:pPr>
    <w:r>
      <w:tab/>
      <w:t xml:space="preserve">- </w:t>
    </w:r>
    <w:r>
      <w:fldChar w:fldCharType="begin"/>
    </w:r>
    <w:r>
      <w:instrText>page \* arabic</w:instrText>
    </w:r>
    <w:r>
      <w:fldChar w:fldCharType="separate"/>
    </w:r>
    <w:r w:rsidR="00862795">
      <w:rPr>
        <w:noProof/>
      </w:rPr>
      <w:t>6</w:t>
    </w:r>
    <w:r>
      <w:fldChar w:fldCharType="end"/>
    </w:r>
    <w:r>
      <w:t xml:space="preserve"> -</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5B24" w:rsidRDefault="00395B24">
    <w:pPr>
      <w:pStyle w:val="Header"/>
      <w:tabs>
        <w:tab w:val="clear" w:pos="4320"/>
        <w:tab w:val="clear" w:pos="8640"/>
      </w:tabs>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23ACBC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F04AF16C"/>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163689C0"/>
    <w:lvl w:ilvl="0">
      <w:start w:val="1"/>
      <w:numFmt w:val="decimal"/>
      <w:pStyle w:val="ListNumber3"/>
      <w:lvlText w:val="%1."/>
      <w:lvlJc w:val="left"/>
      <w:pPr>
        <w:tabs>
          <w:tab w:val="num" w:pos="926"/>
        </w:tabs>
        <w:ind w:left="926" w:hanging="360"/>
      </w:pPr>
    </w:lvl>
  </w:abstractNum>
  <w:abstractNum w:abstractNumId="3">
    <w:nsid w:val="FFFFFF7F"/>
    <w:multiLevelType w:val="singleLevel"/>
    <w:tmpl w:val="6B229462"/>
    <w:lvl w:ilvl="0">
      <w:start w:val="1"/>
      <w:numFmt w:val="decimal"/>
      <w:pStyle w:val="ListNumber2"/>
      <w:lvlText w:val="%1."/>
      <w:lvlJc w:val="left"/>
      <w:pPr>
        <w:tabs>
          <w:tab w:val="num" w:pos="643"/>
        </w:tabs>
        <w:ind w:left="643" w:hanging="360"/>
      </w:pPr>
    </w:lvl>
  </w:abstractNum>
  <w:abstractNum w:abstractNumId="4">
    <w:nsid w:val="FFFFFF80"/>
    <w:multiLevelType w:val="singleLevel"/>
    <w:tmpl w:val="88E2E984"/>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B726AA5E"/>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BD947F00"/>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8C5AED4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F5EC1148"/>
    <w:lvl w:ilvl="0">
      <w:start w:val="1"/>
      <w:numFmt w:val="decimal"/>
      <w:pStyle w:val="ListNumber"/>
      <w:lvlText w:val="%1."/>
      <w:lvlJc w:val="left"/>
      <w:pPr>
        <w:tabs>
          <w:tab w:val="num" w:pos="360"/>
        </w:tabs>
        <w:ind w:left="360" w:hanging="360"/>
      </w:pPr>
    </w:lvl>
  </w:abstractNum>
  <w:abstractNum w:abstractNumId="9">
    <w:nsid w:val="FFFFFF89"/>
    <w:multiLevelType w:val="singleLevel"/>
    <w:tmpl w:val="26DC14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3E79F4"/>
    <w:multiLevelType w:val="hybridMultilevel"/>
    <w:tmpl w:val="1E4E00A4"/>
    <w:lvl w:ilvl="0" w:tplc="B8F2B8A6">
      <w:start w:val="1"/>
      <w:numFmt w:val="lowerRoman"/>
      <w:lvlText w:val="(%1)"/>
      <w:lvlJc w:val="right"/>
      <w:pPr>
        <w:ind w:left="2160" w:hanging="360"/>
      </w:pPr>
      <w:rPr>
        <w:rFonts w:hint="default"/>
      </w:rPr>
    </w:lvl>
    <w:lvl w:ilvl="1" w:tplc="0C090019" w:tentative="1">
      <w:start w:val="1"/>
      <w:numFmt w:val="lowerLetter"/>
      <w:lvlText w:val="%2."/>
      <w:lvlJc w:val="left"/>
      <w:pPr>
        <w:ind w:left="2880" w:hanging="360"/>
      </w:pPr>
    </w:lvl>
    <w:lvl w:ilvl="2" w:tplc="0C09001B" w:tentative="1">
      <w:start w:val="1"/>
      <w:numFmt w:val="lowerRoman"/>
      <w:lvlText w:val="%3."/>
      <w:lvlJc w:val="right"/>
      <w:pPr>
        <w:ind w:left="3600" w:hanging="180"/>
      </w:pPr>
    </w:lvl>
    <w:lvl w:ilvl="3" w:tplc="0C09000F" w:tentative="1">
      <w:start w:val="1"/>
      <w:numFmt w:val="decimal"/>
      <w:lvlText w:val="%4."/>
      <w:lvlJc w:val="left"/>
      <w:pPr>
        <w:ind w:left="4320" w:hanging="360"/>
      </w:pPr>
    </w:lvl>
    <w:lvl w:ilvl="4" w:tplc="0C090019" w:tentative="1">
      <w:start w:val="1"/>
      <w:numFmt w:val="lowerLetter"/>
      <w:lvlText w:val="%5."/>
      <w:lvlJc w:val="left"/>
      <w:pPr>
        <w:ind w:left="5040" w:hanging="360"/>
      </w:pPr>
    </w:lvl>
    <w:lvl w:ilvl="5" w:tplc="0C09001B" w:tentative="1">
      <w:start w:val="1"/>
      <w:numFmt w:val="lowerRoman"/>
      <w:lvlText w:val="%6."/>
      <w:lvlJc w:val="right"/>
      <w:pPr>
        <w:ind w:left="5760" w:hanging="180"/>
      </w:pPr>
    </w:lvl>
    <w:lvl w:ilvl="6" w:tplc="0C09000F" w:tentative="1">
      <w:start w:val="1"/>
      <w:numFmt w:val="decimal"/>
      <w:lvlText w:val="%7."/>
      <w:lvlJc w:val="left"/>
      <w:pPr>
        <w:ind w:left="6480" w:hanging="360"/>
      </w:pPr>
    </w:lvl>
    <w:lvl w:ilvl="7" w:tplc="0C090019" w:tentative="1">
      <w:start w:val="1"/>
      <w:numFmt w:val="lowerLetter"/>
      <w:lvlText w:val="%8."/>
      <w:lvlJc w:val="left"/>
      <w:pPr>
        <w:ind w:left="7200" w:hanging="360"/>
      </w:pPr>
    </w:lvl>
    <w:lvl w:ilvl="8" w:tplc="0C09001B" w:tentative="1">
      <w:start w:val="1"/>
      <w:numFmt w:val="lowerRoman"/>
      <w:lvlText w:val="%9."/>
      <w:lvlJc w:val="right"/>
      <w:pPr>
        <w:ind w:left="7920" w:hanging="180"/>
      </w:pPr>
    </w:lvl>
  </w:abstractNum>
  <w:abstractNum w:abstractNumId="11">
    <w:nsid w:val="08C22056"/>
    <w:multiLevelType w:val="multilevel"/>
    <w:tmpl w:val="8690C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0B9B7C7A"/>
    <w:multiLevelType w:val="hybridMultilevel"/>
    <w:tmpl w:val="0D8E828C"/>
    <w:lvl w:ilvl="0" w:tplc="E5462CDA">
      <w:start w:val="1"/>
      <w:numFmt w:val="bullet"/>
      <w:pStyle w:val="Quote2Bullet"/>
      <w:lvlText w:val=""/>
      <w:lvlJc w:val="left"/>
      <w:pPr>
        <w:ind w:left="2160" w:hanging="360"/>
      </w:pPr>
      <w:rPr>
        <w:rFonts w:ascii="Wingdings" w:hAnsi="Wingdings" w:hint="default"/>
      </w:rPr>
    </w:lvl>
    <w:lvl w:ilvl="1" w:tplc="0C090003" w:tentative="1">
      <w:start w:val="1"/>
      <w:numFmt w:val="bullet"/>
      <w:lvlText w:val="o"/>
      <w:lvlJc w:val="left"/>
      <w:pPr>
        <w:ind w:left="2880" w:hanging="360"/>
      </w:pPr>
      <w:rPr>
        <w:rFonts w:ascii="Courier New" w:hAnsi="Courier New" w:cs="Courier New" w:hint="default"/>
      </w:rPr>
    </w:lvl>
    <w:lvl w:ilvl="2" w:tplc="0C090005" w:tentative="1">
      <w:start w:val="1"/>
      <w:numFmt w:val="bullet"/>
      <w:lvlText w:val=""/>
      <w:lvlJc w:val="left"/>
      <w:pPr>
        <w:ind w:left="3600" w:hanging="360"/>
      </w:pPr>
      <w:rPr>
        <w:rFonts w:ascii="Wingdings" w:hAnsi="Wingdings" w:hint="default"/>
      </w:rPr>
    </w:lvl>
    <w:lvl w:ilvl="3" w:tplc="0C090001" w:tentative="1">
      <w:start w:val="1"/>
      <w:numFmt w:val="bullet"/>
      <w:lvlText w:val=""/>
      <w:lvlJc w:val="left"/>
      <w:pPr>
        <w:ind w:left="4320" w:hanging="360"/>
      </w:pPr>
      <w:rPr>
        <w:rFonts w:ascii="Symbol" w:hAnsi="Symbol" w:hint="default"/>
      </w:rPr>
    </w:lvl>
    <w:lvl w:ilvl="4" w:tplc="0C090003" w:tentative="1">
      <w:start w:val="1"/>
      <w:numFmt w:val="bullet"/>
      <w:lvlText w:val="o"/>
      <w:lvlJc w:val="left"/>
      <w:pPr>
        <w:ind w:left="5040" w:hanging="360"/>
      </w:pPr>
      <w:rPr>
        <w:rFonts w:ascii="Courier New" w:hAnsi="Courier New" w:cs="Courier New" w:hint="default"/>
      </w:rPr>
    </w:lvl>
    <w:lvl w:ilvl="5" w:tplc="0C090005" w:tentative="1">
      <w:start w:val="1"/>
      <w:numFmt w:val="bullet"/>
      <w:lvlText w:val=""/>
      <w:lvlJc w:val="left"/>
      <w:pPr>
        <w:ind w:left="5760" w:hanging="360"/>
      </w:pPr>
      <w:rPr>
        <w:rFonts w:ascii="Wingdings" w:hAnsi="Wingdings" w:hint="default"/>
      </w:rPr>
    </w:lvl>
    <w:lvl w:ilvl="6" w:tplc="0C090001" w:tentative="1">
      <w:start w:val="1"/>
      <w:numFmt w:val="bullet"/>
      <w:lvlText w:val=""/>
      <w:lvlJc w:val="left"/>
      <w:pPr>
        <w:ind w:left="6480" w:hanging="360"/>
      </w:pPr>
      <w:rPr>
        <w:rFonts w:ascii="Symbol" w:hAnsi="Symbol" w:hint="default"/>
      </w:rPr>
    </w:lvl>
    <w:lvl w:ilvl="7" w:tplc="0C090003" w:tentative="1">
      <w:start w:val="1"/>
      <w:numFmt w:val="bullet"/>
      <w:lvlText w:val="o"/>
      <w:lvlJc w:val="left"/>
      <w:pPr>
        <w:ind w:left="7200" w:hanging="360"/>
      </w:pPr>
      <w:rPr>
        <w:rFonts w:ascii="Courier New" w:hAnsi="Courier New" w:cs="Courier New" w:hint="default"/>
      </w:rPr>
    </w:lvl>
    <w:lvl w:ilvl="8" w:tplc="0C090005" w:tentative="1">
      <w:start w:val="1"/>
      <w:numFmt w:val="bullet"/>
      <w:lvlText w:val=""/>
      <w:lvlJc w:val="left"/>
      <w:pPr>
        <w:ind w:left="7920" w:hanging="360"/>
      </w:pPr>
      <w:rPr>
        <w:rFonts w:ascii="Wingdings" w:hAnsi="Wingdings" w:hint="default"/>
      </w:rPr>
    </w:lvl>
  </w:abstractNum>
  <w:abstractNum w:abstractNumId="13">
    <w:nsid w:val="168F28D0"/>
    <w:multiLevelType w:val="multilevel"/>
    <w:tmpl w:val="93FA7D28"/>
    <w:lvl w:ilvl="0">
      <w:start w:val="1"/>
      <w:numFmt w:val="bullet"/>
      <w:pStyle w:val="FCBullets"/>
      <w:lvlText w:val=""/>
      <w:lvlJc w:val="left"/>
      <w:pPr>
        <w:tabs>
          <w:tab w:val="num" w:pos="720"/>
        </w:tabs>
        <w:ind w:left="720" w:hanging="720"/>
      </w:pPr>
      <w:rPr>
        <w:rFonts w:ascii="Symbol" w:hAnsi="Symbol"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4">
    <w:nsid w:val="17762CB3"/>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15">
    <w:nsid w:val="1C1468D3"/>
    <w:multiLevelType w:val="multilevel"/>
    <w:tmpl w:val="0F0EC90E"/>
    <w:styleLink w:val="FCListNo"/>
    <w:lvl w:ilvl="0">
      <w:start w:val="1"/>
      <w:numFmt w:val="decimal"/>
      <w:lvlRestart w:val="0"/>
      <w:pStyle w:val="ListNo1"/>
      <w:lvlText w:val="(%1)"/>
      <w:lvlJc w:val="left"/>
      <w:pPr>
        <w:tabs>
          <w:tab w:val="num" w:pos="720"/>
        </w:tabs>
        <w:ind w:left="720" w:hanging="720"/>
      </w:pPr>
      <w:rPr>
        <w:rFonts w:ascii="Times New Roman" w:hAnsi="Times New Roman" w:hint="default"/>
      </w:rPr>
    </w:lvl>
    <w:lvl w:ilvl="1">
      <w:start w:val="1"/>
      <w:numFmt w:val="lowerLetter"/>
      <w:pStyle w:val="ListNo2"/>
      <w:lvlText w:val="(%2)"/>
      <w:lvlJc w:val="left"/>
      <w:pPr>
        <w:tabs>
          <w:tab w:val="num" w:pos="1440"/>
        </w:tabs>
        <w:ind w:left="1440" w:hanging="720"/>
      </w:pPr>
      <w:rPr>
        <w:rFonts w:hint="default"/>
      </w:rPr>
    </w:lvl>
    <w:lvl w:ilvl="2">
      <w:start w:val="1"/>
      <w:numFmt w:val="lowerRoman"/>
      <w:pStyle w:val="ListNo3"/>
      <w:lvlText w:val="(%3)"/>
      <w:lvlJc w:val="left"/>
      <w:pPr>
        <w:tabs>
          <w:tab w:val="num" w:pos="2160"/>
        </w:tabs>
        <w:ind w:left="2160" w:hanging="720"/>
      </w:pPr>
      <w:rPr>
        <w:rFonts w:hint="default"/>
      </w:rPr>
    </w:lvl>
    <w:lvl w:ilvl="3">
      <w:numFmt w:val="none"/>
      <w:lvlRestart w:val="0"/>
      <w:suff w:val="nothing"/>
      <w:lvlText w:val=""/>
      <w:lvlJc w:val="left"/>
      <w:pPr>
        <w:ind w:left="-32767" w:firstLine="0"/>
      </w:pPr>
      <w:rPr>
        <w:rFonts w:hint="default"/>
      </w:rPr>
    </w:lvl>
    <w:lvl w:ilvl="4">
      <w:start w:val="1"/>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lvlRestart w:val="0"/>
      <w:suff w:val="nothing"/>
      <w:lvlText w:val=""/>
      <w:lvlJc w:val="left"/>
      <w:pPr>
        <w:ind w:left="-32767" w:firstLine="0"/>
      </w:pPr>
      <w:rPr>
        <w:rFonts w:hint="default"/>
      </w:rPr>
    </w:lvl>
  </w:abstractNum>
  <w:abstractNum w:abstractNumId="16">
    <w:nsid w:val="1EF9738D"/>
    <w:multiLevelType w:val="hybridMultilevel"/>
    <w:tmpl w:val="21C4D53A"/>
    <w:lvl w:ilvl="0" w:tplc="1A28D646">
      <w:start w:val="1"/>
      <w:numFmt w:val="decimal"/>
      <w:lvlText w:val="(%1)"/>
      <w:lvlJc w:val="left"/>
      <w:pPr>
        <w:ind w:left="3219" w:hanging="360"/>
      </w:pPr>
      <w:rPr>
        <w:rFonts w:hint="default"/>
      </w:rPr>
    </w:lvl>
    <w:lvl w:ilvl="1" w:tplc="0C090019" w:tentative="1">
      <w:start w:val="1"/>
      <w:numFmt w:val="lowerLetter"/>
      <w:lvlText w:val="%2."/>
      <w:lvlJc w:val="left"/>
      <w:pPr>
        <w:ind w:left="3939" w:hanging="360"/>
      </w:pPr>
    </w:lvl>
    <w:lvl w:ilvl="2" w:tplc="0C09001B" w:tentative="1">
      <w:start w:val="1"/>
      <w:numFmt w:val="lowerRoman"/>
      <w:lvlText w:val="%3."/>
      <w:lvlJc w:val="right"/>
      <w:pPr>
        <w:ind w:left="4659" w:hanging="180"/>
      </w:pPr>
    </w:lvl>
    <w:lvl w:ilvl="3" w:tplc="0C09000F" w:tentative="1">
      <w:start w:val="1"/>
      <w:numFmt w:val="decimal"/>
      <w:lvlText w:val="%4."/>
      <w:lvlJc w:val="left"/>
      <w:pPr>
        <w:ind w:left="5379" w:hanging="360"/>
      </w:pPr>
    </w:lvl>
    <w:lvl w:ilvl="4" w:tplc="0C090019" w:tentative="1">
      <w:start w:val="1"/>
      <w:numFmt w:val="lowerLetter"/>
      <w:lvlText w:val="%5."/>
      <w:lvlJc w:val="left"/>
      <w:pPr>
        <w:ind w:left="6099" w:hanging="360"/>
      </w:pPr>
    </w:lvl>
    <w:lvl w:ilvl="5" w:tplc="0C09001B" w:tentative="1">
      <w:start w:val="1"/>
      <w:numFmt w:val="lowerRoman"/>
      <w:lvlText w:val="%6."/>
      <w:lvlJc w:val="right"/>
      <w:pPr>
        <w:ind w:left="6819" w:hanging="180"/>
      </w:pPr>
    </w:lvl>
    <w:lvl w:ilvl="6" w:tplc="0C09000F" w:tentative="1">
      <w:start w:val="1"/>
      <w:numFmt w:val="decimal"/>
      <w:lvlText w:val="%7."/>
      <w:lvlJc w:val="left"/>
      <w:pPr>
        <w:ind w:left="7539" w:hanging="360"/>
      </w:pPr>
    </w:lvl>
    <w:lvl w:ilvl="7" w:tplc="0C090019" w:tentative="1">
      <w:start w:val="1"/>
      <w:numFmt w:val="lowerLetter"/>
      <w:lvlText w:val="%8."/>
      <w:lvlJc w:val="left"/>
      <w:pPr>
        <w:ind w:left="8259" w:hanging="360"/>
      </w:pPr>
    </w:lvl>
    <w:lvl w:ilvl="8" w:tplc="0C09001B" w:tentative="1">
      <w:start w:val="1"/>
      <w:numFmt w:val="lowerRoman"/>
      <w:lvlText w:val="%9."/>
      <w:lvlJc w:val="right"/>
      <w:pPr>
        <w:ind w:left="8979" w:hanging="180"/>
      </w:pPr>
    </w:lvl>
  </w:abstractNum>
  <w:abstractNum w:abstractNumId="17">
    <w:nsid w:val="27E40CA6"/>
    <w:multiLevelType w:val="hybridMultilevel"/>
    <w:tmpl w:val="AC248956"/>
    <w:lvl w:ilvl="0" w:tplc="2BC8ED24">
      <w:start w:val="1"/>
      <w:numFmt w:val="lowerLetter"/>
      <w:lvlText w:val="(%1)"/>
      <w:lvlJc w:val="left"/>
      <w:pPr>
        <w:ind w:left="1440" w:hanging="360"/>
      </w:pPr>
      <w:rPr>
        <w:rFonts w:hint="default"/>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18">
    <w:nsid w:val="29AE3DD1"/>
    <w:multiLevelType w:val="singleLevel"/>
    <w:tmpl w:val="5C92B9B0"/>
    <w:lvl w:ilvl="0">
      <w:start w:val="1"/>
      <w:numFmt w:val="decimal"/>
      <w:lvlRestart w:val="0"/>
      <w:pStyle w:val="ParaNumbering"/>
      <w:lvlText w:val="%1"/>
      <w:lvlJc w:val="left"/>
      <w:pPr>
        <w:tabs>
          <w:tab w:val="num" w:pos="720"/>
        </w:tabs>
        <w:ind w:left="0" w:hanging="720"/>
      </w:pPr>
      <w:rPr>
        <w:rFonts w:hint="default"/>
        <w:sz w:val="20"/>
      </w:rPr>
    </w:lvl>
  </w:abstractNum>
  <w:abstractNum w:abstractNumId="19">
    <w:nsid w:val="2AD4345C"/>
    <w:multiLevelType w:val="multilevel"/>
    <w:tmpl w:val="15C806DA"/>
    <w:styleLink w:val="FCOrders"/>
    <w:lvl w:ilvl="0">
      <w:start w:val="1"/>
      <w:numFmt w:val="decimal"/>
      <w:pStyle w:val="Order1"/>
      <w:lvlText w:val="%1."/>
      <w:lvlJc w:val="left"/>
      <w:pPr>
        <w:ind w:left="720" w:hanging="720"/>
      </w:pPr>
      <w:rPr>
        <w:rFonts w:ascii="Times New Roman" w:hAnsi="Times New Roman" w:hint="default"/>
        <w:sz w:val="24"/>
      </w:rPr>
    </w:lvl>
    <w:lvl w:ilvl="1">
      <w:start w:val="1"/>
      <w:numFmt w:val="lowerLetter"/>
      <w:pStyle w:val="Order2"/>
      <w:lvlText w:val="(%2)"/>
      <w:lvlJc w:val="left"/>
      <w:pPr>
        <w:ind w:left="1440" w:hanging="720"/>
      </w:pPr>
      <w:rPr>
        <w:rFonts w:hint="default"/>
      </w:rPr>
    </w:lvl>
    <w:lvl w:ilvl="2">
      <w:start w:val="1"/>
      <w:numFmt w:val="lowerRoman"/>
      <w:pStyle w:val="Order3"/>
      <w:lvlText w:val="(%3)"/>
      <w:lvlJc w:val="left"/>
      <w:pPr>
        <w:tabs>
          <w:tab w:val="num" w:pos="1440"/>
        </w:tabs>
        <w:ind w:left="2160" w:hanging="720"/>
      </w:pPr>
      <w:rPr>
        <w:rFonts w:hint="default"/>
      </w:rPr>
    </w:lvl>
    <w:lvl w:ilvl="3">
      <w:numFmt w:val="none"/>
      <w:lvlRestart w:val="0"/>
      <w:suff w:val="nothing"/>
      <w:lvlText w:val=""/>
      <w:lvlJc w:val="left"/>
      <w:pPr>
        <w:ind w:left="-32767" w:firstLine="0"/>
      </w:pPr>
      <w:rPr>
        <w:rFonts w:hint="default"/>
      </w:rPr>
    </w:lvl>
    <w:lvl w:ilvl="4">
      <w:numFmt w:val="none"/>
      <w:lvlRestart w:val="0"/>
      <w:suff w:val="nothing"/>
      <w:lvlText w:val=""/>
      <w:lvlJc w:val="left"/>
      <w:pPr>
        <w:ind w:left="-32767" w:firstLine="0"/>
      </w:pPr>
      <w:rPr>
        <w:rFonts w:hint="default"/>
      </w:rPr>
    </w:lvl>
    <w:lvl w:ilvl="5">
      <w:start w:val="1"/>
      <w:numFmt w:val="none"/>
      <w:lvlRestart w:val="0"/>
      <w:suff w:val="nothing"/>
      <w:lvlText w:val=""/>
      <w:lvlJc w:val="left"/>
      <w:pPr>
        <w:ind w:left="-32767" w:firstLine="0"/>
      </w:pPr>
      <w:rPr>
        <w:rFonts w:hint="default"/>
      </w:rPr>
    </w:lvl>
    <w:lvl w:ilvl="6">
      <w:start w:val="1"/>
      <w:numFmt w:val="none"/>
      <w:lvlRestart w:val="0"/>
      <w:suff w:val="nothing"/>
      <w:lvlText w:val=""/>
      <w:lvlJc w:val="left"/>
      <w:pPr>
        <w:ind w:left="-32767" w:firstLine="0"/>
      </w:pPr>
      <w:rPr>
        <w:rFonts w:hint="default"/>
      </w:rPr>
    </w:lvl>
    <w:lvl w:ilvl="7">
      <w:start w:val="1"/>
      <w:numFmt w:val="none"/>
      <w:lvlRestart w:val="0"/>
      <w:suff w:val="nothing"/>
      <w:lvlText w:val=""/>
      <w:lvlJc w:val="left"/>
      <w:pPr>
        <w:ind w:left="-32767" w:firstLine="0"/>
      </w:pPr>
      <w:rPr>
        <w:rFonts w:hint="default"/>
      </w:rPr>
    </w:lvl>
    <w:lvl w:ilvl="8">
      <w:start w:val="1"/>
      <w:numFmt w:val="none"/>
      <w:suff w:val="nothing"/>
      <w:lvlText w:val=""/>
      <w:lvlJc w:val="left"/>
      <w:pPr>
        <w:ind w:left="-32767" w:firstLine="0"/>
      </w:pPr>
      <w:rPr>
        <w:rFonts w:hint="default"/>
      </w:rPr>
    </w:lvl>
  </w:abstractNum>
  <w:abstractNum w:abstractNumId="20">
    <w:nsid w:val="33561E2E"/>
    <w:multiLevelType w:val="hybridMultilevel"/>
    <w:tmpl w:val="E0D27D0E"/>
    <w:lvl w:ilvl="0" w:tplc="1EAAB8BA">
      <w:start w:val="1"/>
      <w:numFmt w:val="bullet"/>
      <w:pStyle w:val="Quote3Bullet"/>
      <w:lvlText w:val=""/>
      <w:lvlJc w:val="left"/>
      <w:pPr>
        <w:ind w:left="2880" w:hanging="360"/>
      </w:pPr>
      <w:rPr>
        <w:rFonts w:ascii="Wingdings" w:hAnsi="Wingdings"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21">
    <w:nsid w:val="33630A1B"/>
    <w:multiLevelType w:val="multilevel"/>
    <w:tmpl w:val="D3AE416C"/>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2">
    <w:nsid w:val="47F720E9"/>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3">
    <w:nsid w:val="494817A7"/>
    <w:multiLevelType w:val="multilevel"/>
    <w:tmpl w:val="0F0EC90E"/>
    <w:numStyleLink w:val="FCListNo"/>
  </w:abstractNum>
  <w:abstractNum w:abstractNumId="24">
    <w:nsid w:val="49B30D2B"/>
    <w:multiLevelType w:val="multilevel"/>
    <w:tmpl w:val="0C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A736C9D"/>
    <w:multiLevelType w:val="multilevel"/>
    <w:tmpl w:val="0C090023"/>
    <w:styleLink w:val="ArticleSection"/>
    <w:lvl w:ilvl="0">
      <w:start w:val="1"/>
      <w:numFmt w:val="upperRoman"/>
      <w:lvlText w:val="Article %1."/>
      <w:lvlJc w:val="left"/>
      <w:pPr>
        <w:tabs>
          <w:tab w:val="num" w:pos="1800"/>
        </w:tabs>
        <w:ind w:left="0" w:firstLine="0"/>
      </w:pPr>
    </w:lvl>
    <w:lvl w:ilvl="1">
      <w:start w:val="1"/>
      <w:numFmt w:val="decimalZero"/>
      <w:isLgl/>
      <w:lvlText w:val="Section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nsid w:val="561473B2"/>
    <w:multiLevelType w:val="multilevel"/>
    <w:tmpl w:val="CBA031BE"/>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27">
    <w:nsid w:val="668713DD"/>
    <w:multiLevelType w:val="multilevel"/>
    <w:tmpl w:val="0C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8">
    <w:nsid w:val="6F9B6398"/>
    <w:multiLevelType w:val="hybridMultilevel"/>
    <w:tmpl w:val="0E4CBD92"/>
    <w:lvl w:ilvl="0" w:tplc="907C4790">
      <w:start w:val="1"/>
      <w:numFmt w:val="bullet"/>
      <w:pStyle w:val="Quote1Bullet"/>
      <w:lvlText w:val=""/>
      <w:lvlJc w:val="left"/>
      <w:pPr>
        <w:ind w:left="1457" w:hanging="360"/>
      </w:pPr>
      <w:rPr>
        <w:rFonts w:ascii="Wingdings" w:hAnsi="Wingdings" w:hint="default"/>
      </w:rPr>
    </w:lvl>
    <w:lvl w:ilvl="1" w:tplc="0C090003" w:tentative="1">
      <w:start w:val="1"/>
      <w:numFmt w:val="bullet"/>
      <w:lvlText w:val="o"/>
      <w:lvlJc w:val="left"/>
      <w:pPr>
        <w:ind w:left="2177" w:hanging="360"/>
      </w:pPr>
      <w:rPr>
        <w:rFonts w:ascii="Courier New" w:hAnsi="Courier New" w:cs="Courier New" w:hint="default"/>
      </w:rPr>
    </w:lvl>
    <w:lvl w:ilvl="2" w:tplc="0C090005" w:tentative="1">
      <w:start w:val="1"/>
      <w:numFmt w:val="bullet"/>
      <w:lvlText w:val=""/>
      <w:lvlJc w:val="left"/>
      <w:pPr>
        <w:ind w:left="2897" w:hanging="360"/>
      </w:pPr>
      <w:rPr>
        <w:rFonts w:ascii="Wingdings" w:hAnsi="Wingdings" w:hint="default"/>
      </w:rPr>
    </w:lvl>
    <w:lvl w:ilvl="3" w:tplc="0C090001" w:tentative="1">
      <w:start w:val="1"/>
      <w:numFmt w:val="bullet"/>
      <w:lvlText w:val=""/>
      <w:lvlJc w:val="left"/>
      <w:pPr>
        <w:ind w:left="3617" w:hanging="360"/>
      </w:pPr>
      <w:rPr>
        <w:rFonts w:ascii="Symbol" w:hAnsi="Symbol" w:hint="default"/>
      </w:rPr>
    </w:lvl>
    <w:lvl w:ilvl="4" w:tplc="0C090003" w:tentative="1">
      <w:start w:val="1"/>
      <w:numFmt w:val="bullet"/>
      <w:lvlText w:val="o"/>
      <w:lvlJc w:val="left"/>
      <w:pPr>
        <w:ind w:left="4337" w:hanging="360"/>
      </w:pPr>
      <w:rPr>
        <w:rFonts w:ascii="Courier New" w:hAnsi="Courier New" w:cs="Courier New" w:hint="default"/>
      </w:rPr>
    </w:lvl>
    <w:lvl w:ilvl="5" w:tplc="0C090005" w:tentative="1">
      <w:start w:val="1"/>
      <w:numFmt w:val="bullet"/>
      <w:lvlText w:val=""/>
      <w:lvlJc w:val="left"/>
      <w:pPr>
        <w:ind w:left="5057" w:hanging="360"/>
      </w:pPr>
      <w:rPr>
        <w:rFonts w:ascii="Wingdings" w:hAnsi="Wingdings" w:hint="default"/>
      </w:rPr>
    </w:lvl>
    <w:lvl w:ilvl="6" w:tplc="0C090001" w:tentative="1">
      <w:start w:val="1"/>
      <w:numFmt w:val="bullet"/>
      <w:lvlText w:val=""/>
      <w:lvlJc w:val="left"/>
      <w:pPr>
        <w:ind w:left="5777" w:hanging="360"/>
      </w:pPr>
      <w:rPr>
        <w:rFonts w:ascii="Symbol" w:hAnsi="Symbol" w:hint="default"/>
      </w:rPr>
    </w:lvl>
    <w:lvl w:ilvl="7" w:tplc="0C090003" w:tentative="1">
      <w:start w:val="1"/>
      <w:numFmt w:val="bullet"/>
      <w:lvlText w:val="o"/>
      <w:lvlJc w:val="left"/>
      <w:pPr>
        <w:ind w:left="6497" w:hanging="360"/>
      </w:pPr>
      <w:rPr>
        <w:rFonts w:ascii="Courier New" w:hAnsi="Courier New" w:cs="Courier New" w:hint="default"/>
      </w:rPr>
    </w:lvl>
    <w:lvl w:ilvl="8" w:tplc="0C090005" w:tentative="1">
      <w:start w:val="1"/>
      <w:numFmt w:val="bullet"/>
      <w:lvlText w:val=""/>
      <w:lvlJc w:val="left"/>
      <w:pPr>
        <w:ind w:left="7217" w:hanging="360"/>
      </w:pPr>
      <w:rPr>
        <w:rFonts w:ascii="Wingdings" w:hAnsi="Wingdings" w:hint="default"/>
      </w:rPr>
    </w:lvl>
  </w:abstractNum>
  <w:abstractNum w:abstractNumId="29">
    <w:nsid w:val="7842518D"/>
    <w:multiLevelType w:val="multilevel"/>
    <w:tmpl w:val="44CCCC86"/>
    <w:lvl w:ilvl="0">
      <w:start w:val="1"/>
      <w:numFmt w:val="decimal"/>
      <w:lvlRestart w:val="0"/>
      <w:lvlText w:val="%1."/>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lowerLetter"/>
      <w:lvlText w:val="(%4)"/>
      <w:lvlJc w:val="left"/>
      <w:pPr>
        <w:tabs>
          <w:tab w:val="num" w:pos="2880"/>
        </w:tabs>
        <w:ind w:left="2880" w:hanging="720"/>
      </w:pPr>
      <w:rPr>
        <w:rFonts w:hint="default"/>
      </w:rPr>
    </w:lvl>
    <w:lvl w:ilvl="4">
      <w:start w:val="1"/>
      <w:numFmt w:val="lowerRoman"/>
      <w:lvlText w:val="(%5)"/>
      <w:lvlJc w:val="left"/>
      <w:pPr>
        <w:tabs>
          <w:tab w:val="num" w:pos="3600"/>
        </w:tabs>
        <w:ind w:left="3600" w:hanging="720"/>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abstractNum w:abstractNumId="30">
    <w:nsid w:val="7D0861FF"/>
    <w:multiLevelType w:val="multilevel"/>
    <w:tmpl w:val="1BC46E94"/>
    <w:lvl w:ilvl="0">
      <w:start w:val="1"/>
      <w:numFmt w:val="decimal"/>
      <w:lvlRestart w:val="0"/>
      <w:pStyle w:val="fcHeading1"/>
      <w:lvlText w:val="%1."/>
      <w:lvlJc w:val="left"/>
      <w:pPr>
        <w:tabs>
          <w:tab w:val="num" w:pos="1134"/>
        </w:tabs>
        <w:ind w:left="1134" w:hanging="1134"/>
      </w:pPr>
      <w:rPr>
        <w:rFonts w:hint="default"/>
      </w:rPr>
    </w:lvl>
    <w:lvl w:ilvl="1">
      <w:start w:val="1"/>
      <w:numFmt w:val="decimal"/>
      <w:pStyle w:val="fcHeading2"/>
      <w:lvlText w:val="%1.%2"/>
      <w:lvlJc w:val="left"/>
      <w:pPr>
        <w:tabs>
          <w:tab w:val="num" w:pos="1134"/>
        </w:tabs>
        <w:ind w:left="1134" w:hanging="1134"/>
      </w:pPr>
      <w:rPr>
        <w:rFonts w:hint="default"/>
      </w:rPr>
    </w:lvl>
    <w:lvl w:ilvl="2">
      <w:start w:val="1"/>
      <w:numFmt w:val="decimal"/>
      <w:pStyle w:val="fcHeading3"/>
      <w:lvlText w:val="%1.%2.%3"/>
      <w:lvlJc w:val="left"/>
      <w:pPr>
        <w:tabs>
          <w:tab w:val="num" w:pos="1134"/>
        </w:tabs>
        <w:ind w:left="1134" w:hanging="1134"/>
      </w:pPr>
      <w:rPr>
        <w:rFonts w:hint="default"/>
      </w:rPr>
    </w:lvl>
    <w:lvl w:ilvl="3">
      <w:start w:val="1"/>
      <w:numFmt w:val="decimal"/>
      <w:pStyle w:val="fcHeading4"/>
      <w:lvlText w:val="%1.%2.%3.%4"/>
      <w:lvlJc w:val="left"/>
      <w:pPr>
        <w:tabs>
          <w:tab w:val="num" w:pos="1134"/>
        </w:tabs>
        <w:ind w:left="1134" w:hanging="1134"/>
      </w:pPr>
      <w:rPr>
        <w:rFonts w:hint="default"/>
      </w:rPr>
    </w:lvl>
    <w:lvl w:ilvl="4">
      <w:start w:val="1"/>
      <w:numFmt w:val="decimal"/>
      <w:pStyle w:val="fcHeading5"/>
      <w:lvlText w:val="%1.%2.%3.%4.%5"/>
      <w:lvlJc w:val="left"/>
      <w:pPr>
        <w:tabs>
          <w:tab w:val="num" w:pos="1134"/>
        </w:tabs>
        <w:ind w:left="1134" w:hanging="1134"/>
      </w:pPr>
      <w:rPr>
        <w:rFonts w:hint="default"/>
      </w:rPr>
    </w:lvl>
    <w:lvl w:ilvl="5">
      <w:start w:val="1"/>
      <w:numFmt w:val="none"/>
      <w:lvlText w:val=""/>
      <w:lvlJc w:val="left"/>
      <w:pPr>
        <w:tabs>
          <w:tab w:val="num" w:pos="2880"/>
        </w:tabs>
        <w:ind w:left="2738" w:hanging="941"/>
      </w:pPr>
      <w:rPr>
        <w:rFonts w:hint="default"/>
      </w:rPr>
    </w:lvl>
    <w:lvl w:ilvl="6">
      <w:start w:val="1"/>
      <w:numFmt w:val="none"/>
      <w:lvlText w:val=""/>
      <w:lvlJc w:val="left"/>
      <w:pPr>
        <w:tabs>
          <w:tab w:val="num" w:pos="3600"/>
        </w:tabs>
        <w:ind w:left="3237" w:hanging="1077"/>
      </w:pPr>
      <w:rPr>
        <w:rFonts w:hint="default"/>
      </w:rPr>
    </w:lvl>
    <w:lvl w:ilvl="7">
      <w:start w:val="1"/>
      <w:numFmt w:val="none"/>
      <w:lvlText w:val=""/>
      <w:lvlJc w:val="left"/>
      <w:pPr>
        <w:tabs>
          <w:tab w:val="num" w:pos="3957"/>
        </w:tabs>
        <w:ind w:left="3742" w:hanging="1225"/>
      </w:pPr>
      <w:rPr>
        <w:rFonts w:hint="default"/>
      </w:rPr>
    </w:lvl>
    <w:lvl w:ilvl="8">
      <w:start w:val="1"/>
      <w:numFmt w:val="none"/>
      <w:lvlText w:val=""/>
      <w:lvlJc w:val="left"/>
      <w:pPr>
        <w:tabs>
          <w:tab w:val="num" w:pos="4677"/>
        </w:tabs>
        <w:ind w:left="4320" w:hanging="1440"/>
      </w:pPr>
      <w:rPr>
        <w:rFonts w:hint="default"/>
      </w:rPr>
    </w:lvl>
  </w:abstractNum>
  <w:num w:numId="1">
    <w:abstractNumId w:val="18"/>
  </w:num>
  <w:num w:numId="2">
    <w:abstractNumId w:val="26"/>
  </w:num>
  <w:num w:numId="3">
    <w:abstractNumId w:val="13"/>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4"/>
  </w:num>
  <w:num w:numId="15">
    <w:abstractNumId w:val="22"/>
  </w:num>
  <w:num w:numId="16">
    <w:abstractNumId w:val="29"/>
  </w:num>
  <w:num w:numId="17">
    <w:abstractNumId w:val="21"/>
  </w:num>
  <w:num w:numId="18">
    <w:abstractNumId w:val="21"/>
  </w:num>
  <w:num w:numId="19">
    <w:abstractNumId w:val="27"/>
  </w:num>
  <w:num w:numId="20">
    <w:abstractNumId w:val="24"/>
  </w:num>
  <w:num w:numId="21">
    <w:abstractNumId w:val="25"/>
  </w:num>
  <w:num w:numId="22">
    <w:abstractNumId w:val="30"/>
  </w:num>
  <w:num w:numId="23">
    <w:abstractNumId w:val="30"/>
  </w:num>
  <w:num w:numId="24">
    <w:abstractNumId w:val="30"/>
  </w:num>
  <w:num w:numId="25">
    <w:abstractNumId w:val="30"/>
  </w:num>
  <w:num w:numId="26">
    <w:abstractNumId w:val="30"/>
  </w:num>
  <w:num w:numId="27">
    <w:abstractNumId w:val="16"/>
  </w:num>
  <w:num w:numId="28">
    <w:abstractNumId w:val="17"/>
  </w:num>
  <w:num w:numId="29">
    <w:abstractNumId w:val="10"/>
  </w:num>
  <w:num w:numId="30">
    <w:abstractNumId w:val="15"/>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8"/>
  </w:num>
  <w:num w:numId="33">
    <w:abstractNumId w:val="12"/>
  </w:num>
  <w:num w:numId="34">
    <w:abstractNumId w:val="20"/>
  </w:num>
  <w:num w:numId="35">
    <w:abstractNumId w:val="23"/>
  </w:num>
  <w:num w:numId="36">
    <w:abstractNumId w:val="23"/>
  </w:num>
  <w:num w:numId="37">
    <w:abstractNumId w:val="23"/>
  </w:num>
  <w:num w:numId="38">
    <w:abstractNumId w:val="15"/>
  </w:num>
  <w:num w:numId="39">
    <w:abstractNumId w:val="23"/>
  </w:num>
  <w:num w:numId="40">
    <w:abstractNumId w:val="23"/>
  </w:num>
  <w:num w:numId="41">
    <w:abstractNumId w:val="23"/>
  </w:num>
  <w:num w:numId="42">
    <w:abstractNumId w:val="19"/>
  </w:num>
  <w:num w:numId="43">
    <w:abstractNumId w:val="19"/>
  </w:num>
  <w:num w:numId="44">
    <w:abstractNumId w:val="19"/>
  </w:num>
  <w:num w:numId="45">
    <w:abstractNumId w:val="19"/>
  </w:num>
  <w:num w:numId="46">
    <w:abstractNumId w:val="19"/>
  </w:num>
  <w:num w:numId="47">
    <w:abstractNumId w:val="19"/>
  </w:num>
  <w:num w:numId="48">
    <w:abstractNumId w:val="19"/>
  </w:num>
  <w:num w:numId="49">
    <w:abstractNumId w:val="11"/>
    <w:lvlOverride w:ilvl="0">
      <w:startOverride w:val="26"/>
    </w:lvlOverride>
  </w:num>
  <w:num w:numId="50">
    <w:abstractNumId w:val="11"/>
    <w:lvlOverride w:ilvl="0">
      <w:startOverride w:val="27"/>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activeWritingStyle w:appName="MSWord" w:lang="en-AU" w:vendorID="64" w:dllVersion="131078" w:nlCheck="1" w:checkStyle="1"/>
  <w:activeWritingStyle w:appName="MSWord" w:lang="en-US" w:vendorID="64" w:dllVersion="131078" w:nlCheck="1" w:checkStyle="1"/>
  <w:activeWritingStyle w:appName="MSWord" w:lang="en-AU" w:vendorID="8" w:dllVersion="513" w:checkStyle="1"/>
  <w:proofState w:spelling="clean" w:grammar="clean"/>
  <w:attachedTemplate r:id="rId1"/>
  <w:stylePaneFormatFilter w:val="4004" w:allStyles="0" w:customStyles="0" w:latentStyles="1" w:stylesInUse="0" w:headingStyles="0" w:numberingStyles="0" w:tableStyles="0" w:directFormattingOnRuns="0" w:directFormattingOnParagraphs="0" w:directFormattingOnNumbering="0" w:directFormattingOnTables="0" w:clearFormatting="0" w:top3HeadingStyles="0" w:visibleStyles="1" w:alternateStyleNames="0"/>
  <w:defaultTabStop w:val="720"/>
  <w:hyphenationZone w:val="916"/>
  <w:doNotHyphenateCaps/>
  <w:displayHorizontalDrawingGridEvery w:val="0"/>
  <w:displayVerticalDrawingGridEvery w:val="0"/>
  <w:doNotUseMarginsForDrawingGridOrigin/>
  <w:doNotShadeFormData/>
  <w:noPunctuationKerning/>
  <w:characterSpacingControl w:val="doNotCompress"/>
  <w:hdrShapeDefaults>
    <o:shapedefaults v:ext="edit" spidmax="7169"/>
  </w:hdrShapeDefaults>
  <w:footnotePr>
    <w:footnote w:id="-1"/>
    <w:footnote w:id="0"/>
  </w:footnotePr>
  <w:endnotePr>
    <w:numFmt w:val="decimal"/>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ppeal" w:val="Not an Appeal"/>
    <w:docVar w:name="Appellant" w:val="SZUOY"/>
    <w:docVar w:name="CounselParties" w:val="Respondent"/>
    <w:docVar w:name="CounselType" w:val="Counsel for the "/>
    <w:docVar w:name="Division" w:val="GENERAL DIVISION"/>
    <w:docVar w:name="DocCreated" w:val="True"/>
    <w:docVar w:name="EntryList" w:val="Counsel for the Second Respondent"/>
    <w:docVar w:name="FileNumbers" w:val="NSD 678 of 2015"/>
    <w:docVar w:name="FullCourt" w:val="False"/>
    <w:docVar w:name="HearingDate" w:val="27 July 2015"/>
    <w:docVar w:name="Judgdate" w:val="28 July 2015"/>
    <w:docVar w:name="Judge" w:val="Farrell"/>
    <w:docVar w:name="JudgePlace" w:val="SYDNEY"/>
    <w:docVar w:name="lstEntryList" w:val="2"/>
    <w:docVar w:name="myEntryList" w:val="Counsel for the Appellant=The appellant appeared in person with the assistance of an interpreter|Solicitor for the First Respondent=Ms A Carr of DLA Piper Australia|Counsel for the Second Respondent=The second respondent submitted save as to costs"/>
    <w:docVar w:name="NSD" w:val="NSD NSD 678 of 2015"/>
    <w:docVar w:name="NumApps" w:val="2"/>
    <w:docVar w:name="NumApps_" w:val="2"/>
    <w:docVar w:name="NumJudges" w:val="Single Judge"/>
    <w:docVar w:name="Parties" w:val="Respondent"/>
    <w:docVar w:name="Place_SentenceCase" w:val="Sydney"/>
    <w:docVar w:name="Respondent" w:val="Minister for Immigration and Border Protection|Refugee Review Tribunal"/>
    <w:docVar w:name="ResState" w:val="NEW SOUTH WALES"/>
    <w:docVar w:name="Single" w:val="True"/>
  </w:docVars>
  <w:rsids>
    <w:rsidRoot w:val="007A7076"/>
    <w:rsid w:val="00007791"/>
    <w:rsid w:val="00020D63"/>
    <w:rsid w:val="00031EFB"/>
    <w:rsid w:val="000772E7"/>
    <w:rsid w:val="000C1BB8"/>
    <w:rsid w:val="000D2137"/>
    <w:rsid w:val="00107E01"/>
    <w:rsid w:val="001128BD"/>
    <w:rsid w:val="00124272"/>
    <w:rsid w:val="00134E4A"/>
    <w:rsid w:val="001727A4"/>
    <w:rsid w:val="001738AB"/>
    <w:rsid w:val="00187BBC"/>
    <w:rsid w:val="00187F3C"/>
    <w:rsid w:val="001973EB"/>
    <w:rsid w:val="001A213F"/>
    <w:rsid w:val="001B14AC"/>
    <w:rsid w:val="001B3E34"/>
    <w:rsid w:val="001B7940"/>
    <w:rsid w:val="001D786C"/>
    <w:rsid w:val="001E3B49"/>
    <w:rsid w:val="001E7388"/>
    <w:rsid w:val="00222A02"/>
    <w:rsid w:val="002535D0"/>
    <w:rsid w:val="002602C2"/>
    <w:rsid w:val="002608A7"/>
    <w:rsid w:val="00266BD3"/>
    <w:rsid w:val="00274F5B"/>
    <w:rsid w:val="00280836"/>
    <w:rsid w:val="00286876"/>
    <w:rsid w:val="002A1B50"/>
    <w:rsid w:val="002B0E91"/>
    <w:rsid w:val="002C31AD"/>
    <w:rsid w:val="002C7385"/>
    <w:rsid w:val="002F1E49"/>
    <w:rsid w:val="002F4E9C"/>
    <w:rsid w:val="00313322"/>
    <w:rsid w:val="003463FE"/>
    <w:rsid w:val="00356632"/>
    <w:rsid w:val="00361C6F"/>
    <w:rsid w:val="00371C2C"/>
    <w:rsid w:val="003845A9"/>
    <w:rsid w:val="00390883"/>
    <w:rsid w:val="00395B24"/>
    <w:rsid w:val="003A2D38"/>
    <w:rsid w:val="003B2C72"/>
    <w:rsid w:val="003C20FF"/>
    <w:rsid w:val="003C3D79"/>
    <w:rsid w:val="003F193E"/>
    <w:rsid w:val="0041252B"/>
    <w:rsid w:val="00472027"/>
    <w:rsid w:val="00474058"/>
    <w:rsid w:val="0049417F"/>
    <w:rsid w:val="004D53E5"/>
    <w:rsid w:val="004E2606"/>
    <w:rsid w:val="004F64A5"/>
    <w:rsid w:val="0051346D"/>
    <w:rsid w:val="00513EAE"/>
    <w:rsid w:val="005359EB"/>
    <w:rsid w:val="0054254A"/>
    <w:rsid w:val="00543328"/>
    <w:rsid w:val="005466B5"/>
    <w:rsid w:val="005554C4"/>
    <w:rsid w:val="005A4DF8"/>
    <w:rsid w:val="005B505C"/>
    <w:rsid w:val="005C1767"/>
    <w:rsid w:val="005C42EF"/>
    <w:rsid w:val="005E02F5"/>
    <w:rsid w:val="005E176E"/>
    <w:rsid w:val="005E35A0"/>
    <w:rsid w:val="00624520"/>
    <w:rsid w:val="0063139B"/>
    <w:rsid w:val="00636871"/>
    <w:rsid w:val="00643DE0"/>
    <w:rsid w:val="00644E85"/>
    <w:rsid w:val="00656042"/>
    <w:rsid w:val="00662BB0"/>
    <w:rsid w:val="006A5695"/>
    <w:rsid w:val="006B3904"/>
    <w:rsid w:val="006B5B7D"/>
    <w:rsid w:val="006D0ECF"/>
    <w:rsid w:val="006E11BE"/>
    <w:rsid w:val="00707218"/>
    <w:rsid w:val="00712B1D"/>
    <w:rsid w:val="007325D9"/>
    <w:rsid w:val="00733565"/>
    <w:rsid w:val="007735F4"/>
    <w:rsid w:val="007816DC"/>
    <w:rsid w:val="007929CF"/>
    <w:rsid w:val="007A7076"/>
    <w:rsid w:val="007D55B1"/>
    <w:rsid w:val="007D561F"/>
    <w:rsid w:val="007E03D2"/>
    <w:rsid w:val="007E22E6"/>
    <w:rsid w:val="0081081F"/>
    <w:rsid w:val="00831927"/>
    <w:rsid w:val="0084273D"/>
    <w:rsid w:val="00845A83"/>
    <w:rsid w:val="00862795"/>
    <w:rsid w:val="00873208"/>
    <w:rsid w:val="008C6D50"/>
    <w:rsid w:val="008E6315"/>
    <w:rsid w:val="008F69E2"/>
    <w:rsid w:val="009054CB"/>
    <w:rsid w:val="00913DAE"/>
    <w:rsid w:val="00924C26"/>
    <w:rsid w:val="00925F81"/>
    <w:rsid w:val="00967855"/>
    <w:rsid w:val="00970F97"/>
    <w:rsid w:val="00974C3A"/>
    <w:rsid w:val="00980736"/>
    <w:rsid w:val="009B13FA"/>
    <w:rsid w:val="009B1BFB"/>
    <w:rsid w:val="009B1E2D"/>
    <w:rsid w:val="009B6257"/>
    <w:rsid w:val="009E396D"/>
    <w:rsid w:val="009E4FA6"/>
    <w:rsid w:val="009E7D93"/>
    <w:rsid w:val="00A03EAC"/>
    <w:rsid w:val="00A11CA6"/>
    <w:rsid w:val="00A20C49"/>
    <w:rsid w:val="00A359AC"/>
    <w:rsid w:val="00A8505F"/>
    <w:rsid w:val="00A950B6"/>
    <w:rsid w:val="00AA2783"/>
    <w:rsid w:val="00AB41C1"/>
    <w:rsid w:val="00AD5520"/>
    <w:rsid w:val="00AF3E9C"/>
    <w:rsid w:val="00B26376"/>
    <w:rsid w:val="00B75602"/>
    <w:rsid w:val="00BA3DBC"/>
    <w:rsid w:val="00BB2DA2"/>
    <w:rsid w:val="00BB56DC"/>
    <w:rsid w:val="00C202C4"/>
    <w:rsid w:val="00C21AAA"/>
    <w:rsid w:val="00C36442"/>
    <w:rsid w:val="00C63D23"/>
    <w:rsid w:val="00CE08A3"/>
    <w:rsid w:val="00D10F21"/>
    <w:rsid w:val="00D159F3"/>
    <w:rsid w:val="00D375EE"/>
    <w:rsid w:val="00D730EE"/>
    <w:rsid w:val="00D9725F"/>
    <w:rsid w:val="00DA14ED"/>
    <w:rsid w:val="00DA1C43"/>
    <w:rsid w:val="00DB3DE1"/>
    <w:rsid w:val="00DB6C33"/>
    <w:rsid w:val="00DB716C"/>
    <w:rsid w:val="00DD4236"/>
    <w:rsid w:val="00E027BC"/>
    <w:rsid w:val="00E14EA5"/>
    <w:rsid w:val="00E254C8"/>
    <w:rsid w:val="00E27AB5"/>
    <w:rsid w:val="00E30F44"/>
    <w:rsid w:val="00E76E45"/>
    <w:rsid w:val="00E921F2"/>
    <w:rsid w:val="00EA4E2E"/>
    <w:rsid w:val="00EA5D8C"/>
    <w:rsid w:val="00EB2CCB"/>
    <w:rsid w:val="00EC6E9E"/>
    <w:rsid w:val="00ED7DD9"/>
    <w:rsid w:val="00EF3113"/>
    <w:rsid w:val="00EF3F84"/>
    <w:rsid w:val="00F07F35"/>
    <w:rsid w:val="00F176AC"/>
    <w:rsid w:val="00F254A5"/>
    <w:rsid w:val="00F27714"/>
    <w:rsid w:val="00F50E34"/>
    <w:rsid w:val="00F57F38"/>
    <w:rsid w:val="00FC588F"/>
    <w:rsid w:val="00FE1B30"/>
    <w:rsid w:val="00FE7B4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Document Map"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Default">
    <w:name w:val="Default"/>
    <w:rsid w:val="004E2606"/>
    <w:pPr>
      <w:autoSpaceDE w:val="0"/>
      <w:autoSpaceDN w:val="0"/>
      <w:adjustRightInd w:val="0"/>
    </w:pPr>
    <w:rPr>
      <w:color w:val="000000"/>
      <w:sz w:val="24"/>
      <w:szCs w:val="24"/>
    </w:rPr>
  </w:style>
  <w:style w:type="character" w:customStyle="1" w:styleId="BodyTextChar">
    <w:name w:val="Body Text Char"/>
    <w:link w:val="BodyText"/>
    <w:rsid w:val="001D786C"/>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Batang" w:hAnsi="Times New Roman" w:cs="Times New Roman"/>
        <w:lang w:val="en-AU" w:eastAsia="en-AU" w:bidi="ar-SA"/>
      </w:rPr>
    </w:rPrDefault>
    <w:pPrDefault/>
  </w:docDefaults>
  <w:latentStyles w:defLockedState="0" w:defUIPriority="0" w:defSemiHidden="0" w:defUnhideWhenUsed="0" w:defQFormat="0" w:count="267">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6" w:semiHidden="1"/>
    <w:lsdException w:name="toc 7" w:semiHidden="1"/>
    <w:lsdException w:name="toc 8" w:semiHidden="1"/>
    <w:lsdException w:name="toc 9" w:semiHidden="1"/>
    <w:lsdException w:name="footnote text" w:semiHidden="1" w:unhideWhenUsed="1"/>
    <w:lsdException w:name="index heading" w:semiHidden="1"/>
    <w:lsdException w:name="caption" w:semiHidden="1" w:unhideWhenUsed="1" w:qFormat="1"/>
    <w:lsdException w:name="table of figures" w:semiHidden="1"/>
    <w:lsdException w:name="footnote reference" w:semiHidden="1" w:unhideWhenUsed="1"/>
    <w:lsdException w:name="endnote reference" w:semiHidden="1" w:unhideWhenUsed="1"/>
    <w:lsdException w:name="endnote text" w:semiHidden="1" w:unhideWhenUsed="1"/>
    <w:lsdException w:name="table of authorities" w:semiHidden="1"/>
    <w:lsdException w:name="macro" w:semiHidden="1"/>
    <w:lsdException w:name="toa heading" w:semiHidden="1"/>
    <w:lsdException w:name="Title" w:semiHidden="1"/>
    <w:lsdException w:name="Body Text" w:qFormat="1"/>
    <w:lsdException w:name="Block Text" w:semiHidden="1"/>
    <w:lsdException w:name="Document Map" w:semiHidden="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atentStyles>
  <w:style w:type="paragraph" w:default="1" w:styleId="Normal">
    <w:name w:val="Normal"/>
    <w:rsid w:val="005E02F5"/>
    <w:pPr>
      <w:spacing w:line="360" w:lineRule="auto"/>
      <w:jc w:val="both"/>
    </w:pPr>
    <w:rPr>
      <w:sz w:val="24"/>
      <w:lang w:eastAsia="en-US"/>
    </w:rPr>
  </w:style>
  <w:style w:type="paragraph" w:styleId="Heading1">
    <w:name w:val="heading 1"/>
    <w:basedOn w:val="Normal"/>
    <w:next w:val="ParaNumbering"/>
    <w:qFormat/>
    <w:pPr>
      <w:keepNext/>
      <w:spacing w:before="240" w:after="60" w:line="240" w:lineRule="auto"/>
      <w:outlineLvl w:val="0"/>
    </w:pPr>
    <w:rPr>
      <w:b/>
      <w:caps/>
      <w:kern w:val="28"/>
    </w:rPr>
  </w:style>
  <w:style w:type="paragraph" w:styleId="Heading2">
    <w:name w:val="heading 2"/>
    <w:basedOn w:val="Normal"/>
    <w:next w:val="ParaNumbering"/>
    <w:qFormat/>
    <w:pPr>
      <w:keepNext/>
      <w:spacing w:before="240" w:after="60" w:line="240" w:lineRule="auto"/>
      <w:outlineLvl w:val="1"/>
    </w:pPr>
    <w:rPr>
      <w:b/>
      <w:szCs w:val="24"/>
    </w:rPr>
  </w:style>
  <w:style w:type="paragraph" w:styleId="Heading3">
    <w:name w:val="heading 3"/>
    <w:basedOn w:val="Normal"/>
    <w:next w:val="ParaNumbering"/>
    <w:qFormat/>
    <w:pPr>
      <w:keepNext/>
      <w:spacing w:before="240" w:after="60" w:line="240" w:lineRule="auto"/>
      <w:outlineLvl w:val="2"/>
    </w:pPr>
    <w:rPr>
      <w:b/>
      <w:i/>
    </w:rPr>
  </w:style>
  <w:style w:type="paragraph" w:styleId="Heading4">
    <w:name w:val="heading 4"/>
    <w:basedOn w:val="Normal"/>
    <w:next w:val="ParaNumbering"/>
    <w:qFormat/>
    <w:pPr>
      <w:keepNext/>
      <w:spacing w:before="240" w:after="60" w:line="240" w:lineRule="auto"/>
      <w:jc w:val="left"/>
      <w:outlineLvl w:val="3"/>
    </w:pPr>
    <w:rPr>
      <w:b/>
      <w:smallCaps/>
      <w:szCs w:val="24"/>
    </w:rPr>
  </w:style>
  <w:style w:type="paragraph" w:styleId="Heading5">
    <w:name w:val="heading 5"/>
    <w:basedOn w:val="fcHeading1"/>
    <w:next w:val="ParaNumbering"/>
    <w:qFormat/>
    <w:pPr>
      <w:outlineLvl w:val="4"/>
    </w:pPr>
  </w:style>
  <w:style w:type="paragraph" w:styleId="Heading6">
    <w:name w:val="heading 6"/>
    <w:basedOn w:val="fcHeading2"/>
    <w:next w:val="ParaNumbering"/>
    <w:qFormat/>
    <w:pPr>
      <w:outlineLvl w:val="5"/>
    </w:pPr>
  </w:style>
  <w:style w:type="paragraph" w:styleId="Heading7">
    <w:name w:val="heading 7"/>
    <w:basedOn w:val="fcHeading3"/>
    <w:next w:val="ParaNumbering"/>
    <w:qFormat/>
    <w:pPr>
      <w:outlineLvl w:val="6"/>
    </w:pPr>
  </w:style>
  <w:style w:type="paragraph" w:styleId="Heading8">
    <w:name w:val="heading 8"/>
    <w:basedOn w:val="fcHeading4"/>
    <w:next w:val="ParaNumbering"/>
    <w:pPr>
      <w:outlineLvl w:val="7"/>
    </w:pPr>
  </w:style>
  <w:style w:type="paragraph" w:styleId="Heading9">
    <w:name w:val="heading 9"/>
    <w:basedOn w:val="fcHeading5"/>
    <w:next w:val="ParaNumbering"/>
    <w:pPr>
      <w:outlineLvl w:val="8"/>
    </w:pPr>
    <w:rPr>
      <w:i/>
      <w:caps w:val="0"/>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OrdersPage">
    <w:name w:val="OrdersPage"/>
    <w:basedOn w:val="Normal"/>
    <w:semiHidden/>
    <w:pPr>
      <w:spacing w:line="240" w:lineRule="auto"/>
    </w:pPr>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customStyle="1" w:styleId="ParaNumbering">
    <w:name w:val="ParaNumbering"/>
    <w:basedOn w:val="Normal"/>
    <w:rsid w:val="00967855"/>
    <w:pPr>
      <w:numPr>
        <w:numId w:val="1"/>
      </w:numPr>
      <w:tabs>
        <w:tab w:val="clear" w:pos="720"/>
      </w:tabs>
      <w:spacing w:before="180" w:after="180"/>
    </w:pPr>
  </w:style>
  <w:style w:type="paragraph" w:customStyle="1" w:styleId="Quote1">
    <w:name w:val="Quote1"/>
    <w:pPr>
      <w:widowControl w:val="0"/>
      <w:ind w:left="737" w:right="737"/>
      <w:jc w:val="both"/>
    </w:pPr>
    <w:rPr>
      <w:sz w:val="22"/>
      <w:lang w:eastAsia="en-US"/>
    </w:rPr>
  </w:style>
  <w:style w:type="paragraph" w:customStyle="1" w:styleId="NormalHeadings">
    <w:name w:val="Normal Headings"/>
    <w:semiHidden/>
    <w:pPr>
      <w:widowControl w:val="0"/>
      <w:jc w:val="both"/>
    </w:pPr>
    <w:rPr>
      <w:b/>
      <w:sz w:val="24"/>
      <w:lang w:eastAsia="en-US"/>
    </w:rPr>
  </w:style>
  <w:style w:type="table" w:styleId="TableGrid">
    <w:name w:val="Table Grid"/>
    <w:basedOn w:val="TableNormal"/>
    <w:semiHidden/>
    <w:pPr>
      <w:widowControl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aNeutralStyle">
    <w:name w:val="Media Neutral Style"/>
    <w:basedOn w:val="Normal"/>
    <w:next w:val="Normal1linespace"/>
    <w:semiHidden/>
    <w:pPr>
      <w:spacing w:before="20" w:after="20"/>
      <w:jc w:val="center"/>
    </w:pPr>
    <w:rPr>
      <w:b/>
      <w:sz w:val="26"/>
    </w:rPr>
  </w:style>
  <w:style w:type="paragraph" w:customStyle="1" w:styleId="Normal1linespace">
    <w:name w:val="Normal1linespace"/>
    <w:basedOn w:val="Normal"/>
    <w:pPr>
      <w:spacing w:line="240" w:lineRule="auto"/>
    </w:pPr>
  </w:style>
  <w:style w:type="paragraph" w:styleId="BalloonText">
    <w:name w:val="Balloon Text"/>
    <w:basedOn w:val="Normal"/>
    <w:semiHidden/>
    <w:rPr>
      <w:rFonts w:ascii="Tahoma" w:hAnsi="Tahoma" w:cs="Tahoma"/>
      <w:sz w:val="16"/>
      <w:szCs w:val="16"/>
    </w:rPr>
  </w:style>
  <w:style w:type="paragraph" w:customStyle="1" w:styleId="StyleBold">
    <w:name w:val="Style Bold"/>
    <w:basedOn w:val="Normal"/>
    <w:next w:val="BodyText"/>
    <w:semiHidden/>
    <w:rPr>
      <w:szCs w:val="24"/>
    </w:rPr>
  </w:style>
  <w:style w:type="paragraph" w:customStyle="1" w:styleId="Bold">
    <w:name w:val="Bold"/>
    <w:basedOn w:val="Normal"/>
    <w:next w:val="Normal"/>
    <w:semiHidden/>
    <w:pPr>
      <w:suppressAutoHyphens/>
      <w:jc w:val="left"/>
    </w:pPr>
    <w:rPr>
      <w:b/>
      <w:szCs w:val="24"/>
    </w:rPr>
  </w:style>
  <w:style w:type="paragraph" w:customStyle="1" w:styleId="Certify">
    <w:name w:val="Certify"/>
    <w:basedOn w:val="Normal"/>
    <w:link w:val="CertifyChar"/>
    <w:semiHidden/>
    <w:pPr>
      <w:spacing w:line="240" w:lineRule="auto"/>
    </w:pPr>
    <w:rPr>
      <w:szCs w:val="24"/>
    </w:rPr>
  </w:style>
  <w:style w:type="character" w:styleId="CommentReference">
    <w:name w:val="annotation reference"/>
    <w:semiHidden/>
    <w:rPr>
      <w:sz w:val="16"/>
      <w:szCs w:val="16"/>
    </w:rPr>
  </w:style>
  <w:style w:type="paragraph" w:styleId="CommentText">
    <w:name w:val="annotation text"/>
    <w:basedOn w:val="Normal"/>
    <w:semiHidden/>
    <w:rPr>
      <w:sz w:val="20"/>
    </w:rPr>
  </w:style>
  <w:style w:type="paragraph" w:styleId="CommentSubject">
    <w:name w:val="annotation subject"/>
    <w:basedOn w:val="CommentText"/>
    <w:next w:val="CommentText"/>
    <w:semiHidden/>
    <w:rPr>
      <w:b/>
      <w:bCs/>
    </w:rPr>
  </w:style>
  <w:style w:type="paragraph" w:customStyle="1" w:styleId="FCBullets">
    <w:name w:val="FCBullets"/>
    <w:basedOn w:val="Normal"/>
    <w:pPr>
      <w:numPr>
        <w:numId w:val="3"/>
      </w:numPr>
      <w:spacing w:before="60" w:after="60"/>
    </w:pPr>
  </w:style>
  <w:style w:type="paragraph" w:customStyle="1" w:styleId="JudgeStyle">
    <w:name w:val="JudgeStyle"/>
    <w:basedOn w:val="Heading1"/>
    <w:next w:val="ParaNumbering"/>
    <w:semiHidden/>
  </w:style>
  <w:style w:type="paragraph" w:styleId="TOC1">
    <w:name w:val="toc 1"/>
    <w:basedOn w:val="Normal"/>
    <w:next w:val="Normal"/>
    <w:autoRedefine/>
    <w:semiHidden/>
    <w:pPr>
      <w:tabs>
        <w:tab w:val="right" w:leader="dot" w:pos="9071"/>
      </w:tabs>
    </w:pPr>
  </w:style>
  <w:style w:type="paragraph" w:styleId="TOC2">
    <w:name w:val="toc 2"/>
    <w:basedOn w:val="Normal"/>
    <w:next w:val="Normal"/>
    <w:autoRedefine/>
    <w:semiHidden/>
    <w:pPr>
      <w:tabs>
        <w:tab w:val="right" w:leader="dot" w:pos="9071"/>
      </w:tabs>
      <w:ind w:left="240"/>
    </w:pPr>
  </w:style>
  <w:style w:type="paragraph" w:styleId="TOC3">
    <w:name w:val="toc 3"/>
    <w:basedOn w:val="Normal"/>
    <w:next w:val="Normal"/>
    <w:autoRedefine/>
    <w:semiHidden/>
    <w:pPr>
      <w:tabs>
        <w:tab w:val="right" w:leader="dot" w:pos="9071"/>
      </w:tabs>
      <w:ind w:left="480"/>
    </w:pPr>
  </w:style>
  <w:style w:type="paragraph" w:styleId="TOC4">
    <w:name w:val="toc 4"/>
    <w:basedOn w:val="Normal"/>
    <w:next w:val="Normal"/>
    <w:autoRedefine/>
    <w:semiHidden/>
    <w:pPr>
      <w:tabs>
        <w:tab w:val="right" w:leader="dot" w:pos="9071"/>
      </w:tabs>
      <w:ind w:left="720"/>
    </w:pPr>
  </w:style>
  <w:style w:type="paragraph" w:customStyle="1" w:styleId="NoNum">
    <w:name w:val="No Num"/>
    <w:basedOn w:val="Normal1linespace"/>
    <w:pPr>
      <w:spacing w:before="120" w:after="180" w:line="360" w:lineRule="auto"/>
    </w:pPr>
  </w:style>
  <w:style w:type="paragraph" w:customStyle="1" w:styleId="AppealTable">
    <w:name w:val="AppealTable"/>
    <w:basedOn w:val="Normal"/>
    <w:unhideWhenUsed/>
    <w:pPr>
      <w:spacing w:line="240" w:lineRule="auto"/>
      <w:jc w:val="left"/>
    </w:pPr>
    <w:rPr>
      <w:b/>
      <w:caps/>
      <w:sz w:val="22"/>
      <w:szCs w:val="22"/>
    </w:rPr>
  </w:style>
  <w:style w:type="paragraph" w:customStyle="1" w:styleId="Quote3">
    <w:name w:val="Quote3"/>
    <w:basedOn w:val="Quote1"/>
    <w:pPr>
      <w:ind w:left="2160"/>
    </w:pPr>
  </w:style>
  <w:style w:type="paragraph" w:customStyle="1" w:styleId="Quote2">
    <w:name w:val="Quote2"/>
    <w:basedOn w:val="Quote1"/>
    <w:pPr>
      <w:ind w:left="1440"/>
    </w:pPr>
  </w:style>
  <w:style w:type="paragraph" w:customStyle="1" w:styleId="FTOC1">
    <w:name w:val="FTOC 1"/>
    <w:basedOn w:val="Normal"/>
    <w:semiHidden/>
    <w:pPr>
      <w:tabs>
        <w:tab w:val="right" w:leader="dot" w:pos="9072"/>
      </w:tabs>
      <w:spacing w:before="120" w:after="60" w:line="240" w:lineRule="auto"/>
    </w:pPr>
    <w:rPr>
      <w:b/>
      <w:caps/>
      <w:kern w:val="28"/>
    </w:rPr>
  </w:style>
  <w:style w:type="paragraph" w:customStyle="1" w:styleId="ListNo1">
    <w:name w:val="List No 1"/>
    <w:basedOn w:val="Normal"/>
    <w:rsid w:val="00E14EA5"/>
    <w:pPr>
      <w:numPr>
        <w:numId w:val="41"/>
      </w:numPr>
      <w:spacing w:before="60" w:after="60"/>
    </w:pPr>
  </w:style>
  <w:style w:type="paragraph" w:customStyle="1" w:styleId="FTOC2">
    <w:name w:val="FTOC 2"/>
    <w:basedOn w:val="Normal"/>
    <w:semiHidden/>
    <w:pPr>
      <w:tabs>
        <w:tab w:val="right" w:leader="dot" w:pos="9072"/>
      </w:tabs>
      <w:spacing w:before="120" w:after="60" w:line="240" w:lineRule="auto"/>
      <w:ind w:left="238"/>
    </w:pPr>
    <w:rPr>
      <w:b/>
    </w:rPr>
  </w:style>
  <w:style w:type="paragraph" w:customStyle="1" w:styleId="FTOC3">
    <w:name w:val="FTOC 3"/>
    <w:basedOn w:val="Normal"/>
    <w:semiHidden/>
    <w:rsid w:val="00513EAE"/>
    <w:pPr>
      <w:tabs>
        <w:tab w:val="right" w:leader="dot" w:pos="9072"/>
      </w:tabs>
      <w:spacing w:before="120" w:after="60" w:line="240" w:lineRule="auto"/>
      <w:ind w:left="482"/>
    </w:pPr>
    <w:rPr>
      <w:b/>
      <w:i/>
    </w:rPr>
  </w:style>
  <w:style w:type="paragraph" w:customStyle="1" w:styleId="FTOC4">
    <w:name w:val="FTOC 4"/>
    <w:basedOn w:val="Normal"/>
    <w:semiHidden/>
    <w:rsid w:val="00513EAE"/>
    <w:pPr>
      <w:tabs>
        <w:tab w:val="right" w:leader="dot" w:pos="9072"/>
      </w:tabs>
      <w:spacing w:before="120" w:after="60" w:line="240" w:lineRule="auto"/>
      <w:ind w:left="720"/>
    </w:pPr>
    <w:rPr>
      <w:b/>
      <w:smallCaps/>
    </w:rPr>
  </w:style>
  <w:style w:type="paragraph" w:styleId="TOC5">
    <w:name w:val="toc 5"/>
    <w:basedOn w:val="Normal"/>
    <w:next w:val="Normal"/>
    <w:autoRedefine/>
    <w:semiHidden/>
    <w:pPr>
      <w:tabs>
        <w:tab w:val="right" w:leader="dot" w:pos="9072"/>
      </w:tabs>
      <w:ind w:left="960"/>
    </w:pPr>
  </w:style>
  <w:style w:type="numbering" w:styleId="111111">
    <w:name w:val="Outline List 2"/>
    <w:basedOn w:val="NoList"/>
    <w:semiHidden/>
    <w:pPr>
      <w:numPr>
        <w:numId w:val="19"/>
      </w:numPr>
    </w:pPr>
  </w:style>
  <w:style w:type="numbering" w:styleId="1ai">
    <w:name w:val="Outline List 1"/>
    <w:basedOn w:val="NoList"/>
    <w:semiHidden/>
    <w:pPr>
      <w:numPr>
        <w:numId w:val="20"/>
      </w:numPr>
    </w:pPr>
  </w:style>
  <w:style w:type="numbering" w:styleId="ArticleSection">
    <w:name w:val="Outline List 3"/>
    <w:basedOn w:val="NoList"/>
    <w:semiHidden/>
    <w:pPr>
      <w:numPr>
        <w:numId w:val="21"/>
      </w:numPr>
    </w:pPr>
  </w:style>
  <w:style w:type="paragraph" w:styleId="BodyText">
    <w:name w:val="Body Text"/>
    <w:basedOn w:val="Normal"/>
    <w:link w:val="BodyTextChar"/>
    <w:qFormat/>
    <w:rsid w:val="002B0E91"/>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6"/>
      <w:szCs w:val="16"/>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6"/>
      <w:szCs w:val="16"/>
    </w:rPr>
  </w:style>
  <w:style w:type="paragraph" w:styleId="Closing">
    <w:name w:val="Closing"/>
    <w:basedOn w:val="Normal"/>
    <w:semiHidden/>
    <w:pPr>
      <w:ind w:left="4252"/>
    </w:pPr>
  </w:style>
  <w:style w:type="paragraph" w:styleId="Date">
    <w:name w:val="Date"/>
    <w:basedOn w:val="Normal"/>
    <w:next w:val="Normal"/>
    <w:semiHidden/>
  </w:style>
  <w:style w:type="paragraph" w:styleId="E-mailSignature">
    <w:name w:val="E-mail Signature"/>
    <w:basedOn w:val="Normal"/>
    <w:semiHidden/>
  </w:style>
  <w:style w:type="character" w:styleId="Emphasis">
    <w:name w:val="Emphasis"/>
    <w:semiHidden/>
    <w:rPr>
      <w:i/>
      <w:iCs/>
    </w:rPr>
  </w:style>
  <w:style w:type="paragraph" w:styleId="EnvelopeAddress">
    <w:name w:val="envelope address"/>
    <w:basedOn w:val="Normal"/>
    <w:semiHidden/>
    <w:pPr>
      <w:framePr w:w="7920" w:h="1980" w:hRule="exact" w:hSpace="180" w:wrap="auto" w:hAnchor="page" w:xAlign="center" w:yAlign="bottom"/>
      <w:ind w:left="2880"/>
    </w:pPr>
    <w:rPr>
      <w:rFonts w:ascii="Arial" w:hAnsi="Arial" w:cs="Arial"/>
      <w:szCs w:val="24"/>
    </w:rPr>
  </w:style>
  <w:style w:type="paragraph" w:styleId="EnvelopeReturn">
    <w:name w:val="envelope return"/>
    <w:basedOn w:val="Normal"/>
    <w:semiHidden/>
    <w:rPr>
      <w:rFonts w:ascii="Arial" w:hAnsi="Arial" w:cs="Arial"/>
      <w:sz w:val="20"/>
    </w:rPr>
  </w:style>
  <w:style w:type="character" w:styleId="FollowedHyperlink">
    <w:name w:val="FollowedHyperlink"/>
    <w:semiHidden/>
    <w:rPr>
      <w:color w:val="800080"/>
      <w:u w:val="single"/>
    </w:rPr>
  </w:style>
  <w:style w:type="character" w:styleId="HTMLAcronym">
    <w:name w:val="HTML Acronym"/>
    <w:basedOn w:val="DefaultParagraphFont"/>
    <w:semiHidden/>
  </w:style>
  <w:style w:type="paragraph" w:styleId="HTMLAddress">
    <w:name w:val="HTML Address"/>
    <w:basedOn w:val="Normal"/>
    <w:semiHidden/>
    <w:rPr>
      <w:i/>
      <w:iCs/>
    </w:rPr>
  </w:style>
  <w:style w:type="character" w:styleId="HTMLCite">
    <w:name w:val="HTML Cite"/>
    <w:semiHidden/>
    <w:rPr>
      <w:i/>
      <w:iCs/>
    </w:rPr>
  </w:style>
  <w:style w:type="character" w:styleId="HTMLCode">
    <w:name w:val="HTML Code"/>
    <w:semiHidden/>
    <w:rPr>
      <w:rFonts w:ascii="Courier New" w:hAnsi="Courier New" w:cs="Courier New"/>
      <w:sz w:val="20"/>
      <w:szCs w:val="20"/>
    </w:rPr>
  </w:style>
  <w:style w:type="character" w:styleId="HTMLDefinition">
    <w:name w:val="HTML Definition"/>
    <w:semiHidden/>
    <w:rPr>
      <w:i/>
      <w:iCs/>
    </w:rPr>
  </w:style>
  <w:style w:type="character" w:styleId="HTMLKeyboard">
    <w:name w:val="HTML Keyboard"/>
    <w:semiHidden/>
    <w:rPr>
      <w:rFonts w:ascii="Courier New" w:hAnsi="Courier New" w:cs="Courier New"/>
      <w:sz w:val="20"/>
      <w:szCs w:val="20"/>
    </w:rPr>
  </w:style>
  <w:style w:type="paragraph" w:styleId="HTMLPreformatted">
    <w:name w:val="HTML Preformatted"/>
    <w:basedOn w:val="Normal"/>
    <w:semiHidden/>
    <w:rPr>
      <w:rFonts w:ascii="Courier New" w:hAnsi="Courier New" w:cs="Courier New"/>
      <w:sz w:val="20"/>
    </w:rPr>
  </w:style>
  <w:style w:type="character" w:styleId="HTMLSample">
    <w:name w:val="HTML Sample"/>
    <w:semiHidden/>
    <w:rPr>
      <w:rFonts w:ascii="Courier New" w:hAnsi="Courier New" w:cs="Courier New"/>
    </w:rPr>
  </w:style>
  <w:style w:type="character" w:styleId="HTMLTypewriter">
    <w:name w:val="HTML Typewriter"/>
    <w:semiHidden/>
    <w:rPr>
      <w:rFonts w:ascii="Courier New" w:hAnsi="Courier New" w:cs="Courier New"/>
      <w:sz w:val="20"/>
      <w:szCs w:val="20"/>
    </w:rPr>
  </w:style>
  <w:style w:type="character" w:styleId="HTMLVariable">
    <w:name w:val="HTML Variable"/>
    <w:semiHidden/>
    <w:rPr>
      <w:i/>
      <w:iCs/>
    </w:rPr>
  </w:style>
  <w:style w:type="character" w:styleId="Hyperlink">
    <w:name w:val="Hyperlink"/>
    <w:semiHidden/>
    <w:rPr>
      <w:color w:val="0000FF"/>
      <w:u w:val="single"/>
    </w:rPr>
  </w:style>
  <w:style w:type="character" w:styleId="LineNumber">
    <w:name w:val="line number"/>
    <w:basedOn w:val="DefaultParagraphFont"/>
    <w:semiHidden/>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semiHidden/>
    <w:pPr>
      <w:numPr>
        <w:numId w:val="4"/>
      </w:numPr>
    </w:pPr>
  </w:style>
  <w:style w:type="paragraph" w:styleId="ListBullet2">
    <w:name w:val="List Bullet 2"/>
    <w:basedOn w:val="Normal"/>
    <w:semiHidden/>
    <w:pPr>
      <w:numPr>
        <w:numId w:val="5"/>
      </w:numPr>
    </w:pPr>
  </w:style>
  <w:style w:type="paragraph" w:styleId="ListBullet3">
    <w:name w:val="List Bullet 3"/>
    <w:basedOn w:val="Normal"/>
    <w:semiHidden/>
    <w:pPr>
      <w:numPr>
        <w:numId w:val="6"/>
      </w:numPr>
    </w:pPr>
  </w:style>
  <w:style w:type="paragraph" w:styleId="ListBullet4">
    <w:name w:val="List Bullet 4"/>
    <w:basedOn w:val="Normal"/>
    <w:semiHidden/>
    <w:pPr>
      <w:numPr>
        <w:numId w:val="7"/>
      </w:numPr>
    </w:pPr>
  </w:style>
  <w:style w:type="paragraph" w:styleId="ListBullet5">
    <w:name w:val="List Bullet 5"/>
    <w:basedOn w:val="Normal"/>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Cs w:val="24"/>
    </w:rPr>
  </w:style>
  <w:style w:type="paragraph" w:styleId="NormalWeb">
    <w:name w:val="Normal (Web)"/>
    <w:basedOn w:val="Normal"/>
    <w:semiHidden/>
    <w:rPr>
      <w:szCs w:val="24"/>
    </w:rPr>
  </w:style>
  <w:style w:type="paragraph" w:styleId="NormalIndent">
    <w:name w:val="Normal Indent"/>
    <w:basedOn w:val="Normal"/>
    <w:semiHidden/>
    <w:pPr>
      <w:ind w:left="720"/>
    </w:pPr>
  </w:style>
  <w:style w:type="paragraph" w:styleId="NoteHeading">
    <w:name w:val="Note Heading"/>
    <w:basedOn w:val="Normal"/>
    <w:next w:val="Normal"/>
    <w:semiHidden/>
  </w:style>
  <w:style w:type="character" w:styleId="PageNumber">
    <w:name w:val="page number"/>
    <w:basedOn w:val="DefaultParagraphFont"/>
    <w:semiHidden/>
  </w:style>
  <w:style w:type="paragraph" w:styleId="PlainText">
    <w:name w:val="Plain Text"/>
    <w:basedOn w:val="Normal"/>
    <w:semiHidden/>
    <w:rPr>
      <w:rFonts w:ascii="Courier New" w:hAnsi="Courier New" w:cs="Courier New"/>
      <w:sz w:val="20"/>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semiHidden/>
    <w:rPr>
      <w:b/>
      <w:bCs/>
    </w:rPr>
  </w:style>
  <w:style w:type="paragraph" w:styleId="Subtitle">
    <w:name w:val="Subtitle"/>
    <w:basedOn w:val="Normal"/>
    <w:semiHidden/>
    <w:pPr>
      <w:spacing w:after="60"/>
      <w:jc w:val="center"/>
      <w:outlineLvl w:val="1"/>
    </w:pPr>
    <w:rPr>
      <w:rFonts w:ascii="Arial" w:hAnsi="Arial" w:cs="Arial"/>
      <w:szCs w:val="24"/>
    </w:rPr>
  </w:style>
  <w:style w:type="table" w:styleId="Table3Deffects1">
    <w:name w:val="Table 3D effects 1"/>
    <w:basedOn w:val="TableNormal"/>
    <w:semiHidden/>
    <w:pPr>
      <w:spacing w:line="360" w:lineRule="auto"/>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pPr>
      <w:spacing w:line="360" w:lineRule="auto"/>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pPr>
      <w:spacing w:line="360" w:lineRule="auto"/>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pPr>
      <w:spacing w:line="360" w:lineRule="auto"/>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pPr>
      <w:spacing w:line="360" w:lineRule="auto"/>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pPr>
      <w:spacing w:line="360" w:lineRule="auto"/>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pPr>
      <w:spacing w:line="360" w:lineRule="auto"/>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pPr>
      <w:spacing w:line="360" w:lineRule="auto"/>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pPr>
      <w:spacing w:line="360" w:lineRule="auto"/>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pPr>
      <w:spacing w:line="360" w:lineRule="auto"/>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pPr>
      <w:spacing w:line="360" w:lineRule="auto"/>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pPr>
      <w:spacing w:line="360" w:lineRule="auto"/>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pPr>
      <w:spacing w:line="360" w:lineRule="auto"/>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pPr>
      <w:spacing w:line="360" w:lineRule="auto"/>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pPr>
      <w:spacing w:line="360" w:lineRule="auto"/>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pPr>
      <w:spacing w:line="360" w:lineRule="auto"/>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pPr>
      <w:spacing w:line="360" w:lineRule="auto"/>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pPr>
      <w:spacing w:line="360" w:lineRule="auto"/>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pPr>
      <w:spacing w:line="360" w:lineRule="auto"/>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pPr>
      <w:spacing w:line="360" w:lineRule="auto"/>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pPr>
      <w:spacing w:line="360" w:lineRule="auto"/>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pPr>
      <w:spacing w:line="360" w:lineRule="auto"/>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pPr>
      <w:spacing w:line="360" w:lineRule="auto"/>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pPr>
      <w:spacing w:line="360" w:lineRule="auto"/>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pPr>
      <w:spacing w:line="360" w:lineRule="auto"/>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pPr>
      <w:spacing w:line="360" w:lineRule="auto"/>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pPr>
      <w:spacing w:line="360" w:lineRule="auto"/>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pPr>
      <w:spacing w:line="360" w:lineRule="auto"/>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pPr>
      <w:spacing w:line="360" w:lineRule="auto"/>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pPr>
      <w:spacing w:line="360" w:lineRule="auto"/>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pPr>
      <w:spacing w:line="360" w:lineRule="auto"/>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pPr>
      <w:spacing w:line="360" w:lineRule="auto"/>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pPr>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pPr>
      <w:spacing w:line="360" w:lineRule="auto"/>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pPr>
      <w:spacing w:line="360" w:lineRule="auto"/>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pPr>
      <w:spacing w:line="360" w:lineRule="auto"/>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bTOC1">
    <w:name w:val="bTOC 1"/>
    <w:basedOn w:val="TOC1"/>
    <w:semiHidden/>
  </w:style>
  <w:style w:type="paragraph" w:customStyle="1" w:styleId="bTOC2">
    <w:name w:val="bTOC 2"/>
    <w:basedOn w:val="TOC2"/>
    <w:semiHidden/>
  </w:style>
  <w:style w:type="paragraph" w:customStyle="1" w:styleId="bTOC3">
    <w:name w:val="bTOC 3"/>
    <w:basedOn w:val="TOC3"/>
    <w:semiHidden/>
  </w:style>
  <w:style w:type="paragraph" w:customStyle="1" w:styleId="bTOC4">
    <w:name w:val="bTOC 4"/>
    <w:basedOn w:val="TOC4"/>
    <w:semiHidden/>
  </w:style>
  <w:style w:type="paragraph" w:customStyle="1" w:styleId="Counsel">
    <w:name w:val="Counsel"/>
    <w:basedOn w:val="Normal"/>
    <w:unhideWhenUsed/>
    <w:pPr>
      <w:widowControl w:val="0"/>
      <w:suppressAutoHyphens/>
      <w:spacing w:line="240" w:lineRule="auto"/>
    </w:pPr>
  </w:style>
  <w:style w:type="character" w:customStyle="1" w:styleId="CertifyChar">
    <w:name w:val="Certify Char"/>
    <w:link w:val="Certify"/>
    <w:rPr>
      <w:sz w:val="24"/>
      <w:szCs w:val="24"/>
      <w:lang w:val="en-AU" w:eastAsia="en-US" w:bidi="ar-SA"/>
    </w:rPr>
  </w:style>
  <w:style w:type="paragraph" w:customStyle="1" w:styleId="fcHeading1">
    <w:name w:val="fcHeading 1"/>
    <w:basedOn w:val="Normal"/>
    <w:next w:val="ParaNumbering"/>
    <w:semiHidden/>
    <w:pPr>
      <w:keepNext/>
      <w:numPr>
        <w:numId w:val="26"/>
      </w:numPr>
      <w:spacing w:before="240" w:after="60" w:line="240" w:lineRule="auto"/>
    </w:pPr>
    <w:rPr>
      <w:b/>
      <w:caps/>
      <w:kern w:val="28"/>
    </w:rPr>
  </w:style>
  <w:style w:type="paragraph" w:customStyle="1" w:styleId="fcHeading2">
    <w:name w:val="fcHeading 2"/>
    <w:basedOn w:val="Normal"/>
    <w:next w:val="ParaNumbering"/>
    <w:semiHidden/>
    <w:pPr>
      <w:keepNext/>
      <w:numPr>
        <w:ilvl w:val="1"/>
        <w:numId w:val="26"/>
      </w:numPr>
      <w:spacing w:before="240" w:after="60" w:line="240" w:lineRule="auto"/>
    </w:pPr>
    <w:rPr>
      <w:b/>
    </w:rPr>
  </w:style>
  <w:style w:type="paragraph" w:customStyle="1" w:styleId="fcHeading3">
    <w:name w:val="fcHeading 3"/>
    <w:basedOn w:val="Normal"/>
    <w:next w:val="ParaNumbering"/>
    <w:semiHidden/>
    <w:pPr>
      <w:keepNext/>
      <w:numPr>
        <w:ilvl w:val="2"/>
        <w:numId w:val="26"/>
      </w:numPr>
      <w:spacing w:before="240" w:after="60" w:line="240" w:lineRule="auto"/>
    </w:pPr>
    <w:rPr>
      <w:b/>
      <w:i/>
    </w:rPr>
  </w:style>
  <w:style w:type="paragraph" w:customStyle="1" w:styleId="fcHeading4">
    <w:name w:val="fcHeading 4"/>
    <w:basedOn w:val="Normal"/>
    <w:next w:val="ParaNumbering"/>
    <w:semiHidden/>
    <w:pPr>
      <w:keepNext/>
      <w:numPr>
        <w:ilvl w:val="3"/>
        <w:numId w:val="26"/>
      </w:numPr>
      <w:spacing w:before="240" w:after="60" w:line="240" w:lineRule="auto"/>
    </w:pPr>
    <w:rPr>
      <w:b/>
      <w:smallCaps/>
    </w:rPr>
  </w:style>
  <w:style w:type="paragraph" w:customStyle="1" w:styleId="fcHeading5">
    <w:name w:val="fcHeading 5"/>
    <w:basedOn w:val="Normal"/>
    <w:next w:val="ParaNumbering"/>
    <w:semiHidden/>
    <w:pPr>
      <w:keepNext/>
      <w:numPr>
        <w:ilvl w:val="4"/>
        <w:numId w:val="26"/>
      </w:numPr>
      <w:spacing w:before="240" w:after="60" w:line="240" w:lineRule="auto"/>
    </w:pPr>
    <w:rPr>
      <w:b/>
      <w:caps/>
    </w:rPr>
  </w:style>
  <w:style w:type="paragraph" w:customStyle="1" w:styleId="FTOC5">
    <w:name w:val="FTOC 5"/>
    <w:basedOn w:val="Normal"/>
    <w:semiHidden/>
    <w:rsid w:val="00513EAE"/>
    <w:pPr>
      <w:tabs>
        <w:tab w:val="right" w:leader="dot" w:pos="9072"/>
      </w:tabs>
      <w:spacing w:before="240" w:after="60" w:line="240" w:lineRule="auto"/>
      <w:ind w:left="709" w:hanging="709"/>
    </w:pPr>
    <w:rPr>
      <w:b/>
      <w:caps/>
      <w:kern w:val="28"/>
    </w:rPr>
  </w:style>
  <w:style w:type="paragraph" w:customStyle="1" w:styleId="FTOC6">
    <w:name w:val="FTOC 6"/>
    <w:basedOn w:val="Normal"/>
    <w:semiHidden/>
    <w:rsid w:val="00513EAE"/>
    <w:pPr>
      <w:tabs>
        <w:tab w:val="right" w:leader="dot" w:pos="9072"/>
      </w:tabs>
      <w:spacing w:before="240" w:after="60" w:line="240" w:lineRule="auto"/>
      <w:ind w:left="1418" w:hanging="709"/>
    </w:pPr>
    <w:rPr>
      <w:b/>
    </w:rPr>
  </w:style>
  <w:style w:type="paragraph" w:customStyle="1" w:styleId="FTOC7">
    <w:name w:val="FTOC 7"/>
    <w:basedOn w:val="Normal"/>
    <w:semiHidden/>
    <w:rsid w:val="00513EAE"/>
    <w:pPr>
      <w:tabs>
        <w:tab w:val="right" w:leader="dot" w:pos="9072"/>
      </w:tabs>
      <w:spacing w:before="240" w:after="60" w:line="240" w:lineRule="auto"/>
      <w:ind w:left="2127" w:hanging="709"/>
    </w:pPr>
    <w:rPr>
      <w:b/>
      <w:i/>
    </w:rPr>
  </w:style>
  <w:style w:type="paragraph" w:customStyle="1" w:styleId="FTOC8">
    <w:name w:val="FTOC 8"/>
    <w:basedOn w:val="Normal"/>
    <w:semiHidden/>
    <w:rsid w:val="00513EAE"/>
    <w:pPr>
      <w:tabs>
        <w:tab w:val="right" w:leader="dot" w:pos="9072"/>
      </w:tabs>
      <w:spacing w:before="240" w:after="60" w:line="240" w:lineRule="auto"/>
      <w:ind w:left="3260" w:hanging="1134"/>
    </w:pPr>
    <w:rPr>
      <w:b/>
      <w:smallCaps/>
    </w:rPr>
  </w:style>
  <w:style w:type="paragraph" w:customStyle="1" w:styleId="FTOC9">
    <w:name w:val="FTOC 9"/>
    <w:basedOn w:val="Normal"/>
    <w:semiHidden/>
    <w:rsid w:val="00513EAE"/>
    <w:pPr>
      <w:tabs>
        <w:tab w:val="right" w:leader="dot" w:pos="9072"/>
      </w:tabs>
      <w:spacing w:before="240" w:after="60" w:line="240" w:lineRule="auto"/>
      <w:ind w:left="3969" w:hanging="1134"/>
    </w:pPr>
    <w:rPr>
      <w:b/>
      <w:caps/>
    </w:rPr>
  </w:style>
  <w:style w:type="paragraph" w:customStyle="1" w:styleId="bTOC5">
    <w:name w:val="bTOC 5"/>
    <w:basedOn w:val="Normal"/>
    <w:semiHidden/>
    <w:rsid w:val="005E02F5"/>
    <w:pPr>
      <w:tabs>
        <w:tab w:val="right" w:leader="dot" w:pos="9072"/>
      </w:tabs>
      <w:spacing w:before="240" w:after="60" w:line="240" w:lineRule="auto"/>
      <w:ind w:left="709" w:hanging="709"/>
    </w:pPr>
  </w:style>
  <w:style w:type="paragraph" w:customStyle="1" w:styleId="bTOC6">
    <w:name w:val="bTOC 6"/>
    <w:basedOn w:val="Normal"/>
    <w:semiHidden/>
    <w:rsid w:val="005E02F5"/>
    <w:pPr>
      <w:tabs>
        <w:tab w:val="right" w:leader="dot" w:pos="9072"/>
      </w:tabs>
      <w:spacing w:before="240" w:after="60" w:line="240" w:lineRule="auto"/>
      <w:ind w:left="1418" w:hanging="709"/>
    </w:pPr>
  </w:style>
  <w:style w:type="paragraph" w:customStyle="1" w:styleId="bTOC7">
    <w:name w:val="bTOC 7"/>
    <w:basedOn w:val="Normal"/>
    <w:semiHidden/>
    <w:rsid w:val="005E02F5"/>
    <w:pPr>
      <w:tabs>
        <w:tab w:val="right" w:leader="dot" w:pos="9072"/>
      </w:tabs>
      <w:spacing w:before="240" w:after="60" w:line="240" w:lineRule="auto"/>
      <w:ind w:left="2127" w:hanging="709"/>
    </w:pPr>
  </w:style>
  <w:style w:type="paragraph" w:customStyle="1" w:styleId="bTOC8">
    <w:name w:val="bTOC 8"/>
    <w:basedOn w:val="Normal"/>
    <w:semiHidden/>
    <w:pPr>
      <w:keepNext/>
      <w:tabs>
        <w:tab w:val="right" w:leader="dot" w:pos="9072"/>
      </w:tabs>
      <w:spacing w:before="240" w:after="60" w:line="240" w:lineRule="auto"/>
      <w:ind w:left="3260" w:hanging="1134"/>
    </w:pPr>
  </w:style>
  <w:style w:type="paragraph" w:customStyle="1" w:styleId="bTOC9">
    <w:name w:val="bTOC 9"/>
    <w:basedOn w:val="Normal"/>
    <w:semiHidden/>
    <w:pPr>
      <w:keepNext/>
      <w:tabs>
        <w:tab w:val="right" w:leader="dot" w:pos="9072"/>
      </w:tabs>
      <w:spacing w:before="240" w:after="60" w:line="240" w:lineRule="auto"/>
      <w:ind w:left="3969" w:hanging="1134"/>
    </w:pPr>
  </w:style>
  <w:style w:type="paragraph" w:customStyle="1" w:styleId="ListNo2">
    <w:name w:val="List No 2"/>
    <w:basedOn w:val="ListNo1"/>
    <w:rsid w:val="00E14EA5"/>
    <w:pPr>
      <w:numPr>
        <w:ilvl w:val="1"/>
      </w:numPr>
    </w:pPr>
  </w:style>
  <w:style w:type="paragraph" w:customStyle="1" w:styleId="ListNo3">
    <w:name w:val="List No 3"/>
    <w:basedOn w:val="ListNo2"/>
    <w:rsid w:val="00E14EA5"/>
    <w:pPr>
      <w:numPr>
        <w:ilvl w:val="2"/>
      </w:numPr>
    </w:pPr>
  </w:style>
  <w:style w:type="numbering" w:customStyle="1" w:styleId="FCListNo">
    <w:name w:val="FCListNo"/>
    <w:uiPriority w:val="99"/>
    <w:rsid w:val="00E14EA5"/>
    <w:pPr>
      <w:numPr>
        <w:numId w:val="30"/>
      </w:numPr>
    </w:pPr>
  </w:style>
  <w:style w:type="paragraph" w:customStyle="1" w:styleId="SingleSpace">
    <w:name w:val="SingleSpace"/>
    <w:basedOn w:val="Normal"/>
    <w:rsid w:val="004D53E5"/>
    <w:pPr>
      <w:spacing w:line="240" w:lineRule="auto"/>
    </w:pPr>
    <w:rPr>
      <w:sz w:val="22"/>
      <w:szCs w:val="22"/>
    </w:rPr>
  </w:style>
  <w:style w:type="paragraph" w:customStyle="1" w:styleId="Quote1Bullet">
    <w:name w:val="Quote1 Bullet"/>
    <w:basedOn w:val="Quote1"/>
    <w:rsid w:val="00EF3F84"/>
    <w:pPr>
      <w:numPr>
        <w:numId w:val="32"/>
      </w:numPr>
      <w:ind w:left="1440" w:hanging="720"/>
    </w:pPr>
  </w:style>
  <w:style w:type="paragraph" w:customStyle="1" w:styleId="Quote2Bullet">
    <w:name w:val="Quote2 Bullet"/>
    <w:basedOn w:val="Quote2"/>
    <w:rsid w:val="00EF3F84"/>
    <w:pPr>
      <w:numPr>
        <w:numId w:val="33"/>
      </w:numPr>
      <w:ind w:hanging="720"/>
    </w:pPr>
  </w:style>
  <w:style w:type="paragraph" w:customStyle="1" w:styleId="Quote3Bullet">
    <w:name w:val="Quote3 Bullet"/>
    <w:basedOn w:val="Quote3"/>
    <w:rsid w:val="00EF3F84"/>
    <w:pPr>
      <w:numPr>
        <w:numId w:val="34"/>
      </w:numPr>
      <w:ind w:hanging="720"/>
    </w:pPr>
  </w:style>
  <w:style w:type="paragraph" w:customStyle="1" w:styleId="Order1">
    <w:name w:val="Order 1"/>
    <w:basedOn w:val="Normal"/>
    <w:rsid w:val="00274F5B"/>
    <w:pPr>
      <w:numPr>
        <w:numId w:val="48"/>
      </w:numPr>
      <w:spacing w:before="60" w:after="60"/>
    </w:pPr>
  </w:style>
  <w:style w:type="paragraph" w:customStyle="1" w:styleId="Order2">
    <w:name w:val="Order 2"/>
    <w:basedOn w:val="Order1"/>
    <w:rsid w:val="00274F5B"/>
    <w:pPr>
      <w:numPr>
        <w:ilvl w:val="1"/>
      </w:numPr>
    </w:pPr>
  </w:style>
  <w:style w:type="paragraph" w:customStyle="1" w:styleId="Order3">
    <w:name w:val="Order 3"/>
    <w:basedOn w:val="Order2"/>
    <w:rsid w:val="00274F5B"/>
    <w:pPr>
      <w:numPr>
        <w:ilvl w:val="2"/>
      </w:numPr>
    </w:pPr>
  </w:style>
  <w:style w:type="numbering" w:customStyle="1" w:styleId="FCOrders">
    <w:name w:val="FCOrders"/>
    <w:uiPriority w:val="99"/>
    <w:rsid w:val="00274F5B"/>
    <w:pPr>
      <w:numPr>
        <w:numId w:val="42"/>
      </w:numPr>
    </w:pPr>
  </w:style>
  <w:style w:type="paragraph" w:customStyle="1" w:styleId="Default">
    <w:name w:val="Default"/>
    <w:rsid w:val="004E2606"/>
    <w:pPr>
      <w:autoSpaceDE w:val="0"/>
      <w:autoSpaceDN w:val="0"/>
      <w:adjustRightInd w:val="0"/>
    </w:pPr>
    <w:rPr>
      <w:color w:val="000000"/>
      <w:sz w:val="24"/>
      <w:szCs w:val="24"/>
    </w:rPr>
  </w:style>
  <w:style w:type="character" w:customStyle="1" w:styleId="BodyTextChar">
    <w:name w:val="Body Text Char"/>
    <w:link w:val="BodyText"/>
    <w:rsid w:val="001D786C"/>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841431">
      <w:bodyDiv w:val="1"/>
      <w:marLeft w:val="0"/>
      <w:marRight w:val="0"/>
      <w:marTop w:val="0"/>
      <w:marBottom w:val="0"/>
      <w:divBdr>
        <w:top w:val="none" w:sz="0" w:space="0" w:color="auto"/>
        <w:left w:val="none" w:sz="0" w:space="0" w:color="auto"/>
        <w:bottom w:val="none" w:sz="0" w:space="0" w:color="auto"/>
        <w:right w:val="none" w:sz="0" w:space="0" w:color="auto"/>
      </w:divBdr>
    </w:div>
    <w:div w:id="542325128">
      <w:bodyDiv w:val="1"/>
      <w:marLeft w:val="0"/>
      <w:marRight w:val="0"/>
      <w:marTop w:val="0"/>
      <w:marBottom w:val="0"/>
      <w:divBdr>
        <w:top w:val="none" w:sz="0" w:space="0" w:color="auto"/>
        <w:left w:val="none" w:sz="0" w:space="0" w:color="auto"/>
        <w:bottom w:val="none" w:sz="0" w:space="0" w:color="auto"/>
        <w:right w:val="none" w:sz="0" w:space="0" w:color="auto"/>
      </w:divBdr>
      <w:divsChild>
        <w:div w:id="1263149873">
          <w:blockQuote w:val="1"/>
          <w:marLeft w:val="720"/>
          <w:marRight w:val="720"/>
          <w:marTop w:val="100"/>
          <w:marBottom w:val="100"/>
          <w:divBdr>
            <w:top w:val="none" w:sz="0" w:space="0" w:color="auto"/>
            <w:left w:val="none" w:sz="0" w:space="0" w:color="auto"/>
            <w:bottom w:val="none" w:sz="0" w:space="0" w:color="auto"/>
            <w:right w:val="none" w:sz="0" w:space="0" w:color="auto"/>
          </w:divBdr>
        </w:div>
        <w:div w:id="1307470163">
          <w:blockQuote w:val="1"/>
          <w:marLeft w:val="720"/>
          <w:marRight w:val="720"/>
          <w:marTop w:val="100"/>
          <w:marBottom w:val="100"/>
          <w:divBdr>
            <w:top w:val="none" w:sz="0" w:space="0" w:color="auto"/>
            <w:left w:val="none" w:sz="0" w:space="0" w:color="auto"/>
            <w:bottom w:val="none" w:sz="0" w:space="0" w:color="auto"/>
            <w:right w:val="none" w:sz="0" w:space="0" w:color="auto"/>
          </w:divBdr>
        </w:div>
        <w:div w:id="194892859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980115150">
      <w:bodyDiv w:val="1"/>
      <w:marLeft w:val="0"/>
      <w:marRight w:val="0"/>
      <w:marTop w:val="0"/>
      <w:marBottom w:val="0"/>
      <w:divBdr>
        <w:top w:val="none" w:sz="0" w:space="0" w:color="auto"/>
        <w:left w:val="none" w:sz="0" w:space="0" w:color="auto"/>
        <w:bottom w:val="none" w:sz="0" w:space="0" w:color="auto"/>
        <w:right w:val="none" w:sz="0" w:space="0" w:color="auto"/>
      </w:divBdr>
    </w:div>
    <w:div w:id="2002153811">
      <w:bodyDiv w:val="1"/>
      <w:marLeft w:val="0"/>
      <w:marRight w:val="0"/>
      <w:marTop w:val="0"/>
      <w:marBottom w:val="0"/>
      <w:divBdr>
        <w:top w:val="none" w:sz="0" w:space="0" w:color="auto"/>
        <w:left w:val="none" w:sz="0" w:space="0" w:color="auto"/>
        <w:bottom w:val="none" w:sz="0" w:space="0" w:color="auto"/>
        <w:right w:val="none" w:sz="0" w:space="0" w:color="auto"/>
      </w:divBdr>
      <w:divsChild>
        <w:div w:id="410396748">
          <w:marLeft w:val="0"/>
          <w:marRight w:val="0"/>
          <w:marTop w:val="0"/>
          <w:marBottom w:val="0"/>
          <w:divBdr>
            <w:top w:val="none" w:sz="0" w:space="0" w:color="auto"/>
            <w:left w:val="none" w:sz="0" w:space="0" w:color="auto"/>
            <w:bottom w:val="none" w:sz="0" w:space="0" w:color="auto"/>
            <w:right w:val="none" w:sz="0" w:space="0" w:color="auto"/>
          </w:divBdr>
          <w:divsChild>
            <w:div w:id="14231352">
              <w:marLeft w:val="0"/>
              <w:marRight w:val="0"/>
              <w:marTop w:val="0"/>
              <w:marBottom w:val="0"/>
              <w:divBdr>
                <w:top w:val="none" w:sz="0" w:space="0" w:color="auto"/>
                <w:left w:val="single" w:sz="6" w:space="0" w:color="E4E4E4"/>
                <w:bottom w:val="none" w:sz="0" w:space="0" w:color="auto"/>
                <w:right w:val="none" w:sz="0" w:space="0" w:color="auto"/>
              </w:divBdr>
              <w:divsChild>
                <w:div w:id="747387021">
                  <w:marLeft w:val="0"/>
                  <w:marRight w:val="0"/>
                  <w:marTop w:val="0"/>
                  <w:marBottom w:val="0"/>
                  <w:divBdr>
                    <w:top w:val="none" w:sz="0" w:space="0" w:color="auto"/>
                    <w:left w:val="none" w:sz="0" w:space="0" w:color="auto"/>
                    <w:bottom w:val="none" w:sz="0" w:space="0" w:color="auto"/>
                    <w:right w:val="none" w:sz="0" w:space="0" w:color="auto"/>
                  </w:divBdr>
                  <w:divsChild>
                    <w:div w:id="1333415626">
                      <w:marLeft w:val="0"/>
                      <w:marRight w:val="0"/>
                      <w:marTop w:val="0"/>
                      <w:marBottom w:val="0"/>
                      <w:divBdr>
                        <w:top w:val="none" w:sz="0" w:space="0" w:color="auto"/>
                        <w:left w:val="none" w:sz="0" w:space="0" w:color="auto"/>
                        <w:bottom w:val="none" w:sz="0" w:space="0" w:color="auto"/>
                        <w:right w:val="none" w:sz="0" w:space="0" w:color="auto"/>
                      </w:divBdr>
                      <w:divsChild>
                        <w:div w:id="618032458">
                          <w:marLeft w:val="0"/>
                          <w:marRight w:val="0"/>
                          <w:marTop w:val="0"/>
                          <w:marBottom w:val="105"/>
                          <w:divBdr>
                            <w:top w:val="none" w:sz="0" w:space="0" w:color="auto"/>
                            <w:left w:val="none" w:sz="0" w:space="0" w:color="auto"/>
                            <w:bottom w:val="none" w:sz="0" w:space="0" w:color="auto"/>
                            <w:right w:val="none" w:sz="0" w:space="0" w:color="auto"/>
                          </w:divBdr>
                          <w:divsChild>
                            <w:div w:id="897781875">
                              <w:marLeft w:val="0"/>
                              <w:marRight w:val="0"/>
                              <w:marTop w:val="105"/>
                              <w:marBottom w:val="0"/>
                              <w:divBdr>
                                <w:top w:val="none" w:sz="0" w:space="0" w:color="auto"/>
                                <w:left w:val="none" w:sz="0" w:space="0" w:color="auto"/>
                                <w:bottom w:val="none" w:sz="0" w:space="0" w:color="auto"/>
                                <w:right w:val="none" w:sz="0" w:space="0" w:color="auto"/>
                              </w:divBdr>
                              <w:divsChild>
                                <w:div w:id="463475241">
                                  <w:marLeft w:val="0"/>
                                  <w:marRight w:val="0"/>
                                  <w:marTop w:val="0"/>
                                  <w:marBottom w:val="105"/>
                                  <w:divBdr>
                                    <w:top w:val="none" w:sz="0" w:space="0" w:color="auto"/>
                                    <w:left w:val="none" w:sz="0" w:space="0" w:color="auto"/>
                                    <w:bottom w:val="none" w:sz="0" w:space="0" w:color="auto"/>
                                    <w:right w:val="none" w:sz="0" w:space="0" w:color="auto"/>
                                  </w:divBdr>
                                  <w:divsChild>
                                    <w:div w:id="889539133">
                                      <w:marLeft w:val="0"/>
                                      <w:marRight w:val="0"/>
                                      <w:marTop w:val="105"/>
                                      <w:marBottom w:val="0"/>
                                      <w:divBdr>
                                        <w:top w:val="none" w:sz="0" w:space="0" w:color="auto"/>
                                        <w:left w:val="none" w:sz="0" w:space="0" w:color="auto"/>
                                        <w:bottom w:val="none" w:sz="0" w:space="0" w:color="auto"/>
                                        <w:right w:val="none" w:sz="0" w:space="0" w:color="auto"/>
                                      </w:divBdr>
                                      <w:divsChild>
                                        <w:div w:id="1933779681">
                                          <w:marLeft w:val="0"/>
                                          <w:marRight w:val="0"/>
                                          <w:marTop w:val="0"/>
                                          <w:marBottom w:val="105"/>
                                          <w:divBdr>
                                            <w:top w:val="none" w:sz="0" w:space="0" w:color="auto"/>
                                            <w:left w:val="none" w:sz="0" w:space="0" w:color="auto"/>
                                            <w:bottom w:val="none" w:sz="0" w:space="0" w:color="auto"/>
                                            <w:right w:val="none" w:sz="0" w:space="0" w:color="auto"/>
                                          </w:divBdr>
                                          <w:divsChild>
                                            <w:div w:id="57169769">
                                              <w:marLeft w:val="0"/>
                                              <w:marRight w:val="0"/>
                                              <w:marTop w:val="105"/>
                                              <w:marBottom w:val="0"/>
                                              <w:divBdr>
                                                <w:top w:val="none" w:sz="0" w:space="0" w:color="auto"/>
                                                <w:left w:val="none" w:sz="0" w:space="0" w:color="auto"/>
                                                <w:bottom w:val="none" w:sz="0" w:space="0" w:color="auto"/>
                                                <w:right w:val="none" w:sz="0" w:space="0" w:color="auto"/>
                                              </w:divBdr>
                                              <w:divsChild>
                                                <w:div w:id="318390854">
                                                  <w:marLeft w:val="0"/>
                                                  <w:marRight w:val="0"/>
                                                  <w:marTop w:val="105"/>
                                                  <w:marBottom w:val="105"/>
                                                  <w:divBdr>
                                                    <w:top w:val="none" w:sz="0" w:space="0" w:color="auto"/>
                                                    <w:left w:val="none" w:sz="0" w:space="0" w:color="auto"/>
                                                    <w:bottom w:val="none" w:sz="0" w:space="0" w:color="auto"/>
                                                    <w:right w:val="none" w:sz="0" w:space="0" w:color="auto"/>
                                                  </w:divBdr>
                                                  <w:divsChild>
                                                    <w:div w:id="1229340617">
                                                      <w:marLeft w:val="0"/>
                                                      <w:marRight w:val="10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5.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e0a\AppData\Roaming\Microsoft\Templates\Judgment.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Judgment</Template>
  <TotalTime>5</TotalTime>
  <Pages>13</Pages>
  <Words>3870</Words>
  <Characters>20000</Characters>
  <Application>Microsoft Office Word</Application>
  <DocSecurity>0</DocSecurity>
  <Lines>487</Lines>
  <Paragraphs>185</Paragraphs>
  <ScaleCrop>false</ScaleCrop>
  <HeadingPairs>
    <vt:vector size="2" baseType="variant">
      <vt:variant>
        <vt:lpstr>Title</vt:lpstr>
      </vt:variant>
      <vt:variant>
        <vt:i4>1</vt:i4>
      </vt:variant>
    </vt:vector>
  </HeadingPairs>
  <TitlesOfParts>
    <vt:vector size="1" baseType="lpstr">
      <vt:lpstr>SZUOY v Minister for Immigration and Border Protection [2015] FCA 769</vt:lpstr>
    </vt:vector>
  </TitlesOfParts>
  <Company>Federal Court of Australia</Company>
  <LinksUpToDate>false</LinksUpToDate>
  <CharactersWithSpaces>23685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SZUOY v Minister for Immigration and Border Protection [2015] FCA 769</dc:title>
  <dc:creator>Juliette Teodorovic</dc:creator>
  <cp:lastModifiedBy>Aurora Lee</cp:lastModifiedBy>
  <cp:revision>4</cp:revision>
  <cp:lastPrinted>2015-07-27T23:48:00Z</cp:lastPrinted>
  <dcterms:created xsi:type="dcterms:W3CDTF">2015-07-28T05:24:00Z</dcterms:created>
  <dcterms:modified xsi:type="dcterms:W3CDTF">2015-07-28T05:34:00Z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licant">
    <vt:lpwstr> </vt:lpwstr>
  </property>
  <property fmtid="{D5CDD505-2E9C-101B-9397-08002B2CF9AE}" pid="3" name="Judge" linkTarget="Judge">
    <vt:lpwstr>FARRELL J</vt:lpwstr>
  </property>
  <property fmtid="{D5CDD505-2E9C-101B-9397-08002B2CF9AE}" pid="4" name="Judgment_dated" linkTarget="Judgment_dated">
    <vt:lpwstr/>
  </property>
  <property fmtid="{D5CDD505-2E9C-101B-9397-08002B2CF9AE}" pid="5" name="Distribution">
    <vt:lpwstr>GENERAL DISTRIBUTION</vt:lpwstr>
  </property>
  <property fmtid="{D5CDD505-2E9C-101B-9397-08002B2CF9AE}" pid="6" name="MNC">
    <vt:lpwstr> </vt:lpwstr>
  </property>
  <property fmtid="{D5CDD505-2E9C-101B-9397-08002B2CF9AE}" pid="7" name="File_Number" linkTarget="Num">
    <vt:lpwstr>NSD 678 of 2015</vt:lpwstr>
  </property>
  <property fmtid="{D5CDD505-2E9C-101B-9397-08002B2CF9AE}" pid="8" name="Pages">
    <vt:lpwstr>3</vt:lpwstr>
  </property>
  <property fmtid="{D5CDD505-2E9C-101B-9397-08002B2CF9AE}" pid="9" name="Parties">
    <vt:lpwstr> </vt:lpwstr>
  </property>
  <property fmtid="{D5CDD505-2E9C-101B-9397-08002B2CF9AE}" pid="10" name="Place">
    <vt:lpwstr>SYDNEY</vt:lpwstr>
  </property>
  <property fmtid="{D5CDD505-2E9C-101B-9397-08002B2CF9AE}" pid="11" name="Respondent">
    <vt:lpwstr> </vt:lpwstr>
  </property>
  <property fmtid="{D5CDD505-2E9C-101B-9397-08002B2CF9AE}" pid="12" name="State" linkTarget="State">
    <vt:lpwstr>NEW SOUTH WALES</vt:lpwstr>
  </property>
  <property fmtid="{D5CDD505-2E9C-101B-9397-08002B2CF9AE}" pid="13" name="Year">
    <vt:lpwstr>2006</vt:lpwstr>
  </property>
  <property fmtid="{D5CDD505-2E9C-101B-9397-08002B2CF9AE}" pid="14" name="Judgment Template">
    <vt:lpwstr>True</vt:lpwstr>
  </property>
  <property fmtid="{D5CDD505-2E9C-101B-9397-08002B2CF9AE}" pid="15" name="VERSION">
    <vt:lpwstr>14.0</vt:lpwstr>
  </property>
  <property fmtid="{D5CDD505-2E9C-101B-9397-08002B2CF9AE}" pid="16" name="Legislation">
    <vt:lpwstr>Legislation</vt:lpwstr>
  </property>
  <property fmtid="{D5CDD505-2E9C-101B-9397-08002B2CF9AE}" pid="17" name="Catchwords">
    <vt:lpwstr>Catchwords</vt:lpwstr>
  </property>
  <property fmtid="{D5CDD505-2E9C-101B-9397-08002B2CF9AE}" pid="18" name="Words_Phrases">
    <vt:lpwstr>WordsPhrases</vt:lpwstr>
  </property>
  <property fmtid="{D5CDD505-2E9C-101B-9397-08002B2CF9AE}" pid="19" name="Cases_Cited">
    <vt:lpwstr>CasesCited</vt:lpwstr>
  </property>
</Properties>
</file>