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7673D9">
      <w:pPr>
        <w:pStyle w:val="NormalHeadings"/>
        <w:widowControl/>
        <w:jc w:val="center"/>
        <w:rPr>
          <w:sz w:val="32"/>
        </w:rPr>
      </w:pPr>
      <w:r>
        <w:rPr>
          <w:sz w:val="32"/>
        </w:rPr>
        <w:t>FEDERAL COURT OF AUSTRALIA</w:t>
      </w:r>
    </w:p>
    <w:p w:rsidR="00395B24" w:rsidRDefault="00395B24" w:rsidP="007673D9">
      <w:pPr>
        <w:pStyle w:val="NormalHeadings"/>
        <w:widowControl/>
        <w:jc w:val="center"/>
        <w:rPr>
          <w:sz w:val="32"/>
        </w:rPr>
      </w:pPr>
    </w:p>
    <w:p w:rsidR="00395B24" w:rsidRDefault="00A61C7A" w:rsidP="007673D9">
      <w:pPr>
        <w:pStyle w:val="MediaNeutralStyle"/>
      </w:pPr>
      <w:bookmarkStart w:id="0" w:name="MNC"/>
      <w:r>
        <w:t xml:space="preserve">Rahman v Lombe [2018] FCA </w:t>
      </w:r>
      <w:r w:rsidR="007B4907">
        <w:t>457</w:t>
      </w:r>
      <w:r w:rsidR="002C7385">
        <w:t xml:space="preserve"> </w:t>
      </w:r>
      <w:bookmarkEnd w:id="0"/>
    </w:p>
    <w:p w:rsidR="00395B24" w:rsidRDefault="00395B24" w:rsidP="007673D9">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61C7A">
        <w:tc>
          <w:tcPr>
            <w:tcW w:w="3085" w:type="dxa"/>
            <w:shd w:val="clear" w:color="auto" w:fill="auto"/>
          </w:tcPr>
          <w:p w:rsidR="00395B24" w:rsidRDefault="002C7385" w:rsidP="007673D9">
            <w:pPr>
              <w:pStyle w:val="Normal1linespace"/>
              <w:spacing w:after="60"/>
              <w:jc w:val="left"/>
            </w:pPr>
            <w:r>
              <w:t>Appeal from:</w:t>
            </w:r>
          </w:p>
        </w:tc>
        <w:tc>
          <w:tcPr>
            <w:tcW w:w="5989" w:type="dxa"/>
            <w:shd w:val="clear" w:color="auto" w:fill="auto"/>
          </w:tcPr>
          <w:p w:rsidR="00395B24" w:rsidRDefault="00A61C7A" w:rsidP="007673D9">
            <w:pPr>
              <w:pStyle w:val="CasesLegislationAppealFrom"/>
              <w:widowControl/>
              <w:spacing w:after="60"/>
            </w:pPr>
            <w:bookmarkStart w:id="1" w:name="AppealFrom"/>
            <w:r>
              <w:rPr>
                <w:i/>
              </w:rPr>
              <w:t xml:space="preserve">Lombe (Trustee) in the matter of Rahman (Bankrupt) </w:t>
            </w:r>
            <w:r>
              <w:t>[2017] FCCA 750</w:t>
            </w:r>
            <w:r w:rsidR="009264B3">
              <w:t xml:space="preserve"> </w:t>
            </w:r>
            <w:bookmarkEnd w:id="1"/>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Default="002C7385" w:rsidP="007673D9">
            <w:pPr>
              <w:pStyle w:val="Normal1linespace"/>
              <w:jc w:val="left"/>
            </w:pPr>
            <w:r>
              <w:t>File number:</w:t>
            </w:r>
          </w:p>
        </w:tc>
        <w:tc>
          <w:tcPr>
            <w:tcW w:w="5989" w:type="dxa"/>
            <w:shd w:val="clear" w:color="auto" w:fill="auto"/>
          </w:tcPr>
          <w:p w:rsidR="00395B24" w:rsidRPr="00A61C7A" w:rsidRDefault="00A53126" w:rsidP="007673D9">
            <w:pPr>
              <w:pStyle w:val="Normal1linespace"/>
              <w:jc w:val="left"/>
            </w:pPr>
            <w:r>
              <w:fldChar w:fldCharType="begin" w:fldLock="1"/>
            </w:r>
            <w:r>
              <w:instrText xml:space="preserve"> REF  FileNo  \* MERGEFORMAT </w:instrText>
            </w:r>
            <w:r>
              <w:fldChar w:fldCharType="separate"/>
            </w:r>
            <w:r w:rsidR="00A61C7A" w:rsidRPr="00A61C7A">
              <w:t>NSD 691 of 2017</w:t>
            </w:r>
            <w:r>
              <w:fldChar w:fldCharType="end"/>
            </w:r>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Default="002C7385" w:rsidP="007673D9">
            <w:pPr>
              <w:pStyle w:val="Normal1linespace"/>
              <w:jc w:val="left"/>
            </w:pPr>
            <w:r>
              <w:t>Judge:</w:t>
            </w:r>
          </w:p>
        </w:tc>
        <w:tc>
          <w:tcPr>
            <w:tcW w:w="5989" w:type="dxa"/>
            <w:shd w:val="clear" w:color="auto" w:fill="auto"/>
          </w:tcPr>
          <w:p w:rsidR="00395B24" w:rsidRDefault="002C7385" w:rsidP="007673D9">
            <w:pPr>
              <w:pStyle w:val="Normal1linespace"/>
              <w:jc w:val="left"/>
              <w:rPr>
                <w:b/>
              </w:rPr>
            </w:pPr>
            <w:r w:rsidRPr="00A61C7A">
              <w:rPr>
                <w:b/>
              </w:rPr>
              <w:fldChar w:fldCharType="begin" w:fldLock="1"/>
            </w:r>
            <w:r w:rsidRPr="00A61C7A">
              <w:rPr>
                <w:b/>
              </w:rPr>
              <w:instrText xml:space="preserve"> REF  Judge  \* MERGEFORMAT </w:instrText>
            </w:r>
            <w:r w:rsidRPr="00A61C7A">
              <w:rPr>
                <w:b/>
              </w:rPr>
              <w:fldChar w:fldCharType="separate"/>
            </w:r>
            <w:r w:rsidR="00A61C7A" w:rsidRPr="00A61C7A">
              <w:rPr>
                <w:b/>
                <w:caps/>
                <w:szCs w:val="24"/>
              </w:rPr>
              <w:t>GLEESON J</w:t>
            </w:r>
            <w:r w:rsidRPr="00A61C7A">
              <w:rPr>
                <w:b/>
              </w:rPr>
              <w:fldChar w:fldCharType="end"/>
            </w:r>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Default="002C7385" w:rsidP="007673D9">
            <w:pPr>
              <w:pStyle w:val="Normal1linespace"/>
              <w:jc w:val="left"/>
            </w:pPr>
            <w:r>
              <w:t>Date of judgment:</w:t>
            </w:r>
          </w:p>
        </w:tc>
        <w:tc>
          <w:tcPr>
            <w:tcW w:w="5989" w:type="dxa"/>
            <w:shd w:val="clear" w:color="auto" w:fill="auto"/>
          </w:tcPr>
          <w:p w:rsidR="00395B24" w:rsidRDefault="00A61C7A" w:rsidP="006D49EE">
            <w:pPr>
              <w:pStyle w:val="Normal1linespace"/>
              <w:jc w:val="left"/>
            </w:pPr>
            <w:bookmarkStart w:id="2" w:name="JudgmentDate"/>
            <w:r>
              <w:t>5 April 201</w:t>
            </w:r>
            <w:r w:rsidR="006D49EE">
              <w:t>8</w:t>
            </w:r>
            <w:bookmarkEnd w:id="2"/>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Pr="007B4907" w:rsidRDefault="002C7385" w:rsidP="007673D9">
            <w:pPr>
              <w:pStyle w:val="Normal1linespace"/>
              <w:jc w:val="left"/>
            </w:pPr>
            <w:r w:rsidRPr="007B4907">
              <w:t>Catchwords:</w:t>
            </w:r>
          </w:p>
        </w:tc>
        <w:tc>
          <w:tcPr>
            <w:tcW w:w="5989" w:type="dxa"/>
            <w:shd w:val="clear" w:color="auto" w:fill="auto"/>
          </w:tcPr>
          <w:p w:rsidR="00395B24" w:rsidRDefault="00752D45" w:rsidP="001308B4">
            <w:pPr>
              <w:pStyle w:val="Normal1linespace"/>
              <w:jc w:val="left"/>
            </w:pPr>
            <w:bookmarkStart w:id="3" w:name="Catchwords"/>
            <w:r w:rsidRPr="00752D45">
              <w:rPr>
                <w:b/>
              </w:rPr>
              <w:t>BANKRUPTCY &amp; INSOLVENCY</w:t>
            </w:r>
            <w:r>
              <w:t xml:space="preserve"> – whether to grant leave to appeal – whether  Federal Circuit Court of Australia </w:t>
            </w:r>
            <w:r w:rsidR="00CF5F7A">
              <w:t>judg</w:t>
            </w:r>
            <w:r>
              <w:t xml:space="preserve">ment attended by sufficient doubt as to warrant its reconsideration – leave to appeal denied, </w:t>
            </w:r>
            <w:r w:rsidR="001308B4">
              <w:t>appeal dismissed</w:t>
            </w:r>
            <w:r w:rsidR="002C7385">
              <w:t xml:space="preserve"> </w:t>
            </w:r>
            <w:bookmarkEnd w:id="3"/>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Default="002C7385" w:rsidP="007673D9">
            <w:pPr>
              <w:pStyle w:val="Normal1linespace"/>
              <w:jc w:val="left"/>
            </w:pPr>
            <w:r>
              <w:t>Legislation:</w:t>
            </w:r>
          </w:p>
        </w:tc>
        <w:tc>
          <w:tcPr>
            <w:tcW w:w="5989" w:type="dxa"/>
            <w:shd w:val="clear" w:color="auto" w:fill="auto"/>
          </w:tcPr>
          <w:p w:rsidR="007B4907" w:rsidRPr="00CC5360" w:rsidRDefault="007B4907" w:rsidP="007673D9">
            <w:pPr>
              <w:pStyle w:val="CasesLegislationAppealFrom"/>
              <w:widowControl/>
              <w:spacing w:after="60"/>
            </w:pPr>
            <w:bookmarkStart w:id="4" w:name="Legislation"/>
            <w:r w:rsidRPr="007B4907">
              <w:rPr>
                <w:i/>
              </w:rPr>
              <w:t>Constitution</w:t>
            </w:r>
            <w:r w:rsidR="00CC5360">
              <w:t xml:space="preserve"> s 77(iii)</w:t>
            </w:r>
          </w:p>
          <w:p w:rsidR="007B4907" w:rsidRPr="007B4907" w:rsidRDefault="007B4907" w:rsidP="007673D9">
            <w:pPr>
              <w:pStyle w:val="CasesLegislationAppealFrom"/>
              <w:widowControl/>
              <w:spacing w:after="60"/>
            </w:pPr>
            <w:r w:rsidRPr="007B4907">
              <w:rPr>
                <w:i/>
              </w:rPr>
              <w:t>Bankruptcy Act 1966</w:t>
            </w:r>
            <w:r w:rsidRPr="007B4907">
              <w:t xml:space="preserve"> (Cth)</w:t>
            </w:r>
            <w:r w:rsidR="00CC5360">
              <w:t xml:space="preserve"> s 146</w:t>
            </w:r>
          </w:p>
          <w:p w:rsidR="00395B24" w:rsidRPr="007B4907" w:rsidRDefault="007B4907" w:rsidP="007673D9">
            <w:pPr>
              <w:pStyle w:val="CasesLegislationAppealFrom"/>
              <w:widowControl/>
              <w:spacing w:after="60"/>
            </w:pPr>
            <w:r w:rsidRPr="007B4907">
              <w:rPr>
                <w:i/>
              </w:rPr>
              <w:t xml:space="preserve">Federal Court of Australia Act 1976 </w:t>
            </w:r>
            <w:r w:rsidRPr="007B4907">
              <w:t>(Cth)</w:t>
            </w:r>
            <w:r w:rsidR="00CC5360">
              <w:t xml:space="preserve"> ss 24, 24(1A)</w:t>
            </w:r>
          </w:p>
          <w:p w:rsidR="007B4907" w:rsidRPr="007B4907" w:rsidRDefault="007B4907" w:rsidP="007673D9">
            <w:pPr>
              <w:pStyle w:val="CasesLegislationAppealFrom"/>
              <w:widowControl/>
              <w:spacing w:after="60"/>
            </w:pPr>
            <w:r w:rsidRPr="007B4907">
              <w:rPr>
                <w:i/>
              </w:rPr>
              <w:t xml:space="preserve">Supreme Court Act 1970 </w:t>
            </w:r>
            <w:r w:rsidRPr="007B4907">
              <w:t>(NSW)</w:t>
            </w:r>
            <w:bookmarkEnd w:id="4"/>
          </w:p>
        </w:tc>
      </w:tr>
      <w:tr w:rsidR="00395B24" w:rsidTr="00A61C7A">
        <w:tc>
          <w:tcPr>
            <w:tcW w:w="3085" w:type="dxa"/>
            <w:shd w:val="clear" w:color="auto" w:fill="auto"/>
          </w:tcPr>
          <w:p w:rsidR="00395B24" w:rsidRDefault="00395B24" w:rsidP="007673D9">
            <w:pPr>
              <w:pStyle w:val="Normal1linespace"/>
              <w:jc w:val="left"/>
            </w:pPr>
          </w:p>
        </w:tc>
        <w:tc>
          <w:tcPr>
            <w:tcW w:w="5989" w:type="dxa"/>
            <w:shd w:val="clear" w:color="auto" w:fill="auto"/>
          </w:tcPr>
          <w:p w:rsidR="00395B24" w:rsidRDefault="00395B24" w:rsidP="007673D9">
            <w:pPr>
              <w:pStyle w:val="Normal1linespace"/>
              <w:jc w:val="left"/>
            </w:pPr>
          </w:p>
        </w:tc>
      </w:tr>
      <w:tr w:rsidR="00395B24" w:rsidTr="00A61C7A">
        <w:tc>
          <w:tcPr>
            <w:tcW w:w="3085" w:type="dxa"/>
            <w:shd w:val="clear" w:color="auto" w:fill="auto"/>
          </w:tcPr>
          <w:p w:rsidR="00395B24" w:rsidRDefault="002C7385" w:rsidP="007673D9">
            <w:pPr>
              <w:pStyle w:val="Normal1linespace"/>
              <w:jc w:val="left"/>
            </w:pPr>
            <w:r>
              <w:t>Cases cited:</w:t>
            </w:r>
          </w:p>
        </w:tc>
        <w:tc>
          <w:tcPr>
            <w:tcW w:w="5989" w:type="dxa"/>
            <w:shd w:val="clear" w:color="auto" w:fill="auto"/>
          </w:tcPr>
          <w:p w:rsidR="007B4907" w:rsidRPr="007B4907" w:rsidRDefault="007B4907" w:rsidP="007673D9">
            <w:pPr>
              <w:pStyle w:val="CasesLegislationAppealFrom"/>
              <w:widowControl/>
              <w:spacing w:after="60"/>
            </w:pPr>
            <w:bookmarkStart w:id="5" w:name="Cases_Cited"/>
            <w:r w:rsidRPr="007B4907">
              <w:rPr>
                <w:i/>
              </w:rPr>
              <w:t xml:space="preserve">Avetmiss Easy Pty Ltd v Australian Skills Qualifications Authority </w:t>
            </w:r>
            <w:r w:rsidRPr="007B4907">
              <w:t>[2014] FCA 507</w:t>
            </w:r>
          </w:p>
          <w:p w:rsidR="007B4907" w:rsidRPr="007B4907" w:rsidRDefault="007B4907" w:rsidP="007673D9">
            <w:pPr>
              <w:pStyle w:val="CasesLegislationAppealFrom"/>
              <w:widowControl/>
              <w:spacing w:after="60"/>
            </w:pPr>
            <w:r w:rsidRPr="007B4907">
              <w:rPr>
                <w:i/>
              </w:rPr>
              <w:t>Barnet (Trustee), in the matter of Zhang (Bankrupt) v Zhang</w:t>
            </w:r>
            <w:r w:rsidRPr="007B4907">
              <w:t xml:space="preserve"> [2017] FCA 924</w:t>
            </w:r>
          </w:p>
          <w:p w:rsidR="007B4907" w:rsidRPr="007B4907" w:rsidRDefault="007B4907" w:rsidP="007673D9">
            <w:pPr>
              <w:pStyle w:val="CasesLegislationAppealFrom"/>
              <w:widowControl/>
              <w:spacing w:after="60"/>
            </w:pPr>
            <w:r w:rsidRPr="007B4907">
              <w:rPr>
                <w:i/>
              </w:rPr>
              <w:t>Decor Corporation Pty Ltd v Dart Industries Inc</w:t>
            </w:r>
            <w:r w:rsidRPr="007B4907">
              <w:t xml:space="preserve"> [1991] FCA 844; (1991) 33 FCR 397</w:t>
            </w:r>
          </w:p>
          <w:p w:rsidR="007B4907" w:rsidRPr="007B4907" w:rsidRDefault="007B4907" w:rsidP="007673D9">
            <w:pPr>
              <w:pStyle w:val="CasesLegislationAppealFrom"/>
              <w:widowControl/>
              <w:spacing w:after="60"/>
            </w:pPr>
            <w:r w:rsidRPr="007B4907">
              <w:rPr>
                <w:i/>
              </w:rPr>
              <w:t>Fortress Credit Corporation (Australia) II Pty Ltd v Fletcher</w:t>
            </w:r>
            <w:r w:rsidRPr="007B4907">
              <w:t xml:space="preserve"> [2011] FCAFC 89; (2011) 281 ALR 38</w:t>
            </w:r>
          </w:p>
          <w:p w:rsidR="007B4907" w:rsidRPr="007B4907" w:rsidRDefault="007B4907" w:rsidP="007673D9">
            <w:pPr>
              <w:pStyle w:val="CasesLegislationAppealFrom"/>
              <w:widowControl/>
              <w:spacing w:after="60"/>
            </w:pPr>
            <w:r w:rsidRPr="007B4907">
              <w:rPr>
                <w:i/>
              </w:rPr>
              <w:t>Rickus v Motor Trades Association of Australia Superannuation Fund Pty Ltd</w:t>
            </w:r>
            <w:r w:rsidRPr="007B4907">
              <w:t xml:space="preserve"> [2010] FCAFC 16; (2010) 265 ALR 112</w:t>
            </w:r>
          </w:p>
          <w:p w:rsidR="007B4907" w:rsidRPr="007B4907" w:rsidRDefault="007B4907" w:rsidP="007673D9">
            <w:pPr>
              <w:pStyle w:val="CasesLegislationAppealFrom"/>
              <w:widowControl/>
              <w:spacing w:after="60"/>
            </w:pPr>
            <w:r w:rsidRPr="007B4907">
              <w:rPr>
                <w:i/>
              </w:rPr>
              <w:t xml:space="preserve">Roufeil (Trustee), in the matter of Jarvie (Bankrupt) </w:t>
            </w:r>
            <w:r w:rsidRPr="007B4907">
              <w:t>[2015] FCA 232</w:t>
            </w:r>
          </w:p>
          <w:p w:rsidR="007B4907" w:rsidRPr="007B4907" w:rsidRDefault="007B4907" w:rsidP="007673D9">
            <w:pPr>
              <w:pStyle w:val="CasesLegislationAppealFrom"/>
              <w:widowControl/>
              <w:spacing w:after="60"/>
            </w:pPr>
            <w:r w:rsidRPr="007B4907">
              <w:rPr>
                <w:i/>
              </w:rPr>
              <w:t>Sampson (Trustee), in the matter of Condon (Bankrupt)</w:t>
            </w:r>
            <w:r w:rsidRPr="007B4907">
              <w:t xml:space="preserve"> [2016] FCA 312</w:t>
            </w:r>
          </w:p>
          <w:p w:rsidR="007B4907" w:rsidRPr="007B4907" w:rsidRDefault="007B4907" w:rsidP="007673D9">
            <w:pPr>
              <w:pStyle w:val="CasesLegislationAppealFrom"/>
              <w:widowControl/>
              <w:spacing w:after="60"/>
            </w:pPr>
            <w:r w:rsidRPr="007B4907">
              <w:rPr>
                <w:i/>
              </w:rPr>
              <w:t xml:space="preserve">Sekigawa v Minister for Immigration and Border Protection </w:t>
            </w:r>
            <w:r w:rsidRPr="007B4907">
              <w:t>[2016] FCA 127</w:t>
            </w:r>
            <w:bookmarkEnd w:id="5"/>
          </w:p>
        </w:tc>
      </w:tr>
      <w:tr w:rsidR="00A61C7A" w:rsidRPr="00A61C7A" w:rsidTr="00A61C7A">
        <w:tc>
          <w:tcPr>
            <w:tcW w:w="3085" w:type="dxa"/>
            <w:shd w:val="clear" w:color="auto" w:fill="auto"/>
          </w:tcPr>
          <w:p w:rsidR="00A61C7A" w:rsidRPr="00A61C7A" w:rsidRDefault="00A61C7A" w:rsidP="007673D9">
            <w:pPr>
              <w:pStyle w:val="Normal1linespace"/>
              <w:jc w:val="left"/>
            </w:pPr>
          </w:p>
        </w:tc>
        <w:tc>
          <w:tcPr>
            <w:tcW w:w="5989" w:type="dxa"/>
            <w:shd w:val="clear" w:color="auto" w:fill="auto"/>
          </w:tcPr>
          <w:p w:rsidR="00A61C7A" w:rsidRPr="00A61C7A" w:rsidRDefault="00A61C7A" w:rsidP="007673D9">
            <w:pPr>
              <w:pStyle w:val="Normal1linespace"/>
              <w:jc w:val="left"/>
            </w:pPr>
          </w:p>
        </w:tc>
      </w:tr>
      <w:tr w:rsidR="00A61C7A" w:rsidRPr="00A61C7A" w:rsidTr="00A61C7A">
        <w:tc>
          <w:tcPr>
            <w:tcW w:w="3085" w:type="dxa"/>
            <w:shd w:val="clear" w:color="auto" w:fill="auto"/>
          </w:tcPr>
          <w:p w:rsidR="00A61C7A" w:rsidRPr="00A61C7A" w:rsidRDefault="00A61C7A" w:rsidP="007673D9">
            <w:pPr>
              <w:pStyle w:val="Normal1linespace"/>
              <w:jc w:val="left"/>
            </w:pPr>
            <w:bookmarkStart w:id="6" w:name="CounselDate" w:colFirst="0" w:colLast="2"/>
            <w:r w:rsidRPr="00A61C7A">
              <w:t>Date of hearing:</w:t>
            </w:r>
          </w:p>
        </w:tc>
        <w:tc>
          <w:tcPr>
            <w:tcW w:w="5989" w:type="dxa"/>
            <w:shd w:val="clear" w:color="auto" w:fill="auto"/>
          </w:tcPr>
          <w:p w:rsidR="00A61C7A" w:rsidRPr="00A61C7A" w:rsidRDefault="00A61C7A" w:rsidP="007673D9">
            <w:pPr>
              <w:pStyle w:val="Normal1linespace"/>
              <w:jc w:val="left"/>
            </w:pPr>
            <w:bookmarkStart w:id="7" w:name="HearingDate"/>
            <w:r>
              <w:t>15 March 2018</w:t>
            </w:r>
            <w:bookmarkEnd w:id="7"/>
          </w:p>
        </w:tc>
      </w:tr>
      <w:tr w:rsidR="00A61C7A" w:rsidRPr="00A61C7A" w:rsidTr="00A61C7A">
        <w:tc>
          <w:tcPr>
            <w:tcW w:w="3085" w:type="dxa"/>
            <w:shd w:val="clear" w:color="auto" w:fill="auto"/>
          </w:tcPr>
          <w:p w:rsidR="00A61C7A" w:rsidRPr="00A61C7A" w:rsidRDefault="00A61C7A" w:rsidP="007673D9">
            <w:pPr>
              <w:pStyle w:val="Normal1linespace"/>
              <w:jc w:val="left"/>
            </w:pPr>
          </w:p>
        </w:tc>
        <w:tc>
          <w:tcPr>
            <w:tcW w:w="5989" w:type="dxa"/>
            <w:shd w:val="clear" w:color="auto" w:fill="auto"/>
          </w:tcPr>
          <w:p w:rsidR="00A61C7A" w:rsidRPr="00A61C7A" w:rsidRDefault="00A61C7A" w:rsidP="007673D9">
            <w:pPr>
              <w:pStyle w:val="Normal1linespace"/>
              <w:jc w:val="left"/>
            </w:pPr>
          </w:p>
        </w:tc>
      </w:tr>
      <w:bookmarkEnd w:id="6"/>
      <w:tr w:rsidR="00A61C7A" w:rsidTr="00A61C7A">
        <w:tc>
          <w:tcPr>
            <w:tcW w:w="3085" w:type="dxa"/>
            <w:shd w:val="clear" w:color="auto" w:fill="auto"/>
          </w:tcPr>
          <w:p w:rsidR="00A61C7A" w:rsidRDefault="00A61C7A" w:rsidP="007673D9">
            <w:pPr>
              <w:pStyle w:val="Normal1linespace"/>
              <w:jc w:val="left"/>
            </w:pPr>
            <w:r>
              <w:t>Registry:</w:t>
            </w:r>
          </w:p>
        </w:tc>
        <w:tc>
          <w:tcPr>
            <w:tcW w:w="5989" w:type="dxa"/>
            <w:shd w:val="clear" w:color="auto" w:fill="auto"/>
          </w:tcPr>
          <w:p w:rsidR="00A61C7A" w:rsidRPr="00F17599" w:rsidRDefault="00A53126" w:rsidP="007673D9">
            <w:pPr>
              <w:pStyle w:val="Normal1linespace"/>
              <w:jc w:val="left"/>
            </w:pPr>
            <w:r>
              <w:fldChar w:fldCharType="begin"/>
            </w:r>
            <w:r>
              <w:instrText xml:space="preserve"> DOCPROPERTY  Registry </w:instrText>
            </w:r>
            <w:r>
              <w:fldChar w:fldCharType="separate"/>
            </w:r>
            <w:r w:rsidR="006D49EE">
              <w:t>New South Wales</w:t>
            </w:r>
            <w:r>
              <w:fldChar w:fldCharType="end"/>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r>
              <w:lastRenderedPageBreak/>
              <w:t>Division:</w:t>
            </w:r>
          </w:p>
        </w:tc>
        <w:tc>
          <w:tcPr>
            <w:tcW w:w="5989" w:type="dxa"/>
            <w:shd w:val="clear" w:color="auto" w:fill="auto"/>
          </w:tcPr>
          <w:p w:rsidR="00A61C7A" w:rsidRPr="00F17599" w:rsidRDefault="00A53126" w:rsidP="007673D9">
            <w:pPr>
              <w:pStyle w:val="Normal1linespace"/>
              <w:jc w:val="left"/>
            </w:pPr>
            <w:r>
              <w:fldChar w:fldCharType="begin"/>
            </w:r>
            <w:r>
              <w:instrText xml:space="preserve"> DOCPROPERTY  Division </w:instrText>
            </w:r>
            <w:r>
              <w:fldChar w:fldCharType="separate"/>
            </w:r>
            <w:r w:rsidR="006D49EE">
              <w:t>General Division</w:t>
            </w:r>
            <w:r>
              <w:fldChar w:fldCharType="end"/>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Pr="00F17599" w:rsidRDefault="00A61C7A" w:rsidP="007673D9">
            <w:pPr>
              <w:pStyle w:val="Normal1linespace"/>
              <w:jc w:val="left"/>
              <w:rPr>
                <w:b/>
              </w:rPr>
            </w:pPr>
          </w:p>
        </w:tc>
      </w:tr>
      <w:tr w:rsidR="00A61C7A" w:rsidTr="00A61C7A">
        <w:tc>
          <w:tcPr>
            <w:tcW w:w="3085" w:type="dxa"/>
            <w:shd w:val="clear" w:color="auto" w:fill="auto"/>
          </w:tcPr>
          <w:p w:rsidR="00A61C7A" w:rsidRDefault="00A61C7A" w:rsidP="007673D9">
            <w:pPr>
              <w:pStyle w:val="Normal1linespace"/>
              <w:jc w:val="left"/>
            </w:pPr>
            <w:r>
              <w:t>National Practice Area:</w:t>
            </w:r>
          </w:p>
        </w:tc>
        <w:tc>
          <w:tcPr>
            <w:tcW w:w="5989" w:type="dxa"/>
            <w:shd w:val="clear" w:color="auto" w:fill="auto"/>
          </w:tcPr>
          <w:p w:rsidR="00A61C7A" w:rsidRPr="00F17599" w:rsidRDefault="00A53126" w:rsidP="007673D9">
            <w:pPr>
              <w:pStyle w:val="Normal1linespace"/>
              <w:jc w:val="left"/>
              <w:rPr>
                <w:b/>
              </w:rPr>
            </w:pPr>
            <w:r>
              <w:fldChar w:fldCharType="begin"/>
            </w:r>
            <w:r>
              <w:instrText xml:space="preserve"> DOCPROPERTY  "Practice Area"  \* MERGEFORMAT </w:instrText>
            </w:r>
            <w:r>
              <w:fldChar w:fldCharType="separate"/>
            </w:r>
            <w:r w:rsidR="006D49EE">
              <w:t>Commercial and Corporations</w:t>
            </w:r>
            <w:r>
              <w:fldChar w:fldCharType="end"/>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r>
              <w:t>Sub-area:</w:t>
            </w:r>
          </w:p>
        </w:tc>
        <w:tc>
          <w:tcPr>
            <w:tcW w:w="5989" w:type="dxa"/>
            <w:shd w:val="clear" w:color="auto" w:fill="auto"/>
          </w:tcPr>
          <w:p w:rsidR="00A61C7A" w:rsidRPr="00435936" w:rsidRDefault="00A53126" w:rsidP="007673D9">
            <w:pPr>
              <w:pStyle w:val="Normal1linespace"/>
              <w:jc w:val="left"/>
            </w:pPr>
            <w:r>
              <w:fldChar w:fldCharType="begin"/>
            </w:r>
            <w:r>
              <w:instrText xml:space="preserve"> DOCPROPERTY  "Sub Area"  \* MERGEFORM</w:instrText>
            </w:r>
            <w:r>
              <w:instrText xml:space="preserve">AT </w:instrText>
            </w:r>
            <w:r>
              <w:fldChar w:fldCharType="separate"/>
            </w:r>
            <w:r w:rsidR="006D49EE" w:rsidRPr="006D49EE">
              <w:rPr>
                <w:bCs/>
                <w:lang w:val="en-US"/>
              </w:rPr>
              <w:t>General and Personal</w:t>
            </w:r>
            <w:r w:rsidR="006D49EE">
              <w:t xml:space="preserve"> Insolvency</w:t>
            </w:r>
            <w:r>
              <w:fldChar w:fldCharType="end"/>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rPr>
                <w:b/>
              </w:rPr>
            </w:pPr>
          </w:p>
        </w:tc>
      </w:tr>
      <w:tr w:rsidR="00A61C7A" w:rsidTr="00A61C7A">
        <w:tc>
          <w:tcPr>
            <w:tcW w:w="3085" w:type="dxa"/>
            <w:shd w:val="clear" w:color="auto" w:fill="auto"/>
          </w:tcPr>
          <w:p w:rsidR="00A61C7A" w:rsidRDefault="00A61C7A" w:rsidP="007673D9">
            <w:pPr>
              <w:pStyle w:val="Normal1linespace"/>
              <w:jc w:val="left"/>
            </w:pPr>
            <w:r>
              <w:t>Category:</w:t>
            </w:r>
          </w:p>
        </w:tc>
        <w:tc>
          <w:tcPr>
            <w:tcW w:w="5989" w:type="dxa"/>
            <w:shd w:val="clear" w:color="auto" w:fill="auto"/>
          </w:tcPr>
          <w:p w:rsidR="00A61C7A" w:rsidRDefault="00A61C7A" w:rsidP="007673D9">
            <w:pPr>
              <w:pStyle w:val="Normal1linespace"/>
              <w:jc w:val="left"/>
            </w:pPr>
            <w:r w:rsidRPr="00982FC3">
              <w:t>Catchwords</w:t>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r>
              <w:t>Number of paragraphs:</w:t>
            </w:r>
          </w:p>
        </w:tc>
        <w:tc>
          <w:tcPr>
            <w:tcW w:w="5989" w:type="dxa"/>
            <w:shd w:val="clear" w:color="auto" w:fill="auto"/>
          </w:tcPr>
          <w:p w:rsidR="00A61C7A" w:rsidRDefault="00A61C7A" w:rsidP="007673D9">
            <w:pPr>
              <w:pStyle w:val="Normal1linespace"/>
              <w:jc w:val="left"/>
            </w:pPr>
            <w:bookmarkStart w:id="8" w:name="PlaceCategoryParagraphs"/>
            <w:r>
              <w:t>25</w:t>
            </w:r>
            <w:bookmarkEnd w:id="8"/>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bookmarkStart w:id="9" w:name="Counsel" w:colFirst="0" w:colLast="2"/>
            <w:r>
              <w:t>Counsel for the Appellant:</w:t>
            </w:r>
          </w:p>
        </w:tc>
        <w:tc>
          <w:tcPr>
            <w:tcW w:w="5989" w:type="dxa"/>
            <w:shd w:val="clear" w:color="auto" w:fill="auto"/>
          </w:tcPr>
          <w:p w:rsidR="00A61C7A" w:rsidRDefault="00A61C7A" w:rsidP="007673D9">
            <w:pPr>
              <w:pStyle w:val="Normal1linespace"/>
              <w:jc w:val="left"/>
            </w:pPr>
            <w:bookmarkStart w:id="10" w:name="AppCounsel"/>
            <w:bookmarkEnd w:id="10"/>
            <w:r>
              <w:t>The appellant appeared in person</w:t>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r>
              <w:t>Counsel for the Respondent:</w:t>
            </w:r>
          </w:p>
        </w:tc>
        <w:tc>
          <w:tcPr>
            <w:tcW w:w="5989" w:type="dxa"/>
            <w:shd w:val="clear" w:color="auto" w:fill="auto"/>
          </w:tcPr>
          <w:p w:rsidR="00A61C7A" w:rsidRDefault="00A61C7A" w:rsidP="007673D9">
            <w:pPr>
              <w:pStyle w:val="Normal1linespace"/>
              <w:jc w:val="left"/>
            </w:pPr>
            <w:r>
              <w:t>Mr S Golledge</w:t>
            </w:r>
          </w:p>
        </w:tc>
      </w:tr>
      <w:tr w:rsidR="00A61C7A" w:rsidTr="00A61C7A">
        <w:tc>
          <w:tcPr>
            <w:tcW w:w="3085" w:type="dxa"/>
            <w:shd w:val="clear" w:color="auto" w:fill="auto"/>
          </w:tcPr>
          <w:p w:rsidR="00A61C7A" w:rsidRDefault="00A61C7A" w:rsidP="007673D9">
            <w:pPr>
              <w:pStyle w:val="Normal1linespace"/>
              <w:jc w:val="left"/>
            </w:pPr>
          </w:p>
        </w:tc>
        <w:tc>
          <w:tcPr>
            <w:tcW w:w="5989" w:type="dxa"/>
            <w:shd w:val="clear" w:color="auto" w:fill="auto"/>
          </w:tcPr>
          <w:p w:rsidR="00A61C7A" w:rsidRDefault="00A61C7A" w:rsidP="007673D9">
            <w:pPr>
              <w:pStyle w:val="Normal1linespace"/>
              <w:jc w:val="left"/>
            </w:pPr>
          </w:p>
        </w:tc>
      </w:tr>
      <w:tr w:rsidR="00A61C7A" w:rsidTr="00A61C7A">
        <w:tc>
          <w:tcPr>
            <w:tcW w:w="3085" w:type="dxa"/>
            <w:shd w:val="clear" w:color="auto" w:fill="auto"/>
          </w:tcPr>
          <w:p w:rsidR="00A61C7A" w:rsidRDefault="00A61C7A" w:rsidP="007673D9">
            <w:pPr>
              <w:pStyle w:val="Normal1linespace"/>
              <w:jc w:val="left"/>
            </w:pPr>
            <w:r>
              <w:t>Solicitor for the Respondent:</w:t>
            </w:r>
          </w:p>
        </w:tc>
        <w:tc>
          <w:tcPr>
            <w:tcW w:w="5989" w:type="dxa"/>
            <w:shd w:val="clear" w:color="auto" w:fill="auto"/>
          </w:tcPr>
          <w:p w:rsidR="00A61C7A" w:rsidRDefault="00A61C7A" w:rsidP="007673D9">
            <w:pPr>
              <w:pStyle w:val="Normal1linespace"/>
              <w:jc w:val="left"/>
            </w:pPr>
            <w:r>
              <w:t>HWL Ebsworth Lawyers</w:t>
            </w:r>
          </w:p>
        </w:tc>
      </w:tr>
      <w:bookmarkEnd w:id="9"/>
    </w:tbl>
    <w:p w:rsidR="00395B24" w:rsidRDefault="00395B24" w:rsidP="007673D9">
      <w:pPr>
        <w:pStyle w:val="Normal1linespace"/>
      </w:pPr>
    </w:p>
    <w:p w:rsidR="0092590B" w:rsidRDefault="0092590B" w:rsidP="007673D9">
      <w:pPr>
        <w:pStyle w:val="Normal1linespace"/>
      </w:pPr>
    </w:p>
    <w:p w:rsidR="00395B24" w:rsidRDefault="00395B24" w:rsidP="007673D9">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7673D9">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7673D9">
            <w:pPr>
              <w:pStyle w:val="NormalHeadings"/>
              <w:widowControl/>
            </w:pPr>
          </w:p>
        </w:tc>
        <w:tc>
          <w:tcPr>
            <w:tcW w:w="2330" w:type="dxa"/>
          </w:tcPr>
          <w:p w:rsidR="00A46CCC" w:rsidRDefault="00A61C7A" w:rsidP="007673D9">
            <w:pPr>
              <w:pStyle w:val="NormalHeadings"/>
              <w:widowControl/>
              <w:jc w:val="right"/>
            </w:pPr>
            <w:bookmarkStart w:id="11" w:name="FileNo"/>
            <w:r>
              <w:t>NSD 691 of 2017</w:t>
            </w:r>
            <w:bookmarkEnd w:id="11"/>
          </w:p>
        </w:tc>
      </w:tr>
      <w:tr w:rsidR="00A76C13" w:rsidTr="00F461A4">
        <w:tc>
          <w:tcPr>
            <w:tcW w:w="9242" w:type="dxa"/>
            <w:gridSpan w:val="3"/>
          </w:tcPr>
          <w:p w:rsidR="00A76C13" w:rsidRPr="00A76C13" w:rsidRDefault="00A61C7A" w:rsidP="007673D9">
            <w:pPr>
              <w:pStyle w:val="NormalHeadings"/>
              <w:widowControl/>
              <w:jc w:val="left"/>
            </w:pPr>
            <w:bookmarkStart w:id="12" w:name="InTheMatterOf"/>
            <w:r>
              <w:t xml:space="preserve"> </w:t>
            </w:r>
            <w:bookmarkEnd w:id="12"/>
          </w:p>
        </w:tc>
      </w:tr>
      <w:tr w:rsidR="00A46CCC" w:rsidTr="005041F0">
        <w:trPr>
          <w:trHeight w:val="386"/>
        </w:trPr>
        <w:tc>
          <w:tcPr>
            <w:tcW w:w="2376" w:type="dxa"/>
          </w:tcPr>
          <w:p w:rsidR="00A46CCC" w:rsidRDefault="00A46CCC" w:rsidP="007673D9">
            <w:pPr>
              <w:pStyle w:val="NormalHeadings"/>
              <w:widowControl/>
              <w:jc w:val="left"/>
              <w:rPr>
                <w:caps/>
                <w:szCs w:val="24"/>
              </w:rPr>
            </w:pPr>
            <w:bookmarkStart w:id="13" w:name="Parties"/>
            <w:r>
              <w:rPr>
                <w:caps/>
                <w:szCs w:val="24"/>
              </w:rPr>
              <w:t>BETWEEN:</w:t>
            </w:r>
          </w:p>
        </w:tc>
        <w:tc>
          <w:tcPr>
            <w:tcW w:w="6866" w:type="dxa"/>
            <w:gridSpan w:val="2"/>
          </w:tcPr>
          <w:p w:rsidR="00A61C7A" w:rsidRDefault="00A61C7A" w:rsidP="007673D9">
            <w:pPr>
              <w:pStyle w:val="NormalHeadings"/>
              <w:widowControl/>
              <w:jc w:val="left"/>
            </w:pPr>
            <w:bookmarkStart w:id="14" w:name="Applicant"/>
            <w:r>
              <w:t>MOHAMMAD TABIBAR RAHMAN</w:t>
            </w:r>
          </w:p>
          <w:p w:rsidR="00A61C7A" w:rsidRDefault="00A61C7A" w:rsidP="007673D9">
            <w:pPr>
              <w:pStyle w:val="PartyType"/>
              <w:widowControl/>
            </w:pPr>
            <w:r>
              <w:t>Appellant</w:t>
            </w:r>
          </w:p>
          <w:bookmarkEnd w:id="14"/>
          <w:p w:rsidR="00A46CCC" w:rsidRPr="006555B4" w:rsidRDefault="00A46CCC" w:rsidP="007673D9">
            <w:pPr>
              <w:pStyle w:val="NormalHeadings"/>
              <w:widowControl/>
              <w:jc w:val="left"/>
            </w:pPr>
          </w:p>
        </w:tc>
      </w:tr>
      <w:tr w:rsidR="00A46CCC" w:rsidTr="005041F0">
        <w:trPr>
          <w:trHeight w:val="386"/>
        </w:trPr>
        <w:tc>
          <w:tcPr>
            <w:tcW w:w="2376" w:type="dxa"/>
          </w:tcPr>
          <w:p w:rsidR="00A46CCC" w:rsidRDefault="00A46CCC" w:rsidP="007673D9">
            <w:pPr>
              <w:pStyle w:val="NormalHeadings"/>
              <w:widowControl/>
              <w:jc w:val="left"/>
              <w:rPr>
                <w:caps/>
                <w:szCs w:val="24"/>
              </w:rPr>
            </w:pPr>
            <w:r>
              <w:rPr>
                <w:caps/>
                <w:szCs w:val="24"/>
              </w:rPr>
              <w:t>AND:</w:t>
            </w:r>
          </w:p>
        </w:tc>
        <w:tc>
          <w:tcPr>
            <w:tcW w:w="6866" w:type="dxa"/>
            <w:gridSpan w:val="2"/>
          </w:tcPr>
          <w:p w:rsidR="00A61C7A" w:rsidRDefault="00A61C7A" w:rsidP="007673D9">
            <w:pPr>
              <w:pStyle w:val="NormalHeadings"/>
              <w:widowControl/>
              <w:jc w:val="left"/>
            </w:pPr>
            <w:bookmarkStart w:id="15" w:name="Respondent"/>
            <w:r>
              <w:t>DAVID JOHN FRANK LOMBE</w:t>
            </w:r>
          </w:p>
          <w:p w:rsidR="00A61C7A" w:rsidRDefault="00A61C7A" w:rsidP="007673D9">
            <w:pPr>
              <w:pStyle w:val="PartyType"/>
              <w:widowControl/>
            </w:pPr>
            <w:r>
              <w:t>Respondent</w:t>
            </w:r>
          </w:p>
          <w:bookmarkEnd w:id="15"/>
          <w:p w:rsidR="00A46CCC" w:rsidRPr="006555B4" w:rsidRDefault="00A46CCC" w:rsidP="007673D9">
            <w:pPr>
              <w:pStyle w:val="NormalHeadings"/>
              <w:widowControl/>
              <w:jc w:val="left"/>
            </w:pPr>
          </w:p>
        </w:tc>
      </w:tr>
    </w:tbl>
    <w:p w:rsidR="00395B24" w:rsidRDefault="00395B24" w:rsidP="007673D9">
      <w:pPr>
        <w:pStyle w:val="NormalHeadings"/>
        <w:widowControl/>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61C7A" w:rsidP="007673D9">
            <w:pPr>
              <w:pStyle w:val="NormalHeadings"/>
              <w:widowControl/>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A61C7A" w:rsidP="007673D9">
            <w:pPr>
              <w:pStyle w:val="NormalHeadings"/>
              <w:widowControl/>
              <w:jc w:val="left"/>
              <w:rPr>
                <w:caps/>
                <w:szCs w:val="24"/>
              </w:rPr>
            </w:pPr>
            <w:bookmarkStart w:id="18" w:name="Judge"/>
            <w:r>
              <w:rPr>
                <w:caps/>
                <w:szCs w:val="24"/>
              </w:rPr>
              <w:t>GLEESON J</w:t>
            </w:r>
            <w:bookmarkEnd w:id="18"/>
          </w:p>
        </w:tc>
      </w:tr>
      <w:tr w:rsidR="00395B24">
        <w:tc>
          <w:tcPr>
            <w:tcW w:w="2376" w:type="dxa"/>
          </w:tcPr>
          <w:p w:rsidR="00395B24" w:rsidRDefault="002C7385" w:rsidP="007673D9">
            <w:pPr>
              <w:pStyle w:val="NormalHeadings"/>
              <w:widowControl/>
              <w:spacing w:after="120"/>
              <w:jc w:val="left"/>
              <w:rPr>
                <w:caps/>
                <w:szCs w:val="24"/>
              </w:rPr>
            </w:pPr>
            <w:r>
              <w:rPr>
                <w:caps/>
                <w:szCs w:val="24"/>
              </w:rPr>
              <w:t>DATE OF ORDER:</w:t>
            </w:r>
          </w:p>
        </w:tc>
        <w:tc>
          <w:tcPr>
            <w:tcW w:w="6866" w:type="dxa"/>
          </w:tcPr>
          <w:p w:rsidR="00395B24" w:rsidRDefault="00A61C7A" w:rsidP="006D49EE">
            <w:pPr>
              <w:pStyle w:val="NormalHeadings"/>
              <w:widowControl/>
              <w:jc w:val="left"/>
              <w:rPr>
                <w:caps/>
                <w:szCs w:val="24"/>
              </w:rPr>
            </w:pPr>
            <w:bookmarkStart w:id="19" w:name="Judgment_Dated"/>
            <w:r>
              <w:rPr>
                <w:caps/>
                <w:szCs w:val="24"/>
              </w:rPr>
              <w:t>5 APRIL 201</w:t>
            </w:r>
            <w:r w:rsidR="006D49EE">
              <w:rPr>
                <w:caps/>
                <w:szCs w:val="24"/>
              </w:rPr>
              <w:t>8</w:t>
            </w:r>
            <w:bookmarkEnd w:id="19"/>
          </w:p>
        </w:tc>
      </w:tr>
    </w:tbl>
    <w:p w:rsidR="00395B24" w:rsidRDefault="00395B24" w:rsidP="007673D9">
      <w:pPr>
        <w:pStyle w:val="NormalHeadings"/>
        <w:widowControl/>
        <w:rPr>
          <w:b w:val="0"/>
        </w:rPr>
      </w:pPr>
    </w:p>
    <w:p w:rsidR="008D1617" w:rsidRDefault="008D1617" w:rsidP="007673D9">
      <w:pPr>
        <w:pStyle w:val="NormalHeadings"/>
        <w:widowControl/>
        <w:rPr>
          <w:b w:val="0"/>
        </w:rPr>
      </w:pPr>
    </w:p>
    <w:p w:rsidR="00395B24" w:rsidRDefault="002C7385" w:rsidP="007673D9">
      <w:pPr>
        <w:pStyle w:val="NormalHeadings"/>
        <w:widowControl/>
      </w:pPr>
      <w:r>
        <w:t>THE COURT ORDERS THAT:</w:t>
      </w:r>
    </w:p>
    <w:p w:rsidR="00395B24" w:rsidRDefault="00395B24" w:rsidP="007673D9">
      <w:pPr>
        <w:pStyle w:val="NormalHeadings"/>
        <w:widowControl/>
      </w:pPr>
    </w:p>
    <w:p w:rsidR="00395B24" w:rsidRDefault="000E62BC" w:rsidP="007673D9">
      <w:pPr>
        <w:pStyle w:val="Order1"/>
      </w:pPr>
      <w:bookmarkStart w:id="20" w:name="Order_Start_Text"/>
      <w:bookmarkEnd w:id="20"/>
      <w:r>
        <w:t xml:space="preserve">The appeal </w:t>
      </w:r>
      <w:proofErr w:type="gramStart"/>
      <w:r>
        <w:t>be</w:t>
      </w:r>
      <w:proofErr w:type="gramEnd"/>
      <w:r>
        <w:t xml:space="preserve"> dismissed.</w:t>
      </w:r>
    </w:p>
    <w:p w:rsidR="00636871" w:rsidRDefault="00636871" w:rsidP="007673D9">
      <w:pPr>
        <w:pStyle w:val="BodyText"/>
      </w:pPr>
    </w:p>
    <w:p w:rsidR="00395B24" w:rsidRDefault="00395B24"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A61C7A" w:rsidRDefault="00A61C7A" w:rsidP="007673D9">
      <w:pPr>
        <w:pStyle w:val="BodyText"/>
      </w:pPr>
    </w:p>
    <w:p w:rsidR="00395B24" w:rsidRDefault="002C7385" w:rsidP="007673D9">
      <w:pPr>
        <w:pStyle w:val="SingleSpace"/>
      </w:pPr>
      <w:r>
        <w:t>Note:</w:t>
      </w:r>
      <w:r>
        <w:tab/>
        <w:t xml:space="preserve">Entry of orders is dealt with in Rule 39.32 of the </w:t>
      </w:r>
      <w:r>
        <w:rPr>
          <w:i/>
        </w:rPr>
        <w:t>Federal Court Rules 2011</w:t>
      </w:r>
      <w:r>
        <w:t>.</w:t>
      </w:r>
    </w:p>
    <w:p w:rsidR="00395B24" w:rsidRDefault="00395B24" w:rsidP="007673D9">
      <w:pPr>
        <w:pStyle w:val="BodyText"/>
      </w:pPr>
    </w:p>
    <w:p w:rsidR="00395B24" w:rsidRDefault="00395B24" w:rsidP="007673D9">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7673D9">
      <w:pPr>
        <w:pStyle w:val="NormalHeadings"/>
        <w:widowControl/>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A61C7A" w:rsidP="007673D9">
      <w:pPr>
        <w:pStyle w:val="NormalHeadings"/>
        <w:widowControl/>
        <w:spacing w:line="360" w:lineRule="auto"/>
        <w:jc w:val="left"/>
        <w:rPr>
          <w:sz w:val="26"/>
          <w:szCs w:val="26"/>
        </w:rPr>
      </w:pPr>
      <w:r>
        <w:rPr>
          <w:sz w:val="26"/>
          <w:szCs w:val="26"/>
        </w:rPr>
        <w:t>GLEESON J</w:t>
      </w:r>
      <w:r w:rsidR="00484F6D" w:rsidRPr="00EA03CE">
        <w:rPr>
          <w:sz w:val="26"/>
          <w:szCs w:val="26"/>
        </w:rPr>
        <w:t>:</w:t>
      </w:r>
    </w:p>
    <w:p w:rsidR="00484F6D" w:rsidRDefault="00960AC8" w:rsidP="007673D9">
      <w:pPr>
        <w:pStyle w:val="ParaNumbering"/>
      </w:pPr>
      <w:r>
        <w:t xml:space="preserve">The appellant (“Mr Rahman”) appeals from a judgment of the Federal Circuit Court of Australia (“FCCA”) delivered on 20 April 2017: </w:t>
      </w:r>
      <w:r>
        <w:rPr>
          <w:i/>
        </w:rPr>
        <w:t xml:space="preserve">Lombe (Trustee) in the matter of Rahman (Bankrupt) </w:t>
      </w:r>
      <w:r>
        <w:t>[2017] FCCA 750.  On that occasion, the FCCA judge made the following orders:</w:t>
      </w:r>
    </w:p>
    <w:p w:rsidR="00960AC8" w:rsidRDefault="00960AC8" w:rsidP="007673D9">
      <w:pPr>
        <w:pStyle w:val="Quote1"/>
        <w:widowControl/>
        <w:ind w:left="1440" w:hanging="703"/>
      </w:pPr>
      <w:r>
        <w:t>(1)</w:t>
      </w:r>
      <w:r w:rsidR="00982FC3">
        <w:tab/>
      </w:r>
      <w:r>
        <w:t>The application by Mr Rahman that I recuse myself from hearing this matter be refused.</w:t>
      </w:r>
    </w:p>
    <w:p w:rsidR="00960AC8" w:rsidRDefault="00960AC8" w:rsidP="007673D9">
      <w:pPr>
        <w:pStyle w:val="Quote1"/>
        <w:widowControl/>
        <w:ind w:left="1440" w:hanging="703"/>
      </w:pPr>
      <w:r>
        <w:t>(2)</w:t>
      </w:r>
      <w:r w:rsidR="00982FC3">
        <w:tab/>
      </w:r>
      <w:r>
        <w:t xml:space="preserve">Pursuant to s.146 of the </w:t>
      </w:r>
      <w:r w:rsidRPr="00982FC3">
        <w:rPr>
          <w:i/>
        </w:rPr>
        <w:t>Bankruptcy Act 1966</w:t>
      </w:r>
      <w:r>
        <w:t xml:space="preserve"> (Cth) the Applicant, as Trustee of the bankrupt estate of Mohammad Tabibar Rahman (the Bankrupt), distribute a dividend to those creditors who have proved their debts in the bankrupt estate of the Bankrupt in accordance with Division 5 of Part VI of the Act as if the Bankrupt had filed a statement of affairs and those creditors had been stated to be creditors in it. </w:t>
      </w:r>
    </w:p>
    <w:p w:rsidR="00960AC8" w:rsidRDefault="00960AC8" w:rsidP="007673D9">
      <w:pPr>
        <w:pStyle w:val="Quote1"/>
        <w:widowControl/>
        <w:ind w:left="1440" w:hanging="703"/>
      </w:pPr>
      <w:r>
        <w:t>(3)</w:t>
      </w:r>
      <w:r w:rsidR="00982FC3">
        <w:tab/>
      </w:r>
      <w:r>
        <w:t xml:space="preserve">The interim application by Mr Rahman filed on 30 December 2016 </w:t>
      </w:r>
      <w:proofErr w:type="gramStart"/>
      <w:r>
        <w:t>be</w:t>
      </w:r>
      <w:proofErr w:type="gramEnd"/>
      <w:r>
        <w:t xml:space="preserve"> dismissed. </w:t>
      </w:r>
    </w:p>
    <w:p w:rsidR="00960AC8" w:rsidRDefault="00960AC8" w:rsidP="007673D9">
      <w:pPr>
        <w:pStyle w:val="Quote1"/>
        <w:widowControl/>
        <w:spacing w:after="240"/>
        <w:ind w:left="1440" w:hanging="703"/>
      </w:pPr>
      <w:r>
        <w:t>(4)</w:t>
      </w:r>
      <w:r w:rsidR="00982FC3">
        <w:tab/>
      </w:r>
      <w:r>
        <w:t xml:space="preserve">The Trustee’s costs of and incidental to this application are to be paid out of the Bankrupt’s estate in accordance with s.109 of the </w:t>
      </w:r>
      <w:r w:rsidRPr="00982FC3">
        <w:rPr>
          <w:i/>
        </w:rPr>
        <w:t>Bankruptcy Act 1966</w:t>
      </w:r>
      <w:r>
        <w:t xml:space="preserve"> (Cth).</w:t>
      </w:r>
    </w:p>
    <w:p w:rsidR="00960AC8" w:rsidRDefault="00960AC8" w:rsidP="007673D9">
      <w:pPr>
        <w:pStyle w:val="ParaNumbering"/>
      </w:pPr>
      <w:r>
        <w:t>The respondent (“Mr Lombe”) is the trustee in bankruptcy of Mr Rahman’s bankrupt estate.</w:t>
      </w:r>
    </w:p>
    <w:p w:rsidR="006B337E" w:rsidRDefault="00BA479E" w:rsidP="007673D9">
      <w:pPr>
        <w:pStyle w:val="ParaNumbering"/>
      </w:pPr>
      <w:r>
        <w:t>Mr Lombe filed a notice of objecti</w:t>
      </w:r>
      <w:r w:rsidR="006B337E">
        <w:t>on to competency of the appeal out of time</w:t>
      </w:r>
      <w:proofErr w:type="gramStart"/>
      <w:r w:rsidR="006B337E">
        <w:t xml:space="preserve">. </w:t>
      </w:r>
      <w:proofErr w:type="gramEnd"/>
      <w:r w:rsidR="006B337E">
        <w:t>The grounds of the notice are:</w:t>
      </w:r>
    </w:p>
    <w:p w:rsidR="00A61C7A" w:rsidRDefault="00A61C7A" w:rsidP="007673D9">
      <w:pPr>
        <w:pStyle w:val="Quote1"/>
        <w:widowControl/>
        <w:rPr>
          <w:lang w:eastAsia="en-AU"/>
        </w:rPr>
      </w:pPr>
      <w:r>
        <w:rPr>
          <w:lang w:eastAsia="en-AU"/>
        </w:rPr>
        <w:t>1.</w:t>
      </w:r>
      <w:r>
        <w:rPr>
          <w:lang w:eastAsia="en-AU"/>
        </w:rPr>
        <w:tab/>
        <w:t>The Appellant:</w:t>
      </w:r>
    </w:p>
    <w:p w:rsidR="00A61C7A" w:rsidRDefault="00A61C7A" w:rsidP="007673D9">
      <w:pPr>
        <w:pStyle w:val="Quote2"/>
        <w:widowControl/>
        <w:ind w:left="2160" w:hanging="720"/>
        <w:rPr>
          <w:lang w:eastAsia="en-AU"/>
        </w:rPr>
      </w:pPr>
      <w:r>
        <w:rPr>
          <w:lang w:eastAsia="en-AU"/>
        </w:rPr>
        <w:t>(</w:t>
      </w:r>
      <w:proofErr w:type="gramStart"/>
      <w:r>
        <w:rPr>
          <w:lang w:eastAsia="en-AU"/>
        </w:rPr>
        <w:t>a</w:t>
      </w:r>
      <w:proofErr w:type="gramEnd"/>
      <w:r>
        <w:rPr>
          <w:lang w:eastAsia="en-AU"/>
        </w:rPr>
        <w:t>)</w:t>
      </w:r>
      <w:r>
        <w:rPr>
          <w:lang w:eastAsia="en-AU"/>
        </w:rPr>
        <w:tab/>
        <w:t>was not a party to the proceedings at first instance;</w:t>
      </w:r>
    </w:p>
    <w:p w:rsidR="00A61C7A" w:rsidRDefault="00A61C7A" w:rsidP="007673D9">
      <w:pPr>
        <w:pStyle w:val="Quote2"/>
        <w:widowControl/>
        <w:ind w:left="2160" w:hanging="720"/>
        <w:rPr>
          <w:lang w:eastAsia="en-AU"/>
        </w:rPr>
      </w:pPr>
      <w:r>
        <w:rPr>
          <w:lang w:eastAsia="en-AU"/>
        </w:rPr>
        <w:t>(b)</w:t>
      </w:r>
      <w:r>
        <w:rPr>
          <w:lang w:eastAsia="en-AU"/>
        </w:rPr>
        <w:tab/>
      </w:r>
      <w:proofErr w:type="gramStart"/>
      <w:r>
        <w:rPr>
          <w:lang w:eastAsia="en-AU"/>
        </w:rPr>
        <w:t>was</w:t>
      </w:r>
      <w:proofErr w:type="gramEnd"/>
      <w:r>
        <w:rPr>
          <w:lang w:eastAsia="en-AU"/>
        </w:rPr>
        <w:t xml:space="preserve"> not affected by any of the orders made by the trial judge</w:t>
      </w:r>
    </w:p>
    <w:p w:rsidR="006B337E" w:rsidRDefault="00A61C7A" w:rsidP="007673D9">
      <w:pPr>
        <w:pStyle w:val="Quote2"/>
        <w:widowControl/>
        <w:spacing w:after="240"/>
      </w:pPr>
      <w:r>
        <w:rPr>
          <w:lang w:eastAsia="en-AU"/>
        </w:rPr>
        <w:t>so that the appeal is incompetent unless the Appellant seeks and is granted leave to appeal</w:t>
      </w:r>
      <w:proofErr w:type="gramStart"/>
      <w:r>
        <w:rPr>
          <w:lang w:eastAsia="en-AU"/>
        </w:rPr>
        <w:t xml:space="preserve">. </w:t>
      </w:r>
      <w:proofErr w:type="gramEnd"/>
      <w:r>
        <w:rPr>
          <w:lang w:eastAsia="en-AU"/>
        </w:rPr>
        <w:t>If such an application is made, the Respondent will oppose the grant of leave.</w:t>
      </w:r>
      <w:r>
        <w:t xml:space="preserve"> </w:t>
      </w:r>
    </w:p>
    <w:p w:rsidR="006B337E" w:rsidRDefault="006B337E" w:rsidP="007673D9">
      <w:pPr>
        <w:pStyle w:val="ParaNumbering"/>
      </w:pPr>
      <w:r>
        <w:t>The purpose of the rules providing for notice of objection to competency is to minimise the expenditure of resources on incompetent appeals</w:t>
      </w:r>
      <w:proofErr w:type="gramStart"/>
      <w:r>
        <w:t xml:space="preserve">. </w:t>
      </w:r>
      <w:proofErr w:type="gramEnd"/>
      <w:r>
        <w:t>In the circumstances of this matter, I do not consider that any useful purpose will be served by dealing with the notice at the same time as the appeal</w:t>
      </w:r>
      <w:proofErr w:type="gramStart"/>
      <w:r>
        <w:t xml:space="preserve">. </w:t>
      </w:r>
      <w:proofErr w:type="gramEnd"/>
      <w:r>
        <w:t>Accordingly, I have disregarded the notice except to note that it put Mr Rahman on notice of Mr Lombe’s contention that he requires leave to appeal.</w:t>
      </w:r>
    </w:p>
    <w:p w:rsidR="00DD3DFF" w:rsidRDefault="00DD3DFF" w:rsidP="007673D9">
      <w:pPr>
        <w:pStyle w:val="Heading1"/>
      </w:pPr>
      <w:r>
        <w:lastRenderedPageBreak/>
        <w:t>Background facts</w:t>
      </w:r>
    </w:p>
    <w:p w:rsidR="00DD3DFF" w:rsidRDefault="00DD3DFF" w:rsidP="007673D9">
      <w:pPr>
        <w:pStyle w:val="ParaNumbering"/>
      </w:pPr>
      <w:r>
        <w:t xml:space="preserve">Mr Rahman was made bankrupt by an order of the Federal Magistrate Court of Australia </w:t>
      </w:r>
      <w:r w:rsidR="004F2B23">
        <w:t xml:space="preserve">(“FMCA”) </w:t>
      </w:r>
      <w:r>
        <w:t xml:space="preserve">on 19 July 2012: </w:t>
      </w:r>
      <w:r>
        <w:rPr>
          <w:i/>
        </w:rPr>
        <w:t xml:space="preserve">Dubs v Rahman </w:t>
      </w:r>
      <w:r>
        <w:t>[2012] FMCA 664</w:t>
      </w:r>
      <w:proofErr w:type="gramStart"/>
      <w:r>
        <w:t xml:space="preserve">. </w:t>
      </w:r>
      <w:proofErr w:type="gramEnd"/>
      <w:r>
        <w:t xml:space="preserve">An appeal against the sequestration order was dismissed: </w:t>
      </w:r>
      <w:r>
        <w:rPr>
          <w:i/>
        </w:rPr>
        <w:t xml:space="preserve">Rahman v Dubs (No 2) </w:t>
      </w:r>
      <w:r>
        <w:t>[2012] FCA 1081</w:t>
      </w:r>
      <w:proofErr w:type="gramStart"/>
      <w:r>
        <w:t xml:space="preserve">. </w:t>
      </w:r>
      <w:proofErr w:type="gramEnd"/>
      <w:r>
        <w:t xml:space="preserve">An application for special leave to appeal to the High Court of Australia from the judgment of this Court was dismissed: </w:t>
      </w:r>
      <w:r>
        <w:rPr>
          <w:i/>
        </w:rPr>
        <w:t xml:space="preserve">Rahman v Dubs </w:t>
      </w:r>
      <w:r>
        <w:t>[2013] HCASL 23</w:t>
      </w:r>
      <w:proofErr w:type="gramStart"/>
      <w:r>
        <w:t>.</w:t>
      </w:r>
      <w:r w:rsidR="00277148">
        <w:t xml:space="preserve"> </w:t>
      </w:r>
      <w:proofErr w:type="gramEnd"/>
      <w:r w:rsidR="00277148">
        <w:t>In dismissing the application for special leave to appeal, Kiefel and Gageler JJ said, relevantly:</w:t>
      </w:r>
    </w:p>
    <w:p w:rsidR="00277148" w:rsidRDefault="003A67EE" w:rsidP="007673D9">
      <w:pPr>
        <w:pStyle w:val="Quote1"/>
        <w:widowControl/>
        <w:ind w:left="1440" w:hanging="703"/>
      </w:pPr>
      <w:r>
        <w:t>3.</w:t>
      </w:r>
      <w:r>
        <w:tab/>
      </w:r>
      <w:r w:rsidR="00277148">
        <w:t>On 5 October 2012, the Federal Court of Australia (Flick J) dismissed an appeal from the sequestration order</w:t>
      </w:r>
      <w:proofErr w:type="gramStart"/>
      <w:r w:rsidR="00277148">
        <w:t xml:space="preserve">. </w:t>
      </w:r>
      <w:proofErr w:type="gramEnd"/>
      <w:r w:rsidR="00277148">
        <w:t>His Honour reviewed the reasons of Raphael FM, because the applicant's grounds of appeal were difficult to comprehend, but found no appealable error in them</w:t>
      </w:r>
      <w:proofErr w:type="gramStart"/>
      <w:r w:rsidR="00277148">
        <w:t xml:space="preserve">. </w:t>
      </w:r>
      <w:proofErr w:type="gramEnd"/>
      <w:r w:rsidR="00277148">
        <w:t xml:space="preserve">His Honour held that Raphael FM was under no duty not to proceed because the applicant had given a notice under s 78B of the </w:t>
      </w:r>
      <w:r w:rsidR="00277148" w:rsidRPr="003A67EE">
        <w:rPr>
          <w:i/>
        </w:rPr>
        <w:t>Judiciary Act</w:t>
      </w:r>
      <w:r w:rsidR="00277148">
        <w:t xml:space="preserve"> 1903 (Cth), since the notice failed to identify any constitutional matter</w:t>
      </w:r>
      <w:proofErr w:type="gramStart"/>
      <w:r w:rsidR="00277148">
        <w:t xml:space="preserve">. </w:t>
      </w:r>
      <w:proofErr w:type="gramEnd"/>
      <w:r w:rsidR="00277148">
        <w:t xml:space="preserve">The applicant's assertion that it was not competent for the Commonwealth Parliament to enact the </w:t>
      </w:r>
      <w:r w:rsidR="00277148" w:rsidRPr="003A67EE">
        <w:rPr>
          <w:i/>
        </w:rPr>
        <w:t>Bankruptcy Act</w:t>
      </w:r>
      <w:r w:rsidR="00277148">
        <w:t xml:space="preserve"> 1966 (Cth) or make provision for bankruptcy notices and sequestration orders lacked foundation</w:t>
      </w:r>
      <w:proofErr w:type="gramStart"/>
      <w:r w:rsidR="00277148">
        <w:t xml:space="preserve">. </w:t>
      </w:r>
      <w:proofErr w:type="gramEnd"/>
      <w:r w:rsidR="00277148">
        <w:t xml:space="preserve">Claims of fraud and criminal acts did not advance the applicant's appeal and were, in any event, without merit. </w:t>
      </w:r>
    </w:p>
    <w:p w:rsidR="00277148" w:rsidRDefault="003A67EE" w:rsidP="007673D9">
      <w:pPr>
        <w:pStyle w:val="Quote1"/>
        <w:widowControl/>
        <w:spacing w:after="240"/>
        <w:ind w:left="1440" w:hanging="703"/>
      </w:pPr>
      <w:r>
        <w:t>4.</w:t>
      </w:r>
      <w:r>
        <w:tab/>
      </w:r>
      <w:r w:rsidR="00277148">
        <w:t>There is no reason to doubt the correctness of the decision of the Federal Court</w:t>
      </w:r>
      <w:proofErr w:type="gramStart"/>
      <w:r w:rsidR="00277148">
        <w:t xml:space="preserve">. </w:t>
      </w:r>
      <w:proofErr w:type="gramEnd"/>
      <w:r w:rsidR="00277148">
        <w:t>An appeal to this Court would enjoy no prospects of success</w:t>
      </w:r>
      <w:proofErr w:type="gramStart"/>
      <w:r w:rsidR="00277148">
        <w:t xml:space="preserve">. </w:t>
      </w:r>
      <w:proofErr w:type="gramEnd"/>
      <w:r w:rsidR="00277148">
        <w:t>Special leave is refused.</w:t>
      </w:r>
    </w:p>
    <w:p w:rsidR="00277148" w:rsidRDefault="00277148" w:rsidP="007673D9">
      <w:pPr>
        <w:pStyle w:val="Heading1"/>
      </w:pPr>
      <w:r>
        <w:t>Does Mr Rahman require leave to appeal</w:t>
      </w:r>
      <w:r w:rsidR="00B824FB">
        <w:t>?</w:t>
      </w:r>
    </w:p>
    <w:p w:rsidR="009A5E89" w:rsidRDefault="009A5E89" w:rsidP="007673D9">
      <w:pPr>
        <w:pStyle w:val="ParaNumbering"/>
      </w:pPr>
      <w:r>
        <w:t>Mr Lombe submitted that Mr Rahman requires leave to prosecute the appeal for the following two reasons:</w:t>
      </w:r>
    </w:p>
    <w:p w:rsidR="009A5E89" w:rsidRDefault="009314C5" w:rsidP="007673D9">
      <w:pPr>
        <w:pStyle w:val="ListNo1"/>
        <w:numPr>
          <w:ilvl w:val="0"/>
          <w:numId w:val="24"/>
        </w:numPr>
      </w:pPr>
      <w:r>
        <w:t>i</w:t>
      </w:r>
      <w:r w:rsidR="009A5E89">
        <w:t>nsofar as the notice of appeal seeks to challenge the decision of the FCCA judge on the recusal application, that was an interlocutory judgment and no appeal from such judgment lies to this Court unless “the Court or a Judge gives leave to appeal”; and</w:t>
      </w:r>
    </w:p>
    <w:p w:rsidR="009A5E89" w:rsidRPr="00277148" w:rsidRDefault="009314C5" w:rsidP="007673D9">
      <w:pPr>
        <w:pStyle w:val="ListNo1"/>
        <w:numPr>
          <w:ilvl w:val="0"/>
          <w:numId w:val="24"/>
        </w:numPr>
      </w:pPr>
      <w:proofErr w:type="gramStart"/>
      <w:r>
        <w:t>t</w:t>
      </w:r>
      <w:r w:rsidR="009A5E89">
        <w:t>he</w:t>
      </w:r>
      <w:proofErr w:type="gramEnd"/>
      <w:r w:rsidR="009A5E89">
        <w:t xml:space="preserve"> appellant was not a party to the proceeding below although he participated at the final hearing of the FCCA to a limited extent (having departed before the s</w:t>
      </w:r>
      <w:r w:rsidR="00073013">
        <w:t> </w:t>
      </w:r>
      <w:r w:rsidR="009A5E89">
        <w:t>146 application was considered.</w:t>
      </w:r>
    </w:p>
    <w:p w:rsidR="009A5E89" w:rsidRDefault="009A5E89" w:rsidP="007673D9">
      <w:pPr>
        <w:pStyle w:val="ParaNumbering"/>
      </w:pPr>
      <w:r>
        <w:t xml:space="preserve">Mr Rahman’s notice of appeal asserts a right of appeal under s 24 of the </w:t>
      </w:r>
      <w:r w:rsidRPr="007B4907">
        <w:rPr>
          <w:i/>
        </w:rPr>
        <w:t xml:space="preserve">Federal Court of Australia Act 1976 </w:t>
      </w:r>
      <w:r w:rsidRPr="007B4907">
        <w:t>(Cth)</w:t>
      </w:r>
      <w:proofErr w:type="gramStart"/>
      <w:r>
        <w:t xml:space="preserve">. </w:t>
      </w:r>
      <w:proofErr w:type="gramEnd"/>
      <w:r>
        <w:t>His written submi</w:t>
      </w:r>
      <w:r w:rsidR="006B337E">
        <w:t>ssions were difficult to follow but</w:t>
      </w:r>
      <w:r>
        <w:t xml:space="preserve"> I did not detect any attempt to engage with Mr Lombe’s contention that leave to appeal was required</w:t>
      </w:r>
      <w:proofErr w:type="gramStart"/>
      <w:r>
        <w:t>.</w:t>
      </w:r>
      <w:r w:rsidR="006B337E">
        <w:t xml:space="preserve"> </w:t>
      </w:r>
      <w:proofErr w:type="gramEnd"/>
      <w:r w:rsidR="006B337E">
        <w:t>In oral submissions, Mr Rahman firmly rejected the possibility that he may require leave to appeal.</w:t>
      </w:r>
    </w:p>
    <w:p w:rsidR="009A5E89" w:rsidRDefault="009A5E89" w:rsidP="007673D9">
      <w:pPr>
        <w:pStyle w:val="ParaNumbering"/>
      </w:pPr>
      <w:r>
        <w:t xml:space="preserve">As to </w:t>
      </w:r>
      <w:r w:rsidR="006B337E">
        <w:t>Mr Lombe’s first reason</w:t>
      </w:r>
      <w:r>
        <w:t>, by s 24(1A) of the Federal Court Act, an appeal “shall not be brought from a judgment …</w:t>
      </w:r>
      <w:r w:rsidR="00713182">
        <w:t xml:space="preserve"> </w:t>
      </w:r>
      <w:r>
        <w:t xml:space="preserve">that is an interlocutory judgment unless the Court or a Judge </w:t>
      </w:r>
      <w:r>
        <w:lastRenderedPageBreak/>
        <w:t>gives leave to appeal”</w:t>
      </w:r>
      <w:proofErr w:type="gramStart"/>
      <w:r>
        <w:t xml:space="preserve">. </w:t>
      </w:r>
      <w:proofErr w:type="gramEnd"/>
      <w:r>
        <w:t xml:space="preserve">An interlocutory judgment is one which does not decide the merits of the underlying dispute: </w:t>
      </w:r>
      <w:r w:rsidR="00B765ED" w:rsidRPr="007B4907">
        <w:rPr>
          <w:i/>
        </w:rPr>
        <w:t xml:space="preserve">Avetmiss Easy Pty Ltd v Australian Skills Qualifications Authority </w:t>
      </w:r>
      <w:r w:rsidRPr="007B4907">
        <w:t>[2014] FCA 50</w:t>
      </w:r>
      <w:r w:rsidR="00B765ED" w:rsidRPr="007B4907">
        <w:t>7</w:t>
      </w:r>
      <w:r>
        <w:t xml:space="preserve"> at [4]</w:t>
      </w:r>
      <w:proofErr w:type="gramStart"/>
      <w:r>
        <w:t xml:space="preserve">. </w:t>
      </w:r>
      <w:proofErr w:type="gramEnd"/>
      <w:r>
        <w:t>I accept that the FCCA judgment is an interlocutory judgment to the extent that it concerns Mr Rahman’s recusal application</w:t>
      </w:r>
      <w:proofErr w:type="gramStart"/>
      <w:r>
        <w:t xml:space="preserve">. </w:t>
      </w:r>
      <w:proofErr w:type="gramEnd"/>
      <w:r>
        <w:t xml:space="preserve">Accordingly, I accept Mr Lombe’s contention that Mr Rahman requires leave to appeal from that part of the judgment. </w:t>
      </w:r>
    </w:p>
    <w:p w:rsidR="00277148" w:rsidRDefault="00E67976" w:rsidP="007673D9">
      <w:pPr>
        <w:pStyle w:val="ParaNumbering"/>
      </w:pPr>
      <w:r>
        <w:t xml:space="preserve">As to (2), </w:t>
      </w:r>
      <w:r w:rsidR="007061B9">
        <w:t xml:space="preserve">in </w:t>
      </w:r>
      <w:r w:rsidR="007061B9" w:rsidRPr="007B4907">
        <w:rPr>
          <w:i/>
        </w:rPr>
        <w:t>Fortress Credit Corporation (Australia) II Pty Ltd v Fletcher</w:t>
      </w:r>
      <w:r w:rsidR="007061B9" w:rsidRPr="007B4907">
        <w:t xml:space="preserve"> [2011] FCAFC 89; </w:t>
      </w:r>
      <w:r w:rsidR="00277148" w:rsidRPr="007B4907">
        <w:t>(2011) 281 ALR 38</w:t>
      </w:r>
      <w:r w:rsidR="00277148">
        <w:t xml:space="preserve"> at [32] and [33]</w:t>
      </w:r>
      <w:r w:rsidR="00B72002">
        <w:t xml:space="preserve"> (“</w:t>
      </w:r>
      <w:r w:rsidR="00B72002">
        <w:rPr>
          <w:i/>
        </w:rPr>
        <w:t>Fortress Credit</w:t>
      </w:r>
      <w:r w:rsidR="00B72002">
        <w:t>”)</w:t>
      </w:r>
      <w:r w:rsidR="00277148">
        <w:t>, the Full Court said:</w:t>
      </w:r>
    </w:p>
    <w:p w:rsidR="00277148" w:rsidRDefault="00713182" w:rsidP="007673D9">
      <w:pPr>
        <w:pStyle w:val="Quote1"/>
        <w:widowControl/>
      </w:pPr>
      <w:r>
        <w:t>[32]</w:t>
      </w:r>
      <w:r>
        <w:tab/>
      </w:r>
      <w:r w:rsidR="00277148">
        <w:t>A person who was not a party to a cause can obtain leave to appeal from orders made in the cause</w:t>
      </w:r>
      <w:proofErr w:type="gramStart"/>
      <w:r w:rsidR="00277148">
        <w:t xml:space="preserve">. </w:t>
      </w:r>
      <w:proofErr w:type="gramEnd"/>
      <w:r w:rsidR="00277148">
        <w:t>A person who, without being a party, is either bound by an order, or is aggrieved by it, or is prejudicially affected by it, or is sufficiently interested in it can appeal, but only with leave</w:t>
      </w:r>
      <w:proofErr w:type="gramStart"/>
      <w:r w:rsidR="00277148">
        <w:t xml:space="preserve">. </w:t>
      </w:r>
      <w:proofErr w:type="gramEnd"/>
      <w:r w:rsidR="00277148">
        <w:t xml:space="preserve">It does not require much for such a person to obtain leave (see </w:t>
      </w:r>
      <w:r w:rsidR="00277148" w:rsidRPr="00442AB8">
        <w:rPr>
          <w:i/>
        </w:rPr>
        <w:t>In re Securities Insurance Co</w:t>
      </w:r>
      <w:r w:rsidR="00277148">
        <w:t xml:space="preserve"> [1894] 2 Ch 410 at 413–414)</w:t>
      </w:r>
      <w:proofErr w:type="gramStart"/>
      <w:r w:rsidR="00277148">
        <w:t xml:space="preserve">. </w:t>
      </w:r>
      <w:proofErr w:type="gramEnd"/>
      <w:r w:rsidR="00277148">
        <w:t xml:space="preserve">Leave to appeal is given, as a rule, </w:t>
      </w:r>
      <w:r w:rsidR="00277148" w:rsidRPr="006B337E">
        <w:t>if the person applying, though not a party to the proceeding, might properly have been made a party</w:t>
      </w:r>
      <w:r w:rsidR="00277148">
        <w:t xml:space="preserve"> (see </w:t>
      </w:r>
      <w:r w:rsidR="00277148" w:rsidRPr="00442AB8">
        <w:rPr>
          <w:i/>
        </w:rPr>
        <w:t>Cuthbertson v Hobart Corporation</w:t>
      </w:r>
      <w:r w:rsidR="00277148">
        <w:t xml:space="preserve"> (1921) 30 CLR 16 at 25).</w:t>
      </w:r>
    </w:p>
    <w:p w:rsidR="00277148" w:rsidRDefault="00713182" w:rsidP="007673D9">
      <w:pPr>
        <w:pStyle w:val="Quote1"/>
        <w:widowControl/>
        <w:spacing w:after="240"/>
      </w:pPr>
      <w:r>
        <w:t>[33]</w:t>
      </w:r>
      <w:r>
        <w:tab/>
      </w:r>
      <w:r w:rsidR="00277148">
        <w:t>For example, leave to appeal may be given to a person who had not been heard and who was a potential beneficiary under a will (</w:t>
      </w:r>
      <w:r w:rsidR="00277148" w:rsidRPr="00442AB8">
        <w:rPr>
          <w:i/>
        </w:rPr>
        <w:t>Re Markham;</w:t>
      </w:r>
      <w:r>
        <w:rPr>
          <w:i/>
        </w:rPr>
        <w:t xml:space="preserve"> </w:t>
      </w:r>
      <w:r w:rsidR="00277148" w:rsidRPr="00442AB8">
        <w:rPr>
          <w:i/>
        </w:rPr>
        <w:t xml:space="preserve">Markham v Markham </w:t>
      </w:r>
      <w:r w:rsidR="00277148">
        <w:t>(1880) 16 Ch D 1)</w:t>
      </w:r>
      <w:proofErr w:type="gramStart"/>
      <w:r w:rsidR="00277148">
        <w:t xml:space="preserve">. </w:t>
      </w:r>
      <w:proofErr w:type="gramEnd"/>
      <w:r w:rsidR="00277148">
        <w:t xml:space="preserve">Further, the recipient of a subpoena, being subject to a court order, has standing to apply for leave to appeal against a trial judge’s refusal of a request for pseudonym orders, and such a refusal is an order against which an appeal can be brought (see </w:t>
      </w:r>
      <w:r w:rsidR="00277148" w:rsidRPr="00442AB8">
        <w:rPr>
          <w:i/>
        </w:rPr>
        <w:t>Witness v Marsden</w:t>
      </w:r>
      <w:r w:rsidR="00277148">
        <w:t xml:space="preserve"> (2000) 49 NSWLR 429; </w:t>
      </w:r>
      <w:r w:rsidR="00277148" w:rsidRPr="00442AB8">
        <w:rPr>
          <w:i/>
        </w:rPr>
        <w:t xml:space="preserve">Campbelltown City Council v Vegan </w:t>
      </w:r>
      <w:r w:rsidR="00277148">
        <w:t>(2006) 67 NSWLR 372 at [62])</w:t>
      </w:r>
      <w:proofErr w:type="gramStart"/>
      <w:r w:rsidR="00277148">
        <w:t xml:space="preserve">. </w:t>
      </w:r>
      <w:proofErr w:type="gramEnd"/>
      <w:r w:rsidR="00277148">
        <w:t>The witness has a direct interest in the matter sought to be challenged.</w:t>
      </w:r>
    </w:p>
    <w:p w:rsidR="00E67976" w:rsidRDefault="00E67976" w:rsidP="007673D9">
      <w:pPr>
        <w:pStyle w:val="ParaNumbering"/>
      </w:pPr>
      <w:r>
        <w:t xml:space="preserve">On behalf of Mr Lombe, it was submitted that Mr Rahman was neither a necessary nor a proper party to the application for orders under s 146 of the </w:t>
      </w:r>
      <w:r w:rsidRPr="007B4907">
        <w:rPr>
          <w:i/>
        </w:rPr>
        <w:t>Bankruptcy Act</w:t>
      </w:r>
      <w:r w:rsidR="004637F3" w:rsidRPr="007B4907">
        <w:rPr>
          <w:i/>
        </w:rPr>
        <w:t xml:space="preserve"> 1966</w:t>
      </w:r>
      <w:r w:rsidR="004637F3" w:rsidRPr="007B4907">
        <w:t xml:space="preserve"> (Cth)</w:t>
      </w:r>
      <w:r>
        <w:t>.</w:t>
      </w:r>
    </w:p>
    <w:p w:rsidR="00F14FCE" w:rsidRDefault="00F14FCE" w:rsidP="007673D9">
      <w:pPr>
        <w:pStyle w:val="ParaNumbering"/>
      </w:pPr>
      <w:r>
        <w:t>Section 146 provides:</w:t>
      </w:r>
    </w:p>
    <w:p w:rsidR="00F14FCE" w:rsidRDefault="00F14FCE" w:rsidP="007673D9">
      <w:pPr>
        <w:pStyle w:val="Quote1"/>
        <w:widowControl/>
        <w:spacing w:after="240"/>
      </w:pPr>
      <w:r w:rsidRPr="00F14FCE">
        <w:t>Where a bankrupt has failed to file a statement of his or her affairs as required by this Act, the Court may, on the application of the trustee, upon such terms as it thinks fit, order that distribution of dividends amongst the creditors who have proved their debts shall proceed in accordance with this Division as if the bankrupt had filed a statement of his or her affairs and those creditors had been stated to be creditors in it.</w:t>
      </w:r>
    </w:p>
    <w:p w:rsidR="00F14FCE" w:rsidRDefault="00F14FCE" w:rsidP="007673D9">
      <w:pPr>
        <w:pStyle w:val="ParaNumbering"/>
      </w:pPr>
      <w:r>
        <w:t>T</w:t>
      </w:r>
      <w:r w:rsidRPr="00F14FCE">
        <w:t xml:space="preserve">here is no requirement under the </w:t>
      </w:r>
      <w:r>
        <w:t xml:space="preserve">Bankruptcy </w:t>
      </w:r>
      <w:r w:rsidRPr="00F14FCE">
        <w:t xml:space="preserve">Act that </w:t>
      </w:r>
      <w:r>
        <w:t>the bankrupt</w:t>
      </w:r>
      <w:r w:rsidRPr="00F14FCE">
        <w:t xml:space="preserve"> be named as a respondent to </w:t>
      </w:r>
      <w:r>
        <w:t xml:space="preserve">an application under s 146: </w:t>
      </w:r>
      <w:r w:rsidRPr="007B4907">
        <w:rPr>
          <w:i/>
        </w:rPr>
        <w:t xml:space="preserve">Roufeil (Trustee), in the matter of Jarvie (Bankrupt) </w:t>
      </w:r>
      <w:r w:rsidRPr="007B4907">
        <w:t>[2015] FCA 232</w:t>
      </w:r>
      <w:r>
        <w:t xml:space="preserve"> at [12]; </w:t>
      </w:r>
      <w:r w:rsidRPr="007B4907">
        <w:rPr>
          <w:i/>
        </w:rPr>
        <w:t>Sampson (Trustee), in the matter of Condon (Bankrupt)</w:t>
      </w:r>
      <w:r w:rsidRPr="007B4907">
        <w:t xml:space="preserve"> [2016] FCA 312 </w:t>
      </w:r>
      <w:r>
        <w:t xml:space="preserve">at [12]; </w:t>
      </w:r>
      <w:r w:rsidRPr="007B4907">
        <w:rPr>
          <w:i/>
        </w:rPr>
        <w:t>Barnet (Trustee), in the matter of Zhang (Bankrupt) v Zhang</w:t>
      </w:r>
      <w:r w:rsidRPr="007B4907">
        <w:t xml:space="preserve"> [2017] FCA 924</w:t>
      </w:r>
      <w:r>
        <w:t xml:space="preserve"> at [28].</w:t>
      </w:r>
    </w:p>
    <w:p w:rsidR="00F14FCE" w:rsidRDefault="00F14FCE" w:rsidP="007673D9">
      <w:pPr>
        <w:pStyle w:val="ParaNumbering"/>
      </w:pPr>
      <w:r>
        <w:t xml:space="preserve">Mr Lombe </w:t>
      </w:r>
      <w:r w:rsidR="000A18C7">
        <w:t>did</w:t>
      </w:r>
      <w:r>
        <w:t xml:space="preserve"> not submit that a </w:t>
      </w:r>
      <w:r w:rsidRPr="006B337E">
        <w:t xml:space="preserve">bankrupt will never be a proper </w:t>
      </w:r>
      <w:r>
        <w:t>party to a s 146 application</w:t>
      </w:r>
      <w:proofErr w:type="gramStart"/>
      <w:r>
        <w:t xml:space="preserve">. </w:t>
      </w:r>
      <w:proofErr w:type="gramEnd"/>
      <w:r>
        <w:t>However, he submit</w:t>
      </w:r>
      <w:r w:rsidR="000A18C7">
        <w:t>ted</w:t>
      </w:r>
      <w:r>
        <w:t xml:space="preserve"> that Mr Rahman was not a proper party in circumstances where there </w:t>
      </w:r>
      <w:r>
        <w:lastRenderedPageBreak/>
        <w:t>is no dispute that Mr Rahman did not file a statement of affairs</w:t>
      </w:r>
      <w:proofErr w:type="gramStart"/>
      <w:r>
        <w:t>.</w:t>
      </w:r>
      <w:r w:rsidR="00BD034F">
        <w:t xml:space="preserve"> </w:t>
      </w:r>
      <w:proofErr w:type="gramEnd"/>
      <w:r w:rsidR="00BD034F">
        <w:t xml:space="preserve">Mr Lombe submitted that an order under s 146 merely facilitates the due administration of the bankrupt estate </w:t>
      </w:r>
      <w:r w:rsidR="009314C5">
        <w:t xml:space="preserve">in </w:t>
      </w:r>
      <w:r w:rsidR="00BD034F">
        <w:t>the absence of a statement of affairs, but does not affect</w:t>
      </w:r>
      <w:r w:rsidR="009314C5">
        <w:t xml:space="preserve"> the</w:t>
      </w:r>
      <w:r w:rsidR="00BD034F">
        <w:t xml:space="preserve"> substantive rights of the creditors or of the bankrupt.</w:t>
      </w:r>
    </w:p>
    <w:p w:rsidR="006B337E" w:rsidRDefault="00BD034F" w:rsidP="007673D9">
      <w:pPr>
        <w:pStyle w:val="ParaNumbering"/>
      </w:pPr>
      <w:r>
        <w:t>Having regard to</w:t>
      </w:r>
      <w:r w:rsidRPr="00BD034F">
        <w:rPr>
          <w:i/>
        </w:rPr>
        <w:t xml:space="preserve"> </w:t>
      </w:r>
      <w:r>
        <w:rPr>
          <w:i/>
        </w:rPr>
        <w:t xml:space="preserve">Fortress Credit, </w:t>
      </w:r>
      <w:r>
        <w:t xml:space="preserve">I accept Mr Lombe’s contention that Mr Rahman requires leave to appeal from order 2. </w:t>
      </w:r>
    </w:p>
    <w:p w:rsidR="006B337E" w:rsidRDefault="006B337E" w:rsidP="007673D9">
      <w:pPr>
        <w:pStyle w:val="ParaNumbering"/>
      </w:pPr>
      <w:r>
        <w:t xml:space="preserve">Mr Lombe’s submissions did not separately address the other orders made by </w:t>
      </w:r>
      <w:r w:rsidR="00385B25">
        <w:t>the FCCA judge</w:t>
      </w:r>
      <w:proofErr w:type="gramStart"/>
      <w:r>
        <w:t>.</w:t>
      </w:r>
      <w:r w:rsidR="004D07A9">
        <w:t xml:space="preserve"> </w:t>
      </w:r>
      <w:proofErr w:type="gramEnd"/>
      <w:r w:rsidR="004D07A9">
        <w:t xml:space="preserve">Order 3 </w:t>
      </w:r>
      <w:r w:rsidR="00DC1549">
        <w:t xml:space="preserve">amounts to a summary dismissal of Mr Rahman’s </w:t>
      </w:r>
      <w:r w:rsidR="004D07A9">
        <w:t>“Interim application, notice of filing and hearing”</w:t>
      </w:r>
      <w:proofErr w:type="gramStart"/>
      <w:r w:rsidR="00DC1549">
        <w:t xml:space="preserve">. </w:t>
      </w:r>
      <w:proofErr w:type="gramEnd"/>
      <w:r w:rsidR="00DC1549">
        <w:t>It is plain from [89] of the FCCA judge’s reasons that her Honour did not deal with the substance of the application</w:t>
      </w:r>
      <w:proofErr w:type="gramStart"/>
      <w:r w:rsidR="00DC1549">
        <w:t xml:space="preserve">. </w:t>
      </w:r>
      <w:proofErr w:type="gramEnd"/>
      <w:r w:rsidR="00DC1549">
        <w:t>Order 3 is therefore an interlocutory judgement</w:t>
      </w:r>
      <w:r w:rsidR="002D6259">
        <w:t xml:space="preserve"> from which leave to appeal is required</w:t>
      </w:r>
      <w:proofErr w:type="gramStart"/>
      <w:r w:rsidR="00DC1549">
        <w:t>.</w:t>
      </w:r>
      <w:r>
        <w:t xml:space="preserve"> </w:t>
      </w:r>
      <w:proofErr w:type="gramEnd"/>
      <w:r w:rsidR="004D07A9">
        <w:t>Order 4, dealing with the question of costs, is</w:t>
      </w:r>
      <w:r w:rsidR="002D6259">
        <w:t xml:space="preserve"> also</w:t>
      </w:r>
      <w:r w:rsidR="004D07A9">
        <w:t xml:space="preserve"> an interlocutory judgment</w:t>
      </w:r>
      <w:r w:rsidR="002D6259">
        <w:t xml:space="preserve"> from which leave to appeal is required</w:t>
      </w:r>
      <w:r w:rsidR="004D07A9">
        <w:t>:</w:t>
      </w:r>
      <w:r w:rsidR="002D6259">
        <w:t xml:space="preserve"> see</w:t>
      </w:r>
      <w:r w:rsidR="004D07A9">
        <w:t xml:space="preserve"> </w:t>
      </w:r>
      <w:r w:rsidR="00AB24BC" w:rsidRPr="007B4907">
        <w:rPr>
          <w:i/>
        </w:rPr>
        <w:t>Rickus v Motor Trades Association of Australia Superannuation Fund Pty Ltd</w:t>
      </w:r>
      <w:r w:rsidR="00AB24BC" w:rsidRPr="007B4907">
        <w:t xml:space="preserve"> [2010] FCAFC 16; (2010) 265 ALR 112 </w:t>
      </w:r>
      <w:r w:rsidR="00AB24BC">
        <w:t>at [101</w:t>
      </w:r>
      <w:r w:rsidR="00AB24BC" w:rsidRPr="00AB24BC">
        <w:t>]</w:t>
      </w:r>
      <w:r w:rsidR="00AB24BC">
        <w:t xml:space="preserve">. </w:t>
      </w:r>
    </w:p>
    <w:p w:rsidR="00BD034F" w:rsidRDefault="00BD034F" w:rsidP="007673D9">
      <w:pPr>
        <w:pStyle w:val="Heading1"/>
      </w:pPr>
      <w:r>
        <w:t>Should leave to appeal be granted?</w:t>
      </w:r>
    </w:p>
    <w:p w:rsidR="005F417B" w:rsidRDefault="005F417B" w:rsidP="007673D9">
      <w:pPr>
        <w:pStyle w:val="ParaNumbering"/>
      </w:pPr>
      <w:r>
        <w:t xml:space="preserve">Leave to appeal will not be granted where a decision is attended by insufficient doubt to warrant its </w:t>
      </w:r>
      <w:r w:rsidR="00E830AD">
        <w:t>reconsideration</w:t>
      </w:r>
      <w:r>
        <w:t xml:space="preserve">: </w:t>
      </w:r>
      <w:r w:rsidRPr="007B4907">
        <w:rPr>
          <w:i/>
        </w:rPr>
        <w:t>Decor Corporation Pty Ltd v Dart Industries Inc</w:t>
      </w:r>
      <w:r w:rsidRPr="007B4907">
        <w:t xml:space="preserve"> [1991] FCA 844; (1991) 33 FCR 397</w:t>
      </w:r>
      <w:r w:rsidR="00385B25">
        <w:t xml:space="preserve"> at</w:t>
      </w:r>
      <w:r>
        <w:t xml:space="preserve"> 398-</w:t>
      </w:r>
      <w:r w:rsidR="00385B25">
        <w:t>39</w:t>
      </w:r>
      <w:r>
        <w:t xml:space="preserve">9; </w:t>
      </w:r>
      <w:r w:rsidRPr="007B4907">
        <w:rPr>
          <w:i/>
        </w:rPr>
        <w:t xml:space="preserve">Sekigawa v Minister for Immigration and Border Protection </w:t>
      </w:r>
      <w:r w:rsidRPr="007B4907">
        <w:t>[2016] FCA 127</w:t>
      </w:r>
      <w:r>
        <w:t xml:space="preserve"> </w:t>
      </w:r>
      <w:r w:rsidRPr="005F417B">
        <w:t>at [12]</w:t>
      </w:r>
      <w:r>
        <w:t>.</w:t>
      </w:r>
    </w:p>
    <w:p w:rsidR="00BD034F" w:rsidRDefault="00BD034F" w:rsidP="007673D9">
      <w:pPr>
        <w:pStyle w:val="ParaNumbering"/>
      </w:pPr>
      <w:r>
        <w:t>Counsel for Mr Lombe, Mr Golledge</w:t>
      </w:r>
      <w:r w:rsidR="00385B25">
        <w:t>,</w:t>
      </w:r>
      <w:r>
        <w:t xml:space="preserve"> accepted </w:t>
      </w:r>
      <w:r w:rsidRPr="000817D7">
        <w:t>that Mr Rahman’s submissions could be treated as submissions in support of an order for leave to appeal.</w:t>
      </w:r>
    </w:p>
    <w:p w:rsidR="000817D7" w:rsidRDefault="000817D7" w:rsidP="007673D9">
      <w:pPr>
        <w:pStyle w:val="ParaNumbering"/>
      </w:pPr>
      <w:r>
        <w:t xml:space="preserve">Mr Rahman filed written submissions which were </w:t>
      </w:r>
      <w:r w:rsidR="00C25660">
        <w:t xml:space="preserve">largely </w:t>
      </w:r>
      <w:r w:rsidR="00417682">
        <w:t>unintelligible</w:t>
      </w:r>
      <w:proofErr w:type="gramStart"/>
      <w:r w:rsidR="000D713A">
        <w:t>.</w:t>
      </w:r>
      <w:r w:rsidR="00A01121">
        <w:t xml:space="preserve"> </w:t>
      </w:r>
      <w:proofErr w:type="gramEnd"/>
      <w:r w:rsidR="000D713A">
        <w:t xml:space="preserve">As </w:t>
      </w:r>
      <w:r w:rsidR="001A40BC">
        <w:t>I understand them,</w:t>
      </w:r>
      <w:r w:rsidR="000D713A">
        <w:t xml:space="preserve"> these submissions</w:t>
      </w:r>
      <w:r>
        <w:t xml:space="preserve"> may be summarised as follows:</w:t>
      </w:r>
    </w:p>
    <w:p w:rsidR="00F21079" w:rsidRDefault="00464516" w:rsidP="007673D9">
      <w:pPr>
        <w:pStyle w:val="ListNo1"/>
        <w:numPr>
          <w:ilvl w:val="0"/>
          <w:numId w:val="26"/>
        </w:numPr>
      </w:pPr>
      <w:r>
        <w:t>t</w:t>
      </w:r>
      <w:r w:rsidR="002D6259">
        <w:t xml:space="preserve">he Commonwealth </w:t>
      </w:r>
      <w:r w:rsidR="00753F81">
        <w:t>lacks</w:t>
      </w:r>
      <w:r w:rsidR="002D6259">
        <w:t xml:space="preserve"> </w:t>
      </w:r>
      <w:r w:rsidR="003714D8">
        <w:t xml:space="preserve">legislative </w:t>
      </w:r>
      <w:r w:rsidR="00F12A34">
        <w:t>power</w:t>
      </w:r>
      <w:r w:rsidR="003714D8">
        <w:t xml:space="preserve"> to </w:t>
      </w:r>
      <w:r w:rsidR="002D6259">
        <w:t xml:space="preserve">vest </w:t>
      </w:r>
      <w:r w:rsidR="003714D8">
        <w:t>F</w:t>
      </w:r>
      <w:r w:rsidR="002B5888">
        <w:t>ederal</w:t>
      </w:r>
      <w:r w:rsidR="003714D8">
        <w:t xml:space="preserve"> courts </w:t>
      </w:r>
      <w:r w:rsidR="002D6259">
        <w:t xml:space="preserve">with jurisdiction </w:t>
      </w:r>
      <w:r w:rsidR="00F21079">
        <w:t xml:space="preserve">over </w:t>
      </w:r>
      <w:r w:rsidR="002D6259">
        <w:t>bankruptcy</w:t>
      </w:r>
      <w:r w:rsidR="00F21079">
        <w:t>;</w:t>
      </w:r>
    </w:p>
    <w:p w:rsidR="002B5888" w:rsidRDefault="00464516" w:rsidP="007673D9">
      <w:pPr>
        <w:pStyle w:val="ListNo1"/>
        <w:numPr>
          <w:ilvl w:val="0"/>
          <w:numId w:val="26"/>
        </w:numPr>
      </w:pPr>
      <w:r>
        <w:t>a</w:t>
      </w:r>
      <w:r w:rsidR="002B5888">
        <w:t xml:space="preserve">ll decisions </w:t>
      </w:r>
      <w:r w:rsidR="00D333A8">
        <w:t>of</w:t>
      </w:r>
      <w:r w:rsidR="002B5888">
        <w:t xml:space="preserve"> </w:t>
      </w:r>
      <w:r w:rsidR="003714D8">
        <w:t>F</w:t>
      </w:r>
      <w:r w:rsidR="002B5888">
        <w:t xml:space="preserve">ederal </w:t>
      </w:r>
      <w:r w:rsidR="001423B4">
        <w:t>C</w:t>
      </w:r>
      <w:r w:rsidR="002B5888">
        <w:t>ourt</w:t>
      </w:r>
      <w:r w:rsidR="003714D8">
        <w:t xml:space="preserve"> judges</w:t>
      </w:r>
      <w:r w:rsidR="002B5888">
        <w:t xml:space="preserve"> in relation to bankruptcy are</w:t>
      </w:r>
      <w:r w:rsidR="003714D8">
        <w:t xml:space="preserve"> </w:t>
      </w:r>
      <w:r w:rsidR="00565E36">
        <w:t>in turn</w:t>
      </w:r>
      <w:r w:rsidR="002B5888">
        <w:t xml:space="preserve"> “wrong and nullity </w:t>
      </w:r>
      <w:r w:rsidR="0042418A">
        <w:t xml:space="preserve">[sic] </w:t>
      </w:r>
      <w:r w:rsidR="002B5888">
        <w:t>and must be annulled”</w:t>
      </w:r>
      <w:r w:rsidR="003714D8">
        <w:t xml:space="preserve">, being made in excess of </w:t>
      </w:r>
      <w:r w:rsidR="0062282B">
        <w:t>jurisdiction contrary to s </w:t>
      </w:r>
      <w:r w:rsidR="001D60BE">
        <w:t>77</w:t>
      </w:r>
      <w:r w:rsidR="003714D8">
        <w:t xml:space="preserve">(iii) of the </w:t>
      </w:r>
      <w:r w:rsidR="003714D8" w:rsidRPr="000A18C7">
        <w:t>Constitution</w:t>
      </w:r>
      <w:r w:rsidR="003714D8">
        <w:t xml:space="preserve"> and the “States Court Act”</w:t>
      </w:r>
      <w:r w:rsidR="0062282B">
        <w:t xml:space="preserve"> (presumably meaning the </w:t>
      </w:r>
      <w:r w:rsidR="0062282B">
        <w:rPr>
          <w:i/>
        </w:rPr>
        <w:t xml:space="preserve">Supreme Court Act 1970 </w:t>
      </w:r>
      <w:r w:rsidR="0062282B">
        <w:t>(NSW))</w:t>
      </w:r>
      <w:r w:rsidR="002B5888">
        <w:t xml:space="preserve">; </w:t>
      </w:r>
    </w:p>
    <w:p w:rsidR="00F12A34" w:rsidRDefault="00464516" w:rsidP="007673D9">
      <w:pPr>
        <w:pStyle w:val="ListNo1"/>
        <w:numPr>
          <w:ilvl w:val="0"/>
          <w:numId w:val="26"/>
        </w:numPr>
      </w:pPr>
      <w:r>
        <w:lastRenderedPageBreak/>
        <w:t>i</w:t>
      </w:r>
      <w:r w:rsidR="002B5888">
        <w:t xml:space="preserve">n turn, the sequestration order made against his estate in </w:t>
      </w:r>
      <w:r w:rsidR="002B5888" w:rsidRPr="002B5888">
        <w:rPr>
          <w:i/>
        </w:rPr>
        <w:t xml:space="preserve">Dubs v Rahman </w:t>
      </w:r>
      <w:r w:rsidR="002B5888">
        <w:t xml:space="preserve">[2012] FMCA 664, upheld on appeal in </w:t>
      </w:r>
      <w:r w:rsidR="002B5888" w:rsidRPr="00442AB8">
        <w:rPr>
          <w:i/>
        </w:rPr>
        <w:t>Rahman v Dubs (No 2)</w:t>
      </w:r>
      <w:r w:rsidR="002B5888" w:rsidRPr="002B5888">
        <w:t xml:space="preserve"> [2012] FCA 1081</w:t>
      </w:r>
      <w:r w:rsidR="002B5888">
        <w:t xml:space="preserve"> (special leave </w:t>
      </w:r>
      <w:r w:rsidR="006F2DE4">
        <w:t xml:space="preserve">application </w:t>
      </w:r>
      <w:r w:rsidR="00D333A8">
        <w:t>dismissed</w:t>
      </w:r>
      <w:r w:rsidR="002B5888">
        <w:t xml:space="preserve"> in </w:t>
      </w:r>
      <w:r w:rsidR="002B5888">
        <w:rPr>
          <w:i/>
        </w:rPr>
        <w:t xml:space="preserve">Rahman v Dubs </w:t>
      </w:r>
      <w:r w:rsidR="002B5888">
        <w:t xml:space="preserve">[2013] HCASL 23), </w:t>
      </w:r>
      <w:r w:rsidR="00753F81">
        <w:t>is</w:t>
      </w:r>
      <w:r w:rsidR="00D333A8">
        <w:t xml:space="preserve"> </w:t>
      </w:r>
      <w:r w:rsidR="00F12A34">
        <w:t>invalid;</w:t>
      </w:r>
      <w:r>
        <w:t xml:space="preserve"> and</w:t>
      </w:r>
    </w:p>
    <w:p w:rsidR="007D5D35" w:rsidRPr="000817D7" w:rsidRDefault="00464516" w:rsidP="007673D9">
      <w:pPr>
        <w:pStyle w:val="ListNo1"/>
        <w:numPr>
          <w:ilvl w:val="0"/>
          <w:numId w:val="26"/>
        </w:numPr>
      </w:pPr>
      <w:r>
        <w:t>t</w:t>
      </w:r>
      <w:r w:rsidR="00F444B0">
        <w:t xml:space="preserve">he FCCA judge in </w:t>
      </w:r>
      <w:r w:rsidR="00F444B0">
        <w:rPr>
          <w:i/>
        </w:rPr>
        <w:t xml:space="preserve">Lombe (Trustee) in the matter of Rahman (Bankrupt) </w:t>
      </w:r>
      <w:r w:rsidR="00F444B0">
        <w:t>[2017] FCCA 750</w:t>
      </w:r>
      <w:r w:rsidR="00753F81">
        <w:t xml:space="preserve"> </w:t>
      </w:r>
      <w:r w:rsidR="00F12A34">
        <w:t xml:space="preserve">therefore </w:t>
      </w:r>
      <w:r w:rsidR="00753F81">
        <w:t xml:space="preserve">erred in </w:t>
      </w:r>
      <w:r w:rsidR="00F12A34">
        <w:t>making the orders subject of the present appeal both as her Honour lacked jurisdiction and as Mr Rahm</w:t>
      </w:r>
      <w:r w:rsidR="001423B4">
        <w:t>a</w:t>
      </w:r>
      <w:r w:rsidR="00F12A34">
        <w:t>n is not a bankrupt.</w:t>
      </w:r>
    </w:p>
    <w:p w:rsidR="000817D7" w:rsidRDefault="000817D7" w:rsidP="007673D9">
      <w:pPr>
        <w:pStyle w:val="ParaNumbering"/>
      </w:pPr>
      <w:r>
        <w:t>Orally, Mr Rahman made rambling submissions which were largely incoherent</w:t>
      </w:r>
      <w:proofErr w:type="gramStart"/>
      <w:r w:rsidR="00EF6A3F">
        <w:t>.</w:t>
      </w:r>
      <w:r>
        <w:t xml:space="preserve"> </w:t>
      </w:r>
      <w:proofErr w:type="gramEnd"/>
      <w:r>
        <w:t>As far as I could understand them, Mr Rahman’s</w:t>
      </w:r>
      <w:r w:rsidR="0062282B">
        <w:t xml:space="preserve"> oral</w:t>
      </w:r>
      <w:r>
        <w:t xml:space="preserve"> submissions included the following main contentions</w:t>
      </w:r>
      <w:r w:rsidR="00541E5E">
        <w:t>, none of which</w:t>
      </w:r>
      <w:r w:rsidR="00541E5E" w:rsidRPr="00541E5E">
        <w:t xml:space="preserve"> </w:t>
      </w:r>
      <w:r w:rsidR="00541E5E">
        <w:t>identify any particular error in the FCCA judge’s judgment</w:t>
      </w:r>
      <w:r>
        <w:t>:</w:t>
      </w:r>
    </w:p>
    <w:p w:rsidR="000817D7" w:rsidRDefault="00464516" w:rsidP="007673D9">
      <w:pPr>
        <w:pStyle w:val="ListNo1"/>
        <w:numPr>
          <w:ilvl w:val="0"/>
          <w:numId w:val="25"/>
        </w:numPr>
      </w:pPr>
      <w:r>
        <w:t xml:space="preserve">he </w:t>
      </w:r>
      <w:r w:rsidR="000817D7">
        <w:t>is not bankrupt;</w:t>
      </w:r>
    </w:p>
    <w:p w:rsidR="000817D7" w:rsidRDefault="00464516" w:rsidP="007673D9">
      <w:pPr>
        <w:pStyle w:val="ListNo1"/>
        <w:numPr>
          <w:ilvl w:val="0"/>
          <w:numId w:val="25"/>
        </w:numPr>
      </w:pPr>
      <w:r>
        <w:t xml:space="preserve">the </w:t>
      </w:r>
      <w:r w:rsidR="000817D7">
        <w:t xml:space="preserve">judges of the Federal </w:t>
      </w:r>
      <w:r w:rsidR="00385B25">
        <w:t>c</w:t>
      </w:r>
      <w:r w:rsidR="000817D7">
        <w:t>ourts wh</w:t>
      </w:r>
      <w:r w:rsidR="001423B4">
        <w:t>o</w:t>
      </w:r>
      <w:r w:rsidR="000817D7">
        <w:t xml:space="preserve"> have purported to exercise bankruptcy jurisdiction against him have acted in excess of jurisdiction by exercising State jurisdiction contrary to s 77(iii) of the </w:t>
      </w:r>
      <w:r w:rsidR="000817D7" w:rsidRPr="000A18C7">
        <w:t>Constitution</w:t>
      </w:r>
      <w:r w:rsidR="000817D7">
        <w:t>;</w:t>
      </w:r>
      <w:r w:rsidR="000A18C7">
        <w:t xml:space="preserve"> and</w:t>
      </w:r>
    </w:p>
    <w:p w:rsidR="000817D7" w:rsidRDefault="000817D7" w:rsidP="007673D9">
      <w:pPr>
        <w:pStyle w:val="ListNo1"/>
        <w:numPr>
          <w:ilvl w:val="0"/>
          <w:numId w:val="25"/>
        </w:numPr>
      </w:pPr>
      <w:r>
        <w:t>Mr Lombe is not validly appointed as Mr Rahman’s trustee in bankruptcy</w:t>
      </w:r>
      <w:r w:rsidR="001E74C4">
        <w:t>.</w:t>
      </w:r>
    </w:p>
    <w:p w:rsidR="000E62BC" w:rsidRDefault="00B14353" w:rsidP="007673D9">
      <w:pPr>
        <w:pStyle w:val="ParaNumbering"/>
      </w:pPr>
      <w:r>
        <w:t>Mr Rahman’s submissions were heartfelt</w:t>
      </w:r>
      <w:r w:rsidR="001E74C4">
        <w:t xml:space="preserve"> and included serious allegations of misconduct against Mr Lombe, Mr Golledge and various judges</w:t>
      </w:r>
      <w:proofErr w:type="gramStart"/>
      <w:r w:rsidR="001E74C4">
        <w:t xml:space="preserve">. </w:t>
      </w:r>
      <w:proofErr w:type="gramEnd"/>
      <w:r w:rsidR="001E74C4">
        <w:t>Mr Rahman</w:t>
      </w:r>
      <w:r>
        <w:t xml:space="preserve"> plainly considers that he has been mistreated by the course of events that has followed upon the making of a sequestration order against his estate.</w:t>
      </w:r>
    </w:p>
    <w:p w:rsidR="00B14353" w:rsidRDefault="000E62BC" w:rsidP="007673D9">
      <w:pPr>
        <w:pStyle w:val="ParaNumbering"/>
      </w:pPr>
      <w:r>
        <w:t xml:space="preserve">However, I am satisfied that there is no merit in Mr Rahman’s case. </w:t>
      </w:r>
    </w:p>
    <w:p w:rsidR="000E62BC" w:rsidRDefault="001E74C4" w:rsidP="007673D9">
      <w:pPr>
        <w:pStyle w:val="ParaNumbering"/>
      </w:pPr>
      <w:r>
        <w:t>Mr Rahman</w:t>
      </w:r>
      <w:r w:rsidR="000E62BC">
        <w:t xml:space="preserve"> is plainly bankrupt and the documents before me demonstrate that Mr Lombe is Mr Rahman’s trustee in bankruptcy.</w:t>
      </w:r>
    </w:p>
    <w:p w:rsidR="001E74C4" w:rsidRDefault="001D60BE" w:rsidP="007673D9">
      <w:pPr>
        <w:pStyle w:val="ParaNumbering"/>
      </w:pPr>
      <w:r>
        <w:t xml:space="preserve">There is no reason to doubt </w:t>
      </w:r>
      <w:r w:rsidR="004F2B23">
        <w:t>the FCCA</w:t>
      </w:r>
      <w:r>
        <w:t>’s</w:t>
      </w:r>
      <w:r w:rsidR="004F2B23">
        <w:t xml:space="preserve"> jurisdiction </w:t>
      </w:r>
      <w:r w:rsidR="000E62BC">
        <w:t>to m</w:t>
      </w:r>
      <w:r w:rsidR="00385B25">
        <w:t>ake the orders against which Mr </w:t>
      </w:r>
      <w:r w:rsidR="000E62BC">
        <w:t>Rahman wishes to appeal</w:t>
      </w:r>
      <w:proofErr w:type="gramStart"/>
      <w:r w:rsidR="000E62BC">
        <w:t xml:space="preserve">. </w:t>
      </w:r>
      <w:proofErr w:type="gramEnd"/>
      <w:r>
        <w:t>None of t</w:t>
      </w:r>
      <w:r w:rsidR="001E74C4">
        <w:t>he matters raised by Mr Rahman raise any doubt about the correctness of those orders.</w:t>
      </w:r>
    </w:p>
    <w:p w:rsidR="00631C46" w:rsidRDefault="001D60BE" w:rsidP="007673D9">
      <w:pPr>
        <w:pStyle w:val="ParaNumbering"/>
      </w:pPr>
      <w:r>
        <w:t>In particular, s</w:t>
      </w:r>
      <w:r w:rsidR="00631C46">
        <w:t xml:space="preserve"> 77(iii) </w:t>
      </w:r>
      <w:r w:rsidR="001E74C4">
        <w:t xml:space="preserve">of the </w:t>
      </w:r>
      <w:r w:rsidR="001E74C4" w:rsidRPr="000A18C7">
        <w:t>Constitution</w:t>
      </w:r>
      <w:r w:rsidR="001E74C4" w:rsidRPr="007B4907">
        <w:t xml:space="preserve"> </w:t>
      </w:r>
      <w:r w:rsidR="00631C46">
        <w:t xml:space="preserve">has nothing </w:t>
      </w:r>
      <w:r w:rsidR="00060769">
        <w:t>to do with the jurisdiction of</w:t>
      </w:r>
      <w:r w:rsidR="00631C46">
        <w:t xml:space="preserve"> Federal </w:t>
      </w:r>
      <w:r w:rsidR="00380912">
        <w:t>c</w:t>
      </w:r>
      <w:r w:rsidR="00631C46">
        <w:t>ourt</w:t>
      </w:r>
      <w:r w:rsidR="00060769">
        <w:t>s</w:t>
      </w:r>
      <w:proofErr w:type="gramStart"/>
      <w:r w:rsidR="00060769">
        <w:t xml:space="preserve">. </w:t>
      </w:r>
      <w:proofErr w:type="gramEnd"/>
      <w:r w:rsidR="00060769">
        <w:t xml:space="preserve">Rather, </w:t>
      </w:r>
      <w:r w:rsidR="00631C46">
        <w:t>it confers power upon the Commonwealth Parliament to make laws investing State courts with federal jurisdiction</w:t>
      </w:r>
      <w:proofErr w:type="gramStart"/>
      <w:r w:rsidR="00631C46">
        <w:t xml:space="preserve">. </w:t>
      </w:r>
      <w:proofErr w:type="gramEnd"/>
      <w:r w:rsidR="00380912">
        <w:t xml:space="preserve">The </w:t>
      </w:r>
      <w:r w:rsidR="00380912" w:rsidRPr="007B4907">
        <w:rPr>
          <w:i/>
        </w:rPr>
        <w:t xml:space="preserve">Supreme Court Act 1970 </w:t>
      </w:r>
      <w:r w:rsidR="00380912" w:rsidRPr="007B4907">
        <w:t>(NSW)</w:t>
      </w:r>
      <w:r w:rsidR="00380912">
        <w:t xml:space="preserve"> likewise </w:t>
      </w:r>
      <w:r>
        <w:t>does not affect the FCCA’s jurisdiction in this case.</w:t>
      </w:r>
    </w:p>
    <w:p w:rsidR="000E62BC" w:rsidRDefault="000E62BC" w:rsidP="007673D9">
      <w:pPr>
        <w:pStyle w:val="ParaNumbering"/>
      </w:pPr>
      <w:r>
        <w:t>In those circumstances, Mr Rahman is not entitled to leave to appeal</w:t>
      </w:r>
      <w:proofErr w:type="gramStart"/>
      <w:r>
        <w:t xml:space="preserve">. </w:t>
      </w:r>
      <w:proofErr w:type="gramEnd"/>
      <w:r>
        <w:t xml:space="preserve">Accordingly, the appeal </w:t>
      </w:r>
      <w:r w:rsidR="00A314D4">
        <w:t>is</w:t>
      </w:r>
      <w:r>
        <w:t xml:space="preserve"> dismissed.</w:t>
      </w:r>
      <w:r w:rsidR="00E830AD">
        <w:t xml:space="preserve"> </w:t>
      </w:r>
    </w:p>
    <w:p w:rsidR="00A61C7A" w:rsidRDefault="00A61C7A" w:rsidP="007673D9">
      <w:pPr>
        <w:pStyle w:val="BodyText"/>
      </w:pPr>
    </w:p>
    <w:p w:rsidR="00A61C7A" w:rsidRDefault="00A61C7A" w:rsidP="007673D9">
      <w:pPr>
        <w:pStyle w:val="BodyText"/>
      </w:pPr>
      <w:bookmarkStart w:id="22" w:name="Certification"/>
    </w:p>
    <w:tbl>
      <w:tblPr>
        <w:tblW w:w="0" w:type="auto"/>
        <w:tblLook w:val="04A0" w:firstRow="1" w:lastRow="0" w:firstColumn="1" w:lastColumn="0" w:noHBand="0" w:noVBand="1"/>
      </w:tblPr>
      <w:tblGrid>
        <w:gridCol w:w="3794"/>
      </w:tblGrid>
      <w:tr w:rsidR="00A61C7A" w:rsidRPr="00A61C7A">
        <w:tc>
          <w:tcPr>
            <w:tcW w:w="3794" w:type="dxa"/>
            <w:shd w:val="clear" w:color="auto" w:fill="auto"/>
          </w:tcPr>
          <w:p w:rsidR="00A61C7A" w:rsidRPr="00A61C7A" w:rsidRDefault="00A61C7A" w:rsidP="007673D9">
            <w:pPr>
              <w:pStyle w:val="Normal1linespace"/>
            </w:pPr>
            <w:r w:rsidRPr="00A61C7A">
              <w:t xml:space="preserve">I certify that the preceding </w:t>
            </w:r>
            <w:bookmarkStart w:id="23" w:name="NumberWord"/>
            <w:r>
              <w:t>twenty-five</w:t>
            </w:r>
            <w:bookmarkEnd w:id="23"/>
            <w:r w:rsidRPr="00A61C7A">
              <w:t xml:space="preserve"> (</w:t>
            </w:r>
            <w:bookmarkStart w:id="24" w:name="NumberNumeral"/>
            <w:r>
              <w:t>25</w:t>
            </w:r>
            <w:bookmarkEnd w:id="24"/>
            <w:r w:rsidRPr="00A61C7A">
              <w:t xml:space="preserve">) numbered </w:t>
            </w:r>
            <w:bookmarkStart w:id="25" w:name="CertPara"/>
            <w:r>
              <w:t>paragraphs are</w:t>
            </w:r>
            <w:bookmarkEnd w:id="25"/>
            <w:r w:rsidRPr="00A61C7A">
              <w:t xml:space="preserve"> a true copy of the Reasons for Judgment herein of the Honourable </w:t>
            </w:r>
            <w:bookmarkStart w:id="26" w:name="Justice"/>
            <w:r>
              <w:t>Justice Gleeson</w:t>
            </w:r>
            <w:bookmarkEnd w:id="26"/>
            <w:r w:rsidRPr="00A61C7A">
              <w:t>.</w:t>
            </w:r>
          </w:p>
        </w:tc>
      </w:tr>
    </w:tbl>
    <w:p w:rsidR="00A61C7A" w:rsidRDefault="00A61C7A" w:rsidP="007673D9">
      <w:pPr>
        <w:pStyle w:val="BodyText"/>
      </w:pPr>
    </w:p>
    <w:p w:rsidR="00A61C7A" w:rsidRDefault="00A61C7A" w:rsidP="007673D9">
      <w:pPr>
        <w:pStyle w:val="BodyText"/>
      </w:pPr>
      <w:bookmarkStart w:id="27" w:name="_GoBack"/>
      <w:bookmarkEnd w:id="27"/>
    </w:p>
    <w:p w:rsidR="00A61C7A" w:rsidRDefault="00A61C7A" w:rsidP="007673D9">
      <w:pPr>
        <w:pStyle w:val="BodyText"/>
      </w:pPr>
      <w:r>
        <w:t>Associate:</w:t>
      </w:r>
      <w:r w:rsidR="00982FC3">
        <w:t xml:space="preserve"> </w:t>
      </w:r>
    </w:p>
    <w:p w:rsidR="00A61C7A" w:rsidRDefault="00A61C7A" w:rsidP="007673D9">
      <w:pPr>
        <w:pStyle w:val="BodyText"/>
      </w:pPr>
    </w:p>
    <w:p w:rsidR="00A61C7A" w:rsidRDefault="00A61C7A" w:rsidP="007673D9">
      <w:pPr>
        <w:pStyle w:val="BodyText"/>
        <w:tabs>
          <w:tab w:val="left" w:pos="1134"/>
        </w:tabs>
      </w:pPr>
      <w:r>
        <w:t>Dated:</w:t>
      </w:r>
      <w:r>
        <w:tab/>
      </w:r>
      <w:bookmarkStart w:id="28" w:name="CertifyDated"/>
      <w:r>
        <w:t>5 April 201</w:t>
      </w:r>
      <w:r w:rsidR="006D49EE">
        <w:t>8</w:t>
      </w:r>
      <w:bookmarkEnd w:id="28"/>
    </w:p>
    <w:p w:rsidR="00A61C7A" w:rsidRDefault="00A61C7A" w:rsidP="007673D9">
      <w:pPr>
        <w:pStyle w:val="BodyText"/>
      </w:pPr>
    </w:p>
    <w:bookmarkEnd w:id="22"/>
    <w:p w:rsidR="00A61C7A" w:rsidRDefault="00A61C7A" w:rsidP="007673D9">
      <w:pPr>
        <w:pStyle w:val="BodyText"/>
      </w:pPr>
    </w:p>
    <w:sectPr w:rsidR="00A61C7A">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4D" w:rsidRDefault="00E7624D">
      <w:pPr>
        <w:spacing w:line="20" w:lineRule="exact"/>
      </w:pPr>
    </w:p>
    <w:p w:rsidR="00E7624D" w:rsidRDefault="00E7624D"/>
    <w:p w:rsidR="00E7624D" w:rsidRDefault="00E7624D"/>
  </w:endnote>
  <w:endnote w:type="continuationSeparator" w:id="0">
    <w:p w:rsidR="00E7624D" w:rsidRDefault="00E7624D">
      <w:r>
        <w:t xml:space="preserve"> </w:t>
      </w:r>
    </w:p>
    <w:p w:rsidR="00E7624D" w:rsidRDefault="00E7624D"/>
    <w:p w:rsidR="00E7624D" w:rsidRDefault="00E7624D"/>
  </w:endnote>
  <w:endnote w:type="continuationNotice" w:id="1">
    <w:p w:rsidR="00E7624D" w:rsidRDefault="00E7624D">
      <w:r>
        <w:t xml:space="preserve"> </w:t>
      </w:r>
    </w:p>
    <w:p w:rsidR="00E7624D" w:rsidRDefault="00E7624D"/>
    <w:p w:rsidR="00E7624D" w:rsidRDefault="00E76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673D9" w:rsidRDefault="00395B24" w:rsidP="0076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673D9" w:rsidRDefault="002F1E49" w:rsidP="00767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4D" w:rsidRDefault="00E7624D"/>
    <w:p w:rsidR="00E7624D" w:rsidRDefault="00E7624D"/>
    <w:p w:rsidR="00E7624D" w:rsidRDefault="00E7624D"/>
  </w:footnote>
  <w:footnote w:type="continuationSeparator" w:id="0">
    <w:p w:rsidR="00E7624D" w:rsidRDefault="00E7624D">
      <w:r>
        <w:continuationSeparator/>
      </w:r>
    </w:p>
    <w:p w:rsidR="00E7624D" w:rsidRDefault="00E7624D"/>
    <w:p w:rsidR="00E7624D" w:rsidRDefault="00E762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6D49EE">
      <w:rPr>
        <w:noProof/>
      </w:rPr>
      <w:t>vi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53126">
      <w:rPr>
        <w:noProof/>
      </w:rPr>
      <w:t>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ohammad Tabibar Rahma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691 of 2017"/>
    <w:docVar w:name="HearingDate" w:val="15 March 2018"/>
    <w:docVar w:name="Initiators" w:val="(and another named in the Schedule)"/>
    <w:docVar w:name="Judgdate" w:val="5 April 2017"/>
    <w:docVar w:name="Judge" w:val="Gleeson"/>
    <w:docVar w:name="Justices" w:val="Justice"/>
    <w:docVar w:name="lstEntryList" w:val="-1"/>
    <w:docVar w:name="myEntryList" w:val="Counsel for the Appellant=The appellant appeared in person|Counsel for the Respondent=Mr S Golledge|Solicitor for the Respondent=HWL Ebsworth Lawyer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David John Frank Lombe"/>
    <w:docVar w:name="ResState" w:val="New South Wales"/>
    <w:docVar w:name="SubArea" w:val="General and Personal Insolvency (C &amp; C)"/>
  </w:docVars>
  <w:rsids>
    <w:rsidRoot w:val="00E7624D"/>
    <w:rsid w:val="0001469E"/>
    <w:rsid w:val="00015993"/>
    <w:rsid w:val="00022289"/>
    <w:rsid w:val="00032F9F"/>
    <w:rsid w:val="00041C07"/>
    <w:rsid w:val="00045BB7"/>
    <w:rsid w:val="00055719"/>
    <w:rsid w:val="0005641B"/>
    <w:rsid w:val="00060769"/>
    <w:rsid w:val="00073013"/>
    <w:rsid w:val="00073496"/>
    <w:rsid w:val="00074682"/>
    <w:rsid w:val="00081497"/>
    <w:rsid w:val="000817D7"/>
    <w:rsid w:val="000A18C7"/>
    <w:rsid w:val="000A2E76"/>
    <w:rsid w:val="000A4807"/>
    <w:rsid w:val="000A4BE4"/>
    <w:rsid w:val="000C023E"/>
    <w:rsid w:val="000C5195"/>
    <w:rsid w:val="000C62EF"/>
    <w:rsid w:val="000D2137"/>
    <w:rsid w:val="000D3FD2"/>
    <w:rsid w:val="000D713A"/>
    <w:rsid w:val="000E62BC"/>
    <w:rsid w:val="000E7BAE"/>
    <w:rsid w:val="000F133D"/>
    <w:rsid w:val="0010536B"/>
    <w:rsid w:val="0011145C"/>
    <w:rsid w:val="001128BD"/>
    <w:rsid w:val="0011419D"/>
    <w:rsid w:val="001308B4"/>
    <w:rsid w:val="00132054"/>
    <w:rsid w:val="001423B4"/>
    <w:rsid w:val="001464D6"/>
    <w:rsid w:val="00162B65"/>
    <w:rsid w:val="001727A4"/>
    <w:rsid w:val="0017376C"/>
    <w:rsid w:val="001738AB"/>
    <w:rsid w:val="001765E0"/>
    <w:rsid w:val="00177759"/>
    <w:rsid w:val="00185E6B"/>
    <w:rsid w:val="00187BBC"/>
    <w:rsid w:val="001932F3"/>
    <w:rsid w:val="001A40BC"/>
    <w:rsid w:val="001A4309"/>
    <w:rsid w:val="001B1053"/>
    <w:rsid w:val="001B14AC"/>
    <w:rsid w:val="001B7940"/>
    <w:rsid w:val="001C37CA"/>
    <w:rsid w:val="001D4303"/>
    <w:rsid w:val="001D60BE"/>
    <w:rsid w:val="001D6746"/>
    <w:rsid w:val="001E3B49"/>
    <w:rsid w:val="001E7388"/>
    <w:rsid w:val="001E74C4"/>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77148"/>
    <w:rsid w:val="00280836"/>
    <w:rsid w:val="00282E1A"/>
    <w:rsid w:val="0029113B"/>
    <w:rsid w:val="002934C0"/>
    <w:rsid w:val="002A1B50"/>
    <w:rsid w:val="002B0E91"/>
    <w:rsid w:val="002B5888"/>
    <w:rsid w:val="002B6779"/>
    <w:rsid w:val="002B71C0"/>
    <w:rsid w:val="002B7A34"/>
    <w:rsid w:val="002C31AD"/>
    <w:rsid w:val="002C7385"/>
    <w:rsid w:val="002D2DBB"/>
    <w:rsid w:val="002D54A6"/>
    <w:rsid w:val="002D6259"/>
    <w:rsid w:val="002E6A7A"/>
    <w:rsid w:val="002F1E49"/>
    <w:rsid w:val="002F4E9C"/>
    <w:rsid w:val="0031256C"/>
    <w:rsid w:val="00314D6C"/>
    <w:rsid w:val="00316D2A"/>
    <w:rsid w:val="00322A7C"/>
    <w:rsid w:val="003402D3"/>
    <w:rsid w:val="00343ABC"/>
    <w:rsid w:val="003463FE"/>
    <w:rsid w:val="003554B3"/>
    <w:rsid w:val="00356632"/>
    <w:rsid w:val="003714D8"/>
    <w:rsid w:val="00380912"/>
    <w:rsid w:val="003845A9"/>
    <w:rsid w:val="00385B25"/>
    <w:rsid w:val="00390883"/>
    <w:rsid w:val="003922F8"/>
    <w:rsid w:val="00395B24"/>
    <w:rsid w:val="003A19F9"/>
    <w:rsid w:val="003A2D38"/>
    <w:rsid w:val="003A67EE"/>
    <w:rsid w:val="003A78B3"/>
    <w:rsid w:val="003A7ECC"/>
    <w:rsid w:val="003B2C72"/>
    <w:rsid w:val="003C1333"/>
    <w:rsid w:val="003C20FF"/>
    <w:rsid w:val="003D2650"/>
    <w:rsid w:val="003D560C"/>
    <w:rsid w:val="003E5874"/>
    <w:rsid w:val="003F193E"/>
    <w:rsid w:val="003F34F1"/>
    <w:rsid w:val="00407A3C"/>
    <w:rsid w:val="00411AE8"/>
    <w:rsid w:val="00413B74"/>
    <w:rsid w:val="00417682"/>
    <w:rsid w:val="0042418A"/>
    <w:rsid w:val="00435C5F"/>
    <w:rsid w:val="00441E98"/>
    <w:rsid w:val="00442AB8"/>
    <w:rsid w:val="004532F7"/>
    <w:rsid w:val="004637F3"/>
    <w:rsid w:val="00464516"/>
    <w:rsid w:val="00470A8B"/>
    <w:rsid w:val="00472027"/>
    <w:rsid w:val="004804CF"/>
    <w:rsid w:val="00484962"/>
    <w:rsid w:val="00484F6D"/>
    <w:rsid w:val="00487B83"/>
    <w:rsid w:val="0049338A"/>
    <w:rsid w:val="0049417F"/>
    <w:rsid w:val="004B3EFA"/>
    <w:rsid w:val="004C0EFE"/>
    <w:rsid w:val="004C2A87"/>
    <w:rsid w:val="004C4ED3"/>
    <w:rsid w:val="004D07A9"/>
    <w:rsid w:val="004D2EA5"/>
    <w:rsid w:val="004D32A6"/>
    <w:rsid w:val="004D53E5"/>
    <w:rsid w:val="004E58B1"/>
    <w:rsid w:val="004F2B23"/>
    <w:rsid w:val="00501A12"/>
    <w:rsid w:val="00504BDA"/>
    <w:rsid w:val="0051346D"/>
    <w:rsid w:val="00513EAE"/>
    <w:rsid w:val="00516806"/>
    <w:rsid w:val="00525A49"/>
    <w:rsid w:val="00535613"/>
    <w:rsid w:val="005359EB"/>
    <w:rsid w:val="00541E5E"/>
    <w:rsid w:val="0054254A"/>
    <w:rsid w:val="005466B5"/>
    <w:rsid w:val="005629B3"/>
    <w:rsid w:val="00565E36"/>
    <w:rsid w:val="00573AC4"/>
    <w:rsid w:val="005801FC"/>
    <w:rsid w:val="00592C5B"/>
    <w:rsid w:val="00595016"/>
    <w:rsid w:val="00597AAE"/>
    <w:rsid w:val="005A222C"/>
    <w:rsid w:val="005A4CAB"/>
    <w:rsid w:val="005A4DF8"/>
    <w:rsid w:val="005B1426"/>
    <w:rsid w:val="005C0A8E"/>
    <w:rsid w:val="005C1767"/>
    <w:rsid w:val="005C42EF"/>
    <w:rsid w:val="005E02F5"/>
    <w:rsid w:val="005E0510"/>
    <w:rsid w:val="005E176E"/>
    <w:rsid w:val="005E218E"/>
    <w:rsid w:val="005E35A0"/>
    <w:rsid w:val="005F0D1B"/>
    <w:rsid w:val="005F1865"/>
    <w:rsid w:val="005F417B"/>
    <w:rsid w:val="006007BD"/>
    <w:rsid w:val="006013C8"/>
    <w:rsid w:val="0060270D"/>
    <w:rsid w:val="00604611"/>
    <w:rsid w:val="00611586"/>
    <w:rsid w:val="00621887"/>
    <w:rsid w:val="0062282B"/>
    <w:rsid w:val="00624520"/>
    <w:rsid w:val="00631C46"/>
    <w:rsid w:val="00632BB7"/>
    <w:rsid w:val="00635B36"/>
    <w:rsid w:val="00636871"/>
    <w:rsid w:val="00640F4E"/>
    <w:rsid w:val="00643DE0"/>
    <w:rsid w:val="00644E85"/>
    <w:rsid w:val="0066063F"/>
    <w:rsid w:val="00662BB0"/>
    <w:rsid w:val="00663878"/>
    <w:rsid w:val="00667773"/>
    <w:rsid w:val="00670743"/>
    <w:rsid w:val="006734D0"/>
    <w:rsid w:val="00690EE2"/>
    <w:rsid w:val="006A0E20"/>
    <w:rsid w:val="006A5695"/>
    <w:rsid w:val="006B337E"/>
    <w:rsid w:val="006B3904"/>
    <w:rsid w:val="006B430F"/>
    <w:rsid w:val="006B5B7D"/>
    <w:rsid w:val="006D0ECF"/>
    <w:rsid w:val="006D49EE"/>
    <w:rsid w:val="006D4C92"/>
    <w:rsid w:val="006D4EB6"/>
    <w:rsid w:val="006E35BF"/>
    <w:rsid w:val="006E7850"/>
    <w:rsid w:val="006F2DE4"/>
    <w:rsid w:val="007028D9"/>
    <w:rsid w:val="007061B9"/>
    <w:rsid w:val="00707218"/>
    <w:rsid w:val="00712B1D"/>
    <w:rsid w:val="00713182"/>
    <w:rsid w:val="007325D9"/>
    <w:rsid w:val="007360CA"/>
    <w:rsid w:val="00752D45"/>
    <w:rsid w:val="00753F81"/>
    <w:rsid w:val="007673D9"/>
    <w:rsid w:val="0078003A"/>
    <w:rsid w:val="00780771"/>
    <w:rsid w:val="007877F2"/>
    <w:rsid w:val="007929CF"/>
    <w:rsid w:val="007A6F28"/>
    <w:rsid w:val="007B03C6"/>
    <w:rsid w:val="007B0DB1"/>
    <w:rsid w:val="007B4907"/>
    <w:rsid w:val="007D2EF8"/>
    <w:rsid w:val="007D561F"/>
    <w:rsid w:val="007D5D35"/>
    <w:rsid w:val="007D7FD2"/>
    <w:rsid w:val="007E13D9"/>
    <w:rsid w:val="007E4DB6"/>
    <w:rsid w:val="007E7CD4"/>
    <w:rsid w:val="00801800"/>
    <w:rsid w:val="00801B5B"/>
    <w:rsid w:val="008276B4"/>
    <w:rsid w:val="00831927"/>
    <w:rsid w:val="00841BD3"/>
    <w:rsid w:val="0084273D"/>
    <w:rsid w:val="00844E3F"/>
    <w:rsid w:val="00845A83"/>
    <w:rsid w:val="00845EAC"/>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14C5"/>
    <w:rsid w:val="00942BA2"/>
    <w:rsid w:val="00944C86"/>
    <w:rsid w:val="00957DE8"/>
    <w:rsid w:val="009606A7"/>
    <w:rsid w:val="00960AC8"/>
    <w:rsid w:val="00960ECB"/>
    <w:rsid w:val="009615D6"/>
    <w:rsid w:val="00967855"/>
    <w:rsid w:val="00980736"/>
    <w:rsid w:val="00981A39"/>
    <w:rsid w:val="00982FC3"/>
    <w:rsid w:val="00987097"/>
    <w:rsid w:val="009946FE"/>
    <w:rsid w:val="009A5E89"/>
    <w:rsid w:val="009B046C"/>
    <w:rsid w:val="009B13FA"/>
    <w:rsid w:val="009B1E2D"/>
    <w:rsid w:val="009C59FB"/>
    <w:rsid w:val="009C6F3B"/>
    <w:rsid w:val="009E4FA6"/>
    <w:rsid w:val="009E7D93"/>
    <w:rsid w:val="009F5C33"/>
    <w:rsid w:val="00A01121"/>
    <w:rsid w:val="00A03EAC"/>
    <w:rsid w:val="00A11CA6"/>
    <w:rsid w:val="00A20C49"/>
    <w:rsid w:val="00A269CA"/>
    <w:rsid w:val="00A314D4"/>
    <w:rsid w:val="00A359AC"/>
    <w:rsid w:val="00A41413"/>
    <w:rsid w:val="00A45FB1"/>
    <w:rsid w:val="00A46CCC"/>
    <w:rsid w:val="00A51CFE"/>
    <w:rsid w:val="00A53126"/>
    <w:rsid w:val="00A61C7A"/>
    <w:rsid w:val="00A76C13"/>
    <w:rsid w:val="00A92E79"/>
    <w:rsid w:val="00A950B6"/>
    <w:rsid w:val="00A961FF"/>
    <w:rsid w:val="00AB24BC"/>
    <w:rsid w:val="00AB41C1"/>
    <w:rsid w:val="00AD12A8"/>
    <w:rsid w:val="00AD20B9"/>
    <w:rsid w:val="00AF3577"/>
    <w:rsid w:val="00AF35F9"/>
    <w:rsid w:val="00B05C7D"/>
    <w:rsid w:val="00B14353"/>
    <w:rsid w:val="00B346C3"/>
    <w:rsid w:val="00B4471C"/>
    <w:rsid w:val="00B451A6"/>
    <w:rsid w:val="00B647E6"/>
    <w:rsid w:val="00B72002"/>
    <w:rsid w:val="00B722DE"/>
    <w:rsid w:val="00B765ED"/>
    <w:rsid w:val="00B76C44"/>
    <w:rsid w:val="00B824FB"/>
    <w:rsid w:val="00B83F87"/>
    <w:rsid w:val="00BA2EFA"/>
    <w:rsid w:val="00BA3DBC"/>
    <w:rsid w:val="00BA479E"/>
    <w:rsid w:val="00BA5487"/>
    <w:rsid w:val="00BB2DA2"/>
    <w:rsid w:val="00BB56DC"/>
    <w:rsid w:val="00BD034F"/>
    <w:rsid w:val="00BE183D"/>
    <w:rsid w:val="00BE1AD5"/>
    <w:rsid w:val="00BE3269"/>
    <w:rsid w:val="00BF5D7A"/>
    <w:rsid w:val="00C25660"/>
    <w:rsid w:val="00C36442"/>
    <w:rsid w:val="00C400CE"/>
    <w:rsid w:val="00C410FD"/>
    <w:rsid w:val="00C527AF"/>
    <w:rsid w:val="00C539FB"/>
    <w:rsid w:val="00C70211"/>
    <w:rsid w:val="00CA246D"/>
    <w:rsid w:val="00CB5636"/>
    <w:rsid w:val="00CC2A4B"/>
    <w:rsid w:val="00CC5360"/>
    <w:rsid w:val="00CF5F7A"/>
    <w:rsid w:val="00D10F21"/>
    <w:rsid w:val="00D333A8"/>
    <w:rsid w:val="00D34040"/>
    <w:rsid w:val="00D34E69"/>
    <w:rsid w:val="00D357E8"/>
    <w:rsid w:val="00D375EE"/>
    <w:rsid w:val="00D62699"/>
    <w:rsid w:val="00D82620"/>
    <w:rsid w:val="00D9725F"/>
    <w:rsid w:val="00DA01B1"/>
    <w:rsid w:val="00DA11A2"/>
    <w:rsid w:val="00DA14ED"/>
    <w:rsid w:val="00DB2EF1"/>
    <w:rsid w:val="00DB3DE1"/>
    <w:rsid w:val="00DB5DA0"/>
    <w:rsid w:val="00DB716C"/>
    <w:rsid w:val="00DC1549"/>
    <w:rsid w:val="00DC5C85"/>
    <w:rsid w:val="00DD3DFF"/>
    <w:rsid w:val="00DD4236"/>
    <w:rsid w:val="00DD44F1"/>
    <w:rsid w:val="00DE3067"/>
    <w:rsid w:val="00E027BC"/>
    <w:rsid w:val="00E123F1"/>
    <w:rsid w:val="00E14EA5"/>
    <w:rsid w:val="00E21133"/>
    <w:rsid w:val="00E2327E"/>
    <w:rsid w:val="00E266EF"/>
    <w:rsid w:val="00E473B3"/>
    <w:rsid w:val="00E47428"/>
    <w:rsid w:val="00E62EB5"/>
    <w:rsid w:val="00E66B9F"/>
    <w:rsid w:val="00E67976"/>
    <w:rsid w:val="00E710D6"/>
    <w:rsid w:val="00E7624D"/>
    <w:rsid w:val="00E76E45"/>
    <w:rsid w:val="00E777C9"/>
    <w:rsid w:val="00E81DA6"/>
    <w:rsid w:val="00E830AD"/>
    <w:rsid w:val="00E84212"/>
    <w:rsid w:val="00E9086C"/>
    <w:rsid w:val="00E91A0F"/>
    <w:rsid w:val="00E94A71"/>
    <w:rsid w:val="00EA03CE"/>
    <w:rsid w:val="00EA23E5"/>
    <w:rsid w:val="00EA4E2E"/>
    <w:rsid w:val="00EB2CCB"/>
    <w:rsid w:val="00EC57A7"/>
    <w:rsid w:val="00ED0817"/>
    <w:rsid w:val="00ED7DD9"/>
    <w:rsid w:val="00EF3113"/>
    <w:rsid w:val="00EF3F84"/>
    <w:rsid w:val="00EF6A3F"/>
    <w:rsid w:val="00F12A34"/>
    <w:rsid w:val="00F14FCE"/>
    <w:rsid w:val="00F176AC"/>
    <w:rsid w:val="00F21079"/>
    <w:rsid w:val="00F27714"/>
    <w:rsid w:val="00F3276E"/>
    <w:rsid w:val="00F33D3C"/>
    <w:rsid w:val="00F37A91"/>
    <w:rsid w:val="00F444B0"/>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BD034F"/>
    <w:pPr>
      <w:spacing w:line="240" w:lineRule="auto"/>
    </w:pPr>
    <w:rPr>
      <w:sz w:val="20"/>
    </w:rPr>
  </w:style>
  <w:style w:type="character" w:customStyle="1" w:styleId="FootnoteTextChar">
    <w:name w:val="Footnote Text Char"/>
    <w:basedOn w:val="DefaultParagraphFont"/>
    <w:link w:val="FootnoteText"/>
    <w:semiHidden/>
    <w:rsid w:val="00BD034F"/>
    <w:rPr>
      <w:lang w:eastAsia="en-US"/>
    </w:rPr>
  </w:style>
  <w:style w:type="character" w:styleId="FootnoteReference">
    <w:name w:val="footnote reference"/>
    <w:basedOn w:val="DefaultParagraphFont"/>
    <w:semiHidden/>
    <w:unhideWhenUsed/>
    <w:rsid w:val="00BD034F"/>
    <w:rPr>
      <w:vertAlign w:val="superscript"/>
    </w:rPr>
  </w:style>
  <w:style w:type="paragraph" w:customStyle="1" w:styleId="subsection">
    <w:name w:val="subsection"/>
    <w:basedOn w:val="Normal"/>
    <w:rsid w:val="000E62BC"/>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0E62BC"/>
    <w:pPr>
      <w:spacing w:before="100" w:beforeAutospacing="1" w:after="100" w:afterAutospacing="1" w:line="240" w:lineRule="auto"/>
      <w:jc w:val="left"/>
    </w:pPr>
    <w:rPr>
      <w:rFonts w:eastAsia="Times New Roman"/>
      <w:szCs w:val="24"/>
      <w:lang w:eastAsia="en-AU"/>
    </w:rPr>
  </w:style>
  <w:style w:type="character" w:customStyle="1" w:styleId="bold1">
    <w:name w:val="bold1"/>
    <w:basedOn w:val="DefaultParagraphFont"/>
    <w:rsid w:val="00AB2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BD034F"/>
    <w:pPr>
      <w:spacing w:line="240" w:lineRule="auto"/>
    </w:pPr>
    <w:rPr>
      <w:sz w:val="20"/>
    </w:rPr>
  </w:style>
  <w:style w:type="character" w:customStyle="1" w:styleId="FootnoteTextChar">
    <w:name w:val="Footnote Text Char"/>
    <w:basedOn w:val="DefaultParagraphFont"/>
    <w:link w:val="FootnoteText"/>
    <w:semiHidden/>
    <w:rsid w:val="00BD034F"/>
    <w:rPr>
      <w:lang w:eastAsia="en-US"/>
    </w:rPr>
  </w:style>
  <w:style w:type="character" w:styleId="FootnoteReference">
    <w:name w:val="footnote reference"/>
    <w:basedOn w:val="DefaultParagraphFont"/>
    <w:semiHidden/>
    <w:unhideWhenUsed/>
    <w:rsid w:val="00BD034F"/>
    <w:rPr>
      <w:vertAlign w:val="superscript"/>
    </w:rPr>
  </w:style>
  <w:style w:type="paragraph" w:customStyle="1" w:styleId="subsection">
    <w:name w:val="subsection"/>
    <w:basedOn w:val="Normal"/>
    <w:rsid w:val="000E62BC"/>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0E62BC"/>
    <w:pPr>
      <w:spacing w:before="100" w:beforeAutospacing="1" w:after="100" w:afterAutospacing="1" w:line="240" w:lineRule="auto"/>
      <w:jc w:val="left"/>
    </w:pPr>
    <w:rPr>
      <w:rFonts w:eastAsia="Times New Roman"/>
      <w:szCs w:val="24"/>
      <w:lang w:eastAsia="en-AU"/>
    </w:rPr>
  </w:style>
  <w:style w:type="character" w:customStyle="1" w:styleId="bold1">
    <w:name w:val="bold1"/>
    <w:basedOn w:val="DefaultParagraphFont"/>
    <w:rsid w:val="00AB2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5869">
      <w:bodyDiv w:val="1"/>
      <w:marLeft w:val="0"/>
      <w:marRight w:val="0"/>
      <w:marTop w:val="0"/>
      <w:marBottom w:val="0"/>
      <w:divBdr>
        <w:top w:val="none" w:sz="0" w:space="0" w:color="auto"/>
        <w:left w:val="none" w:sz="0" w:space="0" w:color="auto"/>
        <w:bottom w:val="none" w:sz="0" w:space="0" w:color="auto"/>
        <w:right w:val="none" w:sz="0" w:space="0" w:color="auto"/>
      </w:divBdr>
      <w:divsChild>
        <w:div w:id="109207638">
          <w:marLeft w:val="0"/>
          <w:marRight w:val="0"/>
          <w:marTop w:val="0"/>
          <w:marBottom w:val="0"/>
          <w:divBdr>
            <w:top w:val="none" w:sz="0" w:space="0" w:color="auto"/>
            <w:left w:val="none" w:sz="0" w:space="0" w:color="auto"/>
            <w:bottom w:val="none" w:sz="0" w:space="0" w:color="auto"/>
            <w:right w:val="none" w:sz="0" w:space="0" w:color="auto"/>
          </w:divBdr>
          <w:divsChild>
            <w:div w:id="19245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2709-D63D-41D1-A61A-3D885856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9</Pages>
  <Words>2410</Words>
  <Characters>11903</Characters>
  <Application>Microsoft Office Word</Application>
  <DocSecurity>0</DocSecurity>
  <Lines>330</Lines>
  <Paragraphs>141</Paragraphs>
  <ScaleCrop>false</ScaleCrop>
  <HeadingPairs>
    <vt:vector size="2" baseType="variant">
      <vt:variant>
        <vt:lpstr>Title</vt:lpstr>
      </vt:variant>
      <vt:variant>
        <vt:i4>1</vt:i4>
      </vt:variant>
    </vt:vector>
  </HeadingPairs>
  <TitlesOfParts>
    <vt:vector size="1" baseType="lpstr">
      <vt:lpstr>Rahman v Lombe [2018] FCA 457</vt:lpstr>
    </vt:vector>
  </TitlesOfParts>
  <Company>Federal Court of Australia</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Rahman v Lombe [2018] FCA 457</dc:title>
  <dc:creator>Justice Gleeson</dc:creator>
  <cp:lastModifiedBy>Anna Masters</cp:lastModifiedBy>
  <cp:revision>3</cp:revision>
  <cp:lastPrinted>2018-04-05T01:45:00Z</cp:lastPrinted>
  <dcterms:created xsi:type="dcterms:W3CDTF">2018-04-05T03:07:00Z</dcterms:created>
  <dcterms:modified xsi:type="dcterms:W3CDTF">2018-04-05T03:08:00Z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5 APRIL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