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Default="005271CD">
      <w:pPr>
        <w:pStyle w:val="NormalHeadings"/>
        <w:jc w:val="center"/>
        <w:rPr>
          <w:sz w:val="32"/>
        </w:rPr>
      </w:pPr>
      <w:bookmarkStart w:id="0" w:name="_GoBack"/>
      <w:bookmarkEnd w:id="0"/>
      <w:r>
        <w:rPr>
          <w:sz w:val="32"/>
        </w:rPr>
        <w:t xml:space="preserve">FEDERAL COURT OF </w:t>
      </w:r>
      <w:smartTag w:uri="urn:schemas-microsoft-com:office:smarttags" w:element="country-region">
        <w:smartTag w:uri="urn:schemas-microsoft-com:office:smarttags" w:element="place">
          <w:r>
            <w:rPr>
              <w:sz w:val="32"/>
            </w:rPr>
            <w:t>AUSTRALIA</w:t>
          </w:r>
        </w:smartTag>
      </w:smartTag>
    </w:p>
    <w:p w:rsidR="005271CD" w:rsidRDefault="005271CD">
      <w:pPr>
        <w:pStyle w:val="NormalHeadings"/>
        <w:jc w:val="center"/>
        <w:rPr>
          <w:sz w:val="32"/>
        </w:rPr>
      </w:pPr>
    </w:p>
    <w:p w:rsidR="005271CD" w:rsidRDefault="00882248">
      <w:pPr>
        <w:pStyle w:val="MediaNeutralStyle"/>
      </w:pPr>
      <w:bookmarkStart w:id="1" w:name="MNC"/>
      <w:r>
        <w:t xml:space="preserve">Haraksin v Murrays Australia Ltd [2010] FCA </w:t>
      </w:r>
      <w:r w:rsidR="000F3F18">
        <w:t>1133</w:t>
      </w:r>
      <w:r w:rsidR="0098384A">
        <w:t xml:space="preserve"> </w:t>
      </w:r>
      <w:bookmarkEnd w:id="1"/>
    </w:p>
    <w:p w:rsidR="00005647" w:rsidRPr="00005647" w:rsidRDefault="00005647" w:rsidP="00005647">
      <w:pPr>
        <w:pStyle w:val="Normal1linespac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062"/>
        <w:gridCol w:w="23"/>
        <w:gridCol w:w="5954"/>
      </w:tblGrid>
      <w:tr w:rsidR="008679F6">
        <w:tc>
          <w:tcPr>
            <w:tcW w:w="3085" w:type="dxa"/>
            <w:gridSpan w:val="2"/>
          </w:tcPr>
          <w:p w:rsidR="008679F6" w:rsidRDefault="008679F6" w:rsidP="00B544CE">
            <w:pPr>
              <w:pStyle w:val="Normal1linespace"/>
            </w:pPr>
            <w:r>
              <w:t>Citation:</w:t>
            </w:r>
          </w:p>
        </w:tc>
        <w:tc>
          <w:tcPr>
            <w:tcW w:w="5954" w:type="dxa"/>
          </w:tcPr>
          <w:p w:rsidR="008679F6" w:rsidRDefault="00882248" w:rsidP="00D32350">
            <w:pPr>
              <w:pStyle w:val="Normal1linespace"/>
              <w:jc w:val="left"/>
            </w:pPr>
            <w:r>
              <w:t xml:space="preserve">Haraksin v Murrays Australia Ltd [2010] FCA </w:t>
            </w:r>
            <w:r w:rsidR="000F3F18">
              <w:t>1133</w:t>
            </w:r>
          </w:p>
        </w:tc>
      </w:tr>
      <w:tr w:rsidR="008679F6">
        <w:tc>
          <w:tcPr>
            <w:tcW w:w="3085" w:type="dxa"/>
            <w:gridSpan w:val="2"/>
          </w:tcPr>
          <w:p w:rsidR="008679F6" w:rsidRDefault="008679F6" w:rsidP="00B544CE">
            <w:pPr>
              <w:pStyle w:val="Normal1linespace"/>
            </w:pPr>
          </w:p>
        </w:tc>
        <w:tc>
          <w:tcPr>
            <w:tcW w:w="5954" w:type="dxa"/>
          </w:tcPr>
          <w:p w:rsidR="008679F6" w:rsidRDefault="008679F6" w:rsidP="00D32350">
            <w:pPr>
              <w:pStyle w:val="Normal1linespace"/>
              <w:jc w:val="left"/>
            </w:pPr>
          </w:p>
        </w:tc>
      </w:tr>
      <w:tr w:rsidR="008679F6">
        <w:tc>
          <w:tcPr>
            <w:tcW w:w="3085" w:type="dxa"/>
            <w:gridSpan w:val="2"/>
          </w:tcPr>
          <w:p w:rsidR="008679F6" w:rsidRDefault="008679F6" w:rsidP="00B544CE">
            <w:pPr>
              <w:pStyle w:val="Normal1linespace"/>
            </w:pPr>
            <w:r>
              <w:t>Parties:</w:t>
            </w:r>
          </w:p>
        </w:tc>
        <w:tc>
          <w:tcPr>
            <w:tcW w:w="5954" w:type="dxa"/>
          </w:tcPr>
          <w:p w:rsidR="008679F6" w:rsidRPr="008679F6" w:rsidRDefault="00367FC7" w:rsidP="00D32350">
            <w:pPr>
              <w:pStyle w:val="Normal1linespace"/>
              <w:jc w:val="left"/>
              <w:rPr>
                <w:b/>
              </w:rPr>
            </w:pPr>
            <w:bookmarkStart w:id="2" w:name="JudgmentFP"/>
            <w:r>
              <w:rPr>
                <w:b/>
              </w:rPr>
              <w:t>JULIA HARAKSIN v MURRAYS AUSTRALIA LTD (ACN 008 468 666)</w:t>
            </w:r>
            <w:bookmarkEnd w:id="2"/>
          </w:p>
        </w:tc>
      </w:tr>
      <w:tr w:rsidR="008679F6">
        <w:tc>
          <w:tcPr>
            <w:tcW w:w="3085" w:type="dxa"/>
            <w:gridSpan w:val="2"/>
          </w:tcPr>
          <w:p w:rsidR="008679F6" w:rsidRDefault="008679F6" w:rsidP="00B544CE">
            <w:pPr>
              <w:pStyle w:val="Normal1linespace"/>
            </w:pPr>
          </w:p>
        </w:tc>
        <w:tc>
          <w:tcPr>
            <w:tcW w:w="5954" w:type="dxa"/>
          </w:tcPr>
          <w:p w:rsidR="008679F6" w:rsidRDefault="008679F6" w:rsidP="00D32350">
            <w:pPr>
              <w:pStyle w:val="Normal1linespace"/>
              <w:jc w:val="left"/>
            </w:pPr>
          </w:p>
        </w:tc>
      </w:tr>
      <w:tr w:rsidR="008679F6">
        <w:tc>
          <w:tcPr>
            <w:tcW w:w="3085" w:type="dxa"/>
            <w:gridSpan w:val="2"/>
          </w:tcPr>
          <w:p w:rsidR="008679F6" w:rsidRDefault="008679F6" w:rsidP="00B544CE">
            <w:pPr>
              <w:pStyle w:val="Normal1linespace"/>
            </w:pPr>
            <w:r>
              <w:t>File number:</w:t>
            </w:r>
          </w:p>
        </w:tc>
        <w:tc>
          <w:tcPr>
            <w:tcW w:w="5954" w:type="dxa"/>
          </w:tcPr>
          <w:p w:rsidR="008679F6" w:rsidRPr="00012E32" w:rsidRDefault="008679F6" w:rsidP="00D32350">
            <w:pPr>
              <w:pStyle w:val="Normal1linespace"/>
              <w:jc w:val="left"/>
            </w:pPr>
            <w:r w:rsidRPr="00012E32">
              <w:rPr>
                <w:szCs w:val="24"/>
              </w:rPr>
              <w:fldChar w:fldCharType="begin" w:fldLock="1"/>
            </w:r>
            <w:r w:rsidRPr="00012E32">
              <w:rPr>
                <w:szCs w:val="24"/>
              </w:rPr>
              <w:instrText xml:space="preserve"> REF  Num  \* MERGEFORMAT </w:instrText>
            </w:r>
            <w:r w:rsidRPr="00012E32">
              <w:rPr>
                <w:szCs w:val="24"/>
              </w:rPr>
              <w:fldChar w:fldCharType="separate"/>
            </w:r>
            <w:r w:rsidR="00367FC7">
              <w:rPr>
                <w:szCs w:val="24"/>
              </w:rPr>
              <w:t>NSD 907 of 2010</w:t>
            </w:r>
            <w:r w:rsidRPr="00012E32">
              <w:rPr>
                <w:szCs w:val="24"/>
              </w:rPr>
              <w:fldChar w:fldCharType="end"/>
            </w:r>
          </w:p>
        </w:tc>
      </w:tr>
      <w:tr w:rsidR="008679F6">
        <w:tc>
          <w:tcPr>
            <w:tcW w:w="3085" w:type="dxa"/>
            <w:gridSpan w:val="2"/>
          </w:tcPr>
          <w:p w:rsidR="008679F6" w:rsidRDefault="008679F6" w:rsidP="00B544CE">
            <w:pPr>
              <w:pStyle w:val="Normal1linespace"/>
            </w:pPr>
          </w:p>
        </w:tc>
        <w:tc>
          <w:tcPr>
            <w:tcW w:w="5954" w:type="dxa"/>
          </w:tcPr>
          <w:p w:rsidR="008679F6" w:rsidRDefault="008679F6" w:rsidP="00D32350">
            <w:pPr>
              <w:pStyle w:val="Normal1linespace"/>
              <w:jc w:val="left"/>
            </w:pPr>
          </w:p>
        </w:tc>
      </w:tr>
      <w:tr w:rsidR="008679F6">
        <w:tc>
          <w:tcPr>
            <w:tcW w:w="3085" w:type="dxa"/>
            <w:gridSpan w:val="2"/>
          </w:tcPr>
          <w:p w:rsidR="008679F6" w:rsidRDefault="008679F6" w:rsidP="00B544CE">
            <w:pPr>
              <w:pStyle w:val="Normal1linespace"/>
            </w:pPr>
            <w:r>
              <w:t>Judge:</w:t>
            </w:r>
          </w:p>
        </w:tc>
        <w:tc>
          <w:tcPr>
            <w:tcW w:w="5954" w:type="dxa"/>
          </w:tcPr>
          <w:p w:rsidR="008679F6" w:rsidRPr="00C50669" w:rsidRDefault="008679F6" w:rsidP="00D32350">
            <w:pPr>
              <w:pStyle w:val="Normal1linespace"/>
              <w:jc w:val="left"/>
              <w:rPr>
                <w:b/>
              </w:rPr>
            </w:pPr>
            <w:r w:rsidRPr="00367FC7">
              <w:rPr>
                <w:b/>
              </w:rPr>
              <w:fldChar w:fldCharType="begin" w:fldLock="1"/>
            </w:r>
            <w:r w:rsidRPr="00367FC7">
              <w:rPr>
                <w:b/>
              </w:rPr>
              <w:instrText xml:space="preserve"> REF  Judge  \* MERGEFORMAT </w:instrText>
            </w:r>
            <w:r w:rsidRPr="00367FC7">
              <w:rPr>
                <w:b/>
              </w:rPr>
              <w:fldChar w:fldCharType="separate"/>
            </w:r>
            <w:r w:rsidR="00367FC7" w:rsidRPr="00367FC7">
              <w:rPr>
                <w:b/>
                <w:caps/>
                <w:szCs w:val="24"/>
              </w:rPr>
              <w:t>NICHOLAS J</w:t>
            </w:r>
            <w:r w:rsidRPr="00367FC7">
              <w:rPr>
                <w:b/>
              </w:rPr>
              <w:fldChar w:fldCharType="end"/>
            </w:r>
          </w:p>
        </w:tc>
      </w:tr>
      <w:tr w:rsidR="008679F6">
        <w:tc>
          <w:tcPr>
            <w:tcW w:w="3085" w:type="dxa"/>
            <w:gridSpan w:val="2"/>
          </w:tcPr>
          <w:p w:rsidR="008679F6" w:rsidRDefault="008679F6" w:rsidP="00B544CE">
            <w:pPr>
              <w:pStyle w:val="Normal1linespace"/>
            </w:pPr>
          </w:p>
        </w:tc>
        <w:tc>
          <w:tcPr>
            <w:tcW w:w="5954" w:type="dxa"/>
          </w:tcPr>
          <w:p w:rsidR="008679F6" w:rsidRDefault="008679F6" w:rsidP="00D32350">
            <w:pPr>
              <w:pStyle w:val="Normal1linespace"/>
              <w:jc w:val="left"/>
            </w:pPr>
          </w:p>
        </w:tc>
      </w:tr>
      <w:tr w:rsidR="0005174A">
        <w:tc>
          <w:tcPr>
            <w:tcW w:w="3085" w:type="dxa"/>
            <w:gridSpan w:val="2"/>
          </w:tcPr>
          <w:p w:rsidR="0005174A" w:rsidRDefault="0005174A" w:rsidP="00B544CE">
            <w:pPr>
              <w:pStyle w:val="Normal1linespace"/>
            </w:pPr>
            <w:r>
              <w:t>Date of judgment:</w:t>
            </w:r>
          </w:p>
        </w:tc>
        <w:tc>
          <w:tcPr>
            <w:tcW w:w="5954" w:type="dxa"/>
          </w:tcPr>
          <w:p w:rsidR="0005174A" w:rsidRDefault="001A0FF0" w:rsidP="00D32350">
            <w:pPr>
              <w:pStyle w:val="Normal1linespace"/>
              <w:jc w:val="left"/>
            </w:pPr>
            <w:bookmarkStart w:id="3" w:name="JudgmentDate"/>
            <w:bookmarkEnd w:id="3"/>
            <w:r>
              <w:t>20 October 2010</w:t>
            </w:r>
          </w:p>
        </w:tc>
      </w:tr>
      <w:tr w:rsidR="0005174A">
        <w:tc>
          <w:tcPr>
            <w:tcW w:w="3085" w:type="dxa"/>
            <w:gridSpan w:val="2"/>
          </w:tcPr>
          <w:p w:rsidR="0005174A" w:rsidRDefault="0005174A" w:rsidP="00B544CE">
            <w:pPr>
              <w:pStyle w:val="Normal1linespace"/>
            </w:pPr>
          </w:p>
        </w:tc>
        <w:tc>
          <w:tcPr>
            <w:tcW w:w="5954" w:type="dxa"/>
          </w:tcPr>
          <w:p w:rsidR="0005174A" w:rsidRDefault="0005174A" w:rsidP="00D32350">
            <w:pPr>
              <w:pStyle w:val="Normal1linespace"/>
              <w:jc w:val="left"/>
            </w:pPr>
          </w:p>
        </w:tc>
      </w:tr>
      <w:tr w:rsidR="008679F6">
        <w:tc>
          <w:tcPr>
            <w:tcW w:w="3085" w:type="dxa"/>
            <w:gridSpan w:val="2"/>
          </w:tcPr>
          <w:p w:rsidR="008679F6" w:rsidRDefault="008679F6" w:rsidP="00B544CE">
            <w:pPr>
              <w:pStyle w:val="Normal1linespace"/>
            </w:pPr>
            <w:r>
              <w:t>Catchwords:</w:t>
            </w:r>
          </w:p>
        </w:tc>
        <w:tc>
          <w:tcPr>
            <w:tcW w:w="5954" w:type="dxa"/>
          </w:tcPr>
          <w:p w:rsidR="008679F6" w:rsidRDefault="00627500" w:rsidP="00D32350">
            <w:pPr>
              <w:pStyle w:val="Normal1linespace"/>
              <w:jc w:val="left"/>
            </w:pPr>
            <w:bookmarkStart w:id="4" w:name="Catchwords"/>
            <w:r>
              <w:rPr>
                <w:b/>
              </w:rPr>
              <w:t xml:space="preserve">PRACTICE AND PROCEDURE – </w:t>
            </w:r>
            <w:r>
              <w:t xml:space="preserve">Application for </w:t>
            </w:r>
            <w:r w:rsidR="00CA0630">
              <w:t xml:space="preserve">an </w:t>
            </w:r>
            <w:r>
              <w:t>order u</w:t>
            </w:r>
            <w:r w:rsidR="00CA0630">
              <w:t>nder O 62A r 1</w:t>
            </w:r>
            <w:r>
              <w:t xml:space="preserve"> –</w:t>
            </w:r>
            <w:r w:rsidR="00C638D3">
              <w:t xml:space="preserve"> applicant suffers from physica</w:t>
            </w:r>
            <w:r w:rsidR="005748A6">
              <w:t xml:space="preserve">l disability – </w:t>
            </w:r>
            <w:r w:rsidR="00E14FA6">
              <w:t xml:space="preserve">alleges </w:t>
            </w:r>
            <w:r w:rsidR="00C638D3">
              <w:t>direct and in</w:t>
            </w:r>
            <w:r w:rsidR="00FF3CB1">
              <w:t>direct discrimination and contraventions</w:t>
            </w:r>
            <w:r w:rsidR="00C638D3">
              <w:t xml:space="preserve"> of the </w:t>
            </w:r>
            <w:r w:rsidR="00C638D3" w:rsidRPr="008629D2">
              <w:rPr>
                <w:i/>
              </w:rPr>
              <w:t>Disability Standards for Accessible Public Transport</w:t>
            </w:r>
            <w:r w:rsidR="00C638D3">
              <w:t xml:space="preserve"> 2002 (Cth) </w:t>
            </w:r>
            <w:r w:rsidR="00E14FA6">
              <w:t xml:space="preserve">by respondent </w:t>
            </w:r>
            <w:r w:rsidR="00FF3CB1">
              <w:t xml:space="preserve">based upon </w:t>
            </w:r>
            <w:r w:rsidR="00E14FA6">
              <w:t xml:space="preserve">its </w:t>
            </w:r>
            <w:r w:rsidR="00FF3CB1">
              <w:t xml:space="preserve">alleged </w:t>
            </w:r>
            <w:r w:rsidR="00C638D3">
              <w:t>failure to provide wheelchair accessible coaches – factors relevant to exercise of Court’s discretion</w:t>
            </w:r>
            <w:r w:rsidR="00CA0630">
              <w:t xml:space="preserve"> – public interest</w:t>
            </w:r>
            <w:r w:rsidR="00FF3CB1">
              <w:t xml:space="preserve"> element</w:t>
            </w:r>
            <w:r w:rsidR="00CA0630">
              <w:t xml:space="preserve"> – </w:t>
            </w:r>
            <w:r w:rsidR="00025AD4">
              <w:t xml:space="preserve">estimate of likely costs – </w:t>
            </w:r>
            <w:r w:rsidR="00CA0630">
              <w:t xml:space="preserve">applicant not seeking compensation – </w:t>
            </w:r>
            <w:r w:rsidR="00FF3CB1">
              <w:t xml:space="preserve">applicant has substantial assets – </w:t>
            </w:r>
            <w:r w:rsidR="00CA0630">
              <w:t xml:space="preserve">proceeding unlikely to be </w:t>
            </w:r>
            <w:r w:rsidR="00FF3CB1">
              <w:t xml:space="preserve">legally or </w:t>
            </w:r>
            <w:r w:rsidR="00CA0630">
              <w:t xml:space="preserve">factually complex </w:t>
            </w:r>
            <w:r w:rsidR="00025AD4">
              <w:t>–</w:t>
            </w:r>
            <w:r w:rsidR="00CA0630">
              <w:t xml:space="preserve"> </w:t>
            </w:r>
            <w:r w:rsidR="00025AD4">
              <w:t xml:space="preserve">applicant </w:t>
            </w:r>
            <w:r w:rsidR="00E14FA6">
              <w:t xml:space="preserve">will </w:t>
            </w:r>
            <w:r w:rsidR="003334A8">
              <w:t xml:space="preserve">not </w:t>
            </w:r>
            <w:r w:rsidR="00025AD4">
              <w:t xml:space="preserve">proceed with case if </w:t>
            </w:r>
            <w:r w:rsidR="00E14FA6">
              <w:t xml:space="preserve">no </w:t>
            </w:r>
            <w:r w:rsidR="00025AD4">
              <w:t>order made –appropriate in this case to make order under O 62A r 1</w:t>
            </w:r>
            <w:r w:rsidR="00FF3CB1">
              <w:t xml:space="preserve"> in the amount of $25,000</w:t>
            </w:r>
            <w:r w:rsidR="00025AD4">
              <w:t xml:space="preserve"> </w:t>
            </w:r>
            <w:r w:rsidR="00C638D3">
              <w:t xml:space="preserve"> </w:t>
            </w:r>
            <w:bookmarkEnd w:id="4"/>
          </w:p>
        </w:tc>
      </w:tr>
      <w:tr w:rsidR="00905900">
        <w:tc>
          <w:tcPr>
            <w:tcW w:w="3085" w:type="dxa"/>
            <w:gridSpan w:val="2"/>
          </w:tcPr>
          <w:p w:rsidR="00905900" w:rsidRDefault="00905900" w:rsidP="00B544CE">
            <w:pPr>
              <w:pStyle w:val="Normal1linespace"/>
            </w:pPr>
          </w:p>
        </w:tc>
        <w:tc>
          <w:tcPr>
            <w:tcW w:w="5954" w:type="dxa"/>
          </w:tcPr>
          <w:p w:rsidR="00905900" w:rsidRDefault="00905900" w:rsidP="00D32350">
            <w:pPr>
              <w:pStyle w:val="Normal1linespace"/>
              <w:jc w:val="left"/>
            </w:pPr>
          </w:p>
        </w:tc>
      </w:tr>
      <w:tr w:rsidR="008679F6">
        <w:tc>
          <w:tcPr>
            <w:tcW w:w="3085" w:type="dxa"/>
            <w:gridSpan w:val="2"/>
          </w:tcPr>
          <w:p w:rsidR="008679F6" w:rsidRDefault="008679F6" w:rsidP="00B544CE">
            <w:pPr>
              <w:pStyle w:val="Normal1linespace"/>
            </w:pPr>
            <w:r>
              <w:t>Legislation:</w:t>
            </w:r>
          </w:p>
        </w:tc>
        <w:tc>
          <w:tcPr>
            <w:tcW w:w="5954" w:type="dxa"/>
          </w:tcPr>
          <w:p w:rsidR="00F348A9" w:rsidRPr="00627500" w:rsidRDefault="00F348A9" w:rsidP="00D32350">
            <w:pPr>
              <w:pStyle w:val="Normal1linespace"/>
              <w:jc w:val="left"/>
            </w:pPr>
            <w:bookmarkStart w:id="5" w:name="Legislation"/>
            <w:r w:rsidRPr="00627500">
              <w:rPr>
                <w:i/>
              </w:rPr>
              <w:t>Federal Court Rules</w:t>
            </w:r>
            <w:r w:rsidR="00627500">
              <w:t xml:space="preserve"> O 62A r 1</w:t>
            </w:r>
          </w:p>
          <w:p w:rsidR="00F348A9" w:rsidRDefault="00F348A9" w:rsidP="00D32350">
            <w:pPr>
              <w:pStyle w:val="Normal1linespace"/>
              <w:jc w:val="left"/>
            </w:pPr>
            <w:r w:rsidRPr="008629D2">
              <w:rPr>
                <w:i/>
              </w:rPr>
              <w:t>Australian Human Rights Commission Act</w:t>
            </w:r>
            <w:r>
              <w:t xml:space="preserve"> 1986</w:t>
            </w:r>
            <w:r w:rsidR="00627500">
              <w:t xml:space="preserve"> (Cth) s 46PO</w:t>
            </w:r>
          </w:p>
          <w:p w:rsidR="00F348A9" w:rsidRDefault="00F348A9" w:rsidP="00D32350">
            <w:pPr>
              <w:pStyle w:val="Normal1linespace"/>
              <w:jc w:val="left"/>
            </w:pPr>
            <w:r w:rsidRPr="008629D2">
              <w:rPr>
                <w:i/>
              </w:rPr>
              <w:t>Disability Discrimination Act</w:t>
            </w:r>
            <w:r>
              <w:t xml:space="preserve"> 1992 (Cth) </w:t>
            </w:r>
            <w:r w:rsidR="00627500">
              <w:t>ss 4(1), 11, 23, 24, 29A, 32</w:t>
            </w:r>
          </w:p>
          <w:p w:rsidR="008679F6" w:rsidRDefault="00F348A9" w:rsidP="00D32350">
            <w:pPr>
              <w:pStyle w:val="Normal1linespace"/>
              <w:jc w:val="left"/>
            </w:pPr>
            <w:r w:rsidRPr="008629D2">
              <w:rPr>
                <w:i/>
              </w:rPr>
              <w:t>Disability Standards for Accessible Public Transport</w:t>
            </w:r>
            <w:r>
              <w:t xml:space="preserve"> 2002 (Cth)</w:t>
            </w:r>
            <w:r w:rsidR="00627500">
              <w:t xml:space="preserve"> ss 33.1, 33.2, 33.7</w:t>
            </w:r>
            <w:r>
              <w:t xml:space="preserve"> </w:t>
            </w:r>
            <w:r w:rsidR="001932FA">
              <w:t xml:space="preserve"> </w:t>
            </w:r>
            <w:bookmarkEnd w:id="5"/>
          </w:p>
        </w:tc>
      </w:tr>
      <w:tr w:rsidR="008679F6">
        <w:tc>
          <w:tcPr>
            <w:tcW w:w="3085" w:type="dxa"/>
            <w:gridSpan w:val="2"/>
          </w:tcPr>
          <w:p w:rsidR="008679F6" w:rsidRDefault="008679F6" w:rsidP="00B544CE">
            <w:pPr>
              <w:pStyle w:val="Normal1linespace"/>
            </w:pPr>
          </w:p>
        </w:tc>
        <w:tc>
          <w:tcPr>
            <w:tcW w:w="5954" w:type="dxa"/>
          </w:tcPr>
          <w:p w:rsidR="008679F6" w:rsidRDefault="008679F6" w:rsidP="00D32350">
            <w:pPr>
              <w:pStyle w:val="Normal1linespace"/>
              <w:jc w:val="left"/>
            </w:pPr>
          </w:p>
        </w:tc>
      </w:tr>
      <w:tr w:rsidR="008679F6">
        <w:tc>
          <w:tcPr>
            <w:tcW w:w="3085" w:type="dxa"/>
            <w:gridSpan w:val="2"/>
          </w:tcPr>
          <w:p w:rsidR="008679F6" w:rsidRDefault="008679F6" w:rsidP="00B544CE">
            <w:pPr>
              <w:pStyle w:val="Normal1linespace"/>
            </w:pPr>
            <w:r>
              <w:t>Cases cited:</w:t>
            </w:r>
          </w:p>
        </w:tc>
        <w:tc>
          <w:tcPr>
            <w:tcW w:w="5954" w:type="dxa"/>
          </w:tcPr>
          <w:p w:rsidR="006E57F8" w:rsidRDefault="006E57F8" w:rsidP="00D32350">
            <w:pPr>
              <w:pStyle w:val="Normal1linespace"/>
              <w:jc w:val="left"/>
            </w:pPr>
            <w:bookmarkStart w:id="6" w:name="Cases_Cited"/>
            <w:r w:rsidRPr="00C06B24">
              <w:rPr>
                <w:i/>
              </w:rPr>
              <w:t>Blue Mountains Conservation Society Inc v Delta Electricity</w:t>
            </w:r>
            <w:r>
              <w:t xml:space="preserve"> (2009) 170 LGERA 1</w:t>
            </w:r>
            <w:r w:rsidR="00627500">
              <w:t xml:space="preserve"> cited</w:t>
            </w:r>
            <w:r>
              <w:t xml:space="preserve"> </w:t>
            </w:r>
          </w:p>
          <w:p w:rsidR="006E57F8" w:rsidRDefault="006E57F8" w:rsidP="00D32350">
            <w:pPr>
              <w:pStyle w:val="Normal1linespace"/>
              <w:jc w:val="left"/>
            </w:pPr>
            <w:r w:rsidRPr="00C06B24">
              <w:rPr>
                <w:i/>
              </w:rPr>
              <w:t>Caroona Coal Action Group Inc v Coal Miners Australia Pty Ltd</w:t>
            </w:r>
            <w:r>
              <w:t xml:space="preserve"> (2009) 170 LGERA 22</w:t>
            </w:r>
            <w:r w:rsidR="00627500">
              <w:t xml:space="preserve"> cited</w:t>
            </w:r>
          </w:p>
          <w:p w:rsidR="006E57F8" w:rsidRDefault="006E57F8" w:rsidP="00D32350">
            <w:pPr>
              <w:pStyle w:val="Normal1linespace"/>
              <w:jc w:val="left"/>
            </w:pPr>
            <w:r w:rsidRPr="00C06B24">
              <w:rPr>
                <w:i/>
              </w:rPr>
              <w:t>Corcoran v Virgin Blue Airlines Pty Ltd</w:t>
            </w:r>
            <w:r>
              <w:t xml:space="preserve"> [2008] FCA 864</w:t>
            </w:r>
            <w:r w:rsidR="00627500">
              <w:t xml:space="preserve"> cited</w:t>
            </w:r>
            <w:r>
              <w:t xml:space="preserve"> </w:t>
            </w:r>
          </w:p>
          <w:p w:rsidR="006E57F8" w:rsidRDefault="006E57F8" w:rsidP="00D32350">
            <w:pPr>
              <w:pStyle w:val="Normal1linespace"/>
              <w:widowControl/>
              <w:jc w:val="left"/>
            </w:pPr>
            <w:r w:rsidRPr="00B72D9B">
              <w:rPr>
                <w:i/>
              </w:rPr>
              <w:t>Delta Electricity v Blue Mountain</w:t>
            </w:r>
            <w:r w:rsidR="00627500">
              <w:rPr>
                <w:i/>
              </w:rPr>
              <w:t>s</w:t>
            </w:r>
            <w:r w:rsidRPr="00B72D9B">
              <w:rPr>
                <w:i/>
              </w:rPr>
              <w:t xml:space="preserve"> Conservation Society Inc</w:t>
            </w:r>
            <w:r w:rsidR="00627500">
              <w:t xml:space="preserve"> [2010] NSWCA 263 cited</w:t>
            </w:r>
            <w:r>
              <w:t xml:space="preserve"> </w:t>
            </w:r>
          </w:p>
          <w:p w:rsidR="006E57F8" w:rsidRDefault="006E57F8" w:rsidP="00D32350">
            <w:pPr>
              <w:pStyle w:val="Normal1linespace"/>
              <w:jc w:val="left"/>
            </w:pPr>
            <w:r w:rsidRPr="00C06B24">
              <w:rPr>
                <w:i/>
              </w:rPr>
              <w:t>Hanisch v Strive Pty Ltd</w:t>
            </w:r>
            <w:r>
              <w:t xml:space="preserve"> (1997) 74 FCR 384 </w:t>
            </w:r>
            <w:r w:rsidR="00627500">
              <w:t>cited</w:t>
            </w:r>
          </w:p>
          <w:p w:rsidR="006E57F8" w:rsidRDefault="006E57F8" w:rsidP="00D32350">
            <w:pPr>
              <w:pStyle w:val="Normal1linespace"/>
              <w:jc w:val="left"/>
            </w:pPr>
            <w:r w:rsidRPr="00C06B24">
              <w:rPr>
                <w:i/>
              </w:rPr>
              <w:t>Sacks v Permanent Trustee Australia Limited</w:t>
            </w:r>
            <w:r>
              <w:t xml:space="preserve"> (1993) 45 FCR 509 </w:t>
            </w:r>
            <w:r w:rsidR="00627500">
              <w:t>cited</w:t>
            </w:r>
          </w:p>
          <w:bookmarkEnd w:id="6"/>
          <w:p w:rsidR="008679F6" w:rsidRDefault="006E57F8" w:rsidP="00D32350">
            <w:pPr>
              <w:pStyle w:val="Normal1linespace"/>
              <w:jc w:val="left"/>
            </w:pPr>
            <w:r w:rsidRPr="00C06B24">
              <w:rPr>
                <w:i/>
              </w:rPr>
              <w:t>Woodlands v Permanent Trustee Company Limited</w:t>
            </w:r>
            <w:r>
              <w:t xml:space="preserve"> (1995) </w:t>
            </w:r>
            <w:r>
              <w:lastRenderedPageBreak/>
              <w:t xml:space="preserve">58 FCR 139 </w:t>
            </w:r>
            <w:r w:rsidR="00627500">
              <w:t>cited</w:t>
            </w:r>
          </w:p>
        </w:tc>
      </w:tr>
      <w:tr w:rsidR="00882248">
        <w:tblPrEx>
          <w:tblCellSpacing w:w="8" w:type="dxa"/>
        </w:tblPrEx>
        <w:trPr>
          <w:tblCellSpacing w:w="8" w:type="dxa"/>
        </w:trPr>
        <w:tc>
          <w:tcPr>
            <w:tcW w:w="3062" w:type="dxa"/>
          </w:tcPr>
          <w:p w:rsidR="00882248" w:rsidRDefault="00882248">
            <w:pPr>
              <w:pStyle w:val="Counsel"/>
            </w:pPr>
          </w:p>
        </w:tc>
        <w:tc>
          <w:tcPr>
            <w:tcW w:w="5954" w:type="dxa"/>
            <w:gridSpan w:val="2"/>
          </w:tcPr>
          <w:p w:rsidR="00882248" w:rsidRDefault="00882248">
            <w:pPr>
              <w:pStyle w:val="Counsel"/>
              <w:jc w:val="left"/>
            </w:pPr>
          </w:p>
        </w:tc>
      </w:tr>
      <w:tr w:rsidR="00882248">
        <w:tblPrEx>
          <w:tblCellSpacing w:w="8" w:type="dxa"/>
        </w:tblPrEx>
        <w:trPr>
          <w:tblCellSpacing w:w="8" w:type="dxa"/>
        </w:trPr>
        <w:tc>
          <w:tcPr>
            <w:tcW w:w="3062" w:type="dxa"/>
          </w:tcPr>
          <w:p w:rsidR="00882248" w:rsidRDefault="00882248">
            <w:pPr>
              <w:pStyle w:val="Counsel"/>
            </w:pPr>
            <w:bookmarkStart w:id="7" w:name="CounselDate"/>
            <w:r>
              <w:t>Date of hearing:</w:t>
            </w:r>
          </w:p>
        </w:tc>
        <w:tc>
          <w:tcPr>
            <w:tcW w:w="5954" w:type="dxa"/>
            <w:gridSpan w:val="2"/>
          </w:tcPr>
          <w:p w:rsidR="00882248" w:rsidRDefault="00882248">
            <w:pPr>
              <w:pStyle w:val="Counsel"/>
              <w:jc w:val="left"/>
            </w:pPr>
            <w:bookmarkStart w:id="8" w:name="HearingDate"/>
            <w:r>
              <w:t>15 October 2010</w:t>
            </w:r>
            <w:bookmarkEnd w:id="8"/>
          </w:p>
        </w:tc>
      </w:tr>
      <w:tr w:rsidR="00882248">
        <w:tblPrEx>
          <w:tblCellSpacing w:w="8" w:type="dxa"/>
        </w:tblPrEx>
        <w:trPr>
          <w:tblCellSpacing w:w="8" w:type="dxa"/>
        </w:trPr>
        <w:tc>
          <w:tcPr>
            <w:tcW w:w="3062" w:type="dxa"/>
          </w:tcPr>
          <w:p w:rsidR="00882248" w:rsidRDefault="00882248">
            <w:pPr>
              <w:pStyle w:val="Counsel"/>
            </w:pPr>
          </w:p>
        </w:tc>
        <w:tc>
          <w:tcPr>
            <w:tcW w:w="5954" w:type="dxa"/>
            <w:gridSpan w:val="2"/>
          </w:tcPr>
          <w:p w:rsidR="00882248" w:rsidRDefault="00882248">
            <w:pPr>
              <w:pStyle w:val="Counsel"/>
              <w:jc w:val="left"/>
            </w:pPr>
          </w:p>
        </w:tc>
      </w:tr>
      <w:tr w:rsidR="00882248">
        <w:tblPrEx>
          <w:tblCellSpacing w:w="8" w:type="dxa"/>
        </w:tblPrEx>
        <w:trPr>
          <w:tblCellSpacing w:w="8" w:type="dxa"/>
        </w:trPr>
        <w:tc>
          <w:tcPr>
            <w:tcW w:w="3062" w:type="dxa"/>
          </w:tcPr>
          <w:p w:rsidR="00882248" w:rsidRDefault="00882248">
            <w:pPr>
              <w:pStyle w:val="Counsel"/>
            </w:pPr>
            <w:r>
              <w:t>Date of last submissions:</w:t>
            </w:r>
          </w:p>
        </w:tc>
        <w:tc>
          <w:tcPr>
            <w:tcW w:w="5954" w:type="dxa"/>
            <w:gridSpan w:val="2"/>
          </w:tcPr>
          <w:p w:rsidR="00882248" w:rsidRDefault="009865B1">
            <w:pPr>
              <w:pStyle w:val="Counsel"/>
              <w:jc w:val="left"/>
            </w:pPr>
            <w:r>
              <w:t>15 October 2010</w:t>
            </w:r>
          </w:p>
        </w:tc>
      </w:tr>
      <w:bookmarkEnd w:id="7"/>
      <w:tr w:rsidR="00882248">
        <w:tblPrEx>
          <w:tblCellSpacing w:w="8" w:type="dxa"/>
        </w:tblPrEx>
        <w:trPr>
          <w:tblCellSpacing w:w="8" w:type="dxa"/>
        </w:trPr>
        <w:tc>
          <w:tcPr>
            <w:tcW w:w="3062" w:type="dxa"/>
          </w:tcPr>
          <w:p w:rsidR="00882248" w:rsidRDefault="00882248">
            <w:pPr>
              <w:pStyle w:val="Counsel"/>
            </w:pPr>
          </w:p>
        </w:tc>
        <w:tc>
          <w:tcPr>
            <w:tcW w:w="5954" w:type="dxa"/>
            <w:gridSpan w:val="2"/>
          </w:tcPr>
          <w:p w:rsidR="00882248" w:rsidRPr="00905900" w:rsidRDefault="00882248">
            <w:pPr>
              <w:pStyle w:val="Counsel"/>
              <w:rPr>
                <w:caps/>
                <w:szCs w:val="24"/>
              </w:rPr>
            </w:pPr>
          </w:p>
        </w:tc>
      </w:tr>
      <w:tr w:rsidR="00882248">
        <w:tblPrEx>
          <w:tblCellSpacing w:w="8" w:type="dxa"/>
        </w:tblPrEx>
        <w:trPr>
          <w:tblCellSpacing w:w="8" w:type="dxa"/>
        </w:trPr>
        <w:tc>
          <w:tcPr>
            <w:tcW w:w="3062" w:type="dxa"/>
          </w:tcPr>
          <w:p w:rsidR="00882248" w:rsidRDefault="00882248">
            <w:pPr>
              <w:pStyle w:val="Counsel"/>
            </w:pPr>
            <w:r>
              <w:t>Place:</w:t>
            </w:r>
          </w:p>
        </w:tc>
        <w:tc>
          <w:tcPr>
            <w:tcW w:w="5954" w:type="dxa"/>
            <w:gridSpan w:val="2"/>
          </w:tcPr>
          <w:p w:rsidR="00882248" w:rsidRPr="00905900" w:rsidRDefault="00882248">
            <w:pPr>
              <w:pStyle w:val="Counsel"/>
            </w:pPr>
            <w:fldSimple w:instr=" DOCVARIABLE  Place_SentenceCase  \* MERGEFORMAT ">
              <w:r>
                <w:t>Sydney</w:t>
              </w:r>
            </w:fldSimple>
          </w:p>
        </w:tc>
      </w:tr>
      <w:tr w:rsidR="00882248">
        <w:tblPrEx>
          <w:tblCellSpacing w:w="8" w:type="dxa"/>
        </w:tblPrEx>
        <w:trPr>
          <w:tblCellSpacing w:w="8" w:type="dxa"/>
        </w:trPr>
        <w:tc>
          <w:tcPr>
            <w:tcW w:w="3062" w:type="dxa"/>
          </w:tcPr>
          <w:p w:rsidR="00882248" w:rsidRDefault="00882248">
            <w:pPr>
              <w:pStyle w:val="Counsel"/>
            </w:pPr>
          </w:p>
        </w:tc>
        <w:tc>
          <w:tcPr>
            <w:tcW w:w="5954" w:type="dxa"/>
            <w:gridSpan w:val="2"/>
          </w:tcPr>
          <w:p w:rsidR="00882248" w:rsidRDefault="00882248">
            <w:pPr>
              <w:pStyle w:val="Counsel"/>
            </w:pPr>
          </w:p>
        </w:tc>
      </w:tr>
      <w:tr w:rsidR="00882248">
        <w:tblPrEx>
          <w:tblCellSpacing w:w="8" w:type="dxa"/>
        </w:tblPrEx>
        <w:trPr>
          <w:tblCellSpacing w:w="8" w:type="dxa"/>
        </w:trPr>
        <w:tc>
          <w:tcPr>
            <w:tcW w:w="3062" w:type="dxa"/>
          </w:tcPr>
          <w:p w:rsidR="00882248" w:rsidRDefault="00882248">
            <w:pPr>
              <w:pStyle w:val="Counsel"/>
            </w:pPr>
            <w:r>
              <w:t>Division:</w:t>
            </w:r>
          </w:p>
        </w:tc>
        <w:tc>
          <w:tcPr>
            <w:tcW w:w="5954" w:type="dxa"/>
            <w:gridSpan w:val="2"/>
          </w:tcPr>
          <w:p w:rsidR="00882248" w:rsidRDefault="00882248">
            <w:pPr>
              <w:pStyle w:val="Counsel"/>
            </w:pPr>
            <w:r>
              <w:fldChar w:fldCharType="begin"/>
            </w:r>
            <w:r>
              <w:instrText xml:space="preserve"> REF  Division </w:instrText>
            </w:r>
            <w:r>
              <w:fldChar w:fldCharType="separate"/>
            </w:r>
            <w:r w:rsidR="00FD1C3A">
              <w:rPr>
                <w:caps/>
                <w:szCs w:val="24"/>
              </w:rPr>
              <w:t>GENERAL DIVISION</w:t>
            </w:r>
            <w:r>
              <w:fldChar w:fldCharType="end"/>
            </w:r>
          </w:p>
        </w:tc>
      </w:tr>
      <w:tr w:rsidR="00882248">
        <w:tblPrEx>
          <w:tblCellSpacing w:w="8" w:type="dxa"/>
        </w:tblPrEx>
        <w:trPr>
          <w:tblCellSpacing w:w="8" w:type="dxa"/>
        </w:trPr>
        <w:tc>
          <w:tcPr>
            <w:tcW w:w="3062" w:type="dxa"/>
          </w:tcPr>
          <w:p w:rsidR="00882248" w:rsidRDefault="00882248">
            <w:pPr>
              <w:pStyle w:val="Counsel"/>
            </w:pPr>
          </w:p>
        </w:tc>
        <w:tc>
          <w:tcPr>
            <w:tcW w:w="5954" w:type="dxa"/>
            <w:gridSpan w:val="2"/>
          </w:tcPr>
          <w:p w:rsidR="00882248" w:rsidRDefault="00882248">
            <w:pPr>
              <w:pStyle w:val="Counsel"/>
            </w:pPr>
          </w:p>
        </w:tc>
      </w:tr>
      <w:tr w:rsidR="00882248">
        <w:tblPrEx>
          <w:tblCellSpacing w:w="8" w:type="dxa"/>
        </w:tblPrEx>
        <w:trPr>
          <w:tblCellSpacing w:w="8" w:type="dxa"/>
        </w:trPr>
        <w:tc>
          <w:tcPr>
            <w:tcW w:w="3062" w:type="dxa"/>
          </w:tcPr>
          <w:p w:rsidR="00882248" w:rsidRDefault="00882248">
            <w:pPr>
              <w:pStyle w:val="Counsel"/>
            </w:pPr>
            <w:r>
              <w:t>Category:</w:t>
            </w:r>
          </w:p>
        </w:tc>
        <w:tc>
          <w:tcPr>
            <w:tcW w:w="5954" w:type="dxa"/>
            <w:gridSpan w:val="2"/>
          </w:tcPr>
          <w:p w:rsidR="00882248" w:rsidRDefault="00627500">
            <w:pPr>
              <w:pStyle w:val="Counsel"/>
            </w:pPr>
            <w:r>
              <w:t>Catchwords</w:t>
            </w:r>
          </w:p>
        </w:tc>
      </w:tr>
      <w:tr w:rsidR="00882248">
        <w:tblPrEx>
          <w:tblCellSpacing w:w="8" w:type="dxa"/>
        </w:tblPrEx>
        <w:trPr>
          <w:tblCellSpacing w:w="8" w:type="dxa"/>
        </w:trPr>
        <w:tc>
          <w:tcPr>
            <w:tcW w:w="3062" w:type="dxa"/>
          </w:tcPr>
          <w:p w:rsidR="00882248" w:rsidRDefault="00882248">
            <w:pPr>
              <w:pStyle w:val="Counsel"/>
            </w:pPr>
          </w:p>
        </w:tc>
        <w:tc>
          <w:tcPr>
            <w:tcW w:w="5954" w:type="dxa"/>
            <w:gridSpan w:val="2"/>
          </w:tcPr>
          <w:p w:rsidR="00882248" w:rsidRDefault="00882248">
            <w:pPr>
              <w:pStyle w:val="Counsel"/>
            </w:pPr>
          </w:p>
        </w:tc>
      </w:tr>
      <w:tr w:rsidR="00882248">
        <w:tblPrEx>
          <w:tblCellSpacing w:w="8" w:type="dxa"/>
        </w:tblPrEx>
        <w:trPr>
          <w:tblCellSpacing w:w="8" w:type="dxa"/>
        </w:trPr>
        <w:tc>
          <w:tcPr>
            <w:tcW w:w="3062" w:type="dxa"/>
          </w:tcPr>
          <w:p w:rsidR="00882248" w:rsidRDefault="00882248">
            <w:pPr>
              <w:pStyle w:val="Counsel"/>
            </w:pPr>
            <w:r>
              <w:t>Number of paragraphs:</w:t>
            </w:r>
          </w:p>
        </w:tc>
        <w:tc>
          <w:tcPr>
            <w:tcW w:w="5954" w:type="dxa"/>
            <w:gridSpan w:val="2"/>
          </w:tcPr>
          <w:p w:rsidR="00882248" w:rsidRDefault="005F0ABD">
            <w:pPr>
              <w:pStyle w:val="Counsel"/>
            </w:pPr>
            <w:bookmarkStart w:id="9" w:name="PlaceCategoryParagraphs"/>
            <w:r>
              <w:t>30</w:t>
            </w:r>
            <w:bookmarkEnd w:id="9"/>
          </w:p>
        </w:tc>
      </w:tr>
      <w:tr w:rsidR="00882248">
        <w:tblPrEx>
          <w:tblCellSpacing w:w="8" w:type="dxa"/>
        </w:tblPrEx>
        <w:trPr>
          <w:tblCellSpacing w:w="8" w:type="dxa"/>
        </w:trPr>
        <w:tc>
          <w:tcPr>
            <w:tcW w:w="3062" w:type="dxa"/>
          </w:tcPr>
          <w:p w:rsidR="00882248" w:rsidRDefault="00882248">
            <w:pPr>
              <w:pStyle w:val="Counsel"/>
              <w:jc w:val="left"/>
            </w:pPr>
          </w:p>
        </w:tc>
        <w:tc>
          <w:tcPr>
            <w:tcW w:w="5954" w:type="dxa"/>
            <w:gridSpan w:val="2"/>
          </w:tcPr>
          <w:p w:rsidR="00882248" w:rsidRDefault="00882248">
            <w:pPr>
              <w:pStyle w:val="Counsel"/>
              <w:jc w:val="left"/>
            </w:pPr>
          </w:p>
        </w:tc>
      </w:tr>
      <w:tr w:rsidR="00882248">
        <w:tblPrEx>
          <w:tblCellSpacing w:w="8" w:type="dxa"/>
        </w:tblPrEx>
        <w:trPr>
          <w:tblCellSpacing w:w="8" w:type="dxa"/>
        </w:trPr>
        <w:tc>
          <w:tcPr>
            <w:tcW w:w="3062" w:type="dxa"/>
          </w:tcPr>
          <w:p w:rsidR="00882248" w:rsidRDefault="00882248">
            <w:pPr>
              <w:pStyle w:val="Counsel"/>
              <w:jc w:val="left"/>
            </w:pPr>
            <w:bookmarkStart w:id="10" w:name="Counsel"/>
            <w:r>
              <w:t>Counsel for the Applicant:</w:t>
            </w:r>
          </w:p>
        </w:tc>
        <w:tc>
          <w:tcPr>
            <w:tcW w:w="5954" w:type="dxa"/>
            <w:gridSpan w:val="2"/>
          </w:tcPr>
          <w:p w:rsidR="00882248" w:rsidRDefault="009865B1">
            <w:pPr>
              <w:pStyle w:val="Counsel"/>
              <w:jc w:val="left"/>
            </w:pPr>
            <w:bookmarkStart w:id="11" w:name="AppCounsel"/>
            <w:bookmarkEnd w:id="11"/>
            <w:r>
              <w:t>C Ronalds SC</w:t>
            </w:r>
          </w:p>
        </w:tc>
      </w:tr>
      <w:tr w:rsidR="00882248">
        <w:tblPrEx>
          <w:tblCellSpacing w:w="8" w:type="dxa"/>
        </w:tblPrEx>
        <w:trPr>
          <w:tblCellSpacing w:w="8" w:type="dxa"/>
        </w:trPr>
        <w:tc>
          <w:tcPr>
            <w:tcW w:w="3062" w:type="dxa"/>
          </w:tcPr>
          <w:p w:rsidR="00882248" w:rsidRDefault="00882248">
            <w:pPr>
              <w:pStyle w:val="Counsel"/>
              <w:jc w:val="left"/>
            </w:pPr>
          </w:p>
        </w:tc>
        <w:tc>
          <w:tcPr>
            <w:tcW w:w="5954" w:type="dxa"/>
            <w:gridSpan w:val="2"/>
          </w:tcPr>
          <w:p w:rsidR="00882248" w:rsidRDefault="00882248">
            <w:pPr>
              <w:pStyle w:val="Counsel"/>
              <w:jc w:val="left"/>
            </w:pPr>
          </w:p>
        </w:tc>
      </w:tr>
      <w:tr w:rsidR="00882248">
        <w:tblPrEx>
          <w:tblCellSpacing w:w="8" w:type="dxa"/>
        </w:tblPrEx>
        <w:trPr>
          <w:tblCellSpacing w:w="8" w:type="dxa"/>
        </w:trPr>
        <w:tc>
          <w:tcPr>
            <w:tcW w:w="3062" w:type="dxa"/>
          </w:tcPr>
          <w:p w:rsidR="00882248" w:rsidRDefault="00882248">
            <w:pPr>
              <w:pStyle w:val="Counsel"/>
              <w:jc w:val="left"/>
            </w:pPr>
            <w:r>
              <w:t>Solicitor for the Applicant:</w:t>
            </w:r>
          </w:p>
        </w:tc>
        <w:tc>
          <w:tcPr>
            <w:tcW w:w="5954" w:type="dxa"/>
            <w:gridSpan w:val="2"/>
          </w:tcPr>
          <w:p w:rsidR="00882248" w:rsidRDefault="009865B1">
            <w:pPr>
              <w:pStyle w:val="Counsel"/>
              <w:jc w:val="left"/>
            </w:pPr>
            <w:r>
              <w:t>Public Interest Advocacy Centre</w:t>
            </w:r>
          </w:p>
        </w:tc>
      </w:tr>
      <w:tr w:rsidR="00882248">
        <w:tblPrEx>
          <w:tblCellSpacing w:w="8" w:type="dxa"/>
        </w:tblPrEx>
        <w:trPr>
          <w:tblCellSpacing w:w="8" w:type="dxa"/>
        </w:trPr>
        <w:tc>
          <w:tcPr>
            <w:tcW w:w="3062" w:type="dxa"/>
          </w:tcPr>
          <w:p w:rsidR="00882248" w:rsidRDefault="00882248">
            <w:pPr>
              <w:pStyle w:val="Counsel"/>
              <w:jc w:val="left"/>
            </w:pPr>
          </w:p>
        </w:tc>
        <w:tc>
          <w:tcPr>
            <w:tcW w:w="5954" w:type="dxa"/>
            <w:gridSpan w:val="2"/>
          </w:tcPr>
          <w:p w:rsidR="00882248" w:rsidRDefault="00882248">
            <w:pPr>
              <w:pStyle w:val="Counsel"/>
              <w:jc w:val="left"/>
            </w:pPr>
          </w:p>
        </w:tc>
      </w:tr>
      <w:tr w:rsidR="00882248">
        <w:tblPrEx>
          <w:tblCellSpacing w:w="8" w:type="dxa"/>
        </w:tblPrEx>
        <w:trPr>
          <w:tblCellSpacing w:w="8" w:type="dxa"/>
        </w:trPr>
        <w:tc>
          <w:tcPr>
            <w:tcW w:w="3062" w:type="dxa"/>
          </w:tcPr>
          <w:p w:rsidR="00882248" w:rsidRDefault="00882248">
            <w:pPr>
              <w:pStyle w:val="Counsel"/>
              <w:jc w:val="left"/>
            </w:pPr>
            <w:r>
              <w:t>Counsel for the Respondent:</w:t>
            </w:r>
          </w:p>
        </w:tc>
        <w:tc>
          <w:tcPr>
            <w:tcW w:w="5954" w:type="dxa"/>
            <w:gridSpan w:val="2"/>
          </w:tcPr>
          <w:p w:rsidR="00882248" w:rsidRDefault="009865B1">
            <w:pPr>
              <w:pStyle w:val="Counsel"/>
              <w:jc w:val="left"/>
            </w:pPr>
            <w:r>
              <w:t>A Moses SC</w:t>
            </w:r>
          </w:p>
        </w:tc>
      </w:tr>
      <w:tr w:rsidR="00882248">
        <w:tblPrEx>
          <w:tblCellSpacing w:w="8" w:type="dxa"/>
        </w:tblPrEx>
        <w:trPr>
          <w:tblCellSpacing w:w="8" w:type="dxa"/>
        </w:trPr>
        <w:tc>
          <w:tcPr>
            <w:tcW w:w="3062" w:type="dxa"/>
          </w:tcPr>
          <w:p w:rsidR="00882248" w:rsidRDefault="00882248">
            <w:pPr>
              <w:pStyle w:val="Counsel"/>
              <w:jc w:val="left"/>
            </w:pPr>
          </w:p>
        </w:tc>
        <w:tc>
          <w:tcPr>
            <w:tcW w:w="5954" w:type="dxa"/>
            <w:gridSpan w:val="2"/>
          </w:tcPr>
          <w:p w:rsidR="00882248" w:rsidRDefault="00882248">
            <w:pPr>
              <w:pStyle w:val="Counsel"/>
              <w:jc w:val="left"/>
            </w:pPr>
          </w:p>
        </w:tc>
      </w:tr>
      <w:tr w:rsidR="00882248">
        <w:tblPrEx>
          <w:tblCellSpacing w:w="8" w:type="dxa"/>
        </w:tblPrEx>
        <w:trPr>
          <w:tblCellSpacing w:w="8" w:type="dxa"/>
        </w:trPr>
        <w:tc>
          <w:tcPr>
            <w:tcW w:w="3062" w:type="dxa"/>
          </w:tcPr>
          <w:p w:rsidR="00882248" w:rsidRDefault="00882248">
            <w:pPr>
              <w:pStyle w:val="Counsel"/>
              <w:jc w:val="left"/>
            </w:pPr>
            <w:r>
              <w:t>Solicitor for the Respondent:</w:t>
            </w:r>
          </w:p>
        </w:tc>
        <w:tc>
          <w:tcPr>
            <w:tcW w:w="5954" w:type="dxa"/>
            <w:gridSpan w:val="2"/>
          </w:tcPr>
          <w:p w:rsidR="00882248" w:rsidRDefault="009865B1">
            <w:pPr>
              <w:pStyle w:val="Counsel"/>
              <w:jc w:val="left"/>
            </w:pPr>
            <w:r>
              <w:t>Blake Dawson</w:t>
            </w:r>
          </w:p>
        </w:tc>
      </w:tr>
      <w:bookmarkEnd w:id="10"/>
    </w:tbl>
    <w:p w:rsidR="00B956FA" w:rsidRDefault="00B956FA" w:rsidP="00B544CE">
      <w:pPr>
        <w:pStyle w:val="Normal1linespace"/>
      </w:pPr>
    </w:p>
    <w:p w:rsidR="005271CD" w:rsidRDefault="005271CD">
      <w:pPr>
        <w:pStyle w:val="Normal1linespace"/>
      </w:pPr>
    </w:p>
    <w:p w:rsidR="005271CD" w:rsidRDefault="005271CD" w:rsidP="00E8791E">
      <w:pPr>
        <w:pStyle w:val="Normal1linespace"/>
        <w:sectPr w:rsidR="005271CD">
          <w:headerReference w:type="default" r:id="rId7"/>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blPrEx>
          <w:tblCellMar>
            <w:top w:w="0" w:type="dxa"/>
            <w:bottom w:w="0" w:type="dxa"/>
          </w:tblCellMar>
        </w:tblPrEx>
        <w:tc>
          <w:tcPr>
            <w:tcW w:w="6771" w:type="dxa"/>
          </w:tcPr>
          <w:p w:rsidR="005271CD" w:rsidRPr="00B76E4F" w:rsidRDefault="005271CD">
            <w:pPr>
              <w:pStyle w:val="NormalHeadings"/>
              <w:spacing w:after="120"/>
              <w:jc w:val="left"/>
              <w:rPr>
                <w:caps/>
                <w:szCs w:val="24"/>
              </w:rPr>
            </w:pPr>
            <w:r w:rsidRPr="00B76E4F">
              <w:rPr>
                <w:caps/>
                <w:szCs w:val="24"/>
              </w:rPr>
              <w:lastRenderedPageBreak/>
              <w:t>IN THE FEDERAL COURT OF AUSTRALIA</w:t>
            </w:r>
          </w:p>
        </w:tc>
        <w:tc>
          <w:tcPr>
            <w:tcW w:w="2471" w:type="dxa"/>
          </w:tcPr>
          <w:p w:rsidR="005271CD" w:rsidRPr="00B76E4F" w:rsidRDefault="005271CD">
            <w:pPr>
              <w:pStyle w:val="NormalHeadings"/>
              <w:jc w:val="left"/>
              <w:rPr>
                <w:caps/>
                <w:szCs w:val="24"/>
              </w:rPr>
            </w:pPr>
          </w:p>
        </w:tc>
      </w:tr>
      <w:tr w:rsidR="005271CD">
        <w:tblPrEx>
          <w:tblCellMar>
            <w:top w:w="0" w:type="dxa"/>
            <w:bottom w:w="0" w:type="dxa"/>
          </w:tblCellMar>
        </w:tblPrEx>
        <w:tc>
          <w:tcPr>
            <w:tcW w:w="6771" w:type="dxa"/>
          </w:tcPr>
          <w:p w:rsidR="005271CD" w:rsidRPr="00B76E4F" w:rsidRDefault="00367FC7">
            <w:pPr>
              <w:pStyle w:val="NormalHeadings"/>
              <w:spacing w:after="120"/>
              <w:jc w:val="left"/>
              <w:rPr>
                <w:caps/>
                <w:szCs w:val="24"/>
              </w:rPr>
            </w:pPr>
            <w:bookmarkStart w:id="12" w:name="State"/>
            <w:r>
              <w:rPr>
                <w:caps/>
                <w:szCs w:val="24"/>
              </w:rPr>
              <w:t xml:space="preserve">NEW SOUTH </w:t>
            </w:r>
            <w:smartTag w:uri="urn:schemas-microsoft-com:office:smarttags" w:element="country-region">
              <w:smartTag w:uri="urn:schemas-microsoft-com:office:smarttags" w:element="place">
                <w:r>
                  <w:rPr>
                    <w:caps/>
                    <w:szCs w:val="24"/>
                  </w:rPr>
                  <w:t>WALES</w:t>
                </w:r>
              </w:smartTag>
            </w:smartTag>
            <w:bookmarkEnd w:id="12"/>
            <w:r w:rsidR="00EC74B1">
              <w:rPr>
                <w:caps/>
                <w:szCs w:val="24"/>
              </w:rPr>
              <w:t xml:space="preserve"> </w:t>
            </w:r>
            <w:r w:rsidR="005271CD" w:rsidRPr="00B76E4F">
              <w:rPr>
                <w:caps/>
                <w:szCs w:val="24"/>
              </w:rPr>
              <w:t>DISTRICT REGISTRY</w:t>
            </w:r>
          </w:p>
        </w:tc>
        <w:tc>
          <w:tcPr>
            <w:tcW w:w="2471" w:type="dxa"/>
          </w:tcPr>
          <w:p w:rsidR="005271CD" w:rsidRPr="00145F70" w:rsidRDefault="005271CD">
            <w:pPr>
              <w:pStyle w:val="NormalHeadings"/>
              <w:tabs>
                <w:tab w:val="right" w:pos="3609"/>
              </w:tabs>
              <w:jc w:val="right"/>
              <w:rPr>
                <w:szCs w:val="24"/>
              </w:rPr>
            </w:pPr>
          </w:p>
        </w:tc>
      </w:tr>
      <w:tr w:rsidR="000E43D1">
        <w:tblPrEx>
          <w:tblCellMar>
            <w:top w:w="0" w:type="dxa"/>
            <w:bottom w:w="0" w:type="dxa"/>
          </w:tblCellMar>
        </w:tblPrEx>
        <w:tc>
          <w:tcPr>
            <w:tcW w:w="6771" w:type="dxa"/>
          </w:tcPr>
          <w:p w:rsidR="000E43D1" w:rsidRDefault="00367FC7">
            <w:pPr>
              <w:pStyle w:val="NormalHeadings"/>
              <w:spacing w:after="120"/>
              <w:jc w:val="left"/>
              <w:rPr>
                <w:caps/>
                <w:szCs w:val="24"/>
              </w:rPr>
            </w:pPr>
            <w:bookmarkStart w:id="13" w:name="Division"/>
            <w:r>
              <w:rPr>
                <w:caps/>
                <w:szCs w:val="24"/>
              </w:rPr>
              <w:t>GENERAL DIVISION</w:t>
            </w:r>
            <w:bookmarkEnd w:id="13"/>
          </w:p>
        </w:tc>
        <w:tc>
          <w:tcPr>
            <w:tcW w:w="2471" w:type="dxa"/>
          </w:tcPr>
          <w:p w:rsidR="001932FA" w:rsidRPr="00145F70" w:rsidRDefault="00367FC7" w:rsidP="00EE76E8">
            <w:pPr>
              <w:pStyle w:val="NormalHeadings"/>
              <w:tabs>
                <w:tab w:val="right" w:pos="3609"/>
              </w:tabs>
              <w:jc w:val="right"/>
              <w:rPr>
                <w:szCs w:val="24"/>
              </w:rPr>
            </w:pPr>
            <w:bookmarkStart w:id="14" w:name="Num"/>
            <w:r>
              <w:rPr>
                <w:szCs w:val="24"/>
              </w:rPr>
              <w:t>NSD 907 of 2010</w:t>
            </w:r>
            <w:bookmarkEnd w:id="14"/>
          </w:p>
        </w:tc>
      </w:tr>
    </w:tbl>
    <w:p w:rsidR="00EA7506" w:rsidRDefault="00D97E3B" w:rsidP="00867153">
      <w:pPr>
        <w:pStyle w:val="AppealTable"/>
      </w:pPr>
      <w:bookmarkStart w:id="15" w:name="AppealTable"/>
      <w:r>
        <w:t xml:space="preserve"> </w:t>
      </w:r>
      <w:bookmarkEnd w:id="15"/>
    </w:p>
    <w:tbl>
      <w:tblPr>
        <w:tblW w:w="0" w:type="auto"/>
        <w:tblLayout w:type="fixed"/>
        <w:tblLook w:val="0000" w:firstRow="0" w:lastRow="0" w:firstColumn="0" w:lastColumn="0" w:noHBand="0" w:noVBand="0"/>
      </w:tblPr>
      <w:tblGrid>
        <w:gridCol w:w="2376"/>
        <w:gridCol w:w="6866"/>
      </w:tblGrid>
      <w:tr w:rsidR="00C741C6">
        <w:tblPrEx>
          <w:tblCellMar>
            <w:top w:w="0" w:type="dxa"/>
            <w:bottom w:w="0" w:type="dxa"/>
          </w:tblCellMar>
        </w:tblPrEx>
        <w:trPr>
          <w:trHeight w:val="386"/>
        </w:trPr>
        <w:tc>
          <w:tcPr>
            <w:tcW w:w="2376" w:type="dxa"/>
          </w:tcPr>
          <w:p w:rsidR="00EE405D" w:rsidRPr="00B76E4F" w:rsidRDefault="00C741C6" w:rsidP="00EE405D">
            <w:pPr>
              <w:pStyle w:val="NormalHeadings"/>
              <w:jc w:val="left"/>
              <w:rPr>
                <w:caps/>
                <w:szCs w:val="24"/>
              </w:rPr>
            </w:pPr>
            <w:bookmarkStart w:id="16" w:name="Parties"/>
            <w:r w:rsidRPr="00B76E4F">
              <w:rPr>
                <w:caps/>
                <w:szCs w:val="24"/>
              </w:rPr>
              <w:t>BETWEEN:</w:t>
            </w:r>
          </w:p>
        </w:tc>
        <w:tc>
          <w:tcPr>
            <w:tcW w:w="6866" w:type="dxa"/>
          </w:tcPr>
          <w:p w:rsidR="00367FC7" w:rsidRDefault="00367FC7" w:rsidP="00EC74B1">
            <w:pPr>
              <w:pStyle w:val="NormalHeadings"/>
              <w:jc w:val="left"/>
              <w:rPr>
                <w:szCs w:val="24"/>
              </w:rPr>
            </w:pPr>
            <w:bookmarkStart w:id="17" w:name="Applicant"/>
            <w:r>
              <w:rPr>
                <w:szCs w:val="24"/>
              </w:rPr>
              <w:t>JULIA HARAKSIN</w:t>
            </w:r>
          </w:p>
          <w:p w:rsidR="00367FC7" w:rsidRDefault="00367FC7" w:rsidP="00EC74B1">
            <w:pPr>
              <w:pStyle w:val="NormalHeadings"/>
              <w:jc w:val="left"/>
              <w:rPr>
                <w:szCs w:val="24"/>
              </w:rPr>
            </w:pPr>
            <w:r>
              <w:rPr>
                <w:szCs w:val="24"/>
              </w:rPr>
              <w:t>Applicant</w:t>
            </w:r>
          </w:p>
          <w:bookmarkEnd w:id="17"/>
          <w:p w:rsidR="00C741C6" w:rsidRPr="0026717E" w:rsidRDefault="00C741C6" w:rsidP="00EC74B1">
            <w:pPr>
              <w:pStyle w:val="NormalHeadings"/>
              <w:jc w:val="left"/>
              <w:rPr>
                <w:szCs w:val="24"/>
              </w:rPr>
            </w:pPr>
          </w:p>
        </w:tc>
      </w:tr>
      <w:tr w:rsidR="00C741C6">
        <w:tblPrEx>
          <w:tblCellMar>
            <w:top w:w="0" w:type="dxa"/>
            <w:bottom w:w="0" w:type="dxa"/>
          </w:tblCellMar>
        </w:tblPrEx>
        <w:trPr>
          <w:trHeight w:val="386"/>
        </w:trPr>
        <w:tc>
          <w:tcPr>
            <w:tcW w:w="2376" w:type="dxa"/>
          </w:tcPr>
          <w:p w:rsidR="00C741C6" w:rsidRPr="00B76E4F" w:rsidRDefault="00C741C6" w:rsidP="00EE405D">
            <w:pPr>
              <w:pStyle w:val="NormalHeadings"/>
              <w:jc w:val="left"/>
              <w:rPr>
                <w:caps/>
                <w:szCs w:val="24"/>
              </w:rPr>
            </w:pPr>
            <w:r w:rsidRPr="00B76E4F">
              <w:rPr>
                <w:caps/>
                <w:szCs w:val="24"/>
              </w:rPr>
              <w:t>AND:</w:t>
            </w:r>
          </w:p>
        </w:tc>
        <w:tc>
          <w:tcPr>
            <w:tcW w:w="6866" w:type="dxa"/>
          </w:tcPr>
          <w:p w:rsidR="00367FC7" w:rsidRDefault="00367FC7" w:rsidP="00000427">
            <w:pPr>
              <w:pStyle w:val="NormalHeadings"/>
              <w:jc w:val="left"/>
              <w:rPr>
                <w:szCs w:val="24"/>
              </w:rPr>
            </w:pPr>
            <w:bookmarkStart w:id="18" w:name="Respondent"/>
            <w:r>
              <w:rPr>
                <w:szCs w:val="24"/>
              </w:rPr>
              <w:t>MURRAYS AUSTRALIA LTD (ACN 008 468 666)</w:t>
            </w:r>
          </w:p>
          <w:p w:rsidR="00367FC7" w:rsidRDefault="00367FC7" w:rsidP="00000427">
            <w:pPr>
              <w:pStyle w:val="NormalHeadings"/>
              <w:jc w:val="left"/>
              <w:rPr>
                <w:szCs w:val="24"/>
              </w:rPr>
            </w:pPr>
            <w:r>
              <w:rPr>
                <w:szCs w:val="24"/>
              </w:rPr>
              <w:t>Respondent</w:t>
            </w:r>
          </w:p>
          <w:bookmarkEnd w:id="18"/>
          <w:p w:rsidR="00C741C6" w:rsidRPr="0026717E" w:rsidRDefault="00C741C6" w:rsidP="00000427">
            <w:pPr>
              <w:pStyle w:val="NormalHeadings"/>
              <w:jc w:val="left"/>
              <w:rPr>
                <w:szCs w:val="24"/>
              </w:rPr>
            </w:pPr>
          </w:p>
        </w:tc>
      </w:tr>
      <w:bookmarkEnd w:id="16"/>
    </w:tbl>
    <w:p w:rsidR="00C741C6"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c>
          <w:tcPr>
            <w:tcW w:w="2376" w:type="dxa"/>
          </w:tcPr>
          <w:p w:rsidR="005271CD" w:rsidRPr="00B76E4F" w:rsidRDefault="00367FC7" w:rsidP="008E1FE0">
            <w:pPr>
              <w:pStyle w:val="NormalHeadings"/>
              <w:spacing w:after="120"/>
              <w:jc w:val="left"/>
              <w:rPr>
                <w:caps/>
                <w:szCs w:val="24"/>
              </w:rPr>
            </w:pPr>
            <w:bookmarkStart w:id="19" w:name="JudgeText"/>
            <w:r>
              <w:rPr>
                <w:caps/>
                <w:szCs w:val="24"/>
              </w:rPr>
              <w:t>JUDGE</w:t>
            </w:r>
            <w:bookmarkEnd w:id="19"/>
            <w:r w:rsidR="005271CD" w:rsidRPr="00B76E4F">
              <w:rPr>
                <w:caps/>
                <w:szCs w:val="24"/>
              </w:rPr>
              <w:t>:</w:t>
            </w:r>
          </w:p>
        </w:tc>
        <w:tc>
          <w:tcPr>
            <w:tcW w:w="6866" w:type="dxa"/>
          </w:tcPr>
          <w:p w:rsidR="005271CD" w:rsidRPr="00B76E4F" w:rsidRDefault="00882248" w:rsidP="008E1FE0">
            <w:pPr>
              <w:pStyle w:val="NormalHeadings"/>
              <w:jc w:val="left"/>
              <w:rPr>
                <w:caps/>
                <w:szCs w:val="24"/>
              </w:rPr>
            </w:pPr>
            <w:bookmarkStart w:id="20" w:name="Judge"/>
            <w:r>
              <w:rPr>
                <w:caps/>
                <w:szCs w:val="24"/>
              </w:rPr>
              <w:t>NICHOLAS J</w:t>
            </w:r>
            <w:bookmarkEnd w:id="20"/>
          </w:p>
        </w:tc>
      </w:tr>
      <w:tr w:rsidR="005271CD">
        <w:tblPrEx>
          <w:tblCellMar>
            <w:top w:w="0" w:type="dxa"/>
            <w:bottom w:w="0" w:type="dxa"/>
          </w:tblCellMar>
        </w:tblPrEx>
        <w:tc>
          <w:tcPr>
            <w:tcW w:w="2376" w:type="dxa"/>
          </w:tcPr>
          <w:p w:rsidR="005271CD" w:rsidRPr="00B76E4F" w:rsidRDefault="005271CD">
            <w:pPr>
              <w:pStyle w:val="NormalHeadings"/>
              <w:spacing w:after="120"/>
              <w:jc w:val="left"/>
              <w:rPr>
                <w:caps/>
                <w:szCs w:val="24"/>
              </w:rPr>
            </w:pPr>
            <w:r w:rsidRPr="00B76E4F">
              <w:rPr>
                <w:caps/>
                <w:szCs w:val="24"/>
              </w:rPr>
              <w:t>DATE OF ORDER:</w:t>
            </w:r>
          </w:p>
        </w:tc>
        <w:tc>
          <w:tcPr>
            <w:tcW w:w="6866" w:type="dxa"/>
          </w:tcPr>
          <w:p w:rsidR="005271CD" w:rsidRPr="00B76E4F" w:rsidRDefault="001A0FF0">
            <w:pPr>
              <w:pStyle w:val="NormalHeadings"/>
              <w:jc w:val="left"/>
              <w:rPr>
                <w:caps/>
                <w:szCs w:val="24"/>
              </w:rPr>
            </w:pPr>
            <w:bookmarkStart w:id="21" w:name="Judgment_Dated"/>
            <w:bookmarkEnd w:id="21"/>
            <w:r>
              <w:rPr>
                <w:caps/>
                <w:szCs w:val="24"/>
              </w:rPr>
              <w:t>20 october 2010</w:t>
            </w:r>
          </w:p>
        </w:tc>
      </w:tr>
      <w:tr w:rsidR="005271CD">
        <w:tblPrEx>
          <w:tblCellMar>
            <w:top w:w="0" w:type="dxa"/>
            <w:bottom w:w="0" w:type="dxa"/>
          </w:tblCellMar>
        </w:tblPrEx>
        <w:tc>
          <w:tcPr>
            <w:tcW w:w="2376" w:type="dxa"/>
          </w:tcPr>
          <w:p w:rsidR="005271CD" w:rsidRPr="00B76E4F" w:rsidRDefault="005271CD">
            <w:pPr>
              <w:pStyle w:val="NormalHeadings"/>
              <w:spacing w:after="120"/>
              <w:jc w:val="left"/>
              <w:rPr>
                <w:caps/>
                <w:szCs w:val="24"/>
              </w:rPr>
            </w:pPr>
            <w:r w:rsidRPr="00B76E4F">
              <w:rPr>
                <w:caps/>
                <w:szCs w:val="24"/>
              </w:rPr>
              <w:t>WHERE MADE:</w:t>
            </w:r>
          </w:p>
        </w:tc>
        <w:tc>
          <w:tcPr>
            <w:tcW w:w="6866" w:type="dxa"/>
          </w:tcPr>
          <w:p w:rsidR="005271CD" w:rsidRPr="00012E32" w:rsidRDefault="00367FC7">
            <w:pPr>
              <w:pStyle w:val="NormalHeadings"/>
              <w:jc w:val="left"/>
              <w:rPr>
                <w:caps/>
                <w:szCs w:val="24"/>
              </w:rPr>
            </w:pPr>
            <w:bookmarkStart w:id="22" w:name="Place"/>
            <w:smartTag w:uri="urn:schemas-microsoft-com:office:smarttags" w:element="City">
              <w:smartTag w:uri="urn:schemas-microsoft-com:office:smarttags" w:element="place">
                <w:r>
                  <w:rPr>
                    <w:caps/>
                    <w:szCs w:val="24"/>
                  </w:rPr>
                  <w:t>SYDNEY</w:t>
                </w:r>
              </w:smartTag>
            </w:smartTag>
            <w:bookmarkEnd w:id="22"/>
          </w:p>
        </w:tc>
      </w:tr>
    </w:tbl>
    <w:p w:rsidR="005271CD" w:rsidRDefault="005271CD">
      <w:pPr>
        <w:pStyle w:val="NormalHeadings"/>
        <w:rPr>
          <w:b w:val="0"/>
        </w:rPr>
      </w:pPr>
    </w:p>
    <w:p w:rsidR="008247CB" w:rsidRDefault="008247CB">
      <w:pPr>
        <w:pStyle w:val="NormalHeadings"/>
        <w:rPr>
          <w:b w:val="0"/>
        </w:rPr>
      </w:pPr>
    </w:p>
    <w:p w:rsidR="00FF4A88" w:rsidRDefault="00FF4A88">
      <w:pPr>
        <w:pStyle w:val="NormalHeadings"/>
        <w:rPr>
          <w:b w:val="0"/>
        </w:rPr>
      </w:pPr>
    </w:p>
    <w:p w:rsidR="005271CD" w:rsidRDefault="005271CD">
      <w:pPr>
        <w:pStyle w:val="NormalHeadings"/>
      </w:pPr>
      <w:r>
        <w:t>THE COURT ORDERS THAT:</w:t>
      </w:r>
    </w:p>
    <w:p w:rsidR="00587D14" w:rsidRDefault="00587D14">
      <w:pPr>
        <w:pStyle w:val="NormalHeadings"/>
      </w:pPr>
    </w:p>
    <w:p w:rsidR="005271CD" w:rsidRDefault="00FE0A52" w:rsidP="00617B48">
      <w:pPr>
        <w:numPr>
          <w:ilvl w:val="0"/>
          <w:numId w:val="2"/>
        </w:numPr>
        <w:tabs>
          <w:tab w:val="clear" w:pos="720"/>
        </w:tabs>
        <w:spacing w:before="60" w:after="60"/>
      </w:pPr>
      <w:bookmarkStart w:id="23" w:name="Order_Start_Text"/>
      <w:r>
        <w:t>Pursuant to Order 62A</w:t>
      </w:r>
      <w:r w:rsidR="005748A6">
        <w:t>,</w:t>
      </w:r>
      <w:r>
        <w:t xml:space="preserve"> Rule 1, t</w:t>
      </w:r>
      <w:r w:rsidR="0052694D">
        <w:t>he maximum costs that may be recovered in this proceeding by one party from the other party on a party/party basis is $25,000</w:t>
      </w:r>
      <w:bookmarkEnd w:id="23"/>
      <w:r w:rsidR="0052694D">
        <w:t>.</w:t>
      </w:r>
    </w:p>
    <w:p w:rsidR="0052694D" w:rsidRDefault="0052694D" w:rsidP="00617B48">
      <w:pPr>
        <w:numPr>
          <w:ilvl w:val="0"/>
          <w:numId w:val="2"/>
        </w:numPr>
        <w:tabs>
          <w:tab w:val="clear" w:pos="720"/>
        </w:tabs>
        <w:spacing w:before="60" w:after="60"/>
      </w:pPr>
      <w:r>
        <w:t>The costs of the applicant’s notice of motion filed 2</w:t>
      </w:r>
      <w:r w:rsidR="00FE0A52">
        <w:t>2</w:t>
      </w:r>
      <w:r>
        <w:t xml:space="preserve"> </w:t>
      </w:r>
      <w:r w:rsidR="00FE0A52">
        <w:t xml:space="preserve">July </w:t>
      </w:r>
      <w:r>
        <w:t xml:space="preserve">2010 be costs in the proceeding.  </w:t>
      </w:r>
    </w:p>
    <w:p w:rsidR="00F21406" w:rsidRDefault="00F21406" w:rsidP="00F21406">
      <w:pPr>
        <w:spacing w:before="60" w:after="60"/>
      </w:pPr>
    </w:p>
    <w:p w:rsidR="00F21406" w:rsidRDefault="00F21406" w:rsidP="00F21406">
      <w:pPr>
        <w:spacing w:before="60" w:after="60"/>
      </w:pPr>
    </w:p>
    <w:p w:rsidR="00FF4A88" w:rsidRDefault="00FF4A88" w:rsidP="00F21406">
      <w:pPr>
        <w:spacing w:before="60" w:after="60"/>
      </w:pPr>
    </w:p>
    <w:p w:rsidR="00FF4A88" w:rsidRDefault="00FF4A88" w:rsidP="00F21406">
      <w:pPr>
        <w:spacing w:before="60" w:after="60"/>
      </w:pPr>
    </w:p>
    <w:p w:rsidR="00FF4A88" w:rsidRDefault="00FF4A88" w:rsidP="00F21406">
      <w:pPr>
        <w:spacing w:before="60" w:after="60"/>
      </w:pPr>
    </w:p>
    <w:p w:rsidR="00FF4A88" w:rsidRDefault="00FF4A88" w:rsidP="00F21406">
      <w:pPr>
        <w:spacing w:before="60" w:after="60"/>
      </w:pPr>
    </w:p>
    <w:p w:rsidR="00FF4A88" w:rsidRDefault="00FF4A88" w:rsidP="00F21406">
      <w:pPr>
        <w:spacing w:before="60" w:after="60"/>
      </w:pPr>
    </w:p>
    <w:p w:rsidR="00FF4A88" w:rsidRDefault="00FF4A88" w:rsidP="00F21406">
      <w:pPr>
        <w:spacing w:before="60" w:after="60"/>
      </w:pPr>
    </w:p>
    <w:p w:rsidR="001E0CE2" w:rsidRDefault="008916D1" w:rsidP="00F66AC5">
      <w:pPr>
        <w:ind w:left="708" w:hangingChars="322" w:hanging="708"/>
        <w:rPr>
          <w:sz w:val="22"/>
          <w:szCs w:val="22"/>
        </w:rPr>
      </w:pPr>
      <w:r w:rsidRPr="008E03F1">
        <w:rPr>
          <w:sz w:val="22"/>
          <w:szCs w:val="22"/>
        </w:rPr>
        <w:t>Note:</w:t>
      </w:r>
      <w:r w:rsidRPr="008E03F1">
        <w:rPr>
          <w:sz w:val="22"/>
          <w:szCs w:val="22"/>
        </w:rPr>
        <w:tab/>
        <w:t xml:space="preserve">Settlement and entry of orders is dealt with in Order 36 of the Federal Court Rules. </w:t>
      </w:r>
      <w:r w:rsidRPr="008E03F1">
        <w:rPr>
          <w:sz w:val="22"/>
          <w:szCs w:val="22"/>
        </w:rPr>
        <w:br/>
        <w:t xml:space="preserve">The text of entered orders can be located using </w:t>
      </w:r>
      <w:r>
        <w:rPr>
          <w:sz w:val="22"/>
          <w:szCs w:val="22"/>
        </w:rPr>
        <w:t xml:space="preserve">Federal Law </w:t>
      </w:r>
      <w:r w:rsidRPr="008E03F1">
        <w:rPr>
          <w:sz w:val="22"/>
          <w:szCs w:val="22"/>
        </w:rPr>
        <w:t>Search on the Court’s website.</w:t>
      </w:r>
    </w:p>
    <w:p w:rsidR="008916D1" w:rsidRDefault="008916D1"/>
    <w:p w:rsidR="00DD54E8" w:rsidRDefault="00DD54E8"/>
    <w:p w:rsidR="005271CD" w:rsidRDefault="005271CD">
      <w:pPr>
        <w:pStyle w:val="NormalHeadings"/>
        <w:spacing w:before="240" w:after="120"/>
        <w:rPr>
          <w:b w:val="0"/>
        </w:rPr>
        <w:sectPr w:rsidR="005271CD">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tblPrEx>
          <w:tblCellMar>
            <w:top w:w="0" w:type="dxa"/>
            <w:bottom w:w="0" w:type="dxa"/>
          </w:tblCellMar>
        </w:tblPrEx>
        <w:tc>
          <w:tcPr>
            <w:tcW w:w="6771" w:type="dxa"/>
          </w:tcPr>
          <w:p w:rsidR="005271CD" w:rsidRPr="00884B15" w:rsidRDefault="005271CD">
            <w:pPr>
              <w:pStyle w:val="NormalHeadings"/>
              <w:spacing w:after="120"/>
              <w:jc w:val="left"/>
              <w:rPr>
                <w:caps/>
                <w:szCs w:val="24"/>
              </w:rPr>
            </w:pPr>
            <w:bookmarkStart w:id="24" w:name="ReasonsPage"/>
            <w:bookmarkEnd w:id="24"/>
            <w:r w:rsidRPr="00884B15">
              <w:rPr>
                <w:caps/>
                <w:szCs w:val="24"/>
              </w:rPr>
              <w:lastRenderedPageBreak/>
              <w:t>IN THE FEDERAL COURT OF AUSTRALIA</w:t>
            </w:r>
          </w:p>
        </w:tc>
        <w:tc>
          <w:tcPr>
            <w:tcW w:w="2471" w:type="dxa"/>
          </w:tcPr>
          <w:p w:rsidR="005271CD" w:rsidRDefault="005271CD">
            <w:pPr>
              <w:pStyle w:val="NormalHeadings"/>
            </w:pPr>
          </w:p>
        </w:tc>
      </w:tr>
      <w:tr w:rsidR="005271CD">
        <w:tblPrEx>
          <w:tblCellMar>
            <w:top w:w="0" w:type="dxa"/>
            <w:bottom w:w="0" w:type="dxa"/>
          </w:tblCellMar>
        </w:tblPrEx>
        <w:tc>
          <w:tcPr>
            <w:tcW w:w="6771" w:type="dxa"/>
          </w:tcPr>
          <w:p w:rsidR="005271CD" w:rsidRPr="00884B15" w:rsidRDefault="00C741C6">
            <w:pPr>
              <w:pStyle w:val="NormalHeadings"/>
              <w:spacing w:after="120"/>
              <w:jc w:val="left"/>
              <w:rPr>
                <w:caps/>
                <w:szCs w:val="24"/>
              </w:rPr>
            </w:pPr>
            <w:r w:rsidRPr="00884B15">
              <w:rPr>
                <w:caps/>
                <w:szCs w:val="24"/>
              </w:rPr>
              <w:fldChar w:fldCharType="begin" w:fldLock="1"/>
            </w:r>
            <w:r w:rsidRPr="00884B15">
              <w:rPr>
                <w:caps/>
                <w:szCs w:val="24"/>
              </w:rPr>
              <w:instrText xml:space="preserve"> REF State</w:instrText>
            </w:r>
            <w:r w:rsidR="00884B15">
              <w:rPr>
                <w:caps/>
                <w:szCs w:val="24"/>
              </w:rPr>
              <w:instrText xml:space="preserve"> \* MERGEFORMAT </w:instrText>
            </w:r>
            <w:r w:rsidR="00E1678F">
              <w:rPr>
                <w:caps/>
                <w:szCs w:val="24"/>
              </w:rPr>
              <w:fldChar w:fldCharType="separate"/>
            </w:r>
            <w:r w:rsidR="00367FC7">
              <w:rPr>
                <w:caps/>
                <w:szCs w:val="24"/>
              </w:rPr>
              <w:t>NEW SOUTH WALES</w:t>
            </w:r>
            <w:r w:rsidRPr="00884B15">
              <w:rPr>
                <w:caps/>
                <w:szCs w:val="24"/>
              </w:rPr>
              <w:fldChar w:fldCharType="end"/>
            </w:r>
            <w:r w:rsidRPr="00884B15">
              <w:rPr>
                <w:caps/>
                <w:szCs w:val="24"/>
              </w:rPr>
              <w:t xml:space="preserve"> </w:t>
            </w:r>
            <w:r w:rsidR="005271CD" w:rsidRPr="00884B15">
              <w:rPr>
                <w:caps/>
                <w:szCs w:val="24"/>
              </w:rPr>
              <w:t>DISTRICT REGISTRY</w:t>
            </w:r>
          </w:p>
        </w:tc>
        <w:tc>
          <w:tcPr>
            <w:tcW w:w="2471" w:type="dxa"/>
          </w:tcPr>
          <w:p w:rsidR="005271CD" w:rsidRPr="00145F70" w:rsidRDefault="005271CD">
            <w:pPr>
              <w:pStyle w:val="NormalHeadings"/>
              <w:tabs>
                <w:tab w:val="right" w:pos="3609"/>
              </w:tabs>
              <w:jc w:val="right"/>
              <w:rPr>
                <w:caps/>
                <w:szCs w:val="24"/>
              </w:rPr>
            </w:pPr>
          </w:p>
        </w:tc>
      </w:tr>
      <w:tr w:rsidR="00923905">
        <w:tblPrEx>
          <w:tblCellMar>
            <w:top w:w="0" w:type="dxa"/>
            <w:bottom w:w="0" w:type="dxa"/>
          </w:tblCellMar>
        </w:tblPrEx>
        <w:tc>
          <w:tcPr>
            <w:tcW w:w="6771" w:type="dxa"/>
          </w:tcPr>
          <w:p w:rsidR="00923905" w:rsidRPr="00884B15" w:rsidRDefault="0092390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367FC7">
              <w:rPr>
                <w:caps/>
                <w:szCs w:val="24"/>
              </w:rPr>
              <w:t>GENERAL DIVISION</w:t>
            </w:r>
            <w:r>
              <w:rPr>
                <w:caps/>
                <w:szCs w:val="24"/>
              </w:rPr>
              <w:fldChar w:fldCharType="end"/>
            </w:r>
          </w:p>
        </w:tc>
        <w:tc>
          <w:tcPr>
            <w:tcW w:w="2471" w:type="dxa"/>
          </w:tcPr>
          <w:p w:rsidR="00923905" w:rsidRPr="00145F70" w:rsidRDefault="00923905" w:rsidP="00EE76E8">
            <w:pPr>
              <w:pStyle w:val="NormalHeadings"/>
              <w:tabs>
                <w:tab w:val="right" w:pos="3609"/>
              </w:tabs>
              <w:jc w:val="right"/>
              <w:rPr>
                <w:caps/>
                <w:szCs w:val="24"/>
              </w:rPr>
            </w:pPr>
            <w:r w:rsidRPr="00145F70">
              <w:rPr>
                <w:caps/>
                <w:szCs w:val="24"/>
              </w:rPr>
              <w:fldChar w:fldCharType="begin" w:fldLock="1"/>
            </w:r>
            <w:r w:rsidRPr="00145F70">
              <w:rPr>
                <w:caps/>
                <w:szCs w:val="24"/>
              </w:rPr>
              <w:instrText xml:space="preserve"> REF  Num </w:instrText>
            </w:r>
            <w:r>
              <w:rPr>
                <w:caps/>
                <w:szCs w:val="24"/>
              </w:rPr>
              <w:instrText xml:space="preserve"> \* MERGEFORMAT </w:instrText>
            </w:r>
            <w:r w:rsidRPr="00145F70">
              <w:rPr>
                <w:caps/>
                <w:szCs w:val="24"/>
              </w:rPr>
              <w:fldChar w:fldCharType="separate"/>
            </w:r>
            <w:r w:rsidR="00367FC7" w:rsidRPr="00367FC7">
              <w:rPr>
                <w:caps/>
                <w:szCs w:val="24"/>
              </w:rPr>
              <w:t>NSD</w:t>
            </w:r>
            <w:r w:rsidR="00367FC7">
              <w:rPr>
                <w:szCs w:val="24"/>
              </w:rPr>
              <w:t xml:space="preserve"> 907 of 2010</w:t>
            </w:r>
            <w:r w:rsidRPr="00145F70">
              <w:rPr>
                <w:caps/>
                <w:szCs w:val="24"/>
              </w:rPr>
              <w:fldChar w:fldCharType="end"/>
            </w:r>
          </w:p>
        </w:tc>
      </w:tr>
    </w:tbl>
    <w:p w:rsidR="005271CD" w:rsidRDefault="00EF4F7D" w:rsidP="00867153">
      <w:pPr>
        <w:pStyle w:val="AppealTable"/>
      </w:pPr>
      <w:r>
        <w:fldChar w:fldCharType="begin" w:fldLock="1"/>
      </w:r>
      <w:r>
        <w:instrText xml:space="preserve"> Ref AppealTable </w:instrText>
      </w:r>
      <w:r w:rsidR="00867153">
        <w:instrText xml:space="preserve"> \* MERGEFORMAT </w:instrText>
      </w:r>
      <w:r w:rsidR="00367FC7">
        <w:fldChar w:fldCharType="separate"/>
      </w:r>
      <w:r w:rsidR="00367FC7">
        <w:t xml:space="preserve"> </w:t>
      </w:r>
      <w:r>
        <w:fldChar w:fldCharType="end"/>
      </w: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rPr>
          <w:trHeight w:val="386"/>
        </w:trPr>
        <w:tc>
          <w:tcPr>
            <w:tcW w:w="2376" w:type="dxa"/>
          </w:tcPr>
          <w:p w:rsidR="005271CD" w:rsidRPr="00B76E4F" w:rsidRDefault="005271CD" w:rsidP="00E04ACD">
            <w:pPr>
              <w:pStyle w:val="NormalHeadings"/>
              <w:jc w:val="left"/>
              <w:rPr>
                <w:caps/>
                <w:szCs w:val="24"/>
              </w:rPr>
            </w:pPr>
            <w:r w:rsidRPr="00B76E4F">
              <w:rPr>
                <w:caps/>
                <w:szCs w:val="24"/>
              </w:rPr>
              <w:t>BETWEEN:</w:t>
            </w:r>
          </w:p>
        </w:tc>
        <w:tc>
          <w:tcPr>
            <w:tcW w:w="6866" w:type="dxa"/>
          </w:tcPr>
          <w:p w:rsidR="00367FC7" w:rsidRDefault="00C741C6"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sidR="00884B15">
              <w:rPr>
                <w:caps/>
                <w:szCs w:val="24"/>
              </w:rPr>
              <w:instrText xml:space="preserve"> \* MERGEFORMAT </w:instrText>
            </w:r>
            <w:r w:rsidR="00E1678F">
              <w:rPr>
                <w:caps/>
                <w:szCs w:val="24"/>
              </w:rPr>
              <w:fldChar w:fldCharType="separate"/>
            </w:r>
            <w:r w:rsidR="00367FC7" w:rsidRPr="00367FC7">
              <w:rPr>
                <w:caps/>
                <w:szCs w:val="24"/>
              </w:rPr>
              <w:t>JULIA</w:t>
            </w:r>
            <w:r w:rsidR="00367FC7">
              <w:rPr>
                <w:szCs w:val="24"/>
              </w:rPr>
              <w:t xml:space="preserve"> HARAKSIN</w:t>
            </w:r>
          </w:p>
          <w:p w:rsidR="00367FC7" w:rsidRDefault="00367FC7" w:rsidP="00EC74B1">
            <w:pPr>
              <w:pStyle w:val="NormalHeadings"/>
              <w:jc w:val="left"/>
              <w:rPr>
                <w:szCs w:val="24"/>
              </w:rPr>
            </w:pPr>
            <w:r>
              <w:rPr>
                <w:szCs w:val="24"/>
              </w:rPr>
              <w:t>Applicant</w:t>
            </w:r>
          </w:p>
          <w:p w:rsidR="005271CD" w:rsidRPr="00884B15" w:rsidRDefault="00C741C6">
            <w:pPr>
              <w:pStyle w:val="NormalHeadings"/>
              <w:jc w:val="left"/>
              <w:rPr>
                <w:caps/>
                <w:szCs w:val="24"/>
              </w:rPr>
            </w:pPr>
            <w:r w:rsidRPr="00884B15">
              <w:rPr>
                <w:caps/>
                <w:szCs w:val="24"/>
              </w:rPr>
              <w:fldChar w:fldCharType="end"/>
            </w:r>
          </w:p>
        </w:tc>
      </w:tr>
      <w:tr w:rsidR="005271CD">
        <w:tblPrEx>
          <w:tblCellMar>
            <w:top w:w="0" w:type="dxa"/>
            <w:bottom w:w="0" w:type="dxa"/>
          </w:tblCellMar>
        </w:tblPrEx>
        <w:trPr>
          <w:trHeight w:val="386"/>
        </w:trPr>
        <w:tc>
          <w:tcPr>
            <w:tcW w:w="2376" w:type="dxa"/>
          </w:tcPr>
          <w:p w:rsidR="005271CD" w:rsidRPr="00B76E4F" w:rsidRDefault="005271CD" w:rsidP="00E04ACD">
            <w:pPr>
              <w:pStyle w:val="NormalHeadings"/>
              <w:jc w:val="left"/>
              <w:rPr>
                <w:caps/>
                <w:szCs w:val="24"/>
              </w:rPr>
            </w:pPr>
            <w:r w:rsidRPr="00B76E4F">
              <w:rPr>
                <w:caps/>
                <w:szCs w:val="24"/>
              </w:rPr>
              <w:t>AND:</w:t>
            </w:r>
          </w:p>
        </w:tc>
        <w:tc>
          <w:tcPr>
            <w:tcW w:w="6866" w:type="dxa"/>
          </w:tcPr>
          <w:p w:rsidR="00367FC7" w:rsidRDefault="00C741C6"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sidR="00884B15">
              <w:rPr>
                <w:caps/>
                <w:szCs w:val="24"/>
              </w:rPr>
              <w:instrText xml:space="preserve"> \* MERGEFORMAT </w:instrText>
            </w:r>
            <w:r w:rsidR="00E1678F">
              <w:rPr>
                <w:caps/>
                <w:szCs w:val="24"/>
              </w:rPr>
              <w:fldChar w:fldCharType="separate"/>
            </w:r>
            <w:r w:rsidR="00367FC7" w:rsidRPr="00367FC7">
              <w:rPr>
                <w:caps/>
                <w:szCs w:val="24"/>
              </w:rPr>
              <w:t>MURRAYS</w:t>
            </w:r>
            <w:r w:rsidR="00367FC7">
              <w:rPr>
                <w:szCs w:val="24"/>
              </w:rPr>
              <w:t xml:space="preserve"> AUSTRALIA LTD (ACN 008 468 666)</w:t>
            </w:r>
          </w:p>
          <w:p w:rsidR="00367FC7" w:rsidRDefault="00367FC7" w:rsidP="00000427">
            <w:pPr>
              <w:pStyle w:val="NormalHeadings"/>
              <w:jc w:val="left"/>
              <w:rPr>
                <w:szCs w:val="24"/>
              </w:rPr>
            </w:pPr>
            <w:r>
              <w:rPr>
                <w:szCs w:val="24"/>
              </w:rPr>
              <w:t>Respondent</w:t>
            </w:r>
          </w:p>
          <w:p w:rsidR="005271CD" w:rsidRPr="00884B15" w:rsidRDefault="00C741C6">
            <w:pPr>
              <w:pStyle w:val="NormalHeadings"/>
              <w:jc w:val="left"/>
              <w:rPr>
                <w:caps/>
                <w:szCs w:val="24"/>
              </w:rPr>
            </w:pPr>
            <w:r w:rsidRPr="00884B15">
              <w:rPr>
                <w:caps/>
                <w:szCs w:val="24"/>
              </w:rPr>
              <w:fldChar w:fldCharType="end"/>
            </w:r>
          </w:p>
        </w:tc>
      </w:tr>
    </w:tbl>
    <w:p w:rsidR="005271CD"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tblPrEx>
          <w:tblCellMar>
            <w:top w:w="0" w:type="dxa"/>
            <w:bottom w:w="0" w:type="dxa"/>
          </w:tblCellMar>
        </w:tblPrEx>
        <w:tc>
          <w:tcPr>
            <w:tcW w:w="2376" w:type="dxa"/>
          </w:tcPr>
          <w:p w:rsidR="005271CD" w:rsidRPr="00884B15" w:rsidRDefault="00C741C6">
            <w:pPr>
              <w:pStyle w:val="NormalHeadings"/>
              <w:spacing w:after="120"/>
              <w:jc w:val="left"/>
              <w:rPr>
                <w:caps/>
                <w:szCs w:val="24"/>
              </w:rPr>
            </w:pPr>
            <w:r w:rsidRPr="00884B15">
              <w:rPr>
                <w:caps/>
                <w:szCs w:val="24"/>
              </w:rPr>
              <w:fldChar w:fldCharType="begin" w:fldLock="1"/>
            </w:r>
            <w:r w:rsidRPr="00884B15">
              <w:rPr>
                <w:caps/>
                <w:szCs w:val="24"/>
              </w:rPr>
              <w:instrText xml:space="preserve"> REF JudgeText </w:instrText>
            </w:r>
            <w:r w:rsidR="00884B15" w:rsidRPr="00884B15">
              <w:rPr>
                <w:caps/>
                <w:szCs w:val="24"/>
              </w:rPr>
              <w:instrText xml:space="preserve"> \* MERGEFORMAT </w:instrText>
            </w:r>
            <w:r w:rsidR="00E1678F">
              <w:rPr>
                <w:caps/>
                <w:szCs w:val="24"/>
              </w:rPr>
              <w:fldChar w:fldCharType="separate"/>
            </w:r>
            <w:r w:rsidR="00367FC7">
              <w:rPr>
                <w:caps/>
                <w:szCs w:val="24"/>
              </w:rPr>
              <w:t>JUDGE</w:t>
            </w:r>
            <w:r w:rsidRPr="00884B15">
              <w:rPr>
                <w:caps/>
                <w:szCs w:val="24"/>
              </w:rPr>
              <w:fldChar w:fldCharType="end"/>
            </w:r>
            <w:r w:rsidR="005271CD" w:rsidRPr="00884B15">
              <w:rPr>
                <w:caps/>
                <w:szCs w:val="24"/>
              </w:rPr>
              <w:t>:</w:t>
            </w:r>
          </w:p>
        </w:tc>
        <w:tc>
          <w:tcPr>
            <w:tcW w:w="6866" w:type="dxa"/>
          </w:tcPr>
          <w:p w:rsidR="005271CD" w:rsidRPr="00884B15" w:rsidRDefault="004E2080">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367FC7">
              <w:rPr>
                <w:caps/>
                <w:szCs w:val="24"/>
              </w:rPr>
              <w:t>NICHOLAS J</w:t>
            </w:r>
            <w:r>
              <w:rPr>
                <w:caps/>
                <w:szCs w:val="24"/>
              </w:rPr>
              <w:fldChar w:fldCharType="end"/>
            </w:r>
          </w:p>
        </w:tc>
      </w:tr>
      <w:tr w:rsidR="005271CD">
        <w:tblPrEx>
          <w:tblCellMar>
            <w:top w:w="0" w:type="dxa"/>
            <w:bottom w:w="0" w:type="dxa"/>
          </w:tblCellMar>
        </w:tblPrEx>
        <w:tc>
          <w:tcPr>
            <w:tcW w:w="2376" w:type="dxa"/>
          </w:tcPr>
          <w:p w:rsidR="005271CD" w:rsidRPr="00884B15" w:rsidRDefault="005271CD">
            <w:pPr>
              <w:pStyle w:val="NormalHeadings"/>
              <w:spacing w:after="120"/>
              <w:jc w:val="left"/>
              <w:rPr>
                <w:caps/>
                <w:szCs w:val="24"/>
              </w:rPr>
            </w:pPr>
            <w:r w:rsidRPr="00884B15">
              <w:rPr>
                <w:caps/>
                <w:szCs w:val="24"/>
              </w:rPr>
              <w:t>DATE:</w:t>
            </w:r>
          </w:p>
        </w:tc>
        <w:tc>
          <w:tcPr>
            <w:tcW w:w="6866" w:type="dxa"/>
          </w:tcPr>
          <w:p w:rsidR="005271CD" w:rsidRPr="00884B15" w:rsidRDefault="001A0FF0">
            <w:pPr>
              <w:pStyle w:val="NormalHeadings"/>
              <w:rPr>
                <w:caps/>
                <w:szCs w:val="24"/>
              </w:rPr>
            </w:pPr>
            <w:r>
              <w:rPr>
                <w:caps/>
                <w:szCs w:val="24"/>
              </w:rPr>
              <w:t>20 october 2010</w:t>
            </w:r>
            <w:r w:rsidR="00C741C6" w:rsidRPr="00884B15">
              <w:rPr>
                <w:caps/>
                <w:szCs w:val="24"/>
              </w:rPr>
              <w:fldChar w:fldCharType="begin" w:fldLock="1"/>
            </w:r>
            <w:r w:rsidR="00C741C6" w:rsidRPr="00884B15">
              <w:rPr>
                <w:caps/>
                <w:szCs w:val="24"/>
              </w:rPr>
              <w:instrText xml:space="preserve"> REF Judgment_Dated </w:instrText>
            </w:r>
            <w:r w:rsidR="00884B15">
              <w:rPr>
                <w:caps/>
                <w:szCs w:val="24"/>
              </w:rPr>
              <w:instrText xml:space="preserve"> \* MERGEFORMAT </w:instrText>
            </w:r>
            <w:r w:rsidR="00C741C6" w:rsidRPr="00884B15">
              <w:rPr>
                <w:caps/>
                <w:szCs w:val="24"/>
              </w:rPr>
              <w:fldChar w:fldCharType="end"/>
            </w:r>
          </w:p>
        </w:tc>
      </w:tr>
      <w:tr w:rsidR="005271CD">
        <w:tblPrEx>
          <w:tblCellMar>
            <w:top w:w="0" w:type="dxa"/>
            <w:bottom w:w="0" w:type="dxa"/>
          </w:tblCellMar>
        </w:tblPrEx>
        <w:tc>
          <w:tcPr>
            <w:tcW w:w="2376" w:type="dxa"/>
          </w:tcPr>
          <w:p w:rsidR="005271CD" w:rsidRPr="00884B15" w:rsidRDefault="005271CD">
            <w:pPr>
              <w:pStyle w:val="NormalHeadings"/>
              <w:spacing w:after="120"/>
              <w:jc w:val="left"/>
              <w:rPr>
                <w:caps/>
                <w:szCs w:val="24"/>
              </w:rPr>
            </w:pPr>
            <w:r w:rsidRPr="00884B15">
              <w:rPr>
                <w:caps/>
                <w:szCs w:val="24"/>
              </w:rPr>
              <w:t>PLACE:</w:t>
            </w:r>
          </w:p>
        </w:tc>
        <w:tc>
          <w:tcPr>
            <w:tcW w:w="6866" w:type="dxa"/>
          </w:tcPr>
          <w:p w:rsidR="005271CD" w:rsidRPr="00012E32" w:rsidRDefault="00C741C6">
            <w:pPr>
              <w:pStyle w:val="NormalHeadings"/>
              <w:rPr>
                <w:caps/>
                <w:szCs w:val="24"/>
              </w:rPr>
            </w:pPr>
            <w:r w:rsidRPr="00012E32">
              <w:rPr>
                <w:caps/>
                <w:szCs w:val="24"/>
              </w:rPr>
              <w:fldChar w:fldCharType="begin" w:fldLock="1"/>
            </w:r>
            <w:r w:rsidRPr="00012E32">
              <w:rPr>
                <w:caps/>
                <w:szCs w:val="24"/>
              </w:rPr>
              <w:instrText xml:space="preserve"> REF Place </w:instrText>
            </w:r>
            <w:r w:rsidR="00884B15" w:rsidRPr="00012E32">
              <w:rPr>
                <w:caps/>
                <w:szCs w:val="24"/>
              </w:rPr>
              <w:instrText xml:space="preserve"> \* MERGEFORMAT </w:instrText>
            </w:r>
            <w:r w:rsidR="00E1678F" w:rsidRPr="00012E32">
              <w:rPr>
                <w:caps/>
                <w:szCs w:val="24"/>
              </w:rPr>
              <w:fldChar w:fldCharType="separate"/>
            </w:r>
            <w:r w:rsidR="00367FC7">
              <w:rPr>
                <w:caps/>
                <w:szCs w:val="24"/>
              </w:rPr>
              <w:t>SYDNEY</w:t>
            </w:r>
            <w:r w:rsidRPr="00012E32">
              <w:rPr>
                <w:caps/>
                <w:szCs w:val="24"/>
              </w:rPr>
              <w:fldChar w:fldCharType="end"/>
            </w:r>
          </w:p>
        </w:tc>
      </w:tr>
    </w:tbl>
    <w:p w:rsidR="005271CD" w:rsidRDefault="005271CD"/>
    <w:p w:rsidR="008247CB" w:rsidRDefault="008247CB"/>
    <w:p w:rsidR="005271CD" w:rsidRDefault="005271CD" w:rsidP="00E116B6">
      <w:pPr>
        <w:pStyle w:val="StyleBold"/>
        <w:jc w:val="center"/>
        <w:rPr>
          <w:b/>
        </w:rPr>
      </w:pPr>
      <w:r w:rsidRPr="00687B23">
        <w:rPr>
          <w:b/>
        </w:rPr>
        <w:t>REASONS FOR JUDGMENT</w:t>
      </w:r>
    </w:p>
    <w:p w:rsidR="004A662B" w:rsidRPr="004A662B" w:rsidRDefault="004A662B" w:rsidP="004A662B"/>
    <w:p w:rsidR="006873C4" w:rsidRDefault="003B15AB" w:rsidP="00367FC7">
      <w:pPr>
        <w:pStyle w:val="ParaNumbering"/>
      </w:pPr>
      <w:r>
        <w:t>Before me is a notice of motion filed by the applicant in this proceeding seeking</w:t>
      </w:r>
      <w:r w:rsidR="004A662B">
        <w:t xml:space="preserve"> an order under </w:t>
      </w:r>
      <w:r w:rsidR="00D65BE3">
        <w:t>O </w:t>
      </w:r>
      <w:r w:rsidR="004A662B">
        <w:t>62A</w:t>
      </w:r>
      <w:r w:rsidR="00D65BE3">
        <w:t xml:space="preserve"> r 1</w:t>
      </w:r>
      <w:r w:rsidR="004A662B">
        <w:t xml:space="preserve"> of the </w:t>
      </w:r>
      <w:r w:rsidR="004A662B" w:rsidRPr="005748A6">
        <w:rPr>
          <w:i/>
        </w:rPr>
        <w:t>Federal Court Rules</w:t>
      </w:r>
      <w:r w:rsidR="004A662B">
        <w:t xml:space="preserve"> limiting the costs that may be recovered by one party from another on a party/party basis to $15,000.  </w:t>
      </w:r>
      <w:r w:rsidR="0019305D">
        <w:t xml:space="preserve">The application </w:t>
      </w:r>
      <w:r>
        <w:t xml:space="preserve">under O 62A r 1 </w:t>
      </w:r>
      <w:r w:rsidR="0019305D">
        <w:t xml:space="preserve">has been </w:t>
      </w:r>
      <w:r>
        <w:t>made</w:t>
      </w:r>
      <w:r w:rsidR="0019305D">
        <w:t xml:space="preserve"> promptly</w:t>
      </w:r>
      <w:r w:rsidR="00596162">
        <w:t>.</w:t>
      </w:r>
      <w:r w:rsidR="0019305D">
        <w:t xml:space="preserve"> </w:t>
      </w:r>
      <w:r w:rsidR="00596162">
        <w:t>I</w:t>
      </w:r>
      <w:r w:rsidR="0019305D">
        <w:t>t was foreshadowed at the first directions hearing.  The pleadings</w:t>
      </w:r>
      <w:r>
        <w:t xml:space="preserve"> in the proceeding</w:t>
      </w:r>
      <w:r w:rsidR="0019305D">
        <w:t xml:space="preserve"> </w:t>
      </w:r>
      <w:r w:rsidR="00596162">
        <w:t xml:space="preserve">have </w:t>
      </w:r>
      <w:r w:rsidR="0019305D">
        <w:t xml:space="preserve">closed but no affidavits have been filed.  </w:t>
      </w:r>
    </w:p>
    <w:p w:rsidR="0019305D" w:rsidRDefault="00F84B7D" w:rsidP="00F84B7D">
      <w:pPr>
        <w:pStyle w:val="Heading1"/>
      </w:pPr>
      <w:r>
        <w:t>Nature of the proceeding</w:t>
      </w:r>
    </w:p>
    <w:p w:rsidR="00F84B7D" w:rsidRDefault="008629D2" w:rsidP="00367FC7">
      <w:pPr>
        <w:pStyle w:val="ParaNumbering"/>
      </w:pPr>
      <w:r>
        <w:t xml:space="preserve">The proceeding was commenced in July this year pursuant to s 46PO of the </w:t>
      </w:r>
      <w:r w:rsidRPr="008629D2">
        <w:rPr>
          <w:i/>
        </w:rPr>
        <w:t>Australian Human Rights Commission Act</w:t>
      </w:r>
      <w:r>
        <w:t xml:space="preserve"> 1986</w:t>
      </w:r>
      <w:r w:rsidR="005748A6">
        <w:t xml:space="preserve"> (Cth)</w:t>
      </w:r>
      <w:r>
        <w:t xml:space="preserve">.  The applicant alleges that she suffers from a disability as defined in s 4(1) of the </w:t>
      </w:r>
      <w:r w:rsidRPr="008629D2">
        <w:rPr>
          <w:i/>
        </w:rPr>
        <w:t>Disability Discrimination Act</w:t>
      </w:r>
      <w:r>
        <w:t xml:space="preserve"> 1992 (Cth) (</w:t>
      </w:r>
      <w:r w:rsidR="00D65BE3" w:rsidRPr="00847163">
        <w:rPr>
          <w:b/>
        </w:rPr>
        <w:t>Disability</w:t>
      </w:r>
      <w:r w:rsidR="00D65BE3" w:rsidRPr="00847163">
        <w:t xml:space="preserve"> </w:t>
      </w:r>
      <w:r w:rsidRPr="00847163">
        <w:rPr>
          <w:b/>
        </w:rPr>
        <w:t>Discrimination Act</w:t>
      </w:r>
      <w:r>
        <w:t>).  She alleges that the respondent is an operator of a public transport service</w:t>
      </w:r>
      <w:r w:rsidR="00596162">
        <w:t xml:space="preserve"> which is </w:t>
      </w:r>
      <w:r>
        <w:t xml:space="preserve">required to comply with the </w:t>
      </w:r>
      <w:r w:rsidRPr="008629D2">
        <w:rPr>
          <w:i/>
        </w:rPr>
        <w:t>Disability Standards for Accessible Public Transport</w:t>
      </w:r>
      <w:r>
        <w:t xml:space="preserve"> 2002 (Cth) (</w:t>
      </w:r>
      <w:r w:rsidRPr="008629D2">
        <w:rPr>
          <w:b/>
        </w:rPr>
        <w:t>Transport Standards</w:t>
      </w:r>
      <w:r>
        <w:t xml:space="preserve">).  She alleges that the respondent </w:t>
      </w:r>
      <w:r w:rsidR="00596162">
        <w:t xml:space="preserve">has </w:t>
      </w:r>
      <w:r w:rsidR="00BC264C">
        <w:t xml:space="preserve">contravened </w:t>
      </w:r>
      <w:r>
        <w:t xml:space="preserve">s 32 of the </w:t>
      </w:r>
      <w:r w:rsidR="00D65BE3" w:rsidRPr="00847163">
        <w:t xml:space="preserve">Disability </w:t>
      </w:r>
      <w:r w:rsidRPr="00847163">
        <w:t>Discrimination Act</w:t>
      </w:r>
      <w:r>
        <w:t xml:space="preserve"> and s 33.1 and s 33.2 and Schedule 1 of the Transport Standards.  </w:t>
      </w:r>
      <w:r w:rsidR="00BC264C">
        <w:t xml:space="preserve">Section 32 </w:t>
      </w:r>
      <w:r w:rsidR="005748A6">
        <w:t xml:space="preserve">of the Disability Discrimination Act </w:t>
      </w:r>
      <w:r w:rsidR="00BC264C">
        <w:t xml:space="preserve">states that it is unlawful for a person to contravene a disability standard.  </w:t>
      </w:r>
    </w:p>
    <w:p w:rsidR="008629D2" w:rsidRDefault="008629D2" w:rsidP="00367FC7">
      <w:pPr>
        <w:pStyle w:val="ParaNumbering"/>
      </w:pPr>
      <w:r>
        <w:lastRenderedPageBreak/>
        <w:t xml:space="preserve">The applicant further alleges </w:t>
      </w:r>
      <w:r w:rsidR="00BC264C">
        <w:t xml:space="preserve">that </w:t>
      </w:r>
      <w:r>
        <w:t xml:space="preserve">the respondent has </w:t>
      </w:r>
      <w:r w:rsidR="00BC264C">
        <w:t xml:space="preserve">engaged in direct discrimination </w:t>
      </w:r>
      <w:r>
        <w:t xml:space="preserve">against her in the provision of services on the ground of her disability and thereby </w:t>
      </w:r>
      <w:r w:rsidR="001A0FF0">
        <w:t xml:space="preserve">contravened </w:t>
      </w:r>
      <w:r>
        <w:t xml:space="preserve">s 23(a), (b) and (c), and s 24(a) and (b) of the </w:t>
      </w:r>
      <w:r w:rsidR="00D65BE3" w:rsidRPr="00B72991">
        <w:t xml:space="preserve">Disability </w:t>
      </w:r>
      <w:r w:rsidRPr="00B72991">
        <w:t>Discrimination Act</w:t>
      </w:r>
      <w:r>
        <w:t>.  She also allege</w:t>
      </w:r>
      <w:r w:rsidR="00B72D9B">
        <w:t>s</w:t>
      </w:r>
      <w:r>
        <w:t xml:space="preserve"> that the respondent engaged in indirect discrimination in </w:t>
      </w:r>
      <w:r w:rsidR="001A0FF0">
        <w:t xml:space="preserve">contravention </w:t>
      </w:r>
      <w:r>
        <w:t xml:space="preserve">of s 23(a), (b) and (c) and 24(a) and (b) of the </w:t>
      </w:r>
      <w:r w:rsidR="00D65BE3">
        <w:t xml:space="preserve">Disability </w:t>
      </w:r>
      <w:r>
        <w:t>Discrimination Act.</w:t>
      </w:r>
      <w:r w:rsidR="00596162">
        <w:t xml:space="preserve">  </w:t>
      </w:r>
      <w:r>
        <w:t xml:space="preserve">All allegations of </w:t>
      </w:r>
      <w:r w:rsidR="00BC264C">
        <w:t>contravention</w:t>
      </w:r>
      <w:r>
        <w:t xml:space="preserve"> of the </w:t>
      </w:r>
      <w:r w:rsidR="00D65BE3">
        <w:t xml:space="preserve">Disability </w:t>
      </w:r>
      <w:r>
        <w:t xml:space="preserve">Discrimination Act and the Transport Standards are denied or not admitted by the respondent.  </w:t>
      </w:r>
    </w:p>
    <w:p w:rsidR="00BC264C" w:rsidRDefault="00137EE0" w:rsidP="00367FC7">
      <w:pPr>
        <w:pStyle w:val="ParaNumbering"/>
      </w:pPr>
      <w:r>
        <w:t>The respondent does not admit that the Transport Standards apply in the circumstances of this case or that it was obliged to comply with the provision</w:t>
      </w:r>
      <w:r w:rsidR="00D567BF">
        <w:t>s alleged to have been contravened</w:t>
      </w:r>
      <w:r>
        <w:t xml:space="preserve">.  It also relies upon a defence of “unjustifiable hardship”: see s 29A and s 11 of the </w:t>
      </w:r>
      <w:r w:rsidRPr="00847163">
        <w:t>Disability Discrimination Act</w:t>
      </w:r>
      <w:r w:rsidR="001A0FF0">
        <w:t xml:space="preserve"> and s 33.7 of the Transport Standards</w:t>
      </w:r>
      <w:r>
        <w:t xml:space="preserve">.  Section 11(2) </w:t>
      </w:r>
      <w:r w:rsidR="001A0FF0">
        <w:t xml:space="preserve">of the </w:t>
      </w:r>
      <w:r w:rsidR="001A0FF0" w:rsidRPr="00847163">
        <w:t>Disability Discrimination Act</w:t>
      </w:r>
      <w:r w:rsidR="001A0FF0">
        <w:t xml:space="preserve"> </w:t>
      </w:r>
      <w:r>
        <w:t xml:space="preserve">provides that the burden of proving that something would impose unjustifiable hardship lies on the person claiming unjustifiable hardship.  </w:t>
      </w:r>
    </w:p>
    <w:p w:rsidR="004A662B" w:rsidRDefault="004A662B" w:rsidP="004A662B">
      <w:pPr>
        <w:pStyle w:val="Heading1"/>
      </w:pPr>
      <w:r>
        <w:t>Order 62A</w:t>
      </w:r>
    </w:p>
    <w:p w:rsidR="004A662B" w:rsidRDefault="004A662B" w:rsidP="00367FC7">
      <w:pPr>
        <w:pStyle w:val="ParaNumbering"/>
      </w:pPr>
      <w:r>
        <w:t>Order 62A provides:</w:t>
      </w:r>
    </w:p>
    <w:p w:rsidR="004A662B" w:rsidRDefault="004A662B" w:rsidP="004A662B">
      <w:pPr>
        <w:pStyle w:val="Quote1"/>
        <w:spacing w:after="180"/>
      </w:pPr>
      <w:r>
        <w:t>1.</w:t>
      </w:r>
      <w:r>
        <w:tab/>
      </w:r>
      <w:r w:rsidRPr="004A662B">
        <w:rPr>
          <w:b/>
        </w:rPr>
        <w:t>Power to order maximum costs</w:t>
      </w:r>
    </w:p>
    <w:p w:rsidR="004A662B" w:rsidRDefault="004A662B" w:rsidP="004A662B">
      <w:pPr>
        <w:pStyle w:val="Quote1"/>
        <w:spacing w:after="180"/>
        <w:ind w:left="1440" w:hanging="703"/>
      </w:pPr>
      <w:r>
        <w:tab/>
        <w:t>The Court may, by order made at a directions hearing, specify the maximum costs that may be recovered on a party and party basis.</w:t>
      </w:r>
    </w:p>
    <w:p w:rsidR="004A662B" w:rsidRDefault="002664BB" w:rsidP="002664BB">
      <w:pPr>
        <w:pStyle w:val="Quote1"/>
        <w:spacing w:after="180"/>
        <w:ind w:left="1440" w:hanging="703"/>
      </w:pPr>
      <w:r w:rsidRPr="002664BB">
        <w:t>2.</w:t>
      </w:r>
      <w:r>
        <w:tab/>
      </w:r>
      <w:r w:rsidR="004A662B" w:rsidRPr="004A662B">
        <w:rPr>
          <w:b/>
        </w:rPr>
        <w:t>Excluded costs</w:t>
      </w:r>
    </w:p>
    <w:p w:rsidR="002664BB" w:rsidRDefault="002664BB" w:rsidP="002664BB">
      <w:pPr>
        <w:pStyle w:val="Quote1"/>
        <w:spacing w:after="180"/>
        <w:ind w:left="1440" w:hanging="703"/>
      </w:pPr>
      <w:r>
        <w:tab/>
      </w:r>
      <w:r w:rsidRPr="002664BB">
        <w:t>A maximum amount specified in an order under rule 1 shall not include an amount that a party is ordered to pay because the party:</w:t>
      </w:r>
    </w:p>
    <w:p w:rsidR="002664BB" w:rsidRDefault="002664BB" w:rsidP="002664BB">
      <w:pPr>
        <w:pStyle w:val="Quote1"/>
        <w:tabs>
          <w:tab w:val="left" w:pos="1418"/>
          <w:tab w:val="left" w:pos="1985"/>
          <w:tab w:val="left" w:pos="2552"/>
        </w:tabs>
        <w:spacing w:after="180"/>
        <w:ind w:left="1440" w:hanging="703"/>
      </w:pPr>
      <w:r>
        <w:tab/>
        <w:t>(a)</w:t>
      </w:r>
      <w:r>
        <w:tab/>
      </w:r>
      <w:r w:rsidRPr="002664BB">
        <w:t>has failed to comply with an order or with any of these Rules; or</w:t>
      </w:r>
    </w:p>
    <w:p w:rsidR="002664BB" w:rsidRDefault="002664BB" w:rsidP="002664BB">
      <w:pPr>
        <w:pStyle w:val="Quote1"/>
        <w:tabs>
          <w:tab w:val="left" w:pos="1418"/>
          <w:tab w:val="left" w:pos="1985"/>
          <w:tab w:val="left" w:pos="2552"/>
        </w:tabs>
        <w:spacing w:after="180"/>
        <w:ind w:left="1440" w:hanging="703"/>
      </w:pPr>
      <w:r>
        <w:tab/>
        <w:t>(b)</w:t>
      </w:r>
      <w:r>
        <w:tab/>
      </w:r>
      <w:r w:rsidRPr="002664BB">
        <w:t>has sought leave to amend its pleadings or particulars; or</w:t>
      </w:r>
    </w:p>
    <w:p w:rsidR="002664BB" w:rsidRDefault="002664BB" w:rsidP="002664BB">
      <w:pPr>
        <w:pStyle w:val="Quote1"/>
        <w:tabs>
          <w:tab w:val="left" w:pos="1418"/>
          <w:tab w:val="left" w:pos="1985"/>
          <w:tab w:val="left" w:pos="2552"/>
        </w:tabs>
        <w:spacing w:after="180"/>
        <w:ind w:left="1985" w:hanging="1248"/>
      </w:pPr>
      <w:r>
        <w:tab/>
        <w:t>(c)</w:t>
      </w:r>
      <w:r>
        <w:tab/>
      </w:r>
      <w:r w:rsidRPr="002664BB">
        <w:t>has sought an extension of time for complying with an order or with any of these Rules; or</w:t>
      </w:r>
    </w:p>
    <w:p w:rsidR="002664BB" w:rsidRDefault="002664BB" w:rsidP="002664BB">
      <w:pPr>
        <w:pStyle w:val="Quote1"/>
        <w:tabs>
          <w:tab w:val="left" w:pos="1418"/>
          <w:tab w:val="left" w:pos="1985"/>
          <w:tab w:val="left" w:pos="2552"/>
        </w:tabs>
        <w:spacing w:after="180"/>
        <w:ind w:left="1985" w:hanging="1248"/>
      </w:pPr>
      <w:r>
        <w:tab/>
        <w:t>(d)</w:t>
      </w:r>
      <w:r>
        <w:tab/>
        <w:t>has otherwise caused another party to incur costs that were not necessary for the economic and efficient:</w:t>
      </w:r>
    </w:p>
    <w:p w:rsidR="002664BB" w:rsidRDefault="002664BB" w:rsidP="002664BB">
      <w:pPr>
        <w:pStyle w:val="Quote1"/>
        <w:tabs>
          <w:tab w:val="left" w:pos="1418"/>
          <w:tab w:val="left" w:pos="1985"/>
          <w:tab w:val="left" w:pos="2552"/>
        </w:tabs>
        <w:spacing w:after="180"/>
        <w:ind w:left="1985" w:hanging="1248"/>
      </w:pPr>
      <w:r>
        <w:tab/>
      </w:r>
      <w:r>
        <w:tab/>
        <w:t>(i)</w:t>
      </w:r>
      <w:r>
        <w:tab/>
        <w:t>progress of the proceedings to trial; or</w:t>
      </w:r>
    </w:p>
    <w:p w:rsidR="002664BB" w:rsidRDefault="002664BB" w:rsidP="002664BB">
      <w:pPr>
        <w:pStyle w:val="Quote1"/>
        <w:tabs>
          <w:tab w:val="left" w:pos="1418"/>
          <w:tab w:val="left" w:pos="1985"/>
          <w:tab w:val="left" w:pos="2552"/>
        </w:tabs>
        <w:spacing w:after="180"/>
        <w:ind w:left="1985" w:hanging="1248"/>
      </w:pPr>
      <w:r>
        <w:tab/>
      </w:r>
      <w:r>
        <w:tab/>
        <w:t>(ii)</w:t>
      </w:r>
      <w:r>
        <w:tab/>
        <w:t>hearing of the action.</w:t>
      </w:r>
    </w:p>
    <w:p w:rsidR="002664BB" w:rsidRDefault="002664BB" w:rsidP="002664BB">
      <w:pPr>
        <w:pStyle w:val="Quote1"/>
        <w:tabs>
          <w:tab w:val="left" w:pos="1418"/>
          <w:tab w:val="left" w:pos="1985"/>
          <w:tab w:val="left" w:pos="2552"/>
        </w:tabs>
        <w:spacing w:after="180"/>
        <w:ind w:left="1985" w:hanging="1248"/>
      </w:pPr>
      <w:r>
        <w:t>3.</w:t>
      </w:r>
      <w:r>
        <w:tab/>
      </w:r>
      <w:r w:rsidRPr="002664BB">
        <w:rPr>
          <w:b/>
        </w:rPr>
        <w:t>Further directions</w:t>
      </w:r>
    </w:p>
    <w:p w:rsidR="002664BB" w:rsidRDefault="002664BB" w:rsidP="002664BB">
      <w:pPr>
        <w:pStyle w:val="Quote1"/>
        <w:tabs>
          <w:tab w:val="left" w:pos="1418"/>
          <w:tab w:val="left" w:pos="1985"/>
          <w:tab w:val="left" w:pos="2552"/>
        </w:tabs>
        <w:spacing w:after="180"/>
        <w:ind w:left="1418" w:hanging="681"/>
      </w:pPr>
      <w:r>
        <w:tab/>
        <w:t>An order under rule 1 may include such directions as the Court considers necessary to effect the economic and efficient:</w:t>
      </w:r>
    </w:p>
    <w:p w:rsidR="002664BB" w:rsidRDefault="002664BB" w:rsidP="002664BB">
      <w:pPr>
        <w:pStyle w:val="Quote1"/>
        <w:tabs>
          <w:tab w:val="left" w:pos="1418"/>
          <w:tab w:val="left" w:pos="1985"/>
          <w:tab w:val="left" w:pos="2552"/>
        </w:tabs>
        <w:spacing w:after="180"/>
        <w:ind w:left="1418" w:hanging="681"/>
      </w:pPr>
      <w:r>
        <w:lastRenderedPageBreak/>
        <w:tab/>
        <w:t>(a)</w:t>
      </w:r>
      <w:r>
        <w:tab/>
        <w:t>progress of the proceedings to trial; or</w:t>
      </w:r>
    </w:p>
    <w:p w:rsidR="002664BB" w:rsidRDefault="002664BB" w:rsidP="002664BB">
      <w:pPr>
        <w:pStyle w:val="Quote1"/>
        <w:tabs>
          <w:tab w:val="left" w:pos="1418"/>
          <w:tab w:val="left" w:pos="1985"/>
          <w:tab w:val="left" w:pos="2552"/>
        </w:tabs>
        <w:spacing w:after="180"/>
        <w:ind w:left="1418" w:hanging="681"/>
      </w:pPr>
      <w:r>
        <w:tab/>
        <w:t>(b)</w:t>
      </w:r>
      <w:r>
        <w:tab/>
        <w:t>hearing of the action.</w:t>
      </w:r>
    </w:p>
    <w:p w:rsidR="002664BB" w:rsidRDefault="002664BB" w:rsidP="002664BB">
      <w:pPr>
        <w:pStyle w:val="Quote1"/>
        <w:tabs>
          <w:tab w:val="left" w:pos="1418"/>
          <w:tab w:val="left" w:pos="1985"/>
          <w:tab w:val="left" w:pos="2552"/>
        </w:tabs>
        <w:spacing w:after="180"/>
        <w:ind w:left="1418" w:hanging="681"/>
      </w:pPr>
      <w:r>
        <w:t>4.</w:t>
      </w:r>
      <w:r>
        <w:tab/>
      </w:r>
      <w:r w:rsidRPr="002664BB">
        <w:rPr>
          <w:b/>
        </w:rPr>
        <w:t>Variation of order</w:t>
      </w:r>
    </w:p>
    <w:p w:rsidR="002664BB" w:rsidRPr="002664BB" w:rsidRDefault="002664BB" w:rsidP="002664BB">
      <w:pPr>
        <w:pStyle w:val="Quote1"/>
        <w:tabs>
          <w:tab w:val="left" w:pos="1418"/>
          <w:tab w:val="left" w:pos="1985"/>
          <w:tab w:val="left" w:pos="2552"/>
        </w:tabs>
        <w:spacing w:after="180"/>
        <w:ind w:left="1418" w:hanging="681"/>
      </w:pPr>
      <w:r>
        <w:tab/>
        <w:t>If, in the Court’s opinion, there are special reasons, and it is in the interests of justice to do so, the Court may vary the specification of maximum recoverable costs ordered under rule 1.</w:t>
      </w:r>
    </w:p>
    <w:p w:rsidR="0019305D" w:rsidRDefault="00B72D9B" w:rsidP="0019305D">
      <w:pPr>
        <w:pStyle w:val="ParaNumbering"/>
      </w:pPr>
      <w:r>
        <w:t xml:space="preserve">During the course of argument </w:t>
      </w:r>
      <w:r w:rsidR="00C06B24">
        <w:t xml:space="preserve">I was referred to various authorities concerned with </w:t>
      </w:r>
      <w:r w:rsidR="00D50AE4">
        <w:t>O 62A r 1</w:t>
      </w:r>
      <w:r w:rsidR="00C06B24">
        <w:t xml:space="preserve"> or similar provisions in other jurisdictions.  These included </w:t>
      </w:r>
      <w:r w:rsidR="00C06B24" w:rsidRPr="00C06B24">
        <w:rPr>
          <w:i/>
        </w:rPr>
        <w:t>Sacks v Permanent Trustee Australia Limited</w:t>
      </w:r>
      <w:r w:rsidR="00C06B24">
        <w:t xml:space="preserve"> (1993) 45 FCR 509 (Beazley J), </w:t>
      </w:r>
      <w:r w:rsidR="00C06B24" w:rsidRPr="00C06B24">
        <w:rPr>
          <w:i/>
        </w:rPr>
        <w:t>Woodlands v Permanent Trustee Company Limited</w:t>
      </w:r>
      <w:r w:rsidR="00C06B24">
        <w:t xml:space="preserve"> (1995) 58 FCR 139 (Wilcox</w:t>
      </w:r>
      <w:r w:rsidR="005748A6">
        <w:t xml:space="preserve"> J</w:t>
      </w:r>
      <w:r w:rsidR="00C06B24">
        <w:t xml:space="preserve">), </w:t>
      </w:r>
      <w:r w:rsidR="00C06B24" w:rsidRPr="00C06B24">
        <w:rPr>
          <w:i/>
        </w:rPr>
        <w:t>Hanisch v Strive Pty Ltd</w:t>
      </w:r>
      <w:r w:rsidR="00C06B24">
        <w:t xml:space="preserve"> (1997) 74 FCR 384 (Drummond J), </w:t>
      </w:r>
      <w:r w:rsidR="00C06B24" w:rsidRPr="00C06B24">
        <w:rPr>
          <w:i/>
        </w:rPr>
        <w:t>Blue Mountains Conservation Society Inc v Delta Electricity</w:t>
      </w:r>
      <w:r w:rsidR="00C06B24">
        <w:t xml:space="preserve"> (2009) 170 LGERA 1 (Pain J), </w:t>
      </w:r>
      <w:r w:rsidR="00C06B24" w:rsidRPr="00C06B24">
        <w:rPr>
          <w:i/>
        </w:rPr>
        <w:t>Corcoran v Virgin Blue Airlines Pty Ltd</w:t>
      </w:r>
      <w:r w:rsidR="00C06B24">
        <w:t xml:space="preserve"> [2008] FCA 864 (Bennett J) and </w:t>
      </w:r>
      <w:r w:rsidR="00C06B24" w:rsidRPr="00C06B24">
        <w:rPr>
          <w:i/>
        </w:rPr>
        <w:t>Caroona Coal Action Group Inc v Coal Miners Australia Pty Ltd</w:t>
      </w:r>
      <w:r w:rsidR="00C06B24">
        <w:t xml:space="preserve"> (2009) 170 LGERA 22 (Preston CJ).  </w:t>
      </w:r>
      <w:r>
        <w:t xml:space="preserve">The applicant has since drawn my attention to the recent decision of the Court of Appeal </w:t>
      </w:r>
      <w:r w:rsidR="00D567BF">
        <w:t xml:space="preserve">in </w:t>
      </w:r>
      <w:r w:rsidR="00D567BF" w:rsidRPr="00B72D9B">
        <w:rPr>
          <w:i/>
        </w:rPr>
        <w:t>Delta Electricity v Blue Mountain</w:t>
      </w:r>
      <w:r w:rsidR="005748A6">
        <w:rPr>
          <w:i/>
        </w:rPr>
        <w:t>s</w:t>
      </w:r>
      <w:r w:rsidR="00D567BF" w:rsidRPr="00B72D9B">
        <w:rPr>
          <w:i/>
        </w:rPr>
        <w:t xml:space="preserve"> Conservation Society Inc</w:t>
      </w:r>
      <w:r w:rsidR="00D567BF">
        <w:t xml:space="preserve"> [2010] NSWCA 263 </w:t>
      </w:r>
      <w:r>
        <w:t>dismissing (by majority) an appeal from the decision of Pain J.</w:t>
      </w:r>
    </w:p>
    <w:p w:rsidR="00D65BE3" w:rsidRDefault="00D65BE3" w:rsidP="0019305D">
      <w:pPr>
        <w:pStyle w:val="ParaNumbering"/>
      </w:pPr>
      <w:r>
        <w:t>By way of background to O 62A</w:t>
      </w:r>
      <w:r w:rsidR="00596162">
        <w:t xml:space="preserve"> r 1</w:t>
      </w:r>
      <w:r>
        <w:t xml:space="preserve">, Wilcox J in </w:t>
      </w:r>
      <w:r w:rsidRPr="00D65BE3">
        <w:rPr>
          <w:i/>
        </w:rPr>
        <w:t>Woodlands</w:t>
      </w:r>
      <w:r>
        <w:t xml:space="preserve"> at 144 referred to some observation</w:t>
      </w:r>
      <w:r w:rsidR="001C6984">
        <w:t>s</w:t>
      </w:r>
      <w:r>
        <w:t xml:space="preserve"> of Beazley J in </w:t>
      </w:r>
      <w:r w:rsidRPr="00BC264C">
        <w:rPr>
          <w:i/>
        </w:rPr>
        <w:t>Sacks</w:t>
      </w:r>
      <w:r>
        <w:t xml:space="preserve"> at 511 concerning </w:t>
      </w:r>
      <w:r w:rsidR="00596162">
        <w:t xml:space="preserve">the </w:t>
      </w:r>
      <w:r>
        <w:t>origin</w:t>
      </w:r>
      <w:r w:rsidR="00596162">
        <w:t xml:space="preserve"> of the rule</w:t>
      </w:r>
      <w:r>
        <w:t xml:space="preserve">.  His Honour stated: </w:t>
      </w:r>
    </w:p>
    <w:p w:rsidR="00D65BE3" w:rsidRPr="00D65BE3" w:rsidRDefault="00D65BE3" w:rsidP="00D65BE3">
      <w:pPr>
        <w:pStyle w:val="Quote1"/>
        <w:spacing w:after="180"/>
      </w:pPr>
      <w:r w:rsidRPr="00D65BE3">
        <w:t xml:space="preserve">In </w:t>
      </w:r>
      <w:r w:rsidRPr="00D65BE3">
        <w:rPr>
          <w:i/>
        </w:rPr>
        <w:t>Sacks v Permanent Trustee Australia Ltd</w:t>
      </w:r>
      <w:r w:rsidRPr="00D65BE3">
        <w:t xml:space="preserve"> (1993) 45 FCR 509, Beazley J referred to the origin of O 62A. At 511 she quoted a letter from the then Chief Justice of the Court to the then President of the Law Council of Australia speaking of concern within the Court, and the wider community and legal profession, </w:t>
      </w:r>
      <w:r>
        <w:t>“</w:t>
      </w:r>
      <w:r w:rsidRPr="00D65BE3">
        <w:t>that the cost of litigation, particularly for persons of ordinary means, places access to the civil courts beyond their reach and thus effectively denies them justice</w:t>
      </w:r>
      <w:r>
        <w:t>”</w:t>
      </w:r>
      <w:r w:rsidRPr="00D65BE3">
        <w:t xml:space="preserve">. He explained the then proposed Order as being intended to mitigate the </w:t>
      </w:r>
      <w:r>
        <w:t>“</w:t>
      </w:r>
      <w:r w:rsidRPr="00D65BE3">
        <w:t>deterrent to the assertion or defence of rights in civil litigation</w:t>
      </w:r>
      <w:r>
        <w:t>”</w:t>
      </w:r>
      <w:r w:rsidRPr="00D65BE3">
        <w:t xml:space="preserve"> represented by fear of exposure to </w:t>
      </w:r>
      <w:r>
        <w:t>“</w:t>
      </w:r>
      <w:r w:rsidRPr="00D65BE3">
        <w:t>the legal costs to which an unsuccessful party may be subjected</w:t>
      </w:r>
      <w:r>
        <w:t>”</w:t>
      </w:r>
      <w:r w:rsidRPr="00D65BE3">
        <w:t xml:space="preserve">. The Chief Justice predicted that the rule </w:t>
      </w:r>
      <w:r>
        <w:t>“</w:t>
      </w:r>
      <w:r w:rsidRPr="00D65BE3">
        <w:t>would be applied principally to commercial litigation at the lower end of the scale in terms of complexity and the amount in dispute</w:t>
      </w:r>
      <w:r>
        <w:t>”</w:t>
      </w:r>
      <w:r w:rsidRPr="00D65BE3">
        <w:t xml:space="preserve">. But he added </w:t>
      </w:r>
      <w:r>
        <w:t>“</w:t>
      </w:r>
      <w:r w:rsidRPr="00D65BE3">
        <w:t>it could be applied in other cases as appropriate</w:t>
      </w:r>
      <w:r>
        <w:t>”</w:t>
      </w:r>
      <w:r w:rsidRPr="00D65BE3">
        <w:t>.</w:t>
      </w:r>
    </w:p>
    <w:p w:rsidR="00D65BE3" w:rsidRDefault="00D65BE3" w:rsidP="0019305D">
      <w:pPr>
        <w:pStyle w:val="ParaNumbering"/>
      </w:pPr>
      <w:r>
        <w:t xml:space="preserve">Drawing on previous authorities including </w:t>
      </w:r>
      <w:r w:rsidRPr="00D65BE3">
        <w:rPr>
          <w:i/>
        </w:rPr>
        <w:t>Sacks</w:t>
      </w:r>
      <w:r>
        <w:t xml:space="preserve">, </w:t>
      </w:r>
      <w:r w:rsidRPr="00D65BE3">
        <w:rPr>
          <w:i/>
        </w:rPr>
        <w:t>Woodlands</w:t>
      </w:r>
      <w:r>
        <w:t xml:space="preserve"> and </w:t>
      </w:r>
      <w:r w:rsidRPr="00D65BE3">
        <w:rPr>
          <w:i/>
        </w:rPr>
        <w:t>Hanisch</w:t>
      </w:r>
      <w:r>
        <w:t xml:space="preserve">, Bennett J </w:t>
      </w:r>
      <w:r w:rsidR="009B606B">
        <w:t xml:space="preserve">in </w:t>
      </w:r>
      <w:r w:rsidR="009B606B" w:rsidRPr="00C06B24">
        <w:rPr>
          <w:i/>
        </w:rPr>
        <w:t>Corcoran</w:t>
      </w:r>
      <w:r w:rsidR="009B606B">
        <w:t xml:space="preserve"> at [6] identified </w:t>
      </w:r>
      <w:r w:rsidR="00596162">
        <w:t xml:space="preserve">a number of </w:t>
      </w:r>
      <w:r w:rsidR="009B606B">
        <w:t>factors relevant to the exercise of the discretion under O 62A</w:t>
      </w:r>
      <w:r w:rsidR="00596162">
        <w:t xml:space="preserve"> r 1</w:t>
      </w:r>
      <w:r w:rsidR="009B606B">
        <w:t xml:space="preserve"> including:</w:t>
      </w:r>
    </w:p>
    <w:p w:rsidR="009B606B" w:rsidRDefault="009B606B" w:rsidP="009B606B">
      <w:pPr>
        <w:pStyle w:val="FCBullets"/>
      </w:pPr>
      <w:r>
        <w:t>the timing of the application;</w:t>
      </w:r>
    </w:p>
    <w:p w:rsidR="009B606B" w:rsidRDefault="009B606B" w:rsidP="009B606B">
      <w:pPr>
        <w:pStyle w:val="FCBullets"/>
      </w:pPr>
      <w:r>
        <w:lastRenderedPageBreak/>
        <w:t>the complexity of the factual or legal issues raised in the proceeding;</w:t>
      </w:r>
    </w:p>
    <w:p w:rsidR="009B606B" w:rsidRDefault="005748A6" w:rsidP="009B606B">
      <w:pPr>
        <w:pStyle w:val="FCBullets"/>
      </w:pPr>
      <w:r>
        <w:t>the amount of</w:t>
      </w:r>
      <w:r w:rsidR="009B606B">
        <w:t xml:space="preserve"> damages the applicant seeks to recover;</w:t>
      </w:r>
    </w:p>
    <w:p w:rsidR="009B606B" w:rsidRDefault="009B606B" w:rsidP="009B606B">
      <w:pPr>
        <w:pStyle w:val="FCBullets"/>
      </w:pPr>
      <w:r>
        <w:t xml:space="preserve">whether the applicant’s claims are arguable and not frivolous or vexatious; </w:t>
      </w:r>
    </w:p>
    <w:p w:rsidR="009B606B" w:rsidRDefault="009B606B" w:rsidP="009B606B">
      <w:pPr>
        <w:pStyle w:val="FCBullets"/>
      </w:pPr>
      <w:r>
        <w:t xml:space="preserve">the </w:t>
      </w:r>
      <w:r w:rsidRPr="009B606B">
        <w:t>undesirability of forcing the applicant to abandon the proceedings</w:t>
      </w:r>
      <w:r>
        <w:t>;</w:t>
      </w:r>
    </w:p>
    <w:p w:rsidR="009B606B" w:rsidRDefault="009B606B" w:rsidP="009B606B">
      <w:pPr>
        <w:pStyle w:val="FCBullets"/>
      </w:pPr>
      <w:r w:rsidRPr="009B606B">
        <w:t>whether there is a public interest element to the case</w:t>
      </w:r>
      <w:r w:rsidR="005748A6">
        <w:t>;</w:t>
      </w:r>
    </w:p>
    <w:p w:rsidR="009B606B" w:rsidRDefault="009B606B" w:rsidP="009B606B">
      <w:pPr>
        <w:pStyle w:val="FCBullets"/>
      </w:pPr>
      <w:r w:rsidRPr="009B606B">
        <w:t>the costs likely to be incurred by the parties in the preparation for, and hearing of, the matter</w:t>
      </w:r>
      <w:r>
        <w:t>;</w:t>
      </w:r>
    </w:p>
    <w:p w:rsidR="009B606B" w:rsidRDefault="009B606B" w:rsidP="009B606B">
      <w:pPr>
        <w:pStyle w:val="FCBullets"/>
      </w:pPr>
      <w:r>
        <w:t>whether the party opposing the making of the order has been uncooperative and/or has delayed the proceedings</w:t>
      </w:r>
      <w:r w:rsidR="00DB6E45">
        <w:t>.</w:t>
      </w:r>
    </w:p>
    <w:p w:rsidR="009B606B" w:rsidRDefault="00DB6E45" w:rsidP="0019305D">
      <w:pPr>
        <w:pStyle w:val="ParaNumbering"/>
      </w:pPr>
      <w:r>
        <w:t xml:space="preserve">These factors provide useful guidance in relation to the exercise of the relevant discretion.  </w:t>
      </w:r>
      <w:r w:rsidR="00BC264C">
        <w:t>However, a</w:t>
      </w:r>
      <w:r>
        <w:t xml:space="preserve">s pointed out by Preston CJ in </w:t>
      </w:r>
      <w:r w:rsidRPr="00C06B24">
        <w:rPr>
          <w:i/>
        </w:rPr>
        <w:t>Caroona Coal</w:t>
      </w:r>
      <w:r>
        <w:t xml:space="preserve"> at [36], they </w:t>
      </w:r>
      <w:r w:rsidR="00596162">
        <w:t>must</w:t>
      </w:r>
      <w:r>
        <w:t xml:space="preserve"> not be </w:t>
      </w:r>
      <w:r w:rsidR="00596162">
        <w:t xml:space="preserve">treated </w:t>
      </w:r>
      <w:r w:rsidR="00BC264C">
        <w:t xml:space="preserve">as </w:t>
      </w:r>
      <w:r>
        <w:t xml:space="preserve">fixed criteria governing the exercise of </w:t>
      </w:r>
      <w:r w:rsidR="001A0FF0">
        <w:t xml:space="preserve">a broad </w:t>
      </w:r>
      <w:r>
        <w:t xml:space="preserve">discretion.  </w:t>
      </w:r>
    </w:p>
    <w:p w:rsidR="004A662B" w:rsidRDefault="00B0112A" w:rsidP="00B0112A">
      <w:pPr>
        <w:pStyle w:val="Heading1"/>
      </w:pPr>
      <w:r>
        <w:t xml:space="preserve">The </w:t>
      </w:r>
      <w:r w:rsidR="00B949AC">
        <w:t>evidence</w:t>
      </w:r>
    </w:p>
    <w:p w:rsidR="00367FC7" w:rsidRDefault="00BC264C" w:rsidP="00367FC7">
      <w:pPr>
        <w:pStyle w:val="ParaNumbering"/>
      </w:pPr>
      <w:r>
        <w:t>I</w:t>
      </w:r>
      <w:r w:rsidR="00B0112A">
        <w:t xml:space="preserve">n support of her application for an order under </w:t>
      </w:r>
      <w:r w:rsidR="00D50AE4">
        <w:t>O 62A r 1</w:t>
      </w:r>
      <w:r w:rsidR="00B0112A">
        <w:t xml:space="preserve"> the applicant states that she has ost</w:t>
      </w:r>
      <w:r w:rsidR="00B21F88">
        <w:t xml:space="preserve">eogenesis impertecta (brittle bone disease) and that she is totally </w:t>
      </w:r>
      <w:r w:rsidR="00B949AC">
        <w:t>reliant</w:t>
      </w:r>
      <w:r w:rsidR="00B21F88">
        <w:t xml:space="preserve"> on electric and manual wheelchair for mobility.  </w:t>
      </w:r>
      <w:r w:rsidR="00B949AC">
        <w:t xml:space="preserve">She states </w:t>
      </w:r>
      <w:r w:rsidR="009A2443">
        <w:t xml:space="preserve">that in August 2009 she </w:t>
      </w:r>
      <w:r w:rsidR="00B949AC">
        <w:t xml:space="preserve">attempted </w:t>
      </w:r>
      <w:r w:rsidR="009A2443">
        <w:t xml:space="preserve">to book a seat on a coach with the respondent for a return trip from </w:t>
      </w:r>
      <w:smartTag w:uri="urn:schemas-microsoft-com:office:smarttags" w:element="City">
        <w:r w:rsidR="009A2443">
          <w:t>Sydney</w:t>
        </w:r>
      </w:smartTag>
      <w:r w:rsidR="009A2443">
        <w:t xml:space="preserve"> to </w:t>
      </w:r>
      <w:smartTag w:uri="urn:schemas-microsoft-com:office:smarttags" w:element="City">
        <w:smartTag w:uri="urn:schemas-microsoft-com:office:smarttags" w:element="place">
          <w:r w:rsidR="009A2443">
            <w:t>Canberra</w:t>
          </w:r>
        </w:smartTag>
      </w:smartTag>
      <w:r w:rsidR="009A2443">
        <w:t xml:space="preserve">.  She </w:t>
      </w:r>
      <w:r w:rsidR="006108A5">
        <w:t xml:space="preserve">states </w:t>
      </w:r>
      <w:r w:rsidR="009A2443">
        <w:t xml:space="preserve">that she was informed by the respondent’s representative that none of its coaches are wheelchair accessible.  </w:t>
      </w:r>
      <w:r w:rsidR="001A0FF0">
        <w:t xml:space="preserve">She </w:t>
      </w:r>
      <w:r w:rsidR="006108A5">
        <w:t xml:space="preserve">also states that the respondent operates a fleet of over 200 vehicles located in depots in Brisbane, Gold Coast, Sydney, Canberra and Melbourne and that the main routes the respondent operates are Sydney/Canberra, Sydney Airport/Canberra, Canberra/South Coast, Sydney/South Coast, Canberra/Wollongong and Canberra/Snowy Mountains.  </w:t>
      </w:r>
      <w:r w:rsidR="009A2443">
        <w:t>For the purpose</w:t>
      </w:r>
      <w:r w:rsidR="00B949AC">
        <w:t>s</w:t>
      </w:r>
      <w:r w:rsidR="009A2443">
        <w:t xml:space="preserve"> of the present application, the respondent does not challenge the correctness of </w:t>
      </w:r>
      <w:r w:rsidR="006108A5">
        <w:t xml:space="preserve">any of </w:t>
      </w:r>
      <w:r w:rsidR="009A2443">
        <w:t>these statements.</w:t>
      </w:r>
    </w:p>
    <w:p w:rsidR="009A2443" w:rsidRDefault="009A2443" w:rsidP="00367FC7">
      <w:pPr>
        <w:pStyle w:val="ParaNumbering"/>
      </w:pPr>
      <w:r>
        <w:t xml:space="preserve">The applicant works full-time as Manager Diversity Services, </w:t>
      </w:r>
      <w:r w:rsidR="00B949AC">
        <w:t xml:space="preserve">New South Wales </w:t>
      </w:r>
      <w:r>
        <w:t xml:space="preserve">Department of Justice and Attorney General.  She earns a substantial salary in this position.  She and her husband own their home which is the subject of a small mortgage.  They also own two investment properties </w:t>
      </w:r>
      <w:r w:rsidR="00B949AC">
        <w:t>both of which are mortgaged</w:t>
      </w:r>
      <w:r>
        <w:t xml:space="preserve">.  The applicant appears to have </w:t>
      </w:r>
      <w:r w:rsidR="00B949AC">
        <w:lastRenderedPageBreak/>
        <w:t xml:space="preserve">net </w:t>
      </w:r>
      <w:r>
        <w:t xml:space="preserve">assets worth approximately $900,000.  Most of this value is in real estate.  She also </w:t>
      </w:r>
      <w:r w:rsidR="006108A5">
        <w:t xml:space="preserve">owns </w:t>
      </w:r>
      <w:r>
        <w:t xml:space="preserve">shares in </w:t>
      </w:r>
      <w:r w:rsidR="00B949AC">
        <w:t xml:space="preserve">Qantas and Telstra </w:t>
      </w:r>
      <w:r>
        <w:t xml:space="preserve">which are worth about $16,000.  </w:t>
      </w:r>
    </w:p>
    <w:p w:rsidR="009A2443" w:rsidRDefault="009A2443" w:rsidP="00367FC7">
      <w:pPr>
        <w:pStyle w:val="ParaNumbering"/>
      </w:pPr>
      <w:r>
        <w:t xml:space="preserve">The applicant states that her solicitors are acting </w:t>
      </w:r>
      <w:r w:rsidR="00B949AC">
        <w:t xml:space="preserve">for her in this proceeding </w:t>
      </w:r>
      <w:r>
        <w:t xml:space="preserve">on a conditional costs basis, that is </w:t>
      </w:r>
      <w:r w:rsidR="00B949AC">
        <w:t xml:space="preserve">to say, </w:t>
      </w:r>
      <w:r>
        <w:t xml:space="preserve">they will not charge her if she is not able to recover her legal costs.  Senior counsel </w:t>
      </w:r>
      <w:r w:rsidR="00B949AC">
        <w:t xml:space="preserve">for </w:t>
      </w:r>
      <w:r>
        <w:t xml:space="preserve">the applicant </w:t>
      </w:r>
      <w:r w:rsidR="006108A5">
        <w:t xml:space="preserve">informed me that </w:t>
      </w:r>
      <w:r w:rsidR="00406801">
        <w:t>s</w:t>
      </w:r>
      <w:r w:rsidR="006108A5">
        <w:t xml:space="preserve">he </w:t>
      </w:r>
      <w:r>
        <w:t xml:space="preserve">is also </w:t>
      </w:r>
      <w:r w:rsidR="00BC264C">
        <w:t xml:space="preserve">appearing </w:t>
      </w:r>
      <w:r w:rsidR="00B949AC">
        <w:t>on the same basis</w:t>
      </w:r>
      <w:r>
        <w:t xml:space="preserve">.  </w:t>
      </w:r>
    </w:p>
    <w:p w:rsidR="009A2443" w:rsidRDefault="009A2443" w:rsidP="00367FC7">
      <w:pPr>
        <w:pStyle w:val="ParaNumbering"/>
      </w:pPr>
      <w:r>
        <w:t xml:space="preserve">The applicant states that her legal advisers have informed her, and she believes, that the respondent’s legal fees for this case could be between $23,000 and $35,000 depending on how the respondent defends the proceeding.  </w:t>
      </w:r>
    </w:p>
    <w:p w:rsidR="009A2443" w:rsidRDefault="009A2443" w:rsidP="00367FC7">
      <w:pPr>
        <w:pStyle w:val="ParaNumbering"/>
      </w:pPr>
      <w:r>
        <w:t>The applicant also states that she has a grant of legal aid from the Legal Aid Commission</w:t>
      </w:r>
      <w:r w:rsidR="00B949AC">
        <w:t xml:space="preserve"> of New South Wales</w:t>
      </w:r>
      <w:r w:rsidR="00BC264C">
        <w:t xml:space="preserve"> (</w:t>
      </w:r>
      <w:r w:rsidR="00BC264C" w:rsidRPr="00BC264C">
        <w:rPr>
          <w:b/>
        </w:rPr>
        <w:t>LAC</w:t>
      </w:r>
      <w:r w:rsidR="00BC264C">
        <w:t>)</w:t>
      </w:r>
      <w:r>
        <w:t xml:space="preserve">.  </w:t>
      </w:r>
      <w:r w:rsidR="00B949AC">
        <w:t xml:space="preserve">While </w:t>
      </w:r>
      <w:r>
        <w:t xml:space="preserve">this grant covers disbursements </w:t>
      </w:r>
      <w:r w:rsidR="00B949AC">
        <w:t xml:space="preserve">in </w:t>
      </w:r>
      <w:r w:rsidR="006108A5">
        <w:t xml:space="preserve">a very modest </w:t>
      </w:r>
      <w:r>
        <w:t xml:space="preserve">amount </w:t>
      </w:r>
      <w:r w:rsidR="006108A5">
        <w:t>(</w:t>
      </w:r>
      <w:r>
        <w:t>$250</w:t>
      </w:r>
      <w:r w:rsidR="006108A5">
        <w:t>)</w:t>
      </w:r>
      <w:r w:rsidR="00B949AC">
        <w:t xml:space="preserve">, it also entitles the applicant, according to her evidence, </w:t>
      </w:r>
      <w:r>
        <w:t xml:space="preserve">to </w:t>
      </w:r>
      <w:r w:rsidR="006108A5">
        <w:t xml:space="preserve">an </w:t>
      </w:r>
      <w:r>
        <w:t xml:space="preserve">indemnity against an adverse costs order for an amount </w:t>
      </w:r>
      <w:r w:rsidR="00B949AC">
        <w:t xml:space="preserve">of </w:t>
      </w:r>
      <w:r>
        <w:t xml:space="preserve">up to $15,000.  </w:t>
      </w:r>
      <w:r w:rsidR="00B949AC">
        <w:t xml:space="preserve">The applicant </w:t>
      </w:r>
      <w:r>
        <w:t xml:space="preserve">states that she will be personally </w:t>
      </w:r>
      <w:r w:rsidR="001A0FF0">
        <w:t xml:space="preserve">responsible for the payment of </w:t>
      </w:r>
      <w:r>
        <w:t>the legal costs of the respondent above this amount in the event a costs order is made against her</w:t>
      </w:r>
      <w:r w:rsidR="00FF2538">
        <w:t>.</w:t>
      </w:r>
    </w:p>
    <w:p w:rsidR="00FF2538" w:rsidRDefault="00FF2538" w:rsidP="00367FC7">
      <w:pPr>
        <w:pStyle w:val="ParaNumbering"/>
      </w:pPr>
      <w:r>
        <w:t xml:space="preserve">The applicant states that if she was unsuccessful in this case and was ordered to pay the legal costs of the respondent, she could personally contribute a maximum of $5,000.  </w:t>
      </w:r>
      <w:r w:rsidR="00FE0A52">
        <w:t xml:space="preserve">Her evidence does not explain how she has arrived at that figure.  </w:t>
      </w:r>
      <w:r>
        <w:t>She</w:t>
      </w:r>
      <w:r w:rsidR="00FE0A52">
        <w:t xml:space="preserve"> also</w:t>
      </w:r>
      <w:r>
        <w:t xml:space="preserve"> states that if no order </w:t>
      </w:r>
      <w:r w:rsidR="00B949AC">
        <w:t xml:space="preserve">is made under </w:t>
      </w:r>
      <w:r w:rsidR="00D50AE4">
        <w:t>O 62A r 1</w:t>
      </w:r>
      <w:r w:rsidR="00B949AC">
        <w:t xml:space="preserve"> then she will </w:t>
      </w:r>
      <w:r>
        <w:t xml:space="preserve">be unable to proceed with </w:t>
      </w:r>
      <w:r w:rsidR="00B949AC">
        <w:t>her</w:t>
      </w:r>
      <w:r>
        <w:t xml:space="preserve"> case.  This is because of the risk of an adverse costs order which she says could be for as much as $25,000 to $35,000.</w:t>
      </w:r>
    </w:p>
    <w:p w:rsidR="0014510A" w:rsidRDefault="0014510A" w:rsidP="00367FC7">
      <w:pPr>
        <w:pStyle w:val="ParaNumbering"/>
      </w:pPr>
      <w:r>
        <w:t xml:space="preserve">The applicant </w:t>
      </w:r>
      <w:r w:rsidR="00B949AC">
        <w:t xml:space="preserve">states </w:t>
      </w:r>
      <w:r>
        <w:t xml:space="preserve">that her primary motivation in bringing this case is that she believes that it is in the public interest.  She states that she is concerned that in the years since the </w:t>
      </w:r>
      <w:r w:rsidR="0019305D">
        <w:t xml:space="preserve">Transport Standards </w:t>
      </w:r>
      <w:r>
        <w:t xml:space="preserve">commenced operation the respondent has made little or no progress in </w:t>
      </w:r>
      <w:r w:rsidR="00BC264C">
        <w:t xml:space="preserve">complying with </w:t>
      </w:r>
      <w:r>
        <w:t xml:space="preserve">its requirements.  </w:t>
      </w:r>
    </w:p>
    <w:p w:rsidR="0014510A" w:rsidRDefault="0014510A" w:rsidP="00367FC7">
      <w:pPr>
        <w:pStyle w:val="ParaNumbering"/>
      </w:pPr>
      <w:r>
        <w:t>The applicant is represented by the Public Interest Advocacy Centre (</w:t>
      </w:r>
      <w:r w:rsidRPr="0014510A">
        <w:rPr>
          <w:b/>
        </w:rPr>
        <w:t>PIAC</w:t>
      </w:r>
      <w:r>
        <w:t xml:space="preserve">) and a solicitor for </w:t>
      </w:r>
      <w:r w:rsidRPr="0014510A">
        <w:t>PIAC</w:t>
      </w:r>
      <w:r>
        <w:t xml:space="preserve"> is acting for the applicant.  </w:t>
      </w:r>
      <w:r w:rsidR="00B949AC">
        <w:t xml:space="preserve">While an </w:t>
      </w:r>
      <w:r w:rsidR="001C7F3C">
        <w:t>affidavit of Ms Namey</w:t>
      </w:r>
      <w:r w:rsidR="00B949AC">
        <w:t>, a solicitor with PIAC,</w:t>
      </w:r>
      <w:r>
        <w:t xml:space="preserve"> was read</w:t>
      </w:r>
      <w:r w:rsidR="00B949AC">
        <w:t>,</w:t>
      </w:r>
      <w:r>
        <w:t xml:space="preserve"> it </w:t>
      </w:r>
      <w:r w:rsidR="00BC264C">
        <w:t xml:space="preserve">refers to </w:t>
      </w:r>
      <w:r>
        <w:t xml:space="preserve">a number of formal </w:t>
      </w:r>
      <w:r w:rsidR="00B23077">
        <w:t xml:space="preserve">matters </w:t>
      </w:r>
      <w:r>
        <w:t xml:space="preserve">only.  In particular, it does not </w:t>
      </w:r>
      <w:r>
        <w:lastRenderedPageBreak/>
        <w:t xml:space="preserve">include any breakdown or other analysis of the estimate of the respondent’s legal costs referred to in the applicant’s affidavit.  </w:t>
      </w:r>
    </w:p>
    <w:p w:rsidR="0014510A" w:rsidRDefault="0014510A" w:rsidP="00367FC7">
      <w:pPr>
        <w:pStyle w:val="ParaNumbering"/>
      </w:pPr>
      <w:r>
        <w:t xml:space="preserve">A number of other affidavits were relied upon by the applicant on the present application.  It is not necessary for me to say more than that they indicate that there are other people who have disabilities or who care for </w:t>
      </w:r>
      <w:r w:rsidR="00B23077">
        <w:t xml:space="preserve">other people who have </w:t>
      </w:r>
      <w:r>
        <w:t xml:space="preserve">disabilities who are inconvenienced by the lack of wheelchair </w:t>
      </w:r>
      <w:r w:rsidR="00872289">
        <w:t xml:space="preserve">accessible </w:t>
      </w:r>
      <w:r w:rsidR="00B23077">
        <w:t xml:space="preserve">coaches </w:t>
      </w:r>
      <w:r w:rsidR="00872289">
        <w:t>on Sydney</w:t>
      </w:r>
      <w:r w:rsidR="00B11E93">
        <w:t>/</w:t>
      </w:r>
      <w:r w:rsidR="00872289">
        <w:t xml:space="preserve">Canberra </w:t>
      </w:r>
      <w:r w:rsidR="00BC264C">
        <w:t xml:space="preserve">coach </w:t>
      </w:r>
      <w:r w:rsidR="00872289">
        <w:t>service</w:t>
      </w:r>
      <w:r w:rsidR="00BC264C">
        <w:t>s</w:t>
      </w:r>
      <w:r w:rsidR="00872289">
        <w:t xml:space="preserve">.  </w:t>
      </w:r>
    </w:p>
    <w:p w:rsidR="00B11E93" w:rsidRDefault="00B11E93" w:rsidP="00367FC7">
      <w:pPr>
        <w:pStyle w:val="ParaNumbering"/>
      </w:pPr>
      <w:r>
        <w:t xml:space="preserve">The solicitor for the respondent has made an affidavit in which he estimates that his client’s costs in this proceeding will most likely be in a range of $150,000 </w:t>
      </w:r>
      <w:r w:rsidR="00B23077">
        <w:t>to</w:t>
      </w:r>
      <w:r>
        <w:t xml:space="preserve"> $200,000 exclusive of GST.  There is some analysis included in the affidavit in support of that estimate</w:t>
      </w:r>
      <w:r w:rsidR="00B23077">
        <w:t xml:space="preserve">.  The solicitor’s estimate is </w:t>
      </w:r>
      <w:r>
        <w:t xml:space="preserve">calculated on the basis that the hearing of the proceeding will occupy four days and that the respondent will </w:t>
      </w:r>
      <w:r w:rsidR="00B23077">
        <w:t xml:space="preserve">need to </w:t>
      </w:r>
      <w:r>
        <w:t xml:space="preserve">call two expert witnesses.  It is accepted by the respondent that </w:t>
      </w:r>
      <w:r w:rsidR="00B23077">
        <w:t xml:space="preserve">its solicitor’s </w:t>
      </w:r>
      <w:r>
        <w:t xml:space="preserve">estimate of $150,000 to $200,000 exclusive of GST relates to solicitor/client costs.  </w:t>
      </w:r>
    </w:p>
    <w:p w:rsidR="00B23077" w:rsidRDefault="00B23077" w:rsidP="00B23077">
      <w:pPr>
        <w:pStyle w:val="Heading1"/>
      </w:pPr>
      <w:r>
        <w:t>What are the costs likely to be incurred by the respondent?</w:t>
      </w:r>
    </w:p>
    <w:p w:rsidR="00B11E93" w:rsidRDefault="00B11E93" w:rsidP="00367FC7">
      <w:pPr>
        <w:pStyle w:val="ParaNumbering"/>
      </w:pPr>
      <w:r>
        <w:t xml:space="preserve">The applicant submitted that the respondent’s estimate </w:t>
      </w:r>
      <w:r w:rsidR="006108A5">
        <w:t xml:space="preserve">of its costs in defending the proceeding </w:t>
      </w:r>
      <w:r>
        <w:t xml:space="preserve">was </w:t>
      </w:r>
      <w:r w:rsidR="00B72D9B">
        <w:t>excessive</w:t>
      </w:r>
      <w:r>
        <w:t>.  In</w:t>
      </w:r>
      <w:r w:rsidR="001C7F3C">
        <w:t xml:space="preserve"> support of this submission </w:t>
      </w:r>
      <w:r w:rsidR="00596162">
        <w:t xml:space="preserve">senior counsel for the </w:t>
      </w:r>
      <w:r w:rsidR="001A0FF0">
        <w:t xml:space="preserve">applicant </w:t>
      </w:r>
      <w:r w:rsidR="00B23077">
        <w:t xml:space="preserve">stated </w:t>
      </w:r>
      <w:r>
        <w:t xml:space="preserve">that the hearing of the proceeding would be likely to occupy only two days.  While it is difficult to estimate the </w:t>
      </w:r>
      <w:r w:rsidR="00B07AF3">
        <w:t xml:space="preserve">likely length of the hearing at this early stage of the proceeding, I </w:t>
      </w:r>
      <w:r w:rsidR="006108A5">
        <w:t xml:space="preserve">think </w:t>
      </w:r>
      <w:r w:rsidR="00B07AF3">
        <w:t xml:space="preserve">that a two day estimate is </w:t>
      </w:r>
      <w:r w:rsidR="006108A5">
        <w:t>somewhat optimistic</w:t>
      </w:r>
      <w:r w:rsidR="00B07AF3">
        <w:t xml:space="preserve">.  I propose to consider the present application on the basis that the hearing of the proceeding is likely to take </w:t>
      </w:r>
      <w:r w:rsidR="0019305D">
        <w:t xml:space="preserve">between three and </w:t>
      </w:r>
      <w:r w:rsidR="00B07AF3">
        <w:t xml:space="preserve">four days.  </w:t>
      </w:r>
    </w:p>
    <w:p w:rsidR="00B07AF3" w:rsidRDefault="001A0FF0" w:rsidP="00367FC7">
      <w:pPr>
        <w:pStyle w:val="ParaNumbering"/>
      </w:pPr>
      <w:r>
        <w:t>Senior c</w:t>
      </w:r>
      <w:r w:rsidR="00B07AF3">
        <w:t xml:space="preserve">ounsel for the respondent accepted that in arriving at an assessment of the respondent’s likely costs it was appropriate that I begin at the bottom end of the respondent’s </w:t>
      </w:r>
      <w:r w:rsidR="006108A5">
        <w:t xml:space="preserve">estimate of </w:t>
      </w:r>
      <w:r w:rsidR="00B07AF3">
        <w:t>costs ($150,000)</w:t>
      </w:r>
      <w:r w:rsidR="006108A5">
        <w:t xml:space="preserve">.  This </w:t>
      </w:r>
      <w:r w:rsidR="00B23077">
        <w:t>is what I propose to do</w:t>
      </w:r>
      <w:r w:rsidR="00B07AF3">
        <w:t>.  It is difficult to say what proportion of this amount is likely to be recoverable on a party/party basis in the event that the respondent is successful</w:t>
      </w:r>
      <w:r w:rsidR="00B72D9B">
        <w:t xml:space="preserve"> in the proceeding and an order for costs is made in its favour</w:t>
      </w:r>
      <w:r w:rsidR="00B07AF3">
        <w:t xml:space="preserve">.  In the absence of any evidence on this point, I would not be prepared to assume that the </w:t>
      </w:r>
      <w:r w:rsidR="00B23077">
        <w:t xml:space="preserve">respondent </w:t>
      </w:r>
      <w:r w:rsidR="00B07AF3">
        <w:t xml:space="preserve">would recover more than one half of that amount.  </w:t>
      </w:r>
      <w:r w:rsidR="00B23077">
        <w:t xml:space="preserve">I therefore approach </w:t>
      </w:r>
      <w:r w:rsidR="00B07AF3">
        <w:t xml:space="preserve">the </w:t>
      </w:r>
      <w:r w:rsidR="00B07AF3">
        <w:lastRenderedPageBreak/>
        <w:t xml:space="preserve">present application on the footing that it is likely that the respondent’s party/party costs of defending </w:t>
      </w:r>
      <w:r w:rsidR="00B23077">
        <w:t xml:space="preserve">this </w:t>
      </w:r>
      <w:r w:rsidR="00B07AF3">
        <w:t xml:space="preserve">proceeding will be in the </w:t>
      </w:r>
      <w:r w:rsidR="00FE0A52">
        <w:t xml:space="preserve">range </w:t>
      </w:r>
      <w:r w:rsidR="00B07AF3">
        <w:t xml:space="preserve">of </w:t>
      </w:r>
      <w:r w:rsidR="0019305D">
        <w:t xml:space="preserve">$50,000 to </w:t>
      </w:r>
      <w:r w:rsidR="003B15AB">
        <w:t>$75,000 (exclusive of GST).</w:t>
      </w:r>
      <w:r w:rsidR="00B07AF3">
        <w:t xml:space="preserve">  </w:t>
      </w:r>
    </w:p>
    <w:p w:rsidR="00B23077" w:rsidRDefault="00B23077" w:rsidP="00B23077">
      <w:pPr>
        <w:pStyle w:val="Heading1"/>
      </w:pPr>
      <w:r>
        <w:t>Should an order be made under Order 62A</w:t>
      </w:r>
      <w:r w:rsidR="001C7F3C">
        <w:t xml:space="preserve"> rule 1,</w:t>
      </w:r>
      <w:r w:rsidR="005748A6">
        <w:t xml:space="preserve"> and if so, in what amount</w:t>
      </w:r>
      <w:r>
        <w:t>?</w:t>
      </w:r>
    </w:p>
    <w:p w:rsidR="00596162" w:rsidRDefault="00B23077" w:rsidP="00367FC7">
      <w:pPr>
        <w:pStyle w:val="ParaNumbering"/>
      </w:pPr>
      <w:r>
        <w:t xml:space="preserve">Senior counsel for the applicant accepted that the applicant would be able to contribute </w:t>
      </w:r>
      <w:r w:rsidR="00B07AF3">
        <w:t xml:space="preserve">$20,000 to the respondent’s legal costs in the event that an order for costs is made in </w:t>
      </w:r>
      <w:r w:rsidR="0019305D">
        <w:t>the respondent’s</w:t>
      </w:r>
      <w:r w:rsidR="00B07AF3">
        <w:t xml:space="preserve"> favour</w:t>
      </w:r>
      <w:r w:rsidR="00EA1EEA">
        <w:t xml:space="preserve"> at the conclusion of the proceeding</w:t>
      </w:r>
      <w:r w:rsidR="00B07AF3">
        <w:t xml:space="preserve">.  </w:t>
      </w:r>
      <w:r w:rsidR="006108A5">
        <w:t xml:space="preserve">This is on the basis the applicant will have the benefit of the $15,000 indemnity from the </w:t>
      </w:r>
      <w:r w:rsidR="00BC264C">
        <w:t xml:space="preserve">LAC </w:t>
      </w:r>
      <w:r w:rsidR="006108A5">
        <w:t xml:space="preserve">and that she is willing to put $5,000 of her own assets at risk so that she may continue with the </w:t>
      </w:r>
      <w:r w:rsidR="0019305D">
        <w:t>case</w:t>
      </w:r>
      <w:r w:rsidR="006108A5">
        <w:t xml:space="preserve">. </w:t>
      </w:r>
    </w:p>
    <w:p w:rsidR="00B07AF3" w:rsidRDefault="00596162" w:rsidP="00367FC7">
      <w:pPr>
        <w:pStyle w:val="ParaNumbering"/>
      </w:pPr>
      <w:r>
        <w:t>I</w:t>
      </w:r>
      <w:r w:rsidR="00EA1EEA">
        <w:t xml:space="preserve">t is important to observe </w:t>
      </w:r>
      <w:r w:rsidR="00B07AF3">
        <w:t xml:space="preserve">that the applicant has more than sufficient assets to </w:t>
      </w:r>
      <w:r w:rsidR="006108A5">
        <w:t xml:space="preserve">fully </w:t>
      </w:r>
      <w:r w:rsidR="00B07AF3">
        <w:t xml:space="preserve">satisfy </w:t>
      </w:r>
      <w:r w:rsidR="006108A5">
        <w:t xml:space="preserve">any </w:t>
      </w:r>
      <w:r w:rsidR="00B07AF3">
        <w:t xml:space="preserve">costs order </w:t>
      </w:r>
      <w:r w:rsidR="006108A5">
        <w:t>made in favour of the respondent</w:t>
      </w:r>
      <w:r w:rsidR="00B07AF3">
        <w:t xml:space="preserve">.  </w:t>
      </w:r>
      <w:r w:rsidR="0019305D">
        <w:t xml:space="preserve">The evidence discloses that </w:t>
      </w:r>
      <w:r>
        <w:t xml:space="preserve">she </w:t>
      </w:r>
      <w:r w:rsidR="0019305D">
        <w:t xml:space="preserve">has substantial assets.  </w:t>
      </w:r>
      <w:r>
        <w:t xml:space="preserve">Nevertheless, </w:t>
      </w:r>
      <w:r w:rsidR="00B07AF3">
        <w:t xml:space="preserve">I accept the applicant’s evidence that, in the event that no order is made under </w:t>
      </w:r>
      <w:r w:rsidR="00D50AE4">
        <w:t>O 62A r 1</w:t>
      </w:r>
      <w:r w:rsidR="00532224">
        <w:t xml:space="preserve">, </w:t>
      </w:r>
      <w:r w:rsidR="006108A5">
        <w:t xml:space="preserve">she will </w:t>
      </w:r>
      <w:r w:rsidR="0019305D">
        <w:t xml:space="preserve">not </w:t>
      </w:r>
      <w:r w:rsidR="006108A5">
        <w:t xml:space="preserve">proceed with </w:t>
      </w:r>
      <w:r w:rsidR="0019305D">
        <w:t xml:space="preserve">the </w:t>
      </w:r>
      <w:r w:rsidR="006108A5">
        <w:t xml:space="preserve">case.  </w:t>
      </w:r>
      <w:r>
        <w:t xml:space="preserve">She said so </w:t>
      </w:r>
      <w:r w:rsidR="00532224">
        <w:t xml:space="preserve">in the context of her solicitor’s estimate that the costs of the respondent </w:t>
      </w:r>
      <w:r w:rsidR="00315720">
        <w:t xml:space="preserve">would be in the range of $23,000 </w:t>
      </w:r>
      <w:r w:rsidR="00EA1EEA">
        <w:t xml:space="preserve">to </w:t>
      </w:r>
      <w:r w:rsidR="00315720">
        <w:t>$35,000.</w:t>
      </w:r>
      <w:r w:rsidR="0019305D">
        <w:t xml:space="preserve">  I am working on the basis that a more realistic estimate of those costs would be in </w:t>
      </w:r>
      <w:r w:rsidR="008E12EC">
        <w:t>the range of $50,000 to $75,000 (exclusive of GST).</w:t>
      </w:r>
    </w:p>
    <w:p w:rsidR="00971D4B" w:rsidRDefault="00971D4B" w:rsidP="00367FC7">
      <w:pPr>
        <w:pStyle w:val="ParaNumbering"/>
      </w:pPr>
      <w:r>
        <w:t xml:space="preserve">I also accept that the applicant’s primary motivation in </w:t>
      </w:r>
      <w:r w:rsidR="006108A5">
        <w:t xml:space="preserve">commencing and maintaining </w:t>
      </w:r>
      <w:r>
        <w:t xml:space="preserve">this proceeding is that she believes that it is in the public interest that the Transport Standards be observed by the respondent.  She </w:t>
      </w:r>
      <w:r w:rsidR="006108A5">
        <w:t xml:space="preserve">has </w:t>
      </w:r>
      <w:r>
        <w:t xml:space="preserve">not </w:t>
      </w:r>
      <w:r w:rsidR="006108A5">
        <w:t xml:space="preserve">made </w:t>
      </w:r>
      <w:r>
        <w:t xml:space="preserve">any claim for </w:t>
      </w:r>
      <w:r w:rsidR="006108A5">
        <w:t>compensation</w:t>
      </w:r>
      <w:r>
        <w:t xml:space="preserve">.  </w:t>
      </w:r>
      <w:r w:rsidR="006108A5">
        <w:t>T</w:t>
      </w:r>
      <w:r>
        <w:t xml:space="preserve">o the extent (if any) that the applicant may be motivated by </w:t>
      </w:r>
      <w:r w:rsidR="006108A5">
        <w:t xml:space="preserve">some </w:t>
      </w:r>
      <w:r>
        <w:t xml:space="preserve">other private interest, it is very much a minor factor in </w:t>
      </w:r>
      <w:r w:rsidR="006108A5">
        <w:t xml:space="preserve">the </w:t>
      </w:r>
      <w:r w:rsidR="00596162">
        <w:t xml:space="preserve">overall </w:t>
      </w:r>
      <w:r w:rsidR="006108A5">
        <w:t>scheme of things</w:t>
      </w:r>
      <w:r>
        <w:t>.</w:t>
      </w:r>
    </w:p>
    <w:p w:rsidR="00971D4B" w:rsidRDefault="00971D4B" w:rsidP="00367FC7">
      <w:pPr>
        <w:pStyle w:val="ParaNumbering"/>
      </w:pPr>
      <w:r>
        <w:t>The applicant submitted</w:t>
      </w:r>
      <w:r w:rsidR="006108A5">
        <w:t>,</w:t>
      </w:r>
      <w:r>
        <w:t xml:space="preserve"> and </w:t>
      </w:r>
      <w:r w:rsidR="006108A5">
        <w:t>this</w:t>
      </w:r>
      <w:r>
        <w:t xml:space="preserve"> was not challenged by the respondent, that there is no case law concerning the operation of the Transport Standards.  I have considered the provisions of the Transport Standards to which I was referred </w:t>
      </w:r>
      <w:r w:rsidR="006728D2">
        <w:t>by the parties</w:t>
      </w:r>
      <w:r>
        <w:t xml:space="preserve">.  While there was some argument concerning </w:t>
      </w:r>
      <w:r w:rsidR="0019305D">
        <w:t xml:space="preserve">the effect of </w:t>
      </w:r>
      <w:r>
        <w:t xml:space="preserve">those provisions it was not very extensive.  However, my present view is that any question of interpretation that may arise in this proceeding </w:t>
      </w:r>
      <w:r w:rsidR="006728D2">
        <w:t xml:space="preserve">is not </w:t>
      </w:r>
      <w:r>
        <w:t xml:space="preserve">likely to be complex.  </w:t>
      </w:r>
      <w:r w:rsidR="006728D2">
        <w:t>Similarly, my present view is that the proceeding is u</w:t>
      </w:r>
      <w:r w:rsidR="0019305D">
        <w:t xml:space="preserve">nlikely to be factually complex though I would accept that </w:t>
      </w:r>
      <w:r w:rsidR="00F67894">
        <w:t xml:space="preserve">this is not something I can be </w:t>
      </w:r>
      <w:r w:rsidR="00B72D9B">
        <w:t xml:space="preserve">very </w:t>
      </w:r>
      <w:r w:rsidR="00F67894">
        <w:t xml:space="preserve">confident about </w:t>
      </w:r>
      <w:r w:rsidR="0019305D">
        <w:t xml:space="preserve">at this early stage of the proceeding.  </w:t>
      </w:r>
    </w:p>
    <w:p w:rsidR="007F1627" w:rsidRDefault="007F1627" w:rsidP="00367FC7">
      <w:pPr>
        <w:pStyle w:val="ParaNumbering"/>
      </w:pPr>
      <w:r>
        <w:lastRenderedPageBreak/>
        <w:t xml:space="preserve">I </w:t>
      </w:r>
      <w:r w:rsidR="00B72D9B">
        <w:t xml:space="preserve">am satisfied that </w:t>
      </w:r>
      <w:r w:rsidR="001A0FF0">
        <w:t xml:space="preserve">there is a public interest </w:t>
      </w:r>
      <w:r w:rsidR="001C7F3C">
        <w:t xml:space="preserve">element </w:t>
      </w:r>
      <w:r w:rsidR="001A0FF0">
        <w:t xml:space="preserve">to this case.  And I am </w:t>
      </w:r>
      <w:r w:rsidR="00D567BF">
        <w:t xml:space="preserve">also </w:t>
      </w:r>
      <w:r w:rsidR="001A0FF0">
        <w:t xml:space="preserve">satisfied that </w:t>
      </w:r>
      <w:r w:rsidR="00D567BF">
        <w:t xml:space="preserve">the case </w:t>
      </w:r>
      <w:r w:rsidR="001A0FF0">
        <w:t xml:space="preserve">is </w:t>
      </w:r>
      <w:r>
        <w:t xml:space="preserve">brought by the applicant </w:t>
      </w:r>
      <w:r w:rsidR="00B72D9B">
        <w:t xml:space="preserve">in good faith </w:t>
      </w:r>
      <w:r w:rsidR="001A0FF0">
        <w:t xml:space="preserve">for the purpose of </w:t>
      </w:r>
      <w:r>
        <w:t xml:space="preserve">obtaining orders enforcing a legislative instrument which </w:t>
      </w:r>
      <w:r w:rsidR="00596162">
        <w:t xml:space="preserve">is </w:t>
      </w:r>
      <w:r>
        <w:t xml:space="preserve">expressly intended “as far as possible” to eliminate discrimination against people with disabilities in the </w:t>
      </w:r>
      <w:r w:rsidR="00596162">
        <w:t xml:space="preserve">field </w:t>
      </w:r>
      <w:r>
        <w:t>of public transport</w:t>
      </w:r>
      <w:r w:rsidR="00F67894">
        <w:t xml:space="preserve">.  </w:t>
      </w:r>
      <w:r w:rsidR="0071172A">
        <w:t xml:space="preserve">The evidence shows </w:t>
      </w:r>
      <w:r w:rsidR="008C2084">
        <w:t xml:space="preserve">that there are other people suffering from similar disabilities </w:t>
      </w:r>
      <w:r w:rsidR="001A0FF0">
        <w:t>who are inconvenienced by the lack of wheelchair accessible coaches on Sydney/Canberra coach services</w:t>
      </w:r>
      <w:r w:rsidR="00FD1F41">
        <w:t xml:space="preserve">. </w:t>
      </w:r>
    </w:p>
    <w:p w:rsidR="007407EF" w:rsidRDefault="008C2084" w:rsidP="00367FC7">
      <w:pPr>
        <w:pStyle w:val="ParaNumbering"/>
      </w:pPr>
      <w:r>
        <w:t xml:space="preserve">In my view the interests of justice favour the making of the order sought by the applicant </w:t>
      </w:r>
      <w:r w:rsidR="00DA6D14">
        <w:t xml:space="preserve">except that it should be </w:t>
      </w:r>
      <w:r w:rsidR="00F67894">
        <w:t xml:space="preserve">for </w:t>
      </w:r>
      <w:r>
        <w:t xml:space="preserve">the amount </w:t>
      </w:r>
      <w:r w:rsidR="00F67894">
        <w:t>of $</w:t>
      </w:r>
      <w:r>
        <w:t>2</w:t>
      </w:r>
      <w:r w:rsidR="00F67894">
        <w:t>5</w:t>
      </w:r>
      <w:r>
        <w:t xml:space="preserve">,000 </w:t>
      </w:r>
      <w:r w:rsidR="00F67894">
        <w:t xml:space="preserve">rather than </w:t>
      </w:r>
      <w:r>
        <w:t>$15,000.</w:t>
      </w:r>
      <w:r w:rsidR="001A0FF0">
        <w:t xml:space="preserve">  </w:t>
      </w:r>
      <w:r w:rsidR="00627C6C">
        <w:t xml:space="preserve">This amount represents the $15,000 </w:t>
      </w:r>
      <w:r w:rsidR="00596162">
        <w:t xml:space="preserve">available </w:t>
      </w:r>
      <w:r w:rsidR="00B72D9B">
        <w:t xml:space="preserve">under </w:t>
      </w:r>
      <w:r w:rsidR="00627C6C">
        <w:t xml:space="preserve">the </w:t>
      </w:r>
      <w:r w:rsidR="0019305D">
        <w:t xml:space="preserve">LCA’s </w:t>
      </w:r>
      <w:r w:rsidR="00627C6C">
        <w:t>indemnity together with a further amount of $1</w:t>
      </w:r>
      <w:r w:rsidR="0019305D">
        <w:t>0</w:t>
      </w:r>
      <w:r w:rsidR="00627C6C">
        <w:t xml:space="preserve">,000 representing </w:t>
      </w:r>
      <w:r w:rsidR="0019305D">
        <w:t xml:space="preserve">something </w:t>
      </w:r>
      <w:r w:rsidR="00627C6C">
        <w:t xml:space="preserve">less than the </w:t>
      </w:r>
      <w:r w:rsidR="0019305D">
        <w:t xml:space="preserve">full </w:t>
      </w:r>
      <w:r w:rsidR="00627C6C">
        <w:t xml:space="preserve">value of the applicant’s shares which, in the event she is unsuccessful in this litigation, </w:t>
      </w:r>
      <w:r w:rsidR="0019305D">
        <w:t xml:space="preserve">may </w:t>
      </w:r>
      <w:r w:rsidR="00627C6C">
        <w:t>be used by her to contribute to the payment of the respondent’s party/party costs</w:t>
      </w:r>
      <w:r w:rsidR="00FE0A52">
        <w:t xml:space="preserve"> if that be required</w:t>
      </w:r>
      <w:r w:rsidR="0048041A">
        <w:t xml:space="preserve"> </w:t>
      </w:r>
      <w:r w:rsidR="003D2302">
        <w:t xml:space="preserve">and </w:t>
      </w:r>
      <w:r w:rsidR="0048041A">
        <w:t>without the need for her to sell or borrow against less liquid assets.</w:t>
      </w:r>
    </w:p>
    <w:p w:rsidR="00D567BF" w:rsidRDefault="007407EF" w:rsidP="00367FC7">
      <w:pPr>
        <w:pStyle w:val="ParaNumbering"/>
      </w:pPr>
      <w:r>
        <w:t xml:space="preserve">I think it follows from what I have said that </w:t>
      </w:r>
      <w:r w:rsidR="003C48DC">
        <w:t>I am not satisfied on the evidence before me</w:t>
      </w:r>
      <w:r w:rsidR="00010911">
        <w:t xml:space="preserve"> that </w:t>
      </w:r>
      <w:r w:rsidR="0048041A">
        <w:t xml:space="preserve">an </w:t>
      </w:r>
      <w:r w:rsidR="00010911">
        <w:t>order under O 62A r 1 in the amount of $25,000</w:t>
      </w:r>
      <w:r w:rsidR="003C48DC">
        <w:t xml:space="preserve"> will prevent the applicant</w:t>
      </w:r>
      <w:r>
        <w:t xml:space="preserve"> in any practical sense</w:t>
      </w:r>
      <w:r w:rsidR="003C48DC">
        <w:t xml:space="preserve"> from continuing wi</w:t>
      </w:r>
      <w:r w:rsidR="00010911">
        <w:t>th the proceeding</w:t>
      </w:r>
      <w:r>
        <w:t xml:space="preserve"> if she wishes to do so. That</w:t>
      </w:r>
      <w:r w:rsidR="00B72D9B">
        <w:t xml:space="preserve"> amount represents 50% of the lower end of </w:t>
      </w:r>
      <w:r w:rsidR="00D567BF">
        <w:t xml:space="preserve">my </w:t>
      </w:r>
      <w:r w:rsidR="00B72D9B">
        <w:t xml:space="preserve">estimate of the party/party costs </w:t>
      </w:r>
      <w:r w:rsidR="008E12EC">
        <w:t xml:space="preserve">(exclusive of GST) </w:t>
      </w:r>
      <w:r w:rsidR="00B72D9B">
        <w:t xml:space="preserve">which the applicant would be required to pay to the respondent in the event that she is unsuccessful and an order for costs </w:t>
      </w:r>
      <w:r w:rsidR="00FE0A52">
        <w:t>was</w:t>
      </w:r>
      <w:r w:rsidR="00B72D9B">
        <w:t xml:space="preserve"> made in the respondent’s favour.  There is no magic in the 50% figure.  </w:t>
      </w:r>
      <w:r w:rsidR="00D567BF">
        <w:t xml:space="preserve">But it is </w:t>
      </w:r>
      <w:r w:rsidR="00A57FEB">
        <w:t xml:space="preserve">significant in that it still allows the respondent to recover a substantial proportion of its party/party costs from the applicant in the event that the applicant is ordered to pay to them.  </w:t>
      </w:r>
    </w:p>
    <w:p w:rsidR="00D567BF" w:rsidRDefault="00A57FEB" w:rsidP="00367FC7">
      <w:pPr>
        <w:pStyle w:val="ParaNumbering"/>
      </w:pPr>
      <w:r>
        <w:t>Whether</w:t>
      </w:r>
      <w:r w:rsidR="007407EF">
        <w:t xml:space="preserve"> or not</w:t>
      </w:r>
      <w:r>
        <w:t xml:space="preserve"> </w:t>
      </w:r>
      <w:r w:rsidR="008E12EC">
        <w:t>it would</w:t>
      </w:r>
      <w:r>
        <w:t xml:space="preserve"> be appropriate </w:t>
      </w:r>
      <w:r w:rsidR="008E12EC">
        <w:t xml:space="preserve">to order the applicant </w:t>
      </w:r>
      <w:r w:rsidR="001E05A6">
        <w:t xml:space="preserve">to </w:t>
      </w:r>
      <w:r w:rsidR="008E12EC">
        <w:t>pay the respondent’s costs</w:t>
      </w:r>
      <w:r>
        <w:t xml:space="preserve"> in the event that </w:t>
      </w:r>
      <w:r w:rsidR="001E05A6">
        <w:t>she</w:t>
      </w:r>
      <w:r>
        <w:t xml:space="preserve"> is unsuccessful </w:t>
      </w:r>
      <w:r w:rsidR="008E12EC">
        <w:t>in this</w:t>
      </w:r>
      <w:r w:rsidR="001E05A6">
        <w:t xml:space="preserve"> proceeding</w:t>
      </w:r>
      <w:r w:rsidR="008E12EC">
        <w:t xml:space="preserve"> </w:t>
      </w:r>
      <w:r>
        <w:t xml:space="preserve">is </w:t>
      </w:r>
      <w:r w:rsidR="00D567BF">
        <w:t xml:space="preserve">something </w:t>
      </w:r>
      <w:r>
        <w:t>about which I do not find it n</w:t>
      </w:r>
      <w:r w:rsidR="007407EF">
        <w:t>ecessary to express any opinion</w:t>
      </w:r>
      <w:r w:rsidR="002F22D6">
        <w:t>.</w:t>
      </w:r>
      <w:r>
        <w:t xml:space="preserve"> </w:t>
      </w:r>
      <w:r w:rsidR="00D567BF">
        <w:t xml:space="preserve">While </w:t>
      </w:r>
      <w:r>
        <w:t xml:space="preserve">I have approached the matter on the assumption that such an order </w:t>
      </w:r>
      <w:r w:rsidR="00DA6D14">
        <w:t xml:space="preserve">would </w:t>
      </w:r>
      <w:r>
        <w:t>be made</w:t>
      </w:r>
      <w:r w:rsidR="00D567BF">
        <w:t>,</w:t>
      </w:r>
      <w:r>
        <w:t xml:space="preserve"> </w:t>
      </w:r>
      <w:r w:rsidR="00FE0A52">
        <w:t xml:space="preserve">it remains to be seen whether that is </w:t>
      </w:r>
      <w:r w:rsidR="00DA6D14">
        <w:t xml:space="preserve">what </w:t>
      </w:r>
      <w:r w:rsidR="001E05A6">
        <w:t xml:space="preserve">actually </w:t>
      </w:r>
      <w:r w:rsidR="00DA6D14">
        <w:t>occurs</w:t>
      </w:r>
      <w:r w:rsidR="00FE0A52">
        <w:t xml:space="preserve">.  I should add that </w:t>
      </w:r>
      <w:r w:rsidR="00D567BF">
        <w:t>i</w:t>
      </w:r>
      <w:r>
        <w:t xml:space="preserve">t </w:t>
      </w:r>
      <w:r w:rsidR="00FE0A52">
        <w:t xml:space="preserve">may </w:t>
      </w:r>
      <w:r>
        <w:t xml:space="preserve">not always be appropriate to approach an application under O 62A r 1 in this way: cf. </w:t>
      </w:r>
      <w:r w:rsidRPr="00A57FEB">
        <w:rPr>
          <w:i/>
        </w:rPr>
        <w:t>Delta Electricity</w:t>
      </w:r>
      <w:r>
        <w:t xml:space="preserve"> at [198]-[203] per Bast</w:t>
      </w:r>
      <w:r w:rsidR="00FE0A52">
        <w:t>e</w:t>
      </w:r>
      <w:r>
        <w:t>n J</w:t>
      </w:r>
      <w:r w:rsidR="00FE0A52">
        <w:t>A</w:t>
      </w:r>
      <w:r>
        <w:t xml:space="preserve">. </w:t>
      </w:r>
      <w:r w:rsidR="00D567BF">
        <w:t xml:space="preserve"> </w:t>
      </w:r>
    </w:p>
    <w:p w:rsidR="00627C6C" w:rsidRDefault="00D567BF" w:rsidP="00367FC7">
      <w:pPr>
        <w:pStyle w:val="ParaNumbering"/>
      </w:pPr>
      <w:r>
        <w:lastRenderedPageBreak/>
        <w:t xml:space="preserve">The applicant also sought an order that the costs of </w:t>
      </w:r>
      <w:r w:rsidR="00596162">
        <w:t xml:space="preserve">the notice of motion be </w:t>
      </w:r>
      <w:r>
        <w:t>costs in the proceeding</w:t>
      </w:r>
      <w:r w:rsidR="00596162">
        <w:t xml:space="preserve">. </w:t>
      </w:r>
      <w:r>
        <w:t xml:space="preserve"> I think that is appropriate.</w:t>
      </w:r>
    </w:p>
    <w:p w:rsidR="00882248" w:rsidRDefault="00882248">
      <w:pPr>
        <w:suppressAutoHyphens/>
      </w:pPr>
      <w:bookmarkStart w:id="25" w:name="Certification"/>
    </w:p>
    <w:tbl>
      <w:tblPr>
        <w:tblW w:w="0" w:type="auto"/>
        <w:tblLayout w:type="fixed"/>
        <w:tblLook w:val="0000" w:firstRow="0" w:lastRow="0" w:firstColumn="0" w:lastColumn="0" w:noHBand="0" w:noVBand="0"/>
      </w:tblPr>
      <w:tblGrid>
        <w:gridCol w:w="3799"/>
      </w:tblGrid>
      <w:tr w:rsidR="00882248">
        <w:tblPrEx>
          <w:tblCellMar>
            <w:top w:w="0" w:type="dxa"/>
            <w:bottom w:w="0" w:type="dxa"/>
          </w:tblCellMar>
        </w:tblPrEx>
        <w:tc>
          <w:tcPr>
            <w:tcW w:w="3799" w:type="dxa"/>
          </w:tcPr>
          <w:p w:rsidR="00882248" w:rsidRDefault="00882248">
            <w:pPr>
              <w:pStyle w:val="Certify"/>
            </w:pPr>
            <w:r w:rsidRPr="00161FFC">
              <w:t xml:space="preserve">I certify that the preceding </w:t>
            </w:r>
            <w:bookmarkStart w:id="26" w:name="NumberWord"/>
            <w:r w:rsidR="005F0ABD">
              <w:t>thirty</w:t>
            </w:r>
            <w:bookmarkEnd w:id="26"/>
            <w:r w:rsidRPr="00161FFC">
              <w:t xml:space="preserve"> (</w:t>
            </w:r>
            <w:bookmarkStart w:id="27" w:name="NumberNumeral"/>
            <w:r w:rsidR="005F0ABD">
              <w:t>30</w:t>
            </w:r>
            <w:bookmarkEnd w:id="27"/>
            <w:r w:rsidRPr="00161FFC">
              <w:t xml:space="preserve">) numbered </w:t>
            </w:r>
            <w:bookmarkStart w:id="28" w:name="CertPara"/>
            <w:r w:rsidR="005F0ABD">
              <w:t>paragraphs are</w:t>
            </w:r>
            <w:bookmarkEnd w:id="28"/>
            <w:r w:rsidRPr="00161FFC">
              <w:t xml:space="preserve"> a true copy of the Reasons for Judgment herein of the Honourable </w:t>
            </w:r>
            <w:bookmarkStart w:id="29" w:name="Justice"/>
            <w:smartTag w:uri="urn:schemas-microsoft-com:office:smarttags" w:element="PersonName">
              <w:r>
                <w:t>Justice Nicholas</w:t>
              </w:r>
            </w:smartTag>
            <w:bookmarkEnd w:id="29"/>
            <w:r>
              <w:t>.</w:t>
            </w:r>
          </w:p>
        </w:tc>
      </w:tr>
    </w:tbl>
    <w:p w:rsidR="00882248" w:rsidRDefault="00882248">
      <w:pPr>
        <w:suppressAutoHyphens/>
      </w:pPr>
    </w:p>
    <w:p w:rsidR="00882248" w:rsidRDefault="00882248">
      <w:pPr>
        <w:suppressAutoHyphens/>
      </w:pPr>
    </w:p>
    <w:p w:rsidR="00882248" w:rsidRDefault="00882248">
      <w:pPr>
        <w:suppressAutoHyphens/>
      </w:pPr>
      <w:r>
        <w:t>Associate:</w:t>
      </w:r>
    </w:p>
    <w:p w:rsidR="00882248" w:rsidRDefault="00882248">
      <w:pPr>
        <w:suppressAutoHyphens/>
      </w:pPr>
    </w:p>
    <w:p w:rsidR="00882248" w:rsidRDefault="00882248">
      <w:pPr>
        <w:tabs>
          <w:tab w:val="left" w:pos="1134"/>
        </w:tabs>
        <w:suppressAutoHyphens/>
      </w:pPr>
      <w:r>
        <w:t>Dated:</w:t>
      </w:r>
      <w:r>
        <w:tab/>
      </w:r>
      <w:bookmarkStart w:id="30" w:name="CertifyDated"/>
      <w:bookmarkEnd w:id="30"/>
      <w:r w:rsidR="0099350F">
        <w:t>20 October 2010</w:t>
      </w:r>
    </w:p>
    <w:bookmarkEnd w:id="25"/>
    <w:p w:rsidR="00882248" w:rsidRDefault="00882248">
      <w:pPr>
        <w:suppressAutoHyphens/>
      </w:pPr>
    </w:p>
    <w:sectPr w:rsidR="00882248">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706" w:rsidRDefault="00B23706">
      <w:pPr>
        <w:spacing w:line="20" w:lineRule="exact"/>
      </w:pPr>
    </w:p>
    <w:p w:rsidR="00B23706" w:rsidRDefault="00B23706"/>
    <w:p w:rsidR="00B23706" w:rsidRDefault="00B23706"/>
  </w:endnote>
  <w:endnote w:type="continuationSeparator" w:id="0">
    <w:p w:rsidR="00B23706" w:rsidRDefault="00B23706">
      <w:r>
        <w:t xml:space="preserve"> </w:t>
      </w:r>
    </w:p>
    <w:p w:rsidR="00B23706" w:rsidRDefault="00B23706"/>
    <w:p w:rsidR="00B23706" w:rsidRDefault="00B23706"/>
  </w:endnote>
  <w:endnote w:type="continuationNotice" w:id="1">
    <w:p w:rsidR="00B23706" w:rsidRDefault="00B23706">
      <w:r>
        <w:t xml:space="preserve"> </w:t>
      </w:r>
    </w:p>
    <w:p w:rsidR="00B23706" w:rsidRDefault="00B23706"/>
    <w:p w:rsidR="00B23706" w:rsidRDefault="00B23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99350F" w:rsidRDefault="008D7AC4" w:rsidP="009935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Pr="0099350F" w:rsidRDefault="008D7AC4" w:rsidP="009935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706" w:rsidRDefault="00B23706"/>
    <w:p w:rsidR="00B23706" w:rsidRDefault="00B23706"/>
    <w:p w:rsidR="00B23706" w:rsidRDefault="00B23706"/>
  </w:footnote>
  <w:footnote w:type="continuationSeparator" w:id="0">
    <w:p w:rsidR="00B23706" w:rsidRDefault="00B23706">
      <w:r>
        <w:continuationSeparator/>
      </w:r>
    </w:p>
    <w:p w:rsidR="00B23706" w:rsidRDefault="00B23706"/>
    <w:p w:rsidR="00B23706" w:rsidRDefault="00B237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F66AC5">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FF4A88">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pPr>
      <w:tabs>
        <w:tab w:val="center" w:pos="4512"/>
      </w:tabs>
      <w:suppressAutoHyphens/>
    </w:pPr>
    <w:r>
      <w:tab/>
      <w:t xml:space="preserve">- </w:t>
    </w:r>
    <w:r>
      <w:fldChar w:fldCharType="begin"/>
    </w:r>
    <w:r>
      <w:instrText>page \* arabic</w:instrText>
    </w:r>
    <w:r>
      <w:fldChar w:fldCharType="separate"/>
    </w:r>
    <w:r w:rsidR="00F66AC5">
      <w:rPr>
        <w:noProof/>
      </w:rPr>
      <w:t>9</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C4" w:rsidRDefault="008D7AC4"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29AE3DD1"/>
    <w:multiLevelType w:val="singleLevel"/>
    <w:tmpl w:val="73CCE726"/>
    <w:lvl w:ilvl="0">
      <w:start w:val="1"/>
      <w:numFmt w:val="decimal"/>
      <w:lvlRestart w:val="0"/>
      <w:pStyle w:val="ParaNumbering"/>
      <w:lvlText w:val="%1"/>
      <w:lvlJc w:val="left"/>
      <w:pPr>
        <w:tabs>
          <w:tab w:val="num" w:pos="720"/>
        </w:tabs>
        <w:ind w:left="0" w:hanging="720"/>
      </w:pPr>
      <w:rPr>
        <w:rFonts w:hint="default"/>
        <w:sz w:val="20"/>
      </w:rPr>
    </w:lvl>
  </w:abstractNum>
  <w:abstractNum w:abstractNumId="13">
    <w:nsid w:val="33630A1B"/>
    <w:multiLevelType w:val="multilevel"/>
    <w:tmpl w:val="A09C08BE"/>
    <w:lvl w:ilvl="0">
      <w:start w:val="1"/>
      <w:numFmt w:val="decimal"/>
      <w:lvlRestart w:val="0"/>
      <w:pStyle w:val="ListNo"/>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2"/>
  </w:num>
  <w:num w:numId="2">
    <w:abstractNumId w:val="17"/>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9"/>
  </w:num>
  <w:num w:numId="17">
    <w:abstractNumId w:val="13"/>
  </w:num>
  <w:num w:numId="18">
    <w:abstractNumId w:val="13"/>
  </w:num>
  <w:num w:numId="19">
    <w:abstractNumId w:val="18"/>
  </w:num>
  <w:num w:numId="20">
    <w:abstractNumId w:val="15"/>
  </w:num>
  <w:num w:numId="21">
    <w:abstractNumId w:val="16"/>
  </w:num>
  <w:num w:numId="22">
    <w:abstractNumId w:val="20"/>
  </w:num>
  <w:num w:numId="23">
    <w:abstractNumId w:val="20"/>
  </w:num>
  <w:num w:numId="24">
    <w:abstractNumId w:val="20"/>
  </w:num>
  <w:num w:numId="25">
    <w:abstractNumId w:val="20"/>
  </w:num>
  <w:num w:numId="26">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Julia Haraksin"/>
    <w:docVar w:name="CounselParties" w:val="Respondent"/>
    <w:docVar w:name="CounselType" w:val="Solicitor for the "/>
    <w:docVar w:name="Division" w:val="GENERAL DIVISION"/>
    <w:docVar w:name="DocCreated" w:val="True"/>
    <w:docVar w:name="EntryList" w:val="Counsel for the Applicant"/>
    <w:docVar w:name="FileNumbers" w:val="NSD 907 of 2010"/>
    <w:docVar w:name="FullCourt" w:val="False"/>
    <w:docVar w:name="HearingDate" w:val="15 October 2010"/>
    <w:docVar w:name="Judge" w:val="Nicholas"/>
    <w:docVar w:name="JudgePlace" w:val="SYDNEY"/>
    <w:docVar w:name="lstEntryList" w:val="0"/>
    <w:docVar w:name="myEntryList" w:val="Counsel for the Applicant=|Solicitor for the Applicant=|Counsel for the Respondent=|Solicitor for the Respondent="/>
    <w:docVar w:name="NSD" w:val="NSD NSD 907 of 2010"/>
    <w:docVar w:name="NumApps" w:val="1"/>
    <w:docVar w:name="NumApps_" w:val="1"/>
    <w:docVar w:name="NumJudges" w:val="Single Judge"/>
    <w:docVar w:name="Parties" w:val="Respondent"/>
    <w:docVar w:name="Place_SentenceCase" w:val="Sydney"/>
    <w:docVar w:name="Respondent" w:val="Murrays Australia Ltd (ACN 008 468 666)"/>
    <w:docVar w:name="ResState" w:val="NEW SOUTH WALES"/>
    <w:docVar w:name="Single" w:val="True"/>
  </w:docVars>
  <w:rsids>
    <w:rsidRoot w:val="004A662B"/>
    <w:rsid w:val="00000427"/>
    <w:rsid w:val="00001337"/>
    <w:rsid w:val="00001CDB"/>
    <w:rsid w:val="0000508E"/>
    <w:rsid w:val="00005130"/>
    <w:rsid w:val="00005647"/>
    <w:rsid w:val="000062A1"/>
    <w:rsid w:val="0001067F"/>
    <w:rsid w:val="00010911"/>
    <w:rsid w:val="00012E32"/>
    <w:rsid w:val="000143EE"/>
    <w:rsid w:val="00014AA9"/>
    <w:rsid w:val="00017413"/>
    <w:rsid w:val="00017BB7"/>
    <w:rsid w:val="00017C80"/>
    <w:rsid w:val="00020D50"/>
    <w:rsid w:val="00020F68"/>
    <w:rsid w:val="00022830"/>
    <w:rsid w:val="000241B9"/>
    <w:rsid w:val="0002571E"/>
    <w:rsid w:val="00025AD4"/>
    <w:rsid w:val="000275ED"/>
    <w:rsid w:val="0003311D"/>
    <w:rsid w:val="00034E12"/>
    <w:rsid w:val="000407DC"/>
    <w:rsid w:val="00041A20"/>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D38"/>
    <w:rsid w:val="00085FB5"/>
    <w:rsid w:val="00086451"/>
    <w:rsid w:val="00086615"/>
    <w:rsid w:val="0009015A"/>
    <w:rsid w:val="000914ED"/>
    <w:rsid w:val="0009487A"/>
    <w:rsid w:val="00097051"/>
    <w:rsid w:val="000974F6"/>
    <w:rsid w:val="00097725"/>
    <w:rsid w:val="000A268F"/>
    <w:rsid w:val="000A715C"/>
    <w:rsid w:val="000B0A83"/>
    <w:rsid w:val="000B0C30"/>
    <w:rsid w:val="000B134D"/>
    <w:rsid w:val="000B714E"/>
    <w:rsid w:val="000B7F3F"/>
    <w:rsid w:val="000C0538"/>
    <w:rsid w:val="000C3042"/>
    <w:rsid w:val="000C304B"/>
    <w:rsid w:val="000C35EE"/>
    <w:rsid w:val="000C4574"/>
    <w:rsid w:val="000C5CB1"/>
    <w:rsid w:val="000C6094"/>
    <w:rsid w:val="000D02B3"/>
    <w:rsid w:val="000D232E"/>
    <w:rsid w:val="000D37FE"/>
    <w:rsid w:val="000D4D92"/>
    <w:rsid w:val="000D54FA"/>
    <w:rsid w:val="000D612B"/>
    <w:rsid w:val="000E2728"/>
    <w:rsid w:val="000E27CC"/>
    <w:rsid w:val="000E43D1"/>
    <w:rsid w:val="000E4F42"/>
    <w:rsid w:val="000E636E"/>
    <w:rsid w:val="000E78E8"/>
    <w:rsid w:val="000E7E1E"/>
    <w:rsid w:val="000F153C"/>
    <w:rsid w:val="000F1C81"/>
    <w:rsid w:val="000F2344"/>
    <w:rsid w:val="000F3F18"/>
    <w:rsid w:val="000F6E6E"/>
    <w:rsid w:val="000F75D5"/>
    <w:rsid w:val="00100A70"/>
    <w:rsid w:val="00106F62"/>
    <w:rsid w:val="00111043"/>
    <w:rsid w:val="001114BE"/>
    <w:rsid w:val="00111BC9"/>
    <w:rsid w:val="0011416F"/>
    <w:rsid w:val="00114B4A"/>
    <w:rsid w:val="00115EB4"/>
    <w:rsid w:val="001175A5"/>
    <w:rsid w:val="00121D2F"/>
    <w:rsid w:val="00123B3E"/>
    <w:rsid w:val="00125340"/>
    <w:rsid w:val="0012775F"/>
    <w:rsid w:val="00132D52"/>
    <w:rsid w:val="0013388F"/>
    <w:rsid w:val="00137EE0"/>
    <w:rsid w:val="0014510A"/>
    <w:rsid w:val="00145F70"/>
    <w:rsid w:val="001465CC"/>
    <w:rsid w:val="00150819"/>
    <w:rsid w:val="00151BB8"/>
    <w:rsid w:val="00152040"/>
    <w:rsid w:val="0015318B"/>
    <w:rsid w:val="001532EB"/>
    <w:rsid w:val="0015367F"/>
    <w:rsid w:val="001548A9"/>
    <w:rsid w:val="00161488"/>
    <w:rsid w:val="00162FEB"/>
    <w:rsid w:val="00164581"/>
    <w:rsid w:val="0016490B"/>
    <w:rsid w:val="001651A9"/>
    <w:rsid w:val="00171B2D"/>
    <w:rsid w:val="00171F5F"/>
    <w:rsid w:val="00173388"/>
    <w:rsid w:val="001778B1"/>
    <w:rsid w:val="00180471"/>
    <w:rsid w:val="001804B9"/>
    <w:rsid w:val="00180D13"/>
    <w:rsid w:val="001811DD"/>
    <w:rsid w:val="001813D0"/>
    <w:rsid w:val="00182008"/>
    <w:rsid w:val="0018317C"/>
    <w:rsid w:val="00183E80"/>
    <w:rsid w:val="00184470"/>
    <w:rsid w:val="00185691"/>
    <w:rsid w:val="00187E01"/>
    <w:rsid w:val="00190DA6"/>
    <w:rsid w:val="00191911"/>
    <w:rsid w:val="0019258C"/>
    <w:rsid w:val="0019305D"/>
    <w:rsid w:val="001932FA"/>
    <w:rsid w:val="00194CA1"/>
    <w:rsid w:val="00194CDB"/>
    <w:rsid w:val="001A0FF0"/>
    <w:rsid w:val="001A23E0"/>
    <w:rsid w:val="001A2E67"/>
    <w:rsid w:val="001A3EBA"/>
    <w:rsid w:val="001B06A8"/>
    <w:rsid w:val="001B43E6"/>
    <w:rsid w:val="001B532D"/>
    <w:rsid w:val="001B762C"/>
    <w:rsid w:val="001C0B29"/>
    <w:rsid w:val="001C110A"/>
    <w:rsid w:val="001C1DAC"/>
    <w:rsid w:val="001C1F39"/>
    <w:rsid w:val="001C284A"/>
    <w:rsid w:val="001C6792"/>
    <w:rsid w:val="001C6984"/>
    <w:rsid w:val="001C773C"/>
    <w:rsid w:val="001C7F3C"/>
    <w:rsid w:val="001D00A0"/>
    <w:rsid w:val="001D0CBF"/>
    <w:rsid w:val="001D18D0"/>
    <w:rsid w:val="001D21E8"/>
    <w:rsid w:val="001D2983"/>
    <w:rsid w:val="001D3B74"/>
    <w:rsid w:val="001D450A"/>
    <w:rsid w:val="001D5A4C"/>
    <w:rsid w:val="001D6083"/>
    <w:rsid w:val="001D75ED"/>
    <w:rsid w:val="001E05A6"/>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5D82"/>
    <w:rsid w:val="00216D26"/>
    <w:rsid w:val="00221B2D"/>
    <w:rsid w:val="00222BBD"/>
    <w:rsid w:val="00223844"/>
    <w:rsid w:val="00224A45"/>
    <w:rsid w:val="00224DC6"/>
    <w:rsid w:val="0023127B"/>
    <w:rsid w:val="00231C33"/>
    <w:rsid w:val="00234C63"/>
    <w:rsid w:val="002353A0"/>
    <w:rsid w:val="0023786B"/>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5903"/>
    <w:rsid w:val="002664BB"/>
    <w:rsid w:val="0026717E"/>
    <w:rsid w:val="0026734F"/>
    <w:rsid w:val="00272791"/>
    <w:rsid w:val="002727BA"/>
    <w:rsid w:val="00275A96"/>
    <w:rsid w:val="00280AF5"/>
    <w:rsid w:val="0028510D"/>
    <w:rsid w:val="002867B0"/>
    <w:rsid w:val="0028773B"/>
    <w:rsid w:val="002914A3"/>
    <w:rsid w:val="00292145"/>
    <w:rsid w:val="00294E51"/>
    <w:rsid w:val="0029792F"/>
    <w:rsid w:val="002A099B"/>
    <w:rsid w:val="002A2262"/>
    <w:rsid w:val="002A4C8E"/>
    <w:rsid w:val="002A505F"/>
    <w:rsid w:val="002A645F"/>
    <w:rsid w:val="002A6DEF"/>
    <w:rsid w:val="002B326C"/>
    <w:rsid w:val="002B35C4"/>
    <w:rsid w:val="002B488E"/>
    <w:rsid w:val="002B57A3"/>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22D6"/>
    <w:rsid w:val="002F2C0B"/>
    <w:rsid w:val="002F4C2E"/>
    <w:rsid w:val="002F5291"/>
    <w:rsid w:val="00302087"/>
    <w:rsid w:val="00302183"/>
    <w:rsid w:val="00302D29"/>
    <w:rsid w:val="0030528E"/>
    <w:rsid w:val="00305F9D"/>
    <w:rsid w:val="00306CFB"/>
    <w:rsid w:val="003072F7"/>
    <w:rsid w:val="003073BB"/>
    <w:rsid w:val="00307757"/>
    <w:rsid w:val="003100CA"/>
    <w:rsid w:val="0031353D"/>
    <w:rsid w:val="00314208"/>
    <w:rsid w:val="00314873"/>
    <w:rsid w:val="003155E1"/>
    <w:rsid w:val="00315698"/>
    <w:rsid w:val="00315720"/>
    <w:rsid w:val="00316C21"/>
    <w:rsid w:val="00316CCE"/>
    <w:rsid w:val="003175F9"/>
    <w:rsid w:val="00320622"/>
    <w:rsid w:val="0032069E"/>
    <w:rsid w:val="003222BA"/>
    <w:rsid w:val="003233CA"/>
    <w:rsid w:val="00323453"/>
    <w:rsid w:val="0032552E"/>
    <w:rsid w:val="00331A85"/>
    <w:rsid w:val="003334A8"/>
    <w:rsid w:val="00341249"/>
    <w:rsid w:val="003437C1"/>
    <w:rsid w:val="00344BA9"/>
    <w:rsid w:val="003453AC"/>
    <w:rsid w:val="003505CC"/>
    <w:rsid w:val="00352B39"/>
    <w:rsid w:val="00356101"/>
    <w:rsid w:val="003608C1"/>
    <w:rsid w:val="00361300"/>
    <w:rsid w:val="00362E25"/>
    <w:rsid w:val="003631F7"/>
    <w:rsid w:val="00363A4B"/>
    <w:rsid w:val="00364039"/>
    <w:rsid w:val="00364181"/>
    <w:rsid w:val="00365D47"/>
    <w:rsid w:val="00365FD3"/>
    <w:rsid w:val="00367AD3"/>
    <w:rsid w:val="00367FC7"/>
    <w:rsid w:val="00370893"/>
    <w:rsid w:val="003744F8"/>
    <w:rsid w:val="0037541E"/>
    <w:rsid w:val="00376120"/>
    <w:rsid w:val="00376E34"/>
    <w:rsid w:val="00377774"/>
    <w:rsid w:val="0038105D"/>
    <w:rsid w:val="00382266"/>
    <w:rsid w:val="003822F7"/>
    <w:rsid w:val="003829AF"/>
    <w:rsid w:val="00382ADB"/>
    <w:rsid w:val="00383044"/>
    <w:rsid w:val="00383EE8"/>
    <w:rsid w:val="00390E3B"/>
    <w:rsid w:val="00397262"/>
    <w:rsid w:val="003A3014"/>
    <w:rsid w:val="003B15AB"/>
    <w:rsid w:val="003C3AB3"/>
    <w:rsid w:val="003C48DC"/>
    <w:rsid w:val="003C709D"/>
    <w:rsid w:val="003D1152"/>
    <w:rsid w:val="003D2302"/>
    <w:rsid w:val="003D24E2"/>
    <w:rsid w:val="003D5998"/>
    <w:rsid w:val="003D5EB6"/>
    <w:rsid w:val="003D723E"/>
    <w:rsid w:val="003D7543"/>
    <w:rsid w:val="003E0E05"/>
    <w:rsid w:val="003E11D8"/>
    <w:rsid w:val="003E1636"/>
    <w:rsid w:val="003E3537"/>
    <w:rsid w:val="003E417A"/>
    <w:rsid w:val="003E4BFC"/>
    <w:rsid w:val="003E7BB1"/>
    <w:rsid w:val="003F151F"/>
    <w:rsid w:val="003F372D"/>
    <w:rsid w:val="003F4FBE"/>
    <w:rsid w:val="003F691D"/>
    <w:rsid w:val="0040123F"/>
    <w:rsid w:val="00403CD1"/>
    <w:rsid w:val="00406801"/>
    <w:rsid w:val="00407467"/>
    <w:rsid w:val="00410194"/>
    <w:rsid w:val="00410D37"/>
    <w:rsid w:val="0041100C"/>
    <w:rsid w:val="004121D1"/>
    <w:rsid w:val="00414E02"/>
    <w:rsid w:val="00416E8A"/>
    <w:rsid w:val="00417E05"/>
    <w:rsid w:val="00423D90"/>
    <w:rsid w:val="004264C8"/>
    <w:rsid w:val="00426EF9"/>
    <w:rsid w:val="00431095"/>
    <w:rsid w:val="004325CB"/>
    <w:rsid w:val="00432934"/>
    <w:rsid w:val="004344A1"/>
    <w:rsid w:val="0043743A"/>
    <w:rsid w:val="00441512"/>
    <w:rsid w:val="00442DA2"/>
    <w:rsid w:val="00444234"/>
    <w:rsid w:val="00445304"/>
    <w:rsid w:val="00447AA7"/>
    <w:rsid w:val="00452F9F"/>
    <w:rsid w:val="00454A5D"/>
    <w:rsid w:val="004559AB"/>
    <w:rsid w:val="004629BE"/>
    <w:rsid w:val="00466256"/>
    <w:rsid w:val="00466BC0"/>
    <w:rsid w:val="00471486"/>
    <w:rsid w:val="0047166D"/>
    <w:rsid w:val="00472A49"/>
    <w:rsid w:val="00472E44"/>
    <w:rsid w:val="0047417B"/>
    <w:rsid w:val="0047507C"/>
    <w:rsid w:val="004762ED"/>
    <w:rsid w:val="00476B1B"/>
    <w:rsid w:val="004778EF"/>
    <w:rsid w:val="00480367"/>
    <w:rsid w:val="0048041A"/>
    <w:rsid w:val="00490F0D"/>
    <w:rsid w:val="004913A0"/>
    <w:rsid w:val="00492B31"/>
    <w:rsid w:val="00495E87"/>
    <w:rsid w:val="004971CC"/>
    <w:rsid w:val="004A0128"/>
    <w:rsid w:val="004A0AD1"/>
    <w:rsid w:val="004A0CE8"/>
    <w:rsid w:val="004A0E4C"/>
    <w:rsid w:val="004A1E99"/>
    <w:rsid w:val="004A28C3"/>
    <w:rsid w:val="004A3A2F"/>
    <w:rsid w:val="004A3D50"/>
    <w:rsid w:val="004A662B"/>
    <w:rsid w:val="004A690C"/>
    <w:rsid w:val="004A6AF6"/>
    <w:rsid w:val="004B19B6"/>
    <w:rsid w:val="004B279A"/>
    <w:rsid w:val="004B2EFC"/>
    <w:rsid w:val="004B3C19"/>
    <w:rsid w:val="004B7F70"/>
    <w:rsid w:val="004C03FE"/>
    <w:rsid w:val="004C0424"/>
    <w:rsid w:val="004C16E1"/>
    <w:rsid w:val="004C1FCE"/>
    <w:rsid w:val="004C34BC"/>
    <w:rsid w:val="004C562F"/>
    <w:rsid w:val="004C7359"/>
    <w:rsid w:val="004C7908"/>
    <w:rsid w:val="004D1288"/>
    <w:rsid w:val="004D36ED"/>
    <w:rsid w:val="004D5541"/>
    <w:rsid w:val="004D68D7"/>
    <w:rsid w:val="004D71D8"/>
    <w:rsid w:val="004E09C1"/>
    <w:rsid w:val="004E2080"/>
    <w:rsid w:val="004E2C62"/>
    <w:rsid w:val="004E457D"/>
    <w:rsid w:val="004E6B30"/>
    <w:rsid w:val="004E7B89"/>
    <w:rsid w:val="004E7D9B"/>
    <w:rsid w:val="004F1BAA"/>
    <w:rsid w:val="004F619A"/>
    <w:rsid w:val="004F6CEE"/>
    <w:rsid w:val="004F7C73"/>
    <w:rsid w:val="00500EFC"/>
    <w:rsid w:val="00504770"/>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694D"/>
    <w:rsid w:val="005271CD"/>
    <w:rsid w:val="00532224"/>
    <w:rsid w:val="005332FC"/>
    <w:rsid w:val="005347EE"/>
    <w:rsid w:val="0053545A"/>
    <w:rsid w:val="00537D52"/>
    <w:rsid w:val="00541C96"/>
    <w:rsid w:val="005428DA"/>
    <w:rsid w:val="005434F4"/>
    <w:rsid w:val="0054509B"/>
    <w:rsid w:val="005453D3"/>
    <w:rsid w:val="00547268"/>
    <w:rsid w:val="0055040E"/>
    <w:rsid w:val="005505FE"/>
    <w:rsid w:val="00550FDF"/>
    <w:rsid w:val="005520E8"/>
    <w:rsid w:val="00552276"/>
    <w:rsid w:val="00555D4F"/>
    <w:rsid w:val="00557215"/>
    <w:rsid w:val="00561386"/>
    <w:rsid w:val="00563276"/>
    <w:rsid w:val="0056601A"/>
    <w:rsid w:val="00571AA4"/>
    <w:rsid w:val="00572DB4"/>
    <w:rsid w:val="005748A6"/>
    <w:rsid w:val="00576101"/>
    <w:rsid w:val="00576478"/>
    <w:rsid w:val="00576713"/>
    <w:rsid w:val="00582036"/>
    <w:rsid w:val="005833F8"/>
    <w:rsid w:val="0058403A"/>
    <w:rsid w:val="005854CF"/>
    <w:rsid w:val="00587D14"/>
    <w:rsid w:val="005904D7"/>
    <w:rsid w:val="0059166A"/>
    <w:rsid w:val="005917E9"/>
    <w:rsid w:val="00592C68"/>
    <w:rsid w:val="0059344D"/>
    <w:rsid w:val="0059431C"/>
    <w:rsid w:val="00596162"/>
    <w:rsid w:val="0059743E"/>
    <w:rsid w:val="005A0428"/>
    <w:rsid w:val="005A1C95"/>
    <w:rsid w:val="005A2113"/>
    <w:rsid w:val="005A3BB3"/>
    <w:rsid w:val="005A3C33"/>
    <w:rsid w:val="005A3F0A"/>
    <w:rsid w:val="005A4589"/>
    <w:rsid w:val="005A4F51"/>
    <w:rsid w:val="005A5E2E"/>
    <w:rsid w:val="005A7230"/>
    <w:rsid w:val="005B0F6F"/>
    <w:rsid w:val="005B2CBD"/>
    <w:rsid w:val="005B3B4D"/>
    <w:rsid w:val="005B5AD1"/>
    <w:rsid w:val="005B6F89"/>
    <w:rsid w:val="005B757C"/>
    <w:rsid w:val="005C161D"/>
    <w:rsid w:val="005C32F4"/>
    <w:rsid w:val="005C5C56"/>
    <w:rsid w:val="005C696A"/>
    <w:rsid w:val="005C7E55"/>
    <w:rsid w:val="005D00C7"/>
    <w:rsid w:val="005D0767"/>
    <w:rsid w:val="005D18DE"/>
    <w:rsid w:val="005D235E"/>
    <w:rsid w:val="005D3304"/>
    <w:rsid w:val="005D4F38"/>
    <w:rsid w:val="005D4F5F"/>
    <w:rsid w:val="005D5550"/>
    <w:rsid w:val="005E15EE"/>
    <w:rsid w:val="005E4F3F"/>
    <w:rsid w:val="005E55C9"/>
    <w:rsid w:val="005E58D6"/>
    <w:rsid w:val="005E78D8"/>
    <w:rsid w:val="005E7BF3"/>
    <w:rsid w:val="005E7DBC"/>
    <w:rsid w:val="005F0949"/>
    <w:rsid w:val="005F0ABD"/>
    <w:rsid w:val="005F155A"/>
    <w:rsid w:val="005F33A5"/>
    <w:rsid w:val="005F4FB9"/>
    <w:rsid w:val="005F5621"/>
    <w:rsid w:val="005F57BE"/>
    <w:rsid w:val="005F75F4"/>
    <w:rsid w:val="005F7770"/>
    <w:rsid w:val="0060202E"/>
    <w:rsid w:val="00602108"/>
    <w:rsid w:val="00603A67"/>
    <w:rsid w:val="00603AE8"/>
    <w:rsid w:val="006055B9"/>
    <w:rsid w:val="00606075"/>
    <w:rsid w:val="006108A5"/>
    <w:rsid w:val="00610F93"/>
    <w:rsid w:val="006111DA"/>
    <w:rsid w:val="00611398"/>
    <w:rsid w:val="00612392"/>
    <w:rsid w:val="00612751"/>
    <w:rsid w:val="006132D6"/>
    <w:rsid w:val="00613E26"/>
    <w:rsid w:val="00617B48"/>
    <w:rsid w:val="00620C66"/>
    <w:rsid w:val="006227B4"/>
    <w:rsid w:val="006237C3"/>
    <w:rsid w:val="00627500"/>
    <w:rsid w:val="00627C6C"/>
    <w:rsid w:val="0063031A"/>
    <w:rsid w:val="006405C0"/>
    <w:rsid w:val="00646121"/>
    <w:rsid w:val="006506B3"/>
    <w:rsid w:val="00652392"/>
    <w:rsid w:val="006542B7"/>
    <w:rsid w:val="006547E7"/>
    <w:rsid w:val="00654FD6"/>
    <w:rsid w:val="00655373"/>
    <w:rsid w:val="006728D2"/>
    <w:rsid w:val="0067292D"/>
    <w:rsid w:val="006737B2"/>
    <w:rsid w:val="00675752"/>
    <w:rsid w:val="0067680D"/>
    <w:rsid w:val="00681001"/>
    <w:rsid w:val="0068103E"/>
    <w:rsid w:val="00681310"/>
    <w:rsid w:val="00686303"/>
    <w:rsid w:val="006873C4"/>
    <w:rsid w:val="00687B23"/>
    <w:rsid w:val="006905B5"/>
    <w:rsid w:val="00693CCB"/>
    <w:rsid w:val="006A244D"/>
    <w:rsid w:val="006A3ACC"/>
    <w:rsid w:val="006A43F3"/>
    <w:rsid w:val="006B1B91"/>
    <w:rsid w:val="006B2B10"/>
    <w:rsid w:val="006B3218"/>
    <w:rsid w:val="006B3891"/>
    <w:rsid w:val="006B5817"/>
    <w:rsid w:val="006C264E"/>
    <w:rsid w:val="006C26B6"/>
    <w:rsid w:val="006C38FE"/>
    <w:rsid w:val="006C6A98"/>
    <w:rsid w:val="006C6F12"/>
    <w:rsid w:val="006C7A51"/>
    <w:rsid w:val="006D342C"/>
    <w:rsid w:val="006D7956"/>
    <w:rsid w:val="006E32CB"/>
    <w:rsid w:val="006E52E3"/>
    <w:rsid w:val="006E5675"/>
    <w:rsid w:val="006E57F8"/>
    <w:rsid w:val="006E5F58"/>
    <w:rsid w:val="006E77E5"/>
    <w:rsid w:val="006F3748"/>
    <w:rsid w:val="006F5DD5"/>
    <w:rsid w:val="006F7C91"/>
    <w:rsid w:val="007006EE"/>
    <w:rsid w:val="00700A79"/>
    <w:rsid w:val="00701029"/>
    <w:rsid w:val="00701117"/>
    <w:rsid w:val="0070314F"/>
    <w:rsid w:val="00705C8A"/>
    <w:rsid w:val="00706FF4"/>
    <w:rsid w:val="00707B0C"/>
    <w:rsid w:val="00707C35"/>
    <w:rsid w:val="0071172A"/>
    <w:rsid w:val="00712261"/>
    <w:rsid w:val="00713B04"/>
    <w:rsid w:val="00716434"/>
    <w:rsid w:val="0071736D"/>
    <w:rsid w:val="00723B70"/>
    <w:rsid w:val="00726321"/>
    <w:rsid w:val="00736B23"/>
    <w:rsid w:val="007371C8"/>
    <w:rsid w:val="007407EF"/>
    <w:rsid w:val="00747295"/>
    <w:rsid w:val="0075124E"/>
    <w:rsid w:val="007515C0"/>
    <w:rsid w:val="007524B6"/>
    <w:rsid w:val="007524E9"/>
    <w:rsid w:val="00753C8A"/>
    <w:rsid w:val="00754005"/>
    <w:rsid w:val="007575A3"/>
    <w:rsid w:val="00757716"/>
    <w:rsid w:val="00760990"/>
    <w:rsid w:val="00764256"/>
    <w:rsid w:val="00764603"/>
    <w:rsid w:val="00765C07"/>
    <w:rsid w:val="00772363"/>
    <w:rsid w:val="00772550"/>
    <w:rsid w:val="007735ED"/>
    <w:rsid w:val="007759EF"/>
    <w:rsid w:val="00776CC4"/>
    <w:rsid w:val="00777606"/>
    <w:rsid w:val="00781443"/>
    <w:rsid w:val="00781533"/>
    <w:rsid w:val="0078783D"/>
    <w:rsid w:val="007952CD"/>
    <w:rsid w:val="007A2D5E"/>
    <w:rsid w:val="007A5C50"/>
    <w:rsid w:val="007A5E3A"/>
    <w:rsid w:val="007A6DF6"/>
    <w:rsid w:val="007A72F4"/>
    <w:rsid w:val="007B03C1"/>
    <w:rsid w:val="007B224D"/>
    <w:rsid w:val="007B270E"/>
    <w:rsid w:val="007B38F4"/>
    <w:rsid w:val="007B49C7"/>
    <w:rsid w:val="007B6E15"/>
    <w:rsid w:val="007C224E"/>
    <w:rsid w:val="007C7E18"/>
    <w:rsid w:val="007D3622"/>
    <w:rsid w:val="007E0E62"/>
    <w:rsid w:val="007E2B03"/>
    <w:rsid w:val="007E3CDB"/>
    <w:rsid w:val="007E6065"/>
    <w:rsid w:val="007F04F8"/>
    <w:rsid w:val="007F0A7E"/>
    <w:rsid w:val="007F1627"/>
    <w:rsid w:val="007F3F10"/>
    <w:rsid w:val="007F4835"/>
    <w:rsid w:val="007F6985"/>
    <w:rsid w:val="00800D15"/>
    <w:rsid w:val="00805628"/>
    <w:rsid w:val="0080566D"/>
    <w:rsid w:val="008149D4"/>
    <w:rsid w:val="00814FC2"/>
    <w:rsid w:val="00816AF9"/>
    <w:rsid w:val="008171B5"/>
    <w:rsid w:val="00821A4F"/>
    <w:rsid w:val="0082262E"/>
    <w:rsid w:val="008247CB"/>
    <w:rsid w:val="00826788"/>
    <w:rsid w:val="00826DF6"/>
    <w:rsid w:val="00832204"/>
    <w:rsid w:val="00832713"/>
    <w:rsid w:val="00832F01"/>
    <w:rsid w:val="00836C0B"/>
    <w:rsid w:val="008378AD"/>
    <w:rsid w:val="00840A30"/>
    <w:rsid w:val="00840B07"/>
    <w:rsid w:val="0084132E"/>
    <w:rsid w:val="00842FD1"/>
    <w:rsid w:val="00843829"/>
    <w:rsid w:val="00844499"/>
    <w:rsid w:val="00844E18"/>
    <w:rsid w:val="008464D4"/>
    <w:rsid w:val="00847163"/>
    <w:rsid w:val="008503F9"/>
    <w:rsid w:val="00851D0B"/>
    <w:rsid w:val="008528C9"/>
    <w:rsid w:val="0085491A"/>
    <w:rsid w:val="00855011"/>
    <w:rsid w:val="00855B1B"/>
    <w:rsid w:val="00857306"/>
    <w:rsid w:val="00857C29"/>
    <w:rsid w:val="00862364"/>
    <w:rsid w:val="008627C8"/>
    <w:rsid w:val="008629D2"/>
    <w:rsid w:val="00862B12"/>
    <w:rsid w:val="00862EA0"/>
    <w:rsid w:val="00863A90"/>
    <w:rsid w:val="00865180"/>
    <w:rsid w:val="00867153"/>
    <w:rsid w:val="0086793D"/>
    <w:rsid w:val="008679F6"/>
    <w:rsid w:val="00870595"/>
    <w:rsid w:val="00870E68"/>
    <w:rsid w:val="00870EC3"/>
    <w:rsid w:val="00872289"/>
    <w:rsid w:val="00873A29"/>
    <w:rsid w:val="00875347"/>
    <w:rsid w:val="00882248"/>
    <w:rsid w:val="0088371B"/>
    <w:rsid w:val="00884B15"/>
    <w:rsid w:val="008916D1"/>
    <w:rsid w:val="0089497F"/>
    <w:rsid w:val="008A0931"/>
    <w:rsid w:val="008A1662"/>
    <w:rsid w:val="008A3B6D"/>
    <w:rsid w:val="008A4CF3"/>
    <w:rsid w:val="008A6A0D"/>
    <w:rsid w:val="008B3287"/>
    <w:rsid w:val="008B3ACB"/>
    <w:rsid w:val="008B5059"/>
    <w:rsid w:val="008B7246"/>
    <w:rsid w:val="008C2084"/>
    <w:rsid w:val="008C2B17"/>
    <w:rsid w:val="008C4878"/>
    <w:rsid w:val="008C6603"/>
    <w:rsid w:val="008C6DF1"/>
    <w:rsid w:val="008D02D3"/>
    <w:rsid w:val="008D1344"/>
    <w:rsid w:val="008D211C"/>
    <w:rsid w:val="008D24C0"/>
    <w:rsid w:val="008D4EC0"/>
    <w:rsid w:val="008D7AC4"/>
    <w:rsid w:val="008E12EC"/>
    <w:rsid w:val="008E14D4"/>
    <w:rsid w:val="008E1FE0"/>
    <w:rsid w:val="008E3041"/>
    <w:rsid w:val="008E3C09"/>
    <w:rsid w:val="008F02E2"/>
    <w:rsid w:val="008F0CCD"/>
    <w:rsid w:val="008F25D3"/>
    <w:rsid w:val="008F2EFE"/>
    <w:rsid w:val="008F3A50"/>
    <w:rsid w:val="008F6357"/>
    <w:rsid w:val="00901E6B"/>
    <w:rsid w:val="009027AD"/>
    <w:rsid w:val="009042A2"/>
    <w:rsid w:val="00905596"/>
    <w:rsid w:val="00905900"/>
    <w:rsid w:val="009065FF"/>
    <w:rsid w:val="00907A87"/>
    <w:rsid w:val="00911FDD"/>
    <w:rsid w:val="00912E17"/>
    <w:rsid w:val="00913210"/>
    <w:rsid w:val="009177A7"/>
    <w:rsid w:val="00920D15"/>
    <w:rsid w:val="00923775"/>
    <w:rsid w:val="00923905"/>
    <w:rsid w:val="009341A5"/>
    <w:rsid w:val="00936D50"/>
    <w:rsid w:val="009417EF"/>
    <w:rsid w:val="009448B3"/>
    <w:rsid w:val="00945375"/>
    <w:rsid w:val="009453BF"/>
    <w:rsid w:val="00946A82"/>
    <w:rsid w:val="00946B46"/>
    <w:rsid w:val="009473C2"/>
    <w:rsid w:val="00950541"/>
    <w:rsid w:val="00952BF4"/>
    <w:rsid w:val="00952CC2"/>
    <w:rsid w:val="00953226"/>
    <w:rsid w:val="00954EC7"/>
    <w:rsid w:val="009551E2"/>
    <w:rsid w:val="00956684"/>
    <w:rsid w:val="0095673E"/>
    <w:rsid w:val="00960114"/>
    <w:rsid w:val="00963D4C"/>
    <w:rsid w:val="00964698"/>
    <w:rsid w:val="00965FF2"/>
    <w:rsid w:val="00971D4B"/>
    <w:rsid w:val="00973072"/>
    <w:rsid w:val="00975610"/>
    <w:rsid w:val="00975CDD"/>
    <w:rsid w:val="0097752F"/>
    <w:rsid w:val="0098011C"/>
    <w:rsid w:val="00980302"/>
    <w:rsid w:val="00980E51"/>
    <w:rsid w:val="009810D6"/>
    <w:rsid w:val="009837C8"/>
    <w:rsid w:val="0098384A"/>
    <w:rsid w:val="009841A7"/>
    <w:rsid w:val="009844DE"/>
    <w:rsid w:val="009865B1"/>
    <w:rsid w:val="00986899"/>
    <w:rsid w:val="009879D1"/>
    <w:rsid w:val="009910CB"/>
    <w:rsid w:val="0099258B"/>
    <w:rsid w:val="0099262B"/>
    <w:rsid w:val="0099291C"/>
    <w:rsid w:val="0099350F"/>
    <w:rsid w:val="00995762"/>
    <w:rsid w:val="00995AF9"/>
    <w:rsid w:val="00995E2E"/>
    <w:rsid w:val="009A09F7"/>
    <w:rsid w:val="009A1266"/>
    <w:rsid w:val="009A188D"/>
    <w:rsid w:val="009A2443"/>
    <w:rsid w:val="009A668A"/>
    <w:rsid w:val="009A6948"/>
    <w:rsid w:val="009A6F65"/>
    <w:rsid w:val="009B0CE9"/>
    <w:rsid w:val="009B2139"/>
    <w:rsid w:val="009B606B"/>
    <w:rsid w:val="009C0D2D"/>
    <w:rsid w:val="009C2378"/>
    <w:rsid w:val="009C6A6E"/>
    <w:rsid w:val="009D2CC7"/>
    <w:rsid w:val="009D45A1"/>
    <w:rsid w:val="009D7E06"/>
    <w:rsid w:val="009E0D0C"/>
    <w:rsid w:val="009E10D2"/>
    <w:rsid w:val="009E46DF"/>
    <w:rsid w:val="009E57B5"/>
    <w:rsid w:val="009E6792"/>
    <w:rsid w:val="009F0B98"/>
    <w:rsid w:val="009F6776"/>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354F"/>
    <w:rsid w:val="00A243DD"/>
    <w:rsid w:val="00A24A7C"/>
    <w:rsid w:val="00A258E7"/>
    <w:rsid w:val="00A25AF8"/>
    <w:rsid w:val="00A276C1"/>
    <w:rsid w:val="00A33C31"/>
    <w:rsid w:val="00A359EB"/>
    <w:rsid w:val="00A428D9"/>
    <w:rsid w:val="00A4463D"/>
    <w:rsid w:val="00A476B8"/>
    <w:rsid w:val="00A50079"/>
    <w:rsid w:val="00A5049C"/>
    <w:rsid w:val="00A53ED7"/>
    <w:rsid w:val="00A5452C"/>
    <w:rsid w:val="00A54EFC"/>
    <w:rsid w:val="00A55CD6"/>
    <w:rsid w:val="00A57EF6"/>
    <w:rsid w:val="00A57FC6"/>
    <w:rsid w:val="00A57FEB"/>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58E"/>
    <w:rsid w:val="00A932C2"/>
    <w:rsid w:val="00AA1D3A"/>
    <w:rsid w:val="00AA4183"/>
    <w:rsid w:val="00AA5FA2"/>
    <w:rsid w:val="00AA69C4"/>
    <w:rsid w:val="00AB0471"/>
    <w:rsid w:val="00AB4FFF"/>
    <w:rsid w:val="00AB5374"/>
    <w:rsid w:val="00AB5720"/>
    <w:rsid w:val="00AC07AB"/>
    <w:rsid w:val="00AC0CC6"/>
    <w:rsid w:val="00AC49FF"/>
    <w:rsid w:val="00AC52FD"/>
    <w:rsid w:val="00AC5EB7"/>
    <w:rsid w:val="00AC7D8B"/>
    <w:rsid w:val="00AD18A8"/>
    <w:rsid w:val="00AD21D9"/>
    <w:rsid w:val="00AD288B"/>
    <w:rsid w:val="00AD4F1B"/>
    <w:rsid w:val="00AD518E"/>
    <w:rsid w:val="00AD5C23"/>
    <w:rsid w:val="00AD60E3"/>
    <w:rsid w:val="00AE0C56"/>
    <w:rsid w:val="00AE203B"/>
    <w:rsid w:val="00AE6B40"/>
    <w:rsid w:val="00AE6C3C"/>
    <w:rsid w:val="00AF104F"/>
    <w:rsid w:val="00AF16BD"/>
    <w:rsid w:val="00AF32DE"/>
    <w:rsid w:val="00AF51F5"/>
    <w:rsid w:val="00AF6898"/>
    <w:rsid w:val="00AF6FD2"/>
    <w:rsid w:val="00AF7904"/>
    <w:rsid w:val="00B0112A"/>
    <w:rsid w:val="00B01A77"/>
    <w:rsid w:val="00B01CE7"/>
    <w:rsid w:val="00B0247A"/>
    <w:rsid w:val="00B0303B"/>
    <w:rsid w:val="00B04EA3"/>
    <w:rsid w:val="00B0518B"/>
    <w:rsid w:val="00B07AF3"/>
    <w:rsid w:val="00B10F5E"/>
    <w:rsid w:val="00B11E93"/>
    <w:rsid w:val="00B13B6C"/>
    <w:rsid w:val="00B16829"/>
    <w:rsid w:val="00B16A66"/>
    <w:rsid w:val="00B16D2D"/>
    <w:rsid w:val="00B21AE2"/>
    <w:rsid w:val="00B21F88"/>
    <w:rsid w:val="00B23077"/>
    <w:rsid w:val="00B23706"/>
    <w:rsid w:val="00B2394B"/>
    <w:rsid w:val="00B2600D"/>
    <w:rsid w:val="00B26075"/>
    <w:rsid w:val="00B326AD"/>
    <w:rsid w:val="00B35D02"/>
    <w:rsid w:val="00B3744D"/>
    <w:rsid w:val="00B376AC"/>
    <w:rsid w:val="00B40BBD"/>
    <w:rsid w:val="00B4143A"/>
    <w:rsid w:val="00B4674B"/>
    <w:rsid w:val="00B51322"/>
    <w:rsid w:val="00B544CE"/>
    <w:rsid w:val="00B57F0F"/>
    <w:rsid w:val="00B678C2"/>
    <w:rsid w:val="00B7039D"/>
    <w:rsid w:val="00B71534"/>
    <w:rsid w:val="00B72991"/>
    <w:rsid w:val="00B72A3B"/>
    <w:rsid w:val="00B72D9B"/>
    <w:rsid w:val="00B73798"/>
    <w:rsid w:val="00B7406F"/>
    <w:rsid w:val="00B755BF"/>
    <w:rsid w:val="00B7662C"/>
    <w:rsid w:val="00B76E4F"/>
    <w:rsid w:val="00B77842"/>
    <w:rsid w:val="00B84B4E"/>
    <w:rsid w:val="00B87D9E"/>
    <w:rsid w:val="00B940F3"/>
    <w:rsid w:val="00B949AC"/>
    <w:rsid w:val="00B956FA"/>
    <w:rsid w:val="00B96A24"/>
    <w:rsid w:val="00B97A74"/>
    <w:rsid w:val="00BA1404"/>
    <w:rsid w:val="00BA1ABD"/>
    <w:rsid w:val="00BA2AD8"/>
    <w:rsid w:val="00BA4318"/>
    <w:rsid w:val="00BA5E0F"/>
    <w:rsid w:val="00BB1C9F"/>
    <w:rsid w:val="00BB1F2A"/>
    <w:rsid w:val="00BB2DE8"/>
    <w:rsid w:val="00BB4665"/>
    <w:rsid w:val="00BB4A6A"/>
    <w:rsid w:val="00BB52FC"/>
    <w:rsid w:val="00BB5459"/>
    <w:rsid w:val="00BC264C"/>
    <w:rsid w:val="00BC3FFB"/>
    <w:rsid w:val="00BC4903"/>
    <w:rsid w:val="00BC546E"/>
    <w:rsid w:val="00BC6A96"/>
    <w:rsid w:val="00BD2700"/>
    <w:rsid w:val="00BD4122"/>
    <w:rsid w:val="00BD4C77"/>
    <w:rsid w:val="00BD619F"/>
    <w:rsid w:val="00BD700B"/>
    <w:rsid w:val="00BE2FED"/>
    <w:rsid w:val="00BE7211"/>
    <w:rsid w:val="00BF29D4"/>
    <w:rsid w:val="00BF46F2"/>
    <w:rsid w:val="00BF5C8E"/>
    <w:rsid w:val="00BF746D"/>
    <w:rsid w:val="00C0153F"/>
    <w:rsid w:val="00C01E11"/>
    <w:rsid w:val="00C02416"/>
    <w:rsid w:val="00C04084"/>
    <w:rsid w:val="00C04841"/>
    <w:rsid w:val="00C06655"/>
    <w:rsid w:val="00C06B24"/>
    <w:rsid w:val="00C074FC"/>
    <w:rsid w:val="00C07529"/>
    <w:rsid w:val="00C07C75"/>
    <w:rsid w:val="00C103DB"/>
    <w:rsid w:val="00C103E4"/>
    <w:rsid w:val="00C118AB"/>
    <w:rsid w:val="00C12BEE"/>
    <w:rsid w:val="00C14D81"/>
    <w:rsid w:val="00C24A85"/>
    <w:rsid w:val="00C26DCC"/>
    <w:rsid w:val="00C3059C"/>
    <w:rsid w:val="00C305C2"/>
    <w:rsid w:val="00C308A1"/>
    <w:rsid w:val="00C32B29"/>
    <w:rsid w:val="00C35937"/>
    <w:rsid w:val="00C35EE8"/>
    <w:rsid w:val="00C36826"/>
    <w:rsid w:val="00C369D9"/>
    <w:rsid w:val="00C4000B"/>
    <w:rsid w:val="00C42176"/>
    <w:rsid w:val="00C468DA"/>
    <w:rsid w:val="00C50669"/>
    <w:rsid w:val="00C513CE"/>
    <w:rsid w:val="00C53089"/>
    <w:rsid w:val="00C54488"/>
    <w:rsid w:val="00C56F7A"/>
    <w:rsid w:val="00C61A92"/>
    <w:rsid w:val="00C62210"/>
    <w:rsid w:val="00C629B5"/>
    <w:rsid w:val="00C62D1F"/>
    <w:rsid w:val="00C638D3"/>
    <w:rsid w:val="00C64766"/>
    <w:rsid w:val="00C65800"/>
    <w:rsid w:val="00C6624F"/>
    <w:rsid w:val="00C66926"/>
    <w:rsid w:val="00C707F5"/>
    <w:rsid w:val="00C722E7"/>
    <w:rsid w:val="00C722F9"/>
    <w:rsid w:val="00C73CC1"/>
    <w:rsid w:val="00C741C6"/>
    <w:rsid w:val="00C74553"/>
    <w:rsid w:val="00C74A55"/>
    <w:rsid w:val="00C84A3F"/>
    <w:rsid w:val="00C86019"/>
    <w:rsid w:val="00C95828"/>
    <w:rsid w:val="00C9785D"/>
    <w:rsid w:val="00CA0630"/>
    <w:rsid w:val="00CA3AD6"/>
    <w:rsid w:val="00CA5AF8"/>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4127F"/>
    <w:rsid w:val="00D4615D"/>
    <w:rsid w:val="00D50AE4"/>
    <w:rsid w:val="00D51C8A"/>
    <w:rsid w:val="00D5434B"/>
    <w:rsid w:val="00D54DB2"/>
    <w:rsid w:val="00D551DF"/>
    <w:rsid w:val="00D5628F"/>
    <w:rsid w:val="00D567BF"/>
    <w:rsid w:val="00D61068"/>
    <w:rsid w:val="00D61324"/>
    <w:rsid w:val="00D619D2"/>
    <w:rsid w:val="00D64194"/>
    <w:rsid w:val="00D65BE3"/>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315D"/>
    <w:rsid w:val="00DA4F02"/>
    <w:rsid w:val="00DA4F68"/>
    <w:rsid w:val="00DA5CBF"/>
    <w:rsid w:val="00DA6D14"/>
    <w:rsid w:val="00DB1172"/>
    <w:rsid w:val="00DB4DCB"/>
    <w:rsid w:val="00DB53BA"/>
    <w:rsid w:val="00DB66D5"/>
    <w:rsid w:val="00DB6E45"/>
    <w:rsid w:val="00DB72B9"/>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1B"/>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4FA6"/>
    <w:rsid w:val="00E15C25"/>
    <w:rsid w:val="00E160B4"/>
    <w:rsid w:val="00E1678F"/>
    <w:rsid w:val="00E176DD"/>
    <w:rsid w:val="00E2113C"/>
    <w:rsid w:val="00E24A13"/>
    <w:rsid w:val="00E251B0"/>
    <w:rsid w:val="00E25F5C"/>
    <w:rsid w:val="00E269A5"/>
    <w:rsid w:val="00E26C29"/>
    <w:rsid w:val="00E2742E"/>
    <w:rsid w:val="00E27C73"/>
    <w:rsid w:val="00E30404"/>
    <w:rsid w:val="00E32F38"/>
    <w:rsid w:val="00E33EFC"/>
    <w:rsid w:val="00E35CA2"/>
    <w:rsid w:val="00E363EF"/>
    <w:rsid w:val="00E36B59"/>
    <w:rsid w:val="00E37749"/>
    <w:rsid w:val="00E43EF0"/>
    <w:rsid w:val="00E44B36"/>
    <w:rsid w:val="00E4563A"/>
    <w:rsid w:val="00E504B7"/>
    <w:rsid w:val="00E51216"/>
    <w:rsid w:val="00E51DB4"/>
    <w:rsid w:val="00E52F21"/>
    <w:rsid w:val="00E54150"/>
    <w:rsid w:val="00E54F77"/>
    <w:rsid w:val="00E60F74"/>
    <w:rsid w:val="00E61AAC"/>
    <w:rsid w:val="00E61E2A"/>
    <w:rsid w:val="00E63A67"/>
    <w:rsid w:val="00E6416A"/>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1EEA"/>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B97"/>
    <w:rsid w:val="00EC651A"/>
    <w:rsid w:val="00EC6D40"/>
    <w:rsid w:val="00EC74B1"/>
    <w:rsid w:val="00EC7F76"/>
    <w:rsid w:val="00ED017A"/>
    <w:rsid w:val="00ED3383"/>
    <w:rsid w:val="00EE009D"/>
    <w:rsid w:val="00EE30A0"/>
    <w:rsid w:val="00EE3800"/>
    <w:rsid w:val="00EE405D"/>
    <w:rsid w:val="00EE4415"/>
    <w:rsid w:val="00EE584A"/>
    <w:rsid w:val="00EE625D"/>
    <w:rsid w:val="00EE6D75"/>
    <w:rsid w:val="00EE76E8"/>
    <w:rsid w:val="00EF00C1"/>
    <w:rsid w:val="00EF4F7D"/>
    <w:rsid w:val="00EF7321"/>
    <w:rsid w:val="00EF7C3B"/>
    <w:rsid w:val="00EF7E5D"/>
    <w:rsid w:val="00EF7FD9"/>
    <w:rsid w:val="00F010DC"/>
    <w:rsid w:val="00F02271"/>
    <w:rsid w:val="00F101F8"/>
    <w:rsid w:val="00F118D1"/>
    <w:rsid w:val="00F1234B"/>
    <w:rsid w:val="00F161BC"/>
    <w:rsid w:val="00F176E0"/>
    <w:rsid w:val="00F179CF"/>
    <w:rsid w:val="00F21406"/>
    <w:rsid w:val="00F22C00"/>
    <w:rsid w:val="00F23F7F"/>
    <w:rsid w:val="00F24103"/>
    <w:rsid w:val="00F26EF7"/>
    <w:rsid w:val="00F27C39"/>
    <w:rsid w:val="00F30214"/>
    <w:rsid w:val="00F30877"/>
    <w:rsid w:val="00F31E49"/>
    <w:rsid w:val="00F338BD"/>
    <w:rsid w:val="00F348A9"/>
    <w:rsid w:val="00F35B0F"/>
    <w:rsid w:val="00F371DE"/>
    <w:rsid w:val="00F372FE"/>
    <w:rsid w:val="00F3793D"/>
    <w:rsid w:val="00F40D22"/>
    <w:rsid w:val="00F42DD6"/>
    <w:rsid w:val="00F44D29"/>
    <w:rsid w:val="00F5034E"/>
    <w:rsid w:val="00F51C4E"/>
    <w:rsid w:val="00F5205A"/>
    <w:rsid w:val="00F526FC"/>
    <w:rsid w:val="00F52748"/>
    <w:rsid w:val="00F5505B"/>
    <w:rsid w:val="00F616FA"/>
    <w:rsid w:val="00F622CE"/>
    <w:rsid w:val="00F631B6"/>
    <w:rsid w:val="00F6467F"/>
    <w:rsid w:val="00F65C04"/>
    <w:rsid w:val="00F66AC5"/>
    <w:rsid w:val="00F67894"/>
    <w:rsid w:val="00F70EDC"/>
    <w:rsid w:val="00F729AD"/>
    <w:rsid w:val="00F75588"/>
    <w:rsid w:val="00F82B2B"/>
    <w:rsid w:val="00F8396D"/>
    <w:rsid w:val="00F84B7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C0424"/>
    <w:rsid w:val="00FC061B"/>
    <w:rsid w:val="00FC128D"/>
    <w:rsid w:val="00FC1F89"/>
    <w:rsid w:val="00FC2830"/>
    <w:rsid w:val="00FC3F23"/>
    <w:rsid w:val="00FC42E6"/>
    <w:rsid w:val="00FC48DC"/>
    <w:rsid w:val="00FC6FEE"/>
    <w:rsid w:val="00FC78C6"/>
    <w:rsid w:val="00FC7DFE"/>
    <w:rsid w:val="00FD1C3A"/>
    <w:rsid w:val="00FD1F41"/>
    <w:rsid w:val="00FD20FF"/>
    <w:rsid w:val="00FD516A"/>
    <w:rsid w:val="00FD7124"/>
    <w:rsid w:val="00FE0A52"/>
    <w:rsid w:val="00FE1113"/>
    <w:rsid w:val="00FE2BC1"/>
    <w:rsid w:val="00FE462B"/>
    <w:rsid w:val="00FE4638"/>
    <w:rsid w:val="00FE4FF2"/>
    <w:rsid w:val="00FE558B"/>
    <w:rsid w:val="00FE5D21"/>
    <w:rsid w:val="00FE5DAB"/>
    <w:rsid w:val="00FF1627"/>
    <w:rsid w:val="00FF1E47"/>
    <w:rsid w:val="00FF2538"/>
    <w:rsid w:val="00FF26A7"/>
    <w:rsid w:val="00FF272C"/>
    <w:rsid w:val="00FF3489"/>
    <w:rsid w:val="00FF3B17"/>
    <w:rsid w:val="00FF3CB1"/>
    <w:rsid w:val="00FF489E"/>
    <w:rsid w:val="00FF4A88"/>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41100C"/>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basedOn w:val="DefaultParagraphFont"/>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numPr>
        <w:numId w:val="18"/>
      </w:num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basedOn w:val="DefaultParagraphFont"/>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basedOn w:val="DefaultParagraphFont"/>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basedOn w:val="DefaultParagraphFont"/>
    <w:semiHidden/>
    <w:rsid w:val="0047417B"/>
    <w:rPr>
      <w:i/>
      <w:iCs/>
    </w:rPr>
  </w:style>
  <w:style w:type="character" w:styleId="HTMLCode">
    <w:name w:val="HTML Code"/>
    <w:basedOn w:val="DefaultParagraphFont"/>
    <w:semiHidden/>
    <w:rsid w:val="0047417B"/>
    <w:rPr>
      <w:rFonts w:ascii="Courier New" w:hAnsi="Courier New" w:cs="Courier New"/>
      <w:sz w:val="20"/>
      <w:szCs w:val="20"/>
    </w:rPr>
  </w:style>
  <w:style w:type="character" w:styleId="HTMLDefinition">
    <w:name w:val="HTML Definition"/>
    <w:basedOn w:val="DefaultParagraphFont"/>
    <w:semiHidden/>
    <w:rsid w:val="0047417B"/>
    <w:rPr>
      <w:i/>
      <w:iCs/>
    </w:rPr>
  </w:style>
  <w:style w:type="character" w:styleId="HTMLKeyboard">
    <w:name w:val="HTML Keyboard"/>
    <w:basedOn w:val="DefaultParagraphFont"/>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basedOn w:val="DefaultParagraphFont"/>
    <w:semiHidden/>
    <w:rsid w:val="0047417B"/>
    <w:rPr>
      <w:rFonts w:ascii="Courier New" w:hAnsi="Courier New" w:cs="Courier New"/>
    </w:rPr>
  </w:style>
  <w:style w:type="character" w:styleId="HTMLTypewriter">
    <w:name w:val="HTML Typewriter"/>
    <w:basedOn w:val="DefaultParagraphFont"/>
    <w:semiHidden/>
    <w:rsid w:val="0047417B"/>
    <w:rPr>
      <w:rFonts w:ascii="Courier New" w:hAnsi="Courier New" w:cs="Courier New"/>
      <w:sz w:val="20"/>
      <w:szCs w:val="20"/>
    </w:rPr>
  </w:style>
  <w:style w:type="character" w:styleId="HTMLVariable">
    <w:name w:val="HTML Variable"/>
    <w:basedOn w:val="DefaultParagraphFont"/>
    <w:semiHidden/>
    <w:rsid w:val="0047417B"/>
    <w:rPr>
      <w:i/>
      <w:iCs/>
    </w:rPr>
  </w:style>
  <w:style w:type="character" w:styleId="Hyperlink">
    <w:name w:val="Hyperlink"/>
    <w:basedOn w:val="DefaultParagraphFont"/>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basedOn w:val="DefaultParagraphFont"/>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417B"/>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basedOn w:val="DefaultParagraphFont"/>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0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10v1 JUDGMENT TEMPLATE</Template>
  <TotalTime>0</TotalTime>
  <Pages>12</Pages>
  <Words>3176</Words>
  <Characters>18108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Judgment Template </vt:lpstr>
    </vt:vector>
  </TitlesOfParts>
  <Company>Federal Court of Australia</Company>
  <LinksUpToDate>false</LinksUpToDate>
  <CharactersWithSpaces>21242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carson2j</dc:creator>
  <cp:lastModifiedBy>Angela Fassoulas</cp:lastModifiedBy>
  <cp:revision>2</cp:revision>
  <cp:lastPrinted>2010-10-19T21:30:00Z</cp:lastPrinted>
  <dcterms:created xsi:type="dcterms:W3CDTF">2015-02-27T08:38:00Z</dcterms:created>
  <dcterms:modified xsi:type="dcterms:W3CDTF">2015-02-27T08:38:00Z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linkTarget="Applicant">
    <vt:lpwstr>JULIA HARAKSIN.Applicant.</vt:lpwstr>
  </property>
  <property fmtid="{D5CDD505-2E9C-101B-9397-08002B2CF9AE}" pid="3" name="Judge" linkTarget="Judge">
    <vt:lpwstr>NICHOLAS J</vt:lpwstr>
  </property>
  <property fmtid="{D5CDD505-2E9C-101B-9397-08002B2CF9AE}" pid="4" name="Judgment_dated" linkTarget="Judgment_dated">
    <vt:lpwstr/>
  </property>
  <property fmtid="{D5CDD505-2E9C-101B-9397-08002B2CF9AE}" pid="5" name="Distribution" linkTarget="Distribution">
    <vt:lpwstr>GENERAL DISTRIBUTION</vt:lpwstr>
  </property>
  <property fmtid="{D5CDD505-2E9C-101B-9397-08002B2CF9AE}" pid="6" name="MNC" linkTarget="MNC">
    <vt:lpwstr>Haraksin v Murrays Australia Ltd [2010] FCA 1133 </vt:lpwstr>
  </property>
  <property fmtid="{D5CDD505-2E9C-101B-9397-08002B2CF9AE}" pid="7" name="File_Number" linkTarget="Num">
    <vt:lpwstr>NSD 907 of 2010</vt:lpwstr>
  </property>
  <property fmtid="{D5CDD505-2E9C-101B-9397-08002B2CF9AE}" pid="8" name="Pages">
    <vt:lpwstr>3</vt:lpwstr>
  </property>
  <property fmtid="{D5CDD505-2E9C-101B-9397-08002B2CF9AE}" pid="9" name="Parties" linkTarget="MNC">
    <vt:lpwstr>Haraksin v Murrays Australia Ltd [2010] FCA 1133 </vt:lpwstr>
  </property>
  <property fmtid="{D5CDD505-2E9C-101B-9397-08002B2CF9AE}" pid="10" name="Place" linkTarget="Place">
    <vt:lpwstr>SYDNEY</vt:lpwstr>
  </property>
  <property fmtid="{D5CDD505-2E9C-101B-9397-08002B2CF9AE}" pid="11" name="Respondent" linkTarget="Respondent">
    <vt:lpwstr>MURRAYS AUSTRALIA LTD (ACN 008 468 666).Respondent.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