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52449">
      <w:pPr>
        <w:pStyle w:val="MediaNeutralStyle"/>
      </w:pPr>
      <w:bookmarkStart w:id="0" w:name="MNC"/>
      <w:r>
        <w:t xml:space="preserve">Minister for Immigration and Border Protection </w:t>
      </w:r>
      <w:r w:rsidR="002B6B4A">
        <w:t xml:space="preserve">v Tesic </w:t>
      </w:r>
      <w:r w:rsidR="005C6C42">
        <w:t>[2017] FCAFC 93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30CD2">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52449" w:rsidP="002539B3">
            <w:pPr>
              <w:pStyle w:val="CasesLegislationAppealFrom"/>
              <w:spacing w:after="60"/>
            </w:pPr>
            <w:bookmarkStart w:id="1" w:name="AppealFrom"/>
            <w:r>
              <w:rPr>
                <w:i/>
              </w:rPr>
              <w:t xml:space="preserve">Tesic v Minister for Immigration and Border Protection </w:t>
            </w:r>
            <w:r>
              <w:t xml:space="preserve"> [2016] FCA 1465</w:t>
            </w:r>
            <w:r w:rsidR="009264B3">
              <w:t xml:space="preserve"> </w:t>
            </w:r>
            <w:bookmarkEnd w:id="1"/>
          </w:p>
        </w:tc>
      </w:tr>
      <w:tr w:rsidR="00395B24" w:rsidTr="00930CD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0CD2">
        <w:tc>
          <w:tcPr>
            <w:tcW w:w="3085" w:type="dxa"/>
            <w:shd w:val="clear" w:color="auto" w:fill="auto"/>
          </w:tcPr>
          <w:p w:rsidR="00395B24" w:rsidRDefault="00552449" w:rsidP="00663878">
            <w:pPr>
              <w:pStyle w:val="Normal1linespace"/>
              <w:widowControl w:val="0"/>
              <w:jc w:val="left"/>
            </w:pPr>
            <w:r>
              <w:t>File number</w:t>
            </w:r>
            <w:r w:rsidR="002C7385">
              <w:t>:</w:t>
            </w:r>
          </w:p>
        </w:tc>
        <w:tc>
          <w:tcPr>
            <w:tcW w:w="5989" w:type="dxa"/>
            <w:shd w:val="clear" w:color="auto" w:fill="auto"/>
          </w:tcPr>
          <w:p w:rsidR="00395B24" w:rsidRPr="00552449" w:rsidRDefault="00EA7261" w:rsidP="00552449">
            <w:pPr>
              <w:pStyle w:val="Normal1linespace"/>
              <w:jc w:val="left"/>
            </w:pPr>
            <w:fldSimple w:instr=" REF  FileNo  \* MERGEFORMAT " w:fldLock="1">
              <w:r w:rsidR="00552449" w:rsidRPr="00552449">
                <w:t>QUD 941 of 2016</w:t>
              </w:r>
            </w:fldSimple>
          </w:p>
        </w:tc>
      </w:tr>
      <w:tr w:rsidR="00395B24" w:rsidTr="00930CD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0CD2">
        <w:tc>
          <w:tcPr>
            <w:tcW w:w="3085" w:type="dxa"/>
            <w:shd w:val="clear" w:color="auto" w:fill="auto"/>
          </w:tcPr>
          <w:p w:rsidR="00395B24" w:rsidRDefault="00552449"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552449">
              <w:rPr>
                <w:b/>
              </w:rPr>
              <w:fldChar w:fldCharType="begin" w:fldLock="1"/>
            </w:r>
            <w:r w:rsidRPr="00552449">
              <w:rPr>
                <w:b/>
              </w:rPr>
              <w:instrText xml:space="preserve"> REF  Judge  \* MERGEFORMAT </w:instrText>
            </w:r>
            <w:r w:rsidRPr="00552449">
              <w:rPr>
                <w:b/>
              </w:rPr>
              <w:fldChar w:fldCharType="separate"/>
            </w:r>
            <w:r w:rsidR="00552449" w:rsidRPr="00552449">
              <w:rPr>
                <w:b/>
                <w:caps/>
                <w:szCs w:val="24"/>
              </w:rPr>
              <w:t>REEVES, ROBERTSON AND RANGIAH JJ</w:t>
            </w:r>
            <w:r w:rsidRPr="00552449">
              <w:rPr>
                <w:b/>
              </w:rPr>
              <w:fldChar w:fldCharType="end"/>
            </w:r>
          </w:p>
        </w:tc>
      </w:tr>
      <w:tr w:rsidR="00395B24" w:rsidTr="00930CD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0CD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E3ED3" w:rsidP="000E3ED3">
            <w:pPr>
              <w:pStyle w:val="Normal1linespace"/>
              <w:widowControl w:val="0"/>
              <w:jc w:val="left"/>
            </w:pPr>
            <w:bookmarkStart w:id="2" w:name="JudgmentDate"/>
            <w:r>
              <w:t>7</w:t>
            </w:r>
            <w:r w:rsidR="00552449">
              <w:t xml:space="preserve"> </w:t>
            </w:r>
            <w:r w:rsidR="00924C9C">
              <w:t xml:space="preserve">June </w:t>
            </w:r>
            <w:r w:rsidR="00552449">
              <w:t>2017</w:t>
            </w:r>
            <w:bookmarkEnd w:id="2"/>
          </w:p>
        </w:tc>
      </w:tr>
      <w:tr w:rsidR="00395B24" w:rsidTr="00930CD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0CD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DE4EEA" w:rsidRDefault="00DE4EEA" w:rsidP="00DE4EEA">
            <w:pPr>
              <w:pStyle w:val="Normal1linespace"/>
              <w:widowControl w:val="0"/>
              <w:jc w:val="left"/>
              <w:rPr>
                <w:b/>
              </w:rPr>
            </w:pPr>
            <w:bookmarkStart w:id="3" w:name="Catchwords"/>
            <w:r w:rsidRPr="00DE4EEA">
              <w:rPr>
                <w:b/>
              </w:rPr>
              <w:t>ADMINISTRATIVE LAW</w:t>
            </w:r>
            <w:r>
              <w:rPr>
                <w:b/>
              </w:rPr>
              <w:t xml:space="preserve"> </w:t>
            </w:r>
            <w:r w:rsidRPr="00DE4EEA">
              <w:t>–</w:t>
            </w:r>
            <w:r>
              <w:t xml:space="preserve"> judicial review under s 39B of the </w:t>
            </w:r>
            <w:r w:rsidRPr="00DE4EEA">
              <w:rPr>
                <w:i/>
              </w:rPr>
              <w:t>Judiciary Act 1903</w:t>
            </w:r>
            <w:r>
              <w:t xml:space="preserve"> (Cth) </w:t>
            </w:r>
            <w:r w:rsidR="00721E96" w:rsidRPr="00721E96">
              <w:t xml:space="preserve">of </w:t>
            </w:r>
            <w:r w:rsidR="00721E96">
              <w:t xml:space="preserve">the </w:t>
            </w:r>
            <w:r w:rsidR="00721E96" w:rsidRPr="00721E96">
              <w:t>Minister</w:t>
            </w:r>
            <w:r w:rsidR="00D02222">
              <w:t>’</w:t>
            </w:r>
            <w:r w:rsidR="00721E96" w:rsidRPr="00721E96">
              <w:t xml:space="preserve">s decision not to revoke, pursuant to s 501CA(4) of the </w:t>
            </w:r>
            <w:r w:rsidR="00721E96" w:rsidRPr="00721E96">
              <w:rPr>
                <w:i/>
              </w:rPr>
              <w:t>Migration Act 1958</w:t>
            </w:r>
            <w:r w:rsidR="00721E96" w:rsidRPr="00721E96">
              <w:t xml:space="preserve"> (Cth), cancellation of </w:t>
            </w:r>
            <w:r w:rsidR="009D27D2">
              <w:t xml:space="preserve">the </w:t>
            </w:r>
            <w:r w:rsidR="00721E96" w:rsidRPr="00721E96">
              <w:t>respondent</w:t>
            </w:r>
            <w:r w:rsidR="00D02222">
              <w:t>’</w:t>
            </w:r>
            <w:r w:rsidR="00721E96" w:rsidRPr="00721E96">
              <w:t xml:space="preserve">s visa </w:t>
            </w:r>
            <w:r>
              <w:t xml:space="preserve">– </w:t>
            </w:r>
            <w:r w:rsidR="00C82B32" w:rsidRPr="00C82B32">
              <w:t xml:space="preserve">whether the primary judge erred in finding jurisdictional error on the part of the Minister – where </w:t>
            </w:r>
            <w:r w:rsidR="009D27D2">
              <w:t xml:space="preserve">the </w:t>
            </w:r>
            <w:r w:rsidR="00C82B32" w:rsidRPr="00C82B32">
              <w:t xml:space="preserve">Minister stated he was mindful of the </w:t>
            </w:r>
            <w:r w:rsidR="00D02222">
              <w:t>“</w:t>
            </w:r>
            <w:r w:rsidR="00C82B32" w:rsidRPr="00C82B32">
              <w:t>principle</w:t>
            </w:r>
            <w:r w:rsidR="00D02222">
              <w:t>”</w:t>
            </w:r>
            <w:r w:rsidR="00C82B32" w:rsidRPr="00C82B32">
              <w:t xml:space="preserve"> that persons who commit serious crimes </w:t>
            </w:r>
            <w:r w:rsidR="00D02222">
              <w:t>“</w:t>
            </w:r>
            <w:r w:rsidR="00C82B32" w:rsidRPr="00C82B32">
              <w:t>should expect to forfeit the privilege of remaining in Australia</w:t>
            </w:r>
            <w:r w:rsidR="00D02222">
              <w:t>”</w:t>
            </w:r>
            <w:r w:rsidR="00C82B32" w:rsidRPr="00C82B32">
              <w:t xml:space="preserve"> – whether</w:t>
            </w:r>
            <w:r>
              <w:t xml:space="preserve"> no evidence that </w:t>
            </w:r>
            <w:r w:rsidR="009D27D2">
              <w:t xml:space="preserve">the </w:t>
            </w:r>
            <w:r>
              <w:t xml:space="preserve">respondent </w:t>
            </w:r>
            <w:r w:rsidRPr="00DE4EEA">
              <w:t xml:space="preserve">continued to traffick drugs following his cessation of their use </w:t>
            </w:r>
            <w:r>
              <w:t>– whether the respondent</w:t>
            </w:r>
            <w:r w:rsidR="00D02222">
              <w:t>’</w:t>
            </w:r>
            <w:r>
              <w:t xml:space="preserve">s </w:t>
            </w:r>
            <w:r w:rsidR="00D02222">
              <w:t>“</w:t>
            </w:r>
            <w:r>
              <w:t>correct criminal record</w:t>
            </w:r>
            <w:r w:rsidR="00D02222">
              <w:t>”</w:t>
            </w:r>
            <w:r>
              <w:t xml:space="preserve"> a mandatory relevant consideration – whether the primary judge erred in admitting into evidence affidavits</w:t>
            </w:r>
            <w:r w:rsidR="00721E96">
              <w:t>,</w:t>
            </w:r>
            <w:r>
              <w:t xml:space="preserve"> which were not before the Minister</w:t>
            </w:r>
            <w:r w:rsidR="00721E96">
              <w:t>,</w:t>
            </w:r>
            <w:r>
              <w:t xml:space="preserve"> denying that the respondent continued to traffick drugs following his cessation of their use – whether possibility that </w:t>
            </w:r>
            <w:r w:rsidR="00D02222">
              <w:t>“</w:t>
            </w:r>
            <w:r>
              <w:t>correct criminal record</w:t>
            </w:r>
            <w:r w:rsidR="00D02222">
              <w:t>”</w:t>
            </w:r>
            <w:r>
              <w:t xml:space="preserve"> may have affected </w:t>
            </w:r>
            <w:r w:rsidR="009D27D2">
              <w:t xml:space="preserve">the </w:t>
            </w:r>
            <w:r>
              <w:t>Minister</w:t>
            </w:r>
            <w:r w:rsidR="00D02222">
              <w:t>’</w:t>
            </w:r>
            <w:r>
              <w:t>s decision</w:t>
            </w:r>
            <w:r w:rsidR="00721E96">
              <w:t xml:space="preserve"> </w:t>
            </w:r>
            <w:r w:rsidRPr="00DE4EEA">
              <w:t xml:space="preserve">– </w:t>
            </w:r>
            <w:r w:rsidR="00721E96">
              <w:t xml:space="preserve"> </w:t>
            </w:r>
            <w:r w:rsidRPr="00DE4EEA">
              <w:t xml:space="preserve">whether denial of procedural fairness where respondent </w:t>
            </w:r>
            <w:r w:rsidR="009D27D2">
              <w:t xml:space="preserve">was </w:t>
            </w:r>
            <w:r w:rsidRPr="00DE4EEA">
              <w:t xml:space="preserve">told that either a delegate or the Minister would make the decision but not </w:t>
            </w:r>
            <w:r w:rsidR="009D27D2">
              <w:t xml:space="preserve">later </w:t>
            </w:r>
            <w:r w:rsidRPr="00DE4EEA">
              <w:t>told it was to be the Minister</w:t>
            </w:r>
          </w:p>
          <w:p w:rsidR="00DE4EEA" w:rsidRDefault="00DE4EEA" w:rsidP="00DE4EEA">
            <w:pPr>
              <w:pStyle w:val="Normal1linespace"/>
              <w:widowControl w:val="0"/>
              <w:jc w:val="left"/>
              <w:rPr>
                <w:b/>
              </w:rPr>
            </w:pPr>
          </w:p>
          <w:p w:rsidR="00395B24" w:rsidRDefault="002B6B4A" w:rsidP="00DE4EEA">
            <w:pPr>
              <w:pStyle w:val="Normal1linespace"/>
              <w:widowControl w:val="0"/>
              <w:jc w:val="left"/>
            </w:pPr>
            <w:r w:rsidRPr="002B6B4A">
              <w:rPr>
                <w:b/>
              </w:rPr>
              <w:t>MIGRATION</w:t>
            </w:r>
            <w:r w:rsidRPr="002B6B4A">
              <w:t xml:space="preserve"> – </w:t>
            </w:r>
            <w:r>
              <w:t xml:space="preserve">appeal – orders of primary judge allowing an application for </w:t>
            </w:r>
            <w:r w:rsidRPr="002B6B4A">
              <w:t xml:space="preserve">judicial review </w:t>
            </w:r>
            <w:r w:rsidR="00DE4EEA">
              <w:t xml:space="preserve">under s 39B of the </w:t>
            </w:r>
            <w:r w:rsidR="00DE4EEA" w:rsidRPr="00DE4EEA">
              <w:rPr>
                <w:i/>
              </w:rPr>
              <w:t>Judiciary Act 1903</w:t>
            </w:r>
            <w:r w:rsidR="00DE4EEA">
              <w:t xml:space="preserve"> (Cth) </w:t>
            </w:r>
            <w:r w:rsidRPr="002B6B4A">
              <w:t xml:space="preserve">of </w:t>
            </w:r>
            <w:r w:rsidR="00721E96">
              <w:t xml:space="preserve">the </w:t>
            </w:r>
            <w:r w:rsidRPr="002B6B4A">
              <w:t>Minister</w:t>
            </w:r>
            <w:r w:rsidR="00D02222">
              <w:t>’</w:t>
            </w:r>
            <w:r w:rsidRPr="002B6B4A">
              <w:t>s decision</w:t>
            </w:r>
            <w:r>
              <w:t xml:space="preserve"> not to revoke, pursuant to s </w:t>
            </w:r>
            <w:r w:rsidRPr="002B6B4A">
              <w:t>501</w:t>
            </w:r>
            <w:r>
              <w:t>CA</w:t>
            </w:r>
            <w:r w:rsidRPr="002B6B4A">
              <w:t>(</w:t>
            </w:r>
            <w:r>
              <w:t>4</w:t>
            </w:r>
            <w:r w:rsidRPr="002B6B4A">
              <w:t xml:space="preserve">) of the </w:t>
            </w:r>
            <w:r w:rsidRPr="002B6B4A">
              <w:rPr>
                <w:i/>
              </w:rPr>
              <w:t>Migration Act 1958</w:t>
            </w:r>
            <w:r w:rsidRPr="002B6B4A">
              <w:t xml:space="preserve"> (Cth)</w:t>
            </w:r>
            <w:r>
              <w:t xml:space="preserve">, cancellation of </w:t>
            </w:r>
            <w:r w:rsidR="009D27D2">
              <w:t xml:space="preserve">the </w:t>
            </w:r>
            <w:r w:rsidRPr="002B6B4A">
              <w:t>respondent</w:t>
            </w:r>
            <w:r w:rsidR="00D02222">
              <w:t>’</w:t>
            </w:r>
            <w:r w:rsidRPr="002B6B4A">
              <w:t>s visa –</w:t>
            </w:r>
            <w:r>
              <w:t xml:space="preserve"> whether the primary judge erred in finding jurisdictional error on the part of the Minister </w:t>
            </w:r>
            <w:r w:rsidR="00DE4EEA">
              <w:t xml:space="preserve">– where </w:t>
            </w:r>
            <w:r w:rsidR="009D27D2">
              <w:t xml:space="preserve">the </w:t>
            </w:r>
            <w:r w:rsidR="00DE4EEA">
              <w:t xml:space="preserve">Minister stated he was mindful of the </w:t>
            </w:r>
            <w:r w:rsidR="00D02222">
              <w:t>“</w:t>
            </w:r>
            <w:r w:rsidR="00DE4EEA">
              <w:t>principle</w:t>
            </w:r>
            <w:r w:rsidR="00D02222">
              <w:t>”</w:t>
            </w:r>
            <w:r w:rsidR="000E3ED3">
              <w:t xml:space="preserve"> that persons who commit serious crimes </w:t>
            </w:r>
            <w:r w:rsidR="00D02222">
              <w:t>“</w:t>
            </w:r>
            <w:r w:rsidR="000E3ED3">
              <w:t>should expect to forfeit the privilege of remaining in Australia</w:t>
            </w:r>
            <w:r w:rsidR="00D02222">
              <w:t>”</w:t>
            </w:r>
            <w:r w:rsidR="000E3ED3">
              <w:t xml:space="preserve"> </w:t>
            </w:r>
            <w:r>
              <w:t xml:space="preserve">– </w:t>
            </w:r>
            <w:r w:rsidR="000E3ED3" w:rsidRPr="000E3ED3">
              <w:t xml:space="preserve">whether no evidence that </w:t>
            </w:r>
            <w:r w:rsidR="009D27D2">
              <w:t xml:space="preserve">the </w:t>
            </w:r>
            <w:r w:rsidR="000E3ED3" w:rsidRPr="000E3ED3">
              <w:t>respondent continued to traffick drugs following his cessation of their use – whether the respondent</w:t>
            </w:r>
            <w:r w:rsidR="00D02222">
              <w:t>’</w:t>
            </w:r>
            <w:r w:rsidR="000E3ED3" w:rsidRPr="000E3ED3">
              <w:t xml:space="preserve">s </w:t>
            </w:r>
            <w:r w:rsidR="00D02222">
              <w:t>“</w:t>
            </w:r>
            <w:r w:rsidR="000E3ED3" w:rsidRPr="000E3ED3">
              <w:t>correct criminal record</w:t>
            </w:r>
            <w:r w:rsidR="00D02222">
              <w:t>”</w:t>
            </w:r>
            <w:r w:rsidR="000E3ED3" w:rsidRPr="000E3ED3">
              <w:t xml:space="preserve"> a mandatory relevant consideration – whether the primary judge erred in admitting into evidence affidavits which </w:t>
            </w:r>
            <w:r w:rsidR="000E3ED3" w:rsidRPr="000E3ED3">
              <w:lastRenderedPageBreak/>
              <w:t xml:space="preserve">were not before the Minister denying that the respondent continued to traffick drugs following his cessation of their use – whether possibility that </w:t>
            </w:r>
            <w:r w:rsidR="00D02222">
              <w:t>“</w:t>
            </w:r>
            <w:r w:rsidR="000E3ED3" w:rsidRPr="000E3ED3">
              <w:t>correct criminal record</w:t>
            </w:r>
            <w:r w:rsidR="00D02222">
              <w:t>”</w:t>
            </w:r>
            <w:r w:rsidR="000E3ED3" w:rsidRPr="000E3ED3">
              <w:t xml:space="preserve"> may have affected </w:t>
            </w:r>
            <w:r w:rsidR="009D27D2">
              <w:t xml:space="preserve">the </w:t>
            </w:r>
            <w:r w:rsidR="000E3ED3" w:rsidRPr="000E3ED3">
              <w:t>Minister</w:t>
            </w:r>
            <w:r w:rsidR="00D02222">
              <w:t>’</w:t>
            </w:r>
            <w:r w:rsidR="000E3ED3" w:rsidRPr="000E3ED3">
              <w:t xml:space="preserve">s decision– </w:t>
            </w:r>
            <w:r>
              <w:t xml:space="preserve">whether denial of procedural fairness where </w:t>
            </w:r>
            <w:r w:rsidR="009D27D2">
              <w:t xml:space="preserve">the </w:t>
            </w:r>
            <w:r>
              <w:t xml:space="preserve">respondent </w:t>
            </w:r>
            <w:r w:rsidR="009D27D2">
              <w:t xml:space="preserve">was </w:t>
            </w:r>
            <w:r>
              <w:t xml:space="preserve">told that either a delegate or the Minister would make the decision but not </w:t>
            </w:r>
            <w:r w:rsidR="009D27D2">
              <w:t xml:space="preserve">later </w:t>
            </w:r>
            <w:r>
              <w:t xml:space="preserve">told it was to be the Minister  </w:t>
            </w:r>
            <w:bookmarkEnd w:id="3"/>
            <w:r>
              <w:t xml:space="preserve"> </w:t>
            </w:r>
          </w:p>
        </w:tc>
      </w:tr>
      <w:tr w:rsidR="00395B24" w:rsidTr="00930CD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0CD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1D26ED" w:rsidP="004A1468">
            <w:pPr>
              <w:pStyle w:val="CasesLegislationAppealFrom"/>
              <w:spacing w:after="60"/>
            </w:pPr>
            <w:bookmarkStart w:id="4" w:name="Legislation"/>
            <w:r w:rsidRPr="001D26ED">
              <w:rPr>
                <w:i/>
              </w:rPr>
              <w:t>Migration Act 1958</w:t>
            </w:r>
            <w:r>
              <w:t xml:space="preserve"> (Cth) ss  </w:t>
            </w:r>
            <w:r w:rsidR="00C82B32">
              <w:t xml:space="preserve">501, </w:t>
            </w:r>
            <w:r>
              <w:t xml:space="preserve">501(3A), 501CA(4) </w:t>
            </w:r>
            <w:r w:rsidR="002C7385">
              <w:t xml:space="preserve"> </w:t>
            </w:r>
            <w:bookmarkEnd w:id="4"/>
          </w:p>
        </w:tc>
      </w:tr>
      <w:tr w:rsidR="00395B24" w:rsidTr="00930CD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30CD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25888" w:rsidRDefault="001D26ED" w:rsidP="00D25888">
            <w:pPr>
              <w:pStyle w:val="CasesLegislationAppealFrom"/>
              <w:spacing w:after="60"/>
              <w:jc w:val="both"/>
            </w:pPr>
            <w:bookmarkStart w:id="5" w:name="Cases_Cited"/>
            <w:r w:rsidRPr="001D26ED">
              <w:rPr>
                <w:i/>
              </w:rPr>
              <w:t xml:space="preserve">Australian Broadcasting Tribunal v Bond </w:t>
            </w:r>
            <w:r w:rsidR="00A605BA">
              <w:t>[1990] HCA 33;</w:t>
            </w:r>
            <w:r w:rsidRPr="001D26ED">
              <w:t xml:space="preserve"> 170 CLR 321</w:t>
            </w:r>
          </w:p>
          <w:p w:rsidR="001D26ED" w:rsidRDefault="00D25888" w:rsidP="00D25888">
            <w:pPr>
              <w:pStyle w:val="CasesLegislationAppealFrom"/>
              <w:spacing w:after="60"/>
              <w:jc w:val="both"/>
            </w:pPr>
            <w:r w:rsidRPr="00D25888">
              <w:rPr>
                <w:i/>
              </w:rPr>
              <w:t>Aksu v Minister for Immigration and Multicultural Affairs</w:t>
            </w:r>
            <w:r>
              <w:t xml:space="preserve"> [2001] FCA 514; 65 ALD 667</w:t>
            </w:r>
          </w:p>
          <w:p w:rsidR="00D25888" w:rsidRPr="00D25888" w:rsidRDefault="00D25888" w:rsidP="00D25888">
            <w:pPr>
              <w:pStyle w:val="CasesLegislationAppealFrom"/>
              <w:spacing w:after="60"/>
              <w:jc w:val="both"/>
            </w:pPr>
            <w:r w:rsidRPr="00D25888">
              <w:rPr>
                <w:i/>
              </w:rPr>
              <w:t>Andary v Minister for Immigration and Multicultural</w:t>
            </w:r>
            <w:r w:rsidRPr="00D25888">
              <w:t xml:space="preserve"> Affairs [2001] FCA 1544</w:t>
            </w:r>
          </w:p>
          <w:p w:rsidR="00804435" w:rsidRDefault="00804435" w:rsidP="00D82620">
            <w:pPr>
              <w:pStyle w:val="CasesLegislationAppealFrom"/>
              <w:spacing w:after="60"/>
            </w:pPr>
            <w:r w:rsidRPr="00804435">
              <w:rPr>
                <w:i/>
              </w:rPr>
              <w:t>AZAFQ v Minister for Immigration and Border Protection</w:t>
            </w:r>
            <w:r>
              <w:t xml:space="preserve"> [2016] FCAFC 105; 243 FCR 451</w:t>
            </w:r>
          </w:p>
          <w:p w:rsidR="005C593A" w:rsidRDefault="00971C03" w:rsidP="00D82620">
            <w:pPr>
              <w:pStyle w:val="CasesLegislationAppealFrom"/>
              <w:spacing w:after="60"/>
            </w:pPr>
            <w:r w:rsidRPr="005C593A">
              <w:rPr>
                <w:i/>
              </w:rPr>
              <w:t>Lu v Minister for Immigration &amp; Multicultural &amp; Indigenous Affairs</w:t>
            </w:r>
            <w:r w:rsidRPr="005C593A">
              <w:t xml:space="preserve"> [2004] FCA 543</w:t>
            </w:r>
          </w:p>
          <w:p w:rsidR="00EF0823" w:rsidRDefault="009475C9" w:rsidP="00D82620">
            <w:pPr>
              <w:pStyle w:val="CasesLegislationAppealFrom"/>
              <w:spacing w:after="60"/>
            </w:pPr>
            <w:r w:rsidRPr="00EF0823">
              <w:rPr>
                <w:i/>
              </w:rPr>
              <w:t>Lu v Minister for Immigration and Multicultural and Indigenous Affairs</w:t>
            </w:r>
            <w:r w:rsidR="00EF0823" w:rsidRPr="00EF0823">
              <w:t xml:space="preserve"> [2004] FCAFC 340; </w:t>
            </w:r>
            <w:r w:rsidRPr="00EF0823">
              <w:t xml:space="preserve">141 FCR 346 </w:t>
            </w:r>
          </w:p>
          <w:p w:rsidR="001D26ED" w:rsidRDefault="001D26ED" w:rsidP="001D26ED">
            <w:pPr>
              <w:pStyle w:val="CasesLegislationAppealFrom"/>
              <w:spacing w:after="60"/>
              <w:rPr>
                <w:i/>
              </w:rPr>
            </w:pPr>
            <w:r w:rsidRPr="001D26ED">
              <w:rPr>
                <w:i/>
              </w:rPr>
              <w:t>McCormack v Deputy Commissioner of Taxation Large Business</w:t>
            </w:r>
            <w:r w:rsidR="000E3ED3">
              <w:rPr>
                <w:i/>
              </w:rPr>
              <w:t xml:space="preserve"> and </w:t>
            </w:r>
            <w:r w:rsidRPr="001D26ED">
              <w:rPr>
                <w:i/>
              </w:rPr>
              <w:t xml:space="preserve">International </w:t>
            </w:r>
            <w:r w:rsidRPr="001D26ED">
              <w:t>[2001] FCA 1700; 114 FCR 574</w:t>
            </w:r>
          </w:p>
          <w:p w:rsidR="00804435" w:rsidRDefault="00804435" w:rsidP="00D82620">
            <w:pPr>
              <w:pStyle w:val="CasesLegislationAppealFrom"/>
              <w:spacing w:after="60"/>
            </w:pPr>
            <w:r w:rsidRPr="00804435">
              <w:rPr>
                <w:i/>
              </w:rPr>
              <w:t>Mahon v Air New Zealand</w:t>
            </w:r>
            <w:r w:rsidRPr="00804435">
              <w:t xml:space="preserve"> </w:t>
            </w:r>
            <w:r w:rsidR="000C0107" w:rsidRPr="00804435">
              <w:t>[1984] A</w:t>
            </w:r>
            <w:r w:rsidRPr="00804435">
              <w:t xml:space="preserve">C </w:t>
            </w:r>
            <w:r w:rsidR="000C0107" w:rsidRPr="00804435">
              <w:t>808</w:t>
            </w:r>
            <w:r w:rsidR="00930CD2">
              <w:t>; UKPC 29</w:t>
            </w:r>
          </w:p>
          <w:p w:rsidR="00721E96" w:rsidRDefault="00721E96" w:rsidP="00D82620">
            <w:pPr>
              <w:pStyle w:val="CasesLegislationAppealFrom"/>
              <w:spacing w:after="60"/>
            </w:pPr>
            <w:r w:rsidRPr="00721E96">
              <w:rPr>
                <w:i/>
              </w:rPr>
              <w:t>Minister for Immigration and Ethnic Affairs v Wu Shan Liang</w:t>
            </w:r>
            <w:r w:rsidRPr="00721E96">
              <w:t xml:space="preserve"> </w:t>
            </w:r>
            <w:r w:rsidR="008A2B12" w:rsidRPr="008A2B12">
              <w:t xml:space="preserve">[1996] HCA 6; </w:t>
            </w:r>
            <w:r w:rsidRPr="00721E96">
              <w:t>185 CLR 259</w:t>
            </w:r>
          </w:p>
          <w:p w:rsidR="001D26ED" w:rsidRDefault="00804435" w:rsidP="00804435">
            <w:pPr>
              <w:pStyle w:val="CasesLegislationAppealFrom"/>
              <w:spacing w:after="60"/>
            </w:pPr>
            <w:r w:rsidRPr="00804435">
              <w:rPr>
                <w:i/>
              </w:rPr>
              <w:t>Minister for Immigration and Border Protection v Stretton</w:t>
            </w:r>
            <w:r>
              <w:t xml:space="preserve"> [2016] FCAFC 11; 237 FCR 1</w:t>
            </w:r>
          </w:p>
          <w:p w:rsidR="00DF5ED6" w:rsidRDefault="00C9184B" w:rsidP="00804435">
            <w:pPr>
              <w:pStyle w:val="CasesLegislationAppealFrom"/>
              <w:spacing w:after="60"/>
            </w:pPr>
            <w:r w:rsidRPr="00C9184B">
              <w:rPr>
                <w:i/>
              </w:rPr>
              <w:t>Minister for Immigration and Border Protection v WZARH</w:t>
            </w:r>
            <w:r w:rsidRPr="00C9184B">
              <w:t xml:space="preserve"> [2015] HCA 40; 256 CLR 326</w:t>
            </w:r>
          </w:p>
          <w:p w:rsidR="00F830E6" w:rsidRDefault="005B647B" w:rsidP="005B647B">
            <w:pPr>
              <w:pStyle w:val="CasesLegislationAppealFrom"/>
              <w:spacing w:after="60"/>
            </w:pPr>
            <w:r w:rsidRPr="005B647B">
              <w:rPr>
                <w:i/>
              </w:rPr>
              <w:t>Minister for Immigration and Multicultural Affairs v Yusuf</w:t>
            </w:r>
            <w:r>
              <w:t xml:space="preserve"> [2001] HCA 30; 206 CLR 323</w:t>
            </w:r>
          </w:p>
          <w:p w:rsidR="0015028E" w:rsidRDefault="0015028E" w:rsidP="005B647B">
            <w:pPr>
              <w:pStyle w:val="CasesLegislationAppealFrom"/>
              <w:spacing w:after="60"/>
            </w:pPr>
            <w:r w:rsidRPr="0015028E">
              <w:rPr>
                <w:i/>
              </w:rPr>
              <w:t>Plaintiff M64/2015 v Minister for Immigration and Border Protection</w:t>
            </w:r>
            <w:r w:rsidRPr="0015028E">
              <w:t xml:space="preserve"> [2015] HCA 50; 327 ALR 8</w:t>
            </w:r>
          </w:p>
          <w:p w:rsidR="00EF0823" w:rsidRDefault="00EF0823" w:rsidP="001D26ED">
            <w:pPr>
              <w:pStyle w:val="CasesLegislationAppealFrom"/>
              <w:spacing w:after="60"/>
            </w:pPr>
            <w:r w:rsidRPr="00EF0823">
              <w:rPr>
                <w:i/>
              </w:rPr>
              <w:t>Ruatita v Minister for Immigration and Citizenship</w:t>
            </w:r>
            <w:r w:rsidRPr="00EF0823">
              <w:t xml:space="preserve"> [2013] FCA 542; 212 FCR 362</w:t>
            </w:r>
          </w:p>
          <w:p w:rsidR="00634DDD" w:rsidRDefault="00634DDD" w:rsidP="00634DDD">
            <w:pPr>
              <w:pStyle w:val="CasesLegislationAppealFrom"/>
              <w:spacing w:after="60"/>
            </w:pPr>
            <w:r>
              <w:rPr>
                <w:i/>
              </w:rPr>
              <w:t>Szelagowicz v Stocker</w:t>
            </w:r>
            <w:r w:rsidR="00A605BA">
              <w:rPr>
                <w:i/>
              </w:rPr>
              <w:t xml:space="preserve"> </w:t>
            </w:r>
            <w:r w:rsidR="00F7479F">
              <w:t>[1994] FCA 323;</w:t>
            </w:r>
            <w:r w:rsidR="001D26ED" w:rsidRPr="001D26ED">
              <w:t xml:space="preserve"> 35 ALD 16</w:t>
            </w:r>
          </w:p>
          <w:p w:rsidR="009D27D2" w:rsidRDefault="009D27D2" w:rsidP="009D27D2">
            <w:pPr>
              <w:pStyle w:val="CasesLegislationAppealFrom"/>
              <w:spacing w:after="60"/>
            </w:pPr>
            <w:r w:rsidRPr="009D27D2">
              <w:rPr>
                <w:i/>
              </w:rPr>
              <w:t>SZBEL v Minister for Immigration and Multicultural and Indigenous Affairs</w:t>
            </w:r>
            <w:r>
              <w:t xml:space="preserve"> [2006] HCA 63; 228 CLR 152 </w:t>
            </w:r>
          </w:p>
          <w:p w:rsidR="004A1468" w:rsidRDefault="004A1468" w:rsidP="009D27D2">
            <w:pPr>
              <w:pStyle w:val="CasesLegislationAppealFrom"/>
              <w:spacing w:after="60"/>
            </w:pPr>
            <w:r w:rsidRPr="00E1428E">
              <w:rPr>
                <w:i/>
              </w:rPr>
              <w:t>Tanioria v Minister for Immigration and Border Protection</w:t>
            </w:r>
            <w:r>
              <w:t xml:space="preserve"> [2016] FCAFC 43 </w:t>
            </w:r>
          </w:p>
          <w:p w:rsidR="00395B24" w:rsidRPr="00D77B79" w:rsidRDefault="00634DDD" w:rsidP="00804435">
            <w:pPr>
              <w:pStyle w:val="CasesLegislationAppealFrom"/>
              <w:spacing w:after="60"/>
              <w:rPr>
                <w:i/>
                <w:color w:val="373A3C"/>
                <w:szCs w:val="24"/>
                <w:lang w:val="en"/>
              </w:rPr>
            </w:pPr>
            <w:r w:rsidRPr="009D27D2">
              <w:rPr>
                <w:i/>
                <w:szCs w:val="24"/>
                <w:lang w:val="en"/>
              </w:rPr>
              <w:t>Waterford</w:t>
            </w:r>
            <w:r w:rsidR="000A2891" w:rsidRPr="009D27D2">
              <w:rPr>
                <w:i/>
                <w:szCs w:val="24"/>
                <w:lang w:val="en"/>
              </w:rPr>
              <w:t xml:space="preserve"> v Commonwealth</w:t>
            </w:r>
            <w:r w:rsidR="000A2891" w:rsidRPr="0020056E">
              <w:rPr>
                <w:szCs w:val="24"/>
                <w:lang w:val="en"/>
              </w:rPr>
              <w:t xml:space="preserve"> </w:t>
            </w:r>
            <w:r w:rsidRPr="0020056E">
              <w:rPr>
                <w:lang w:val="en"/>
              </w:rPr>
              <w:t>[</w:t>
            </w:r>
            <w:r w:rsidRPr="009D27D2">
              <w:rPr>
                <w:lang w:val="en"/>
              </w:rPr>
              <w:t>1987] HCA 25; 163 CLR 54</w:t>
            </w:r>
            <w:r w:rsidR="00804435" w:rsidRPr="009D27D2">
              <w:t xml:space="preserve"> </w:t>
            </w:r>
            <w:bookmarkEnd w:id="5"/>
          </w:p>
        </w:tc>
      </w:tr>
      <w:tr w:rsidR="00930CD2" w:rsidRPr="00930CD2" w:rsidTr="00930CD2">
        <w:tc>
          <w:tcPr>
            <w:tcW w:w="3085" w:type="dxa"/>
            <w:shd w:val="clear" w:color="auto" w:fill="auto"/>
          </w:tcPr>
          <w:p w:rsidR="00930CD2" w:rsidRPr="00930CD2" w:rsidRDefault="00930CD2" w:rsidP="00930CD2">
            <w:pPr>
              <w:pStyle w:val="Normal1linespace"/>
              <w:jc w:val="left"/>
            </w:pPr>
          </w:p>
        </w:tc>
        <w:tc>
          <w:tcPr>
            <w:tcW w:w="5989" w:type="dxa"/>
            <w:shd w:val="clear" w:color="auto" w:fill="auto"/>
          </w:tcPr>
          <w:p w:rsidR="00930CD2" w:rsidRPr="00930CD2" w:rsidRDefault="00930CD2" w:rsidP="00930CD2">
            <w:pPr>
              <w:pStyle w:val="Normal1linespace"/>
              <w:jc w:val="left"/>
            </w:pPr>
          </w:p>
        </w:tc>
      </w:tr>
      <w:tr w:rsidR="00930CD2" w:rsidRPr="00930CD2" w:rsidTr="00930CD2">
        <w:tc>
          <w:tcPr>
            <w:tcW w:w="3085" w:type="dxa"/>
            <w:shd w:val="clear" w:color="auto" w:fill="auto"/>
          </w:tcPr>
          <w:p w:rsidR="00930CD2" w:rsidRPr="00930CD2" w:rsidRDefault="00930CD2" w:rsidP="00930CD2">
            <w:pPr>
              <w:pStyle w:val="Normal1linespace"/>
              <w:jc w:val="left"/>
            </w:pPr>
            <w:bookmarkStart w:id="6" w:name="CounselDate" w:colFirst="0" w:colLast="2"/>
            <w:r w:rsidRPr="00930CD2">
              <w:t>Date of hearing:</w:t>
            </w:r>
          </w:p>
        </w:tc>
        <w:tc>
          <w:tcPr>
            <w:tcW w:w="5989" w:type="dxa"/>
            <w:shd w:val="clear" w:color="auto" w:fill="auto"/>
          </w:tcPr>
          <w:p w:rsidR="00930CD2" w:rsidRPr="00930CD2" w:rsidRDefault="00930CD2" w:rsidP="00930CD2">
            <w:pPr>
              <w:pStyle w:val="Normal1linespace"/>
              <w:jc w:val="left"/>
            </w:pPr>
            <w:bookmarkStart w:id="7" w:name="HearingDate"/>
            <w:r>
              <w:t>31 May 2017</w:t>
            </w:r>
            <w:bookmarkEnd w:id="7"/>
          </w:p>
        </w:tc>
      </w:tr>
      <w:tr w:rsidR="00930CD2" w:rsidRPr="00930CD2" w:rsidTr="00930CD2">
        <w:tc>
          <w:tcPr>
            <w:tcW w:w="3085" w:type="dxa"/>
            <w:shd w:val="clear" w:color="auto" w:fill="auto"/>
          </w:tcPr>
          <w:p w:rsidR="00930CD2" w:rsidRPr="00930CD2" w:rsidRDefault="00930CD2" w:rsidP="00930CD2">
            <w:pPr>
              <w:pStyle w:val="Normal1linespace"/>
              <w:jc w:val="left"/>
            </w:pPr>
          </w:p>
        </w:tc>
        <w:tc>
          <w:tcPr>
            <w:tcW w:w="5989" w:type="dxa"/>
            <w:shd w:val="clear" w:color="auto" w:fill="auto"/>
          </w:tcPr>
          <w:p w:rsidR="00930CD2" w:rsidRPr="00930CD2" w:rsidRDefault="00930CD2" w:rsidP="00930CD2">
            <w:pPr>
              <w:pStyle w:val="Normal1linespace"/>
              <w:jc w:val="left"/>
            </w:pPr>
          </w:p>
        </w:tc>
      </w:tr>
      <w:bookmarkEnd w:id="6"/>
      <w:tr w:rsidR="00930CD2" w:rsidTr="00930CD2">
        <w:tc>
          <w:tcPr>
            <w:tcW w:w="3085" w:type="dxa"/>
            <w:shd w:val="clear" w:color="auto" w:fill="auto"/>
          </w:tcPr>
          <w:p w:rsidR="00930CD2" w:rsidRDefault="00930CD2" w:rsidP="00930CD2">
            <w:pPr>
              <w:pStyle w:val="Normal1linespace"/>
              <w:widowControl w:val="0"/>
              <w:jc w:val="left"/>
            </w:pPr>
            <w:r>
              <w:t>Registry:</w:t>
            </w:r>
          </w:p>
        </w:tc>
        <w:tc>
          <w:tcPr>
            <w:tcW w:w="5989" w:type="dxa"/>
            <w:shd w:val="clear" w:color="auto" w:fill="auto"/>
          </w:tcPr>
          <w:p w:rsidR="00930CD2" w:rsidRPr="00F17599" w:rsidRDefault="00EA7261" w:rsidP="00930CD2">
            <w:pPr>
              <w:pStyle w:val="Normal1linespace"/>
              <w:widowControl w:val="0"/>
              <w:jc w:val="left"/>
            </w:pPr>
            <w:fldSimple w:instr=" DOCPROPERTY  Registry ">
              <w:r w:rsidR="00930CD2">
                <w:t>Queensland</w:t>
              </w:r>
            </w:fldSimple>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r>
              <w:t>Division:</w:t>
            </w:r>
          </w:p>
        </w:tc>
        <w:tc>
          <w:tcPr>
            <w:tcW w:w="5989" w:type="dxa"/>
            <w:shd w:val="clear" w:color="auto" w:fill="auto"/>
          </w:tcPr>
          <w:p w:rsidR="00930CD2" w:rsidRPr="00F17599" w:rsidRDefault="00EA7261" w:rsidP="00930CD2">
            <w:pPr>
              <w:pStyle w:val="Normal1linespace"/>
              <w:widowControl w:val="0"/>
              <w:jc w:val="left"/>
            </w:pPr>
            <w:fldSimple w:instr=" DOCPROPERTY  Division ">
              <w:r w:rsidR="00930CD2">
                <w:t>General Division</w:t>
              </w:r>
            </w:fldSimple>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Pr="00F17599" w:rsidRDefault="00930CD2" w:rsidP="00930CD2">
            <w:pPr>
              <w:pStyle w:val="Normal1linespace"/>
              <w:widowControl w:val="0"/>
              <w:jc w:val="left"/>
              <w:rPr>
                <w:b/>
              </w:rPr>
            </w:pPr>
          </w:p>
        </w:tc>
      </w:tr>
      <w:tr w:rsidR="00930CD2" w:rsidTr="00930CD2">
        <w:tc>
          <w:tcPr>
            <w:tcW w:w="3085" w:type="dxa"/>
            <w:shd w:val="clear" w:color="auto" w:fill="auto"/>
          </w:tcPr>
          <w:p w:rsidR="00930CD2" w:rsidRDefault="00930CD2" w:rsidP="00930CD2">
            <w:pPr>
              <w:pStyle w:val="Normal1linespace"/>
              <w:widowControl w:val="0"/>
              <w:jc w:val="left"/>
            </w:pPr>
            <w:r>
              <w:t>National Practice Area:</w:t>
            </w:r>
          </w:p>
        </w:tc>
        <w:tc>
          <w:tcPr>
            <w:tcW w:w="5989" w:type="dxa"/>
            <w:shd w:val="clear" w:color="auto" w:fill="auto"/>
          </w:tcPr>
          <w:p w:rsidR="00930CD2" w:rsidRPr="00F17599" w:rsidRDefault="00EA7261" w:rsidP="00930CD2">
            <w:pPr>
              <w:pStyle w:val="Normal1linespace"/>
              <w:widowControl w:val="0"/>
              <w:jc w:val="left"/>
              <w:rPr>
                <w:b/>
              </w:rPr>
            </w:pPr>
            <w:fldSimple w:instr=" DOCPROPERTY  &quot;Practice Area&quot;  \* MERGEFORMAT ">
              <w:r w:rsidR="00930CD2">
                <w:t>Administrative and Constitutional Law and Human Rights</w:t>
              </w:r>
            </w:fldSimple>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r>
              <w:t>Category:</w:t>
            </w:r>
          </w:p>
        </w:tc>
        <w:tc>
          <w:tcPr>
            <w:tcW w:w="5989" w:type="dxa"/>
            <w:shd w:val="clear" w:color="auto" w:fill="auto"/>
          </w:tcPr>
          <w:p w:rsidR="00930CD2" w:rsidRDefault="00C02304" w:rsidP="00930CD2">
            <w:pPr>
              <w:pStyle w:val="Normal1linespace"/>
              <w:widowControl w:val="0"/>
              <w:jc w:val="left"/>
            </w:pPr>
            <w:r>
              <w:t>Catchwords</w:t>
            </w:r>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r>
              <w:t>Number of paragraphs:</w:t>
            </w:r>
          </w:p>
        </w:tc>
        <w:tc>
          <w:tcPr>
            <w:tcW w:w="5989" w:type="dxa"/>
            <w:shd w:val="clear" w:color="auto" w:fill="auto"/>
          </w:tcPr>
          <w:p w:rsidR="00930CD2" w:rsidRDefault="00930CD2" w:rsidP="00930CD2">
            <w:pPr>
              <w:pStyle w:val="Normal1linespace"/>
              <w:widowControl w:val="0"/>
              <w:jc w:val="left"/>
            </w:pPr>
            <w:bookmarkStart w:id="8" w:name="PlaceCategoryParagraphs"/>
            <w:r>
              <w:t>71</w:t>
            </w:r>
            <w:bookmarkEnd w:id="8"/>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bookmarkStart w:id="9" w:name="Counsel" w:colFirst="0" w:colLast="2"/>
            <w:r>
              <w:t>Counsel for the Appellant:</w:t>
            </w:r>
          </w:p>
        </w:tc>
        <w:tc>
          <w:tcPr>
            <w:tcW w:w="5989" w:type="dxa"/>
            <w:shd w:val="clear" w:color="auto" w:fill="auto"/>
          </w:tcPr>
          <w:p w:rsidR="00930CD2" w:rsidRDefault="00C02304" w:rsidP="00930CD2">
            <w:pPr>
              <w:pStyle w:val="Normal1linespace"/>
              <w:widowControl w:val="0"/>
              <w:jc w:val="left"/>
            </w:pPr>
            <w:bookmarkStart w:id="10" w:name="AppCounsel"/>
            <w:bookmarkEnd w:id="10"/>
            <w:r>
              <w:t>Ms K Stern SC and Ms A Wheatley</w:t>
            </w:r>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r>
              <w:t>Solicitor for the Appellant:</w:t>
            </w:r>
          </w:p>
        </w:tc>
        <w:tc>
          <w:tcPr>
            <w:tcW w:w="5989" w:type="dxa"/>
            <w:shd w:val="clear" w:color="auto" w:fill="auto"/>
          </w:tcPr>
          <w:p w:rsidR="00930CD2" w:rsidRDefault="00C02304" w:rsidP="00930CD2">
            <w:pPr>
              <w:pStyle w:val="Normal1linespace"/>
              <w:widowControl w:val="0"/>
              <w:jc w:val="left"/>
            </w:pPr>
            <w:r>
              <w:t>Clayton Utz</w:t>
            </w:r>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r>
              <w:t>Counsel for the Respondent:</w:t>
            </w:r>
          </w:p>
        </w:tc>
        <w:tc>
          <w:tcPr>
            <w:tcW w:w="5989" w:type="dxa"/>
            <w:shd w:val="clear" w:color="auto" w:fill="auto"/>
          </w:tcPr>
          <w:p w:rsidR="00930CD2" w:rsidRDefault="00C02304" w:rsidP="00930CD2">
            <w:pPr>
              <w:pStyle w:val="Normal1linespace"/>
              <w:widowControl w:val="0"/>
              <w:jc w:val="left"/>
            </w:pPr>
            <w:r>
              <w:t>Mr L Boccabella and Mr WJ Markwell</w:t>
            </w:r>
          </w:p>
        </w:tc>
      </w:tr>
      <w:tr w:rsidR="00930CD2" w:rsidTr="00930CD2">
        <w:tc>
          <w:tcPr>
            <w:tcW w:w="3085" w:type="dxa"/>
            <w:shd w:val="clear" w:color="auto" w:fill="auto"/>
          </w:tcPr>
          <w:p w:rsidR="00930CD2" w:rsidRDefault="00930CD2" w:rsidP="00930CD2">
            <w:pPr>
              <w:pStyle w:val="Normal1linespace"/>
              <w:widowControl w:val="0"/>
              <w:jc w:val="left"/>
            </w:pPr>
          </w:p>
        </w:tc>
        <w:tc>
          <w:tcPr>
            <w:tcW w:w="5989" w:type="dxa"/>
            <w:shd w:val="clear" w:color="auto" w:fill="auto"/>
          </w:tcPr>
          <w:p w:rsidR="00930CD2" w:rsidRDefault="00930CD2" w:rsidP="00930CD2">
            <w:pPr>
              <w:pStyle w:val="Normal1linespace"/>
              <w:widowControl w:val="0"/>
              <w:jc w:val="left"/>
            </w:pPr>
          </w:p>
        </w:tc>
      </w:tr>
      <w:tr w:rsidR="00930CD2" w:rsidTr="00930CD2">
        <w:tc>
          <w:tcPr>
            <w:tcW w:w="3085" w:type="dxa"/>
            <w:shd w:val="clear" w:color="auto" w:fill="auto"/>
          </w:tcPr>
          <w:p w:rsidR="00930CD2" w:rsidRDefault="00930CD2" w:rsidP="00930CD2">
            <w:pPr>
              <w:pStyle w:val="Normal1linespace"/>
              <w:widowControl w:val="0"/>
              <w:jc w:val="left"/>
            </w:pPr>
            <w:r>
              <w:t>Solicitor for the Respondent:</w:t>
            </w:r>
          </w:p>
        </w:tc>
        <w:tc>
          <w:tcPr>
            <w:tcW w:w="5989" w:type="dxa"/>
            <w:shd w:val="clear" w:color="auto" w:fill="auto"/>
          </w:tcPr>
          <w:p w:rsidR="00930CD2" w:rsidRDefault="00C02304" w:rsidP="00930CD2">
            <w:pPr>
              <w:pStyle w:val="Normal1linespace"/>
              <w:widowControl w:val="0"/>
              <w:jc w:val="left"/>
            </w:pPr>
            <w:r>
              <w:t>AJ Torbey &amp; Associates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52449" w:rsidP="00F92355">
            <w:pPr>
              <w:pStyle w:val="NormalHeadings"/>
              <w:jc w:val="right"/>
            </w:pPr>
            <w:bookmarkStart w:id="11" w:name="FileNo"/>
            <w:r>
              <w:t>QUD 941 of 2016</w:t>
            </w:r>
            <w:bookmarkEnd w:id="11"/>
          </w:p>
        </w:tc>
      </w:tr>
      <w:tr w:rsidR="00A76C13" w:rsidTr="00504BC9">
        <w:tc>
          <w:tcPr>
            <w:tcW w:w="9242" w:type="dxa"/>
            <w:gridSpan w:val="3"/>
          </w:tcPr>
          <w:p w:rsidR="00A76C13" w:rsidRPr="00A76C13" w:rsidRDefault="00552449" w:rsidP="00552449">
            <w:pPr>
              <w:pStyle w:val="NormalHeadings"/>
              <w:jc w:val="left"/>
            </w:pPr>
            <w:bookmarkStart w:id="12" w:name="InTheMatterOf"/>
            <w:r>
              <w:t xml:space="preserve"> </w:t>
            </w:r>
            <w:bookmarkEnd w:id="12"/>
          </w:p>
        </w:tc>
      </w:tr>
      <w:tr w:rsidR="00A46CCC" w:rsidTr="00504BC9">
        <w:trPr>
          <w:trHeight w:val="386"/>
        </w:trPr>
        <w:tc>
          <w:tcPr>
            <w:tcW w:w="2376" w:type="dxa"/>
          </w:tcPr>
          <w:p w:rsidR="00A46CCC" w:rsidRDefault="00A46CCC" w:rsidP="00504BC9">
            <w:pPr>
              <w:pStyle w:val="NormalHeadings"/>
              <w:jc w:val="left"/>
              <w:rPr>
                <w:caps/>
                <w:szCs w:val="24"/>
              </w:rPr>
            </w:pPr>
            <w:bookmarkStart w:id="13" w:name="Parties"/>
            <w:r>
              <w:rPr>
                <w:caps/>
                <w:szCs w:val="24"/>
              </w:rPr>
              <w:t>BETWEEN:</w:t>
            </w:r>
          </w:p>
        </w:tc>
        <w:tc>
          <w:tcPr>
            <w:tcW w:w="6866" w:type="dxa"/>
            <w:gridSpan w:val="2"/>
          </w:tcPr>
          <w:p w:rsidR="00552449" w:rsidRDefault="00552449" w:rsidP="00552449">
            <w:pPr>
              <w:pStyle w:val="NormalHeadings"/>
              <w:jc w:val="left"/>
            </w:pPr>
            <w:bookmarkStart w:id="14" w:name="Applicant"/>
            <w:r>
              <w:t>MINISTER FOR IMMIGRATION AND BORDER PROTECTION</w:t>
            </w:r>
          </w:p>
          <w:p w:rsidR="00552449" w:rsidRDefault="00552449" w:rsidP="00552449">
            <w:pPr>
              <w:pStyle w:val="PartyType"/>
            </w:pPr>
            <w:r>
              <w:t>Appellant</w:t>
            </w:r>
          </w:p>
          <w:bookmarkEnd w:id="14"/>
          <w:p w:rsidR="00A46CCC" w:rsidRPr="006555B4" w:rsidRDefault="00A46CCC" w:rsidP="00504BC9">
            <w:pPr>
              <w:pStyle w:val="NormalHeadings"/>
              <w:jc w:val="left"/>
            </w:pPr>
          </w:p>
        </w:tc>
      </w:tr>
      <w:tr w:rsidR="00A46CCC" w:rsidTr="00504BC9">
        <w:trPr>
          <w:trHeight w:val="386"/>
        </w:trPr>
        <w:tc>
          <w:tcPr>
            <w:tcW w:w="2376" w:type="dxa"/>
          </w:tcPr>
          <w:p w:rsidR="00A46CCC" w:rsidRDefault="00A46CCC" w:rsidP="00504BC9">
            <w:pPr>
              <w:pStyle w:val="NormalHeadings"/>
              <w:jc w:val="left"/>
              <w:rPr>
                <w:caps/>
                <w:szCs w:val="24"/>
              </w:rPr>
            </w:pPr>
            <w:r>
              <w:rPr>
                <w:caps/>
                <w:szCs w:val="24"/>
              </w:rPr>
              <w:t>AND:</w:t>
            </w:r>
          </w:p>
        </w:tc>
        <w:tc>
          <w:tcPr>
            <w:tcW w:w="6866" w:type="dxa"/>
            <w:gridSpan w:val="2"/>
          </w:tcPr>
          <w:p w:rsidR="00552449" w:rsidRDefault="00552449" w:rsidP="00552449">
            <w:pPr>
              <w:pStyle w:val="NormalHeadings"/>
              <w:jc w:val="left"/>
            </w:pPr>
            <w:bookmarkStart w:id="15" w:name="Respondent"/>
            <w:r>
              <w:t>DUSKO TESIC</w:t>
            </w:r>
          </w:p>
          <w:p w:rsidR="00552449" w:rsidRDefault="00552449" w:rsidP="00552449">
            <w:pPr>
              <w:pStyle w:val="PartyType"/>
            </w:pPr>
            <w:r>
              <w:t>Respondent</w:t>
            </w:r>
          </w:p>
          <w:bookmarkEnd w:id="15"/>
          <w:p w:rsidR="00A46CCC" w:rsidRPr="006555B4" w:rsidRDefault="00A46CCC" w:rsidP="00504BC9">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52449">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552449">
            <w:pPr>
              <w:pStyle w:val="NormalHeadings"/>
              <w:jc w:val="left"/>
              <w:rPr>
                <w:caps/>
                <w:szCs w:val="24"/>
              </w:rPr>
            </w:pPr>
            <w:bookmarkStart w:id="18" w:name="Judge"/>
            <w:r>
              <w:rPr>
                <w:caps/>
                <w:szCs w:val="24"/>
              </w:rPr>
              <w:t>REEVES, ROBERTSON AND RANGIAH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E3ED3" w:rsidP="000E3ED3">
            <w:pPr>
              <w:pStyle w:val="NormalHeadings"/>
              <w:jc w:val="left"/>
              <w:rPr>
                <w:caps/>
                <w:szCs w:val="24"/>
              </w:rPr>
            </w:pPr>
            <w:bookmarkStart w:id="19" w:name="Judgment_Dated"/>
            <w:r>
              <w:rPr>
                <w:caps/>
                <w:szCs w:val="24"/>
              </w:rPr>
              <w:t>7</w:t>
            </w:r>
            <w:r w:rsidR="00924C9C">
              <w:rPr>
                <w:caps/>
                <w:szCs w:val="24"/>
              </w:rPr>
              <w:t xml:space="preserve"> JUNE</w:t>
            </w:r>
            <w:r w:rsidR="001D26ED">
              <w:rPr>
                <w:caps/>
                <w:szCs w:val="24"/>
              </w:rPr>
              <w:t xml:space="preserve"> </w:t>
            </w:r>
            <w:r w:rsidR="00552449">
              <w:rPr>
                <w:caps/>
                <w:szCs w:val="24"/>
              </w:rPr>
              <w:t>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E3ED3" w:rsidP="00274F5B">
      <w:pPr>
        <w:pStyle w:val="Order1"/>
      </w:pPr>
      <w:bookmarkStart w:id="20" w:name="Order_Start_Text"/>
      <w:bookmarkEnd w:id="20"/>
      <w:r>
        <w:t>The appeal be allowed.</w:t>
      </w:r>
    </w:p>
    <w:p w:rsidR="000E3ED3" w:rsidRDefault="000E3ED3" w:rsidP="00274F5B">
      <w:pPr>
        <w:pStyle w:val="Order1"/>
      </w:pPr>
      <w:r>
        <w:t>The orders made by the primary judge on 7 December 2016 be set aside.</w:t>
      </w:r>
    </w:p>
    <w:p w:rsidR="000E3ED3" w:rsidRDefault="000E3ED3" w:rsidP="00274F5B">
      <w:pPr>
        <w:pStyle w:val="Order1"/>
      </w:pPr>
      <w:r>
        <w:t>In lieu of those orders the following orders be made:</w:t>
      </w:r>
    </w:p>
    <w:p w:rsidR="000E3ED3" w:rsidRDefault="000E3ED3" w:rsidP="000E3ED3">
      <w:pPr>
        <w:pStyle w:val="Order3"/>
        <w:ind w:left="1418" w:hanging="709"/>
      </w:pPr>
      <w:r>
        <w:t xml:space="preserve">the application, as amended, for judicial review of the decision of the respondent Minister </w:t>
      </w:r>
      <w:r w:rsidR="006E7FE3">
        <w:t xml:space="preserve">made on 18 March 2016 </w:t>
      </w:r>
      <w:r>
        <w:t>be dismissed</w:t>
      </w:r>
      <w:r w:rsidR="009D27D2">
        <w:t>;</w:t>
      </w:r>
    </w:p>
    <w:p w:rsidR="000E3ED3" w:rsidRDefault="000E3ED3" w:rsidP="000E3ED3">
      <w:pPr>
        <w:pStyle w:val="Order3"/>
        <w:ind w:left="1418" w:hanging="709"/>
      </w:pPr>
      <w:r>
        <w:t>the applicant pay the respondent</w:t>
      </w:r>
      <w:r w:rsidR="00D02222">
        <w:t>’</w:t>
      </w:r>
      <w:r>
        <w:t>s costs, as agreed or taxed.</w:t>
      </w:r>
    </w:p>
    <w:p w:rsidR="000E3ED3" w:rsidRDefault="000E3ED3" w:rsidP="00274F5B">
      <w:pPr>
        <w:pStyle w:val="Order1"/>
      </w:pPr>
      <w:r>
        <w:t>The respondent pay the appellant</w:t>
      </w:r>
      <w:r w:rsidR="00D02222">
        <w:t>’</w:t>
      </w:r>
      <w:r>
        <w:t>s costs, as agreed or taxed.</w:t>
      </w:r>
    </w:p>
    <w:p w:rsidR="00636871" w:rsidRDefault="00636871" w:rsidP="002B0E91">
      <w:pPr>
        <w:pStyle w:val="BodyText"/>
      </w:pPr>
    </w:p>
    <w:p w:rsidR="00395B24" w:rsidRDefault="00395B24"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5C6C42" w:rsidRDefault="005C6C42" w:rsidP="002B0E91">
      <w:pPr>
        <w:pStyle w:val="BodyText"/>
      </w:pPr>
    </w:p>
    <w:p w:rsidR="0092590B" w:rsidRDefault="002C7385" w:rsidP="005C6C42">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721E96" w:rsidP="005E0510">
      <w:pPr>
        <w:pStyle w:val="NormalHeadings"/>
        <w:spacing w:line="360" w:lineRule="auto"/>
        <w:jc w:val="left"/>
        <w:rPr>
          <w:sz w:val="26"/>
          <w:szCs w:val="26"/>
        </w:rPr>
      </w:pPr>
      <w:r>
        <w:rPr>
          <w:sz w:val="26"/>
          <w:szCs w:val="26"/>
        </w:rPr>
        <w:t>THE COURT</w:t>
      </w:r>
      <w:r w:rsidR="00484F6D" w:rsidRPr="00EA03CE">
        <w:rPr>
          <w:sz w:val="26"/>
          <w:szCs w:val="26"/>
        </w:rPr>
        <w:t>:</w:t>
      </w:r>
    </w:p>
    <w:p w:rsidR="0016659C" w:rsidRPr="0016659C" w:rsidRDefault="0016659C" w:rsidP="00C71321">
      <w:pPr>
        <w:pStyle w:val="Heading2"/>
      </w:pPr>
      <w:r w:rsidRPr="0016659C">
        <w:t xml:space="preserve">Introduction </w:t>
      </w:r>
    </w:p>
    <w:p w:rsidR="00484F6D" w:rsidRDefault="008B5254" w:rsidP="00552449">
      <w:pPr>
        <w:pStyle w:val="ParaNumbering"/>
      </w:pPr>
      <w:r>
        <w:t>This appeal is from the orders of a judge of this Cour</w:t>
      </w:r>
      <w:r w:rsidR="00C71321">
        <w:t xml:space="preserve">t (the </w:t>
      </w:r>
      <w:r w:rsidR="00C71321" w:rsidRPr="00721E96">
        <w:rPr>
          <w:b/>
        </w:rPr>
        <w:t>primary judge</w:t>
      </w:r>
      <w:r w:rsidR="00C71321">
        <w:t>)</w:t>
      </w:r>
      <w:r w:rsidR="00C82B32">
        <w:t>,</w:t>
      </w:r>
      <w:r w:rsidR="00C71321">
        <w:t xml:space="preserve"> made on 7 </w:t>
      </w:r>
      <w:r>
        <w:t>December 2016</w:t>
      </w:r>
      <w:r w:rsidR="00721E96">
        <w:t>,</w:t>
      </w:r>
      <w:r>
        <w:t xml:space="preserve"> quashing the decision of the Minister for Immigration and Border Protection (the </w:t>
      </w:r>
      <w:r w:rsidRPr="008B5254">
        <w:rPr>
          <w:b/>
        </w:rPr>
        <w:t>Minister</w:t>
      </w:r>
      <w:r>
        <w:t>) and restraining the Minister from giving effect to that decision. The orders also required the Minister to reconsider, according to law, the applicant</w:t>
      </w:r>
      <w:r w:rsidR="00D02222">
        <w:t>’</w:t>
      </w:r>
      <w:r>
        <w:t>s application for review (sic).</w:t>
      </w:r>
    </w:p>
    <w:p w:rsidR="00FB10CC" w:rsidRDefault="008B5254" w:rsidP="00FB10CC">
      <w:pPr>
        <w:pStyle w:val="ParaNumbering"/>
      </w:pPr>
      <w:r>
        <w:t>The decision of the Minister was not to revoke the decision to cancel Mr Tesic</w:t>
      </w:r>
      <w:r w:rsidR="00D02222">
        <w:t>’</w:t>
      </w:r>
      <w:r>
        <w:t xml:space="preserve">s Class BF Transitional (Permanent) visa. In short, that visa was cancelled on 2 </w:t>
      </w:r>
      <w:r w:rsidR="005C6C42">
        <w:t xml:space="preserve">March </w:t>
      </w:r>
      <w:r>
        <w:t xml:space="preserve">2015 under s 501(3A) of the </w:t>
      </w:r>
      <w:r w:rsidRPr="008B5254">
        <w:rPr>
          <w:i/>
        </w:rPr>
        <w:t>Migration Act</w:t>
      </w:r>
      <w:r w:rsidR="0016659C">
        <w:rPr>
          <w:i/>
        </w:rPr>
        <w:t xml:space="preserve"> 1958 </w:t>
      </w:r>
      <w:r w:rsidR="0016659C" w:rsidRPr="0016659C">
        <w:t>(Cth)</w:t>
      </w:r>
      <w:r>
        <w:t xml:space="preserve"> and s 501CA(4) of the </w:t>
      </w:r>
      <w:r w:rsidRPr="008B5254">
        <w:rPr>
          <w:i/>
        </w:rPr>
        <w:t>Migration Act</w:t>
      </w:r>
      <w:r>
        <w:t xml:space="preserve"> </w:t>
      </w:r>
      <w:r w:rsidR="00F83F47">
        <w:t xml:space="preserve">provided </w:t>
      </w:r>
      <w:r>
        <w:t>that the Minister may revoke such a cancellation decision in certain circumstances.</w:t>
      </w:r>
    </w:p>
    <w:p w:rsidR="00FB10CC" w:rsidRPr="00FB10CC" w:rsidRDefault="00FB10CC" w:rsidP="00C71321">
      <w:pPr>
        <w:pStyle w:val="Heading2"/>
      </w:pPr>
      <w:r>
        <w:t>The legislation</w:t>
      </w:r>
    </w:p>
    <w:p w:rsidR="008B5254" w:rsidRDefault="008B5254" w:rsidP="00552449">
      <w:pPr>
        <w:pStyle w:val="ParaNumbering"/>
      </w:pPr>
      <w:r>
        <w:t>The relevant statutory provisions</w:t>
      </w:r>
      <w:r w:rsidR="000E5CC7">
        <w:t xml:space="preserve"> were </w:t>
      </w:r>
      <w:r>
        <w:t>as follows:</w:t>
      </w:r>
    </w:p>
    <w:p w:rsidR="00FB10CC" w:rsidRPr="00924C9C" w:rsidRDefault="00F83F47" w:rsidP="00C71321">
      <w:pPr>
        <w:pStyle w:val="Quote1"/>
        <w:rPr>
          <w:b/>
        </w:rPr>
      </w:pPr>
      <w:r w:rsidRPr="00924C9C">
        <w:rPr>
          <w:b/>
        </w:rPr>
        <w:t>501 Refusal or cancellation of visa on character grounds</w:t>
      </w:r>
      <w:r w:rsidR="000E5CC7" w:rsidRPr="00924C9C">
        <w:rPr>
          <w:b/>
        </w:rPr>
        <w:tab/>
      </w:r>
    </w:p>
    <w:p w:rsidR="00F83F47" w:rsidRDefault="00F83F47" w:rsidP="00C71321">
      <w:pPr>
        <w:pStyle w:val="Quote1"/>
      </w:pPr>
      <w:r>
        <w:t>…</w:t>
      </w:r>
    </w:p>
    <w:p w:rsidR="000E5CC7" w:rsidRDefault="00F83F47" w:rsidP="00C71321">
      <w:pPr>
        <w:pStyle w:val="Quote1"/>
      </w:pPr>
      <w:r>
        <w:t xml:space="preserve">(3A) </w:t>
      </w:r>
      <w:r w:rsidR="000E5CC7">
        <w:t xml:space="preserve">The Minister must cancel a visa that has been granted to a person if: </w:t>
      </w:r>
    </w:p>
    <w:p w:rsidR="000E5CC7" w:rsidRDefault="000E5CC7" w:rsidP="00C71321">
      <w:pPr>
        <w:pStyle w:val="Quote2"/>
        <w:ind w:left="2127" w:hanging="687"/>
      </w:pPr>
      <w:r>
        <w:t>(a)</w:t>
      </w:r>
      <w:r>
        <w:tab/>
        <w:t xml:space="preserve">the Minister is satisfied that the person does not pass the character test because of the operation of: </w:t>
      </w:r>
    </w:p>
    <w:p w:rsidR="000E5CC7" w:rsidRDefault="00FB10CC" w:rsidP="00C71321">
      <w:pPr>
        <w:pStyle w:val="Quote3"/>
        <w:ind w:left="2835" w:hanging="675"/>
      </w:pPr>
      <w:r>
        <w:t>(i)</w:t>
      </w:r>
      <w:r>
        <w:tab/>
      </w:r>
      <w:r w:rsidR="000E5CC7">
        <w:t xml:space="preserve">paragraph (6)(a) (substantial criminal record), on the basis of paragraph (7)(a), (b) or (c); or </w:t>
      </w:r>
    </w:p>
    <w:p w:rsidR="000E5CC7" w:rsidRDefault="00FB10CC" w:rsidP="00C71321">
      <w:pPr>
        <w:pStyle w:val="Quote3"/>
      </w:pPr>
      <w:r>
        <w:t xml:space="preserve">(ii) </w:t>
      </w:r>
      <w:r w:rsidR="000E5CC7">
        <w:t>paragraph (6)(e) (sexually based offences involving a child); and</w:t>
      </w:r>
    </w:p>
    <w:p w:rsidR="000E5CC7" w:rsidRPr="000E5CC7" w:rsidRDefault="00C71321" w:rsidP="00C71321">
      <w:pPr>
        <w:pStyle w:val="Quote2"/>
        <w:ind w:left="2127" w:hanging="687"/>
      </w:pPr>
      <w:r>
        <w:t>(b)</w:t>
      </w:r>
      <w:r w:rsidR="000E5CC7">
        <w:tab/>
      </w:r>
      <w:r w:rsidR="000E5CC7" w:rsidRPr="000E5CC7">
        <w:t>the person is serving a sentence of imprisonment, on a full-time basis in a custodial institution, for an offence against a law of the Commonwealth, a State or a Territory.</w:t>
      </w:r>
    </w:p>
    <w:p w:rsidR="00F83F47" w:rsidRPr="00924C9C" w:rsidRDefault="00F83F47" w:rsidP="00C71321">
      <w:pPr>
        <w:pStyle w:val="Quote1"/>
      </w:pPr>
      <w:r w:rsidRPr="00924C9C">
        <w:t>…</w:t>
      </w:r>
    </w:p>
    <w:p w:rsidR="000E5CC7" w:rsidRPr="00C71321" w:rsidRDefault="000E5CC7" w:rsidP="00C71321">
      <w:pPr>
        <w:pStyle w:val="Quote1"/>
        <w:rPr>
          <w:b/>
        </w:rPr>
      </w:pPr>
      <w:r w:rsidRPr="00C71321">
        <w:rPr>
          <w:b/>
        </w:rPr>
        <w:t xml:space="preserve">501CA Cancellation of visa—revocation of decision under subsection 501(3A) (person serving sentence of imprisonment) </w:t>
      </w:r>
    </w:p>
    <w:p w:rsidR="000E5CC7" w:rsidRPr="000E5CC7" w:rsidRDefault="00C71321" w:rsidP="00C71321">
      <w:pPr>
        <w:pStyle w:val="Quote1"/>
        <w:ind w:left="1418" w:hanging="681"/>
      </w:pPr>
      <w:r>
        <w:t>(1)</w:t>
      </w:r>
      <w:r>
        <w:tab/>
      </w:r>
      <w:r w:rsidR="000E5CC7" w:rsidRPr="000E5CC7">
        <w:t xml:space="preserve">This section applies if the Minister makes a decision (the </w:t>
      </w:r>
      <w:r w:rsidR="000E5CC7" w:rsidRPr="000E5CC7">
        <w:rPr>
          <w:i/>
          <w:iCs/>
        </w:rPr>
        <w:t>original decision</w:t>
      </w:r>
      <w:r w:rsidR="000E5CC7" w:rsidRPr="000E5CC7">
        <w:t xml:space="preserve">) under subsection 501(3A) (person serving sentence of imprisonment) to cancel a visa that has been granted to a person. </w:t>
      </w:r>
    </w:p>
    <w:p w:rsidR="000E5CC7" w:rsidRPr="000E5CC7" w:rsidRDefault="00C71321" w:rsidP="00C71321">
      <w:pPr>
        <w:pStyle w:val="Quote1"/>
        <w:ind w:left="1418" w:hanging="681"/>
      </w:pPr>
      <w:r>
        <w:t>(2)</w:t>
      </w:r>
      <w:r>
        <w:tab/>
      </w:r>
      <w:r w:rsidR="000E5CC7" w:rsidRPr="000E5CC7">
        <w:t xml:space="preserve">For the purposes of this section, </w:t>
      </w:r>
      <w:r w:rsidR="000E5CC7" w:rsidRPr="000E5CC7">
        <w:rPr>
          <w:i/>
          <w:iCs/>
        </w:rPr>
        <w:t xml:space="preserve">relevant information </w:t>
      </w:r>
      <w:r w:rsidR="000E5CC7" w:rsidRPr="000E5CC7">
        <w:t xml:space="preserve">is information (other than non-disclosable information) that the Minister considers: </w:t>
      </w:r>
    </w:p>
    <w:p w:rsidR="000E5CC7" w:rsidRPr="000E5CC7" w:rsidRDefault="000E5CC7" w:rsidP="00C71321">
      <w:pPr>
        <w:pStyle w:val="Quote2"/>
        <w:ind w:left="2127" w:hanging="709"/>
      </w:pPr>
      <w:r w:rsidRPr="000E5CC7">
        <w:lastRenderedPageBreak/>
        <w:t>(a)</w:t>
      </w:r>
      <w:r w:rsidRPr="000E5CC7">
        <w:tab/>
        <w:t xml:space="preserve">would be the reason, or a part of the reason, for making the original decision; and </w:t>
      </w:r>
    </w:p>
    <w:p w:rsidR="000E5CC7" w:rsidRPr="000E5CC7" w:rsidRDefault="000E5CC7" w:rsidP="00C71321">
      <w:pPr>
        <w:pStyle w:val="Quote2"/>
      </w:pPr>
      <w:r w:rsidRPr="000E5CC7">
        <w:t>(b)</w:t>
      </w:r>
      <w:r w:rsidRPr="000E5CC7">
        <w:tab/>
        <w:t xml:space="preserve">is specifically about the person or another person and is not just about a class of persons of which the person or other person is a member. </w:t>
      </w:r>
    </w:p>
    <w:p w:rsidR="000E5CC7" w:rsidRPr="000E5CC7" w:rsidRDefault="00C71321" w:rsidP="00C71321">
      <w:pPr>
        <w:pStyle w:val="Quote1"/>
      </w:pPr>
      <w:r>
        <w:t>(3)</w:t>
      </w:r>
      <w:r>
        <w:tab/>
      </w:r>
      <w:r w:rsidR="000E5CC7" w:rsidRPr="000E5CC7">
        <w:t xml:space="preserve">As soon as practicable after making the original decision, the Minister must: </w:t>
      </w:r>
    </w:p>
    <w:p w:rsidR="000E5CC7" w:rsidRPr="000E5CC7" w:rsidRDefault="000E5CC7" w:rsidP="00C71321">
      <w:pPr>
        <w:pStyle w:val="Quote2"/>
        <w:ind w:left="2127" w:hanging="687"/>
      </w:pPr>
      <w:r w:rsidRPr="000E5CC7">
        <w:t>(a)</w:t>
      </w:r>
      <w:r w:rsidRPr="000E5CC7">
        <w:tab/>
        <w:t xml:space="preserve">give the person, in the way that the Minister considers appropriate in the circumstances: </w:t>
      </w:r>
    </w:p>
    <w:p w:rsidR="000E5CC7" w:rsidRPr="000E5CC7" w:rsidRDefault="00C71321" w:rsidP="00C71321">
      <w:pPr>
        <w:pStyle w:val="Quote3"/>
      </w:pPr>
      <w:r>
        <w:t>(i)</w:t>
      </w:r>
      <w:r>
        <w:tab/>
      </w:r>
      <w:r w:rsidR="000E5CC7" w:rsidRPr="000E5CC7">
        <w:t xml:space="preserve">a written notice that sets out the original decision; and </w:t>
      </w:r>
    </w:p>
    <w:p w:rsidR="008B5254" w:rsidRPr="000E5CC7" w:rsidRDefault="00C71321" w:rsidP="00C71321">
      <w:pPr>
        <w:pStyle w:val="Quote3"/>
      </w:pPr>
      <w:r>
        <w:t>(ii)</w:t>
      </w:r>
      <w:r>
        <w:tab/>
      </w:r>
      <w:r w:rsidR="000E5CC7" w:rsidRPr="000E5CC7">
        <w:t>particulars of the relevant information; and</w:t>
      </w:r>
    </w:p>
    <w:p w:rsidR="000E5CC7" w:rsidRPr="000E5CC7" w:rsidRDefault="00C71321" w:rsidP="00C71321">
      <w:pPr>
        <w:pStyle w:val="Quote2"/>
        <w:ind w:left="2127" w:hanging="687"/>
      </w:pPr>
      <w:r>
        <w:t>(b)</w:t>
      </w:r>
      <w:r w:rsidR="000E5CC7" w:rsidRPr="000E5CC7">
        <w:tab/>
        <w:t xml:space="preserve">invite the person to make representations to the Minister, within the period and in the manner ascertained in accordance with the regulations, about revocation of the original decision. </w:t>
      </w:r>
    </w:p>
    <w:p w:rsidR="000E5CC7" w:rsidRPr="000E5CC7" w:rsidRDefault="000E5CC7" w:rsidP="00C71321">
      <w:pPr>
        <w:pStyle w:val="Quote1"/>
      </w:pPr>
      <w:r w:rsidRPr="000E5CC7">
        <w:t>(4)</w:t>
      </w:r>
      <w:r w:rsidRPr="000E5CC7">
        <w:tab/>
        <w:t xml:space="preserve">The Minister may revoke the original decision if: </w:t>
      </w:r>
    </w:p>
    <w:p w:rsidR="000E5CC7" w:rsidRPr="000E5CC7" w:rsidRDefault="000E5CC7" w:rsidP="00C71321">
      <w:pPr>
        <w:pStyle w:val="Quote2"/>
        <w:ind w:left="2127" w:hanging="687"/>
      </w:pPr>
      <w:r w:rsidRPr="000E5CC7">
        <w:t>(a)</w:t>
      </w:r>
      <w:r w:rsidRPr="000E5CC7">
        <w:tab/>
        <w:t>the person makes representations in accordance with the invitation; and</w:t>
      </w:r>
    </w:p>
    <w:p w:rsidR="000E5CC7" w:rsidRPr="000E5CC7" w:rsidRDefault="00C71321" w:rsidP="00C71321">
      <w:pPr>
        <w:pStyle w:val="Quote2"/>
      </w:pPr>
      <w:r>
        <w:t>(b)</w:t>
      </w:r>
      <w:r w:rsidR="000E5CC7" w:rsidRPr="000E5CC7">
        <w:tab/>
        <w:t xml:space="preserve">the Minister is satisfied: </w:t>
      </w:r>
    </w:p>
    <w:p w:rsidR="000E5CC7" w:rsidRPr="000E5CC7" w:rsidRDefault="000E5CC7" w:rsidP="00C71321">
      <w:pPr>
        <w:pStyle w:val="Quote3"/>
        <w:ind w:left="2835" w:hanging="708"/>
      </w:pPr>
      <w:r w:rsidRPr="000E5CC7">
        <w:t>(i)</w:t>
      </w:r>
      <w:r w:rsidRPr="000E5CC7">
        <w:tab/>
        <w:t xml:space="preserve">that the person passes the character test (as defined by section 501); or </w:t>
      </w:r>
    </w:p>
    <w:p w:rsidR="000E5CC7" w:rsidRPr="000E5CC7" w:rsidRDefault="00C71321" w:rsidP="00C71321">
      <w:pPr>
        <w:pStyle w:val="Quote3"/>
        <w:ind w:left="2835" w:hanging="675"/>
      </w:pPr>
      <w:r>
        <w:t>(ii)</w:t>
      </w:r>
      <w:r w:rsidR="000E5CC7" w:rsidRPr="000E5CC7">
        <w:tab/>
        <w:t xml:space="preserve">that there is another reason why the original decision should be revoked. </w:t>
      </w:r>
    </w:p>
    <w:p w:rsidR="000E5CC7" w:rsidRDefault="000E5CC7" w:rsidP="00C71321">
      <w:pPr>
        <w:pStyle w:val="Quote1"/>
        <w:ind w:left="1418" w:hanging="681"/>
      </w:pPr>
      <w:r w:rsidRPr="000E5CC7">
        <w:t>(5)</w:t>
      </w:r>
      <w:r w:rsidRPr="000E5CC7">
        <w:tab/>
        <w:t>If the Minister revokes the original decision, the original decision is taken not to have been made.</w:t>
      </w:r>
    </w:p>
    <w:p w:rsidR="00342090" w:rsidRPr="000E5CC7" w:rsidRDefault="00342090" w:rsidP="00C71321">
      <w:pPr>
        <w:pStyle w:val="Quote1"/>
      </w:pPr>
      <w:r>
        <w:t>…</w:t>
      </w:r>
    </w:p>
    <w:p w:rsidR="00FB10CC" w:rsidRPr="00FB10CC" w:rsidRDefault="00FB10CC" w:rsidP="00C71321">
      <w:pPr>
        <w:pStyle w:val="Heading2"/>
      </w:pPr>
      <w:r w:rsidRPr="00FB10CC">
        <w:t>The Minister</w:t>
      </w:r>
      <w:r w:rsidR="00D02222">
        <w:t>’</w:t>
      </w:r>
      <w:r w:rsidRPr="00FB10CC">
        <w:t xml:space="preserve">s reasons for decision </w:t>
      </w:r>
    </w:p>
    <w:p w:rsidR="008B5254" w:rsidRDefault="008B5254" w:rsidP="008B5254">
      <w:pPr>
        <w:pStyle w:val="ParaNumbering"/>
      </w:pPr>
      <w:r>
        <w:t>The reasons of the Minister were as follows.</w:t>
      </w:r>
    </w:p>
    <w:p w:rsidR="000A6A85" w:rsidRDefault="00C05D27" w:rsidP="008B5254">
      <w:pPr>
        <w:pStyle w:val="ParaNumbering"/>
      </w:pPr>
      <w:r>
        <w:t xml:space="preserve">The Minister recorded, at [9], that he was not satisfied Mr Tesic passed the character test (as defined by s 501), with the result that s 501CA(4)(b)(i) of the </w:t>
      </w:r>
      <w:r w:rsidRPr="00C05D27">
        <w:rPr>
          <w:i/>
        </w:rPr>
        <w:t>Migration Act</w:t>
      </w:r>
      <w:r>
        <w:t xml:space="preserve"> was not met.</w:t>
      </w:r>
      <w:r w:rsidR="00D84CB0">
        <w:t xml:space="preserve"> </w:t>
      </w:r>
      <w:r w:rsidR="00C82B32">
        <w:t xml:space="preserve">That is not in issue. </w:t>
      </w:r>
      <w:r w:rsidR="00D84CB0">
        <w:t>Mr Tesic was convicted in the Supreme Court of Queensland of Trafficking in Dangerous Drugs, for which he was sentenced to 7 years imprisonment.</w:t>
      </w:r>
    </w:p>
    <w:p w:rsidR="00B52EF6" w:rsidRDefault="00D84CB0" w:rsidP="00924C9C">
      <w:pPr>
        <w:pStyle w:val="ParaNumbering"/>
      </w:pPr>
      <w:r>
        <w:t>The Minister then turned to consider, in light of Mr Tesic</w:t>
      </w:r>
      <w:r w:rsidR="00D02222">
        <w:t>’</w:t>
      </w:r>
      <w:r>
        <w:t>s representations, whether he was satisfied that there was another reason why the original mandatory visa cancellation decision should be revoked: see</w:t>
      </w:r>
      <w:r w:rsidRPr="00D84CB0">
        <w:t xml:space="preserve"> </w:t>
      </w:r>
      <w:r>
        <w:t>s 501CA(4)(b)(ii).</w:t>
      </w:r>
      <w:r w:rsidR="009D27D2">
        <w:t xml:space="preserve"> </w:t>
      </w:r>
      <w:r>
        <w:t>The Minister recorded, at [12], that the reasons Mr Tesic had articulated why the original decision should be revoked included: revocation is in the best interests of hi</w:t>
      </w:r>
      <w:r w:rsidR="00C82B32">
        <w:t>s minor g</w:t>
      </w:r>
      <w:r>
        <w:t xml:space="preserve">od-daughter and niece; he is fully rehabilitated from drug use and has only a </w:t>
      </w:r>
      <w:r w:rsidR="00D02222">
        <w:t>“</w:t>
      </w:r>
      <w:r>
        <w:t>minimal or remote</w:t>
      </w:r>
      <w:r w:rsidR="00D02222">
        <w:t>”</w:t>
      </w:r>
      <w:r>
        <w:t xml:space="preserve"> chance of re-offending; the expectation of the Australian </w:t>
      </w:r>
      <w:r>
        <w:lastRenderedPageBreak/>
        <w:t>community would support revocation of cancellation; he has positive employment prospects in Australia; he is engaged to an Australian citizen, and she, other family members and friends would suffer hardship in the event of his removal from Australia; and he would suffer hardship if he cannot remain in Australia.</w:t>
      </w:r>
    </w:p>
    <w:p w:rsidR="00D84CB0" w:rsidRDefault="00D84CB0" w:rsidP="008B5254">
      <w:pPr>
        <w:pStyle w:val="ParaNumbering"/>
      </w:pPr>
      <w:r>
        <w:t xml:space="preserve">At [31], under the heading </w:t>
      </w:r>
      <w:r w:rsidR="00D02222">
        <w:t>“</w:t>
      </w:r>
      <w:r>
        <w:t>Protecting the Australian Community, the Minister said as follows:</w:t>
      </w:r>
    </w:p>
    <w:p w:rsidR="00D84CB0" w:rsidRDefault="00D84CB0" w:rsidP="00C71321">
      <w:pPr>
        <w:pStyle w:val="Quote1"/>
      </w:pPr>
      <w:r>
        <w:t>In coming to my decision about whether or not there is another reason why the original decision should be revoked I have had regard to the consideration of the protection of the Australian community, noting in particular Mr TESIC</w:t>
      </w:r>
      <w:r w:rsidR="00D02222">
        <w:t>’</w:t>
      </w:r>
      <w:r>
        <w:t xml:space="preserve">s claim that he is fully rehabilitated from drug use, he has only a </w:t>
      </w:r>
      <w:r w:rsidR="00D02222">
        <w:t>“</w:t>
      </w:r>
      <w:r w:rsidRPr="00D84CB0">
        <w:rPr>
          <w:i/>
        </w:rPr>
        <w:t>minor or remote</w:t>
      </w:r>
      <w:r w:rsidR="00D02222">
        <w:t>”</w:t>
      </w:r>
      <w:r>
        <w:t xml:space="preserve"> chance of re-offending, and the (sic) he does not present an unacceptable risk. I consider</w:t>
      </w:r>
      <w:r w:rsidR="005C6C42">
        <w:t>ed</w:t>
      </w:r>
      <w:r>
        <w:t xml:space="preserve"> the Government</w:t>
      </w:r>
      <w:r w:rsidR="00D02222">
        <w:t>’</w:t>
      </w:r>
      <w:r>
        <w:t>s commitment to protecting the Australian community from harm as a result of criminal activity by non-citizens. I also took into consideration that remaining in Australia is a privilege that Australia confers on non-citizens in the expectation they are law-abiding.</w:t>
      </w:r>
    </w:p>
    <w:p w:rsidR="00FC17E9" w:rsidRDefault="00FC17E9" w:rsidP="00552449">
      <w:pPr>
        <w:pStyle w:val="ParaNumbering"/>
      </w:pPr>
      <w:r>
        <w:t xml:space="preserve">At [33], the Minister said in his statement of reasons: </w:t>
      </w:r>
      <w:r w:rsidR="00D02222">
        <w:t>“</w:t>
      </w:r>
      <w:r>
        <w:t xml:space="preserve">When he was apprehended for trafficking in dangerous drugs, Mr TESIC was on conditional liberty, having being granted bail following his apprehension, on 19 September 2009, in possession of cocaine, methylamphetamine </w:t>
      </w:r>
      <w:r w:rsidRPr="00FB10CC">
        <w:t>and MDMA.</w:t>
      </w:r>
      <w:r w:rsidR="00D02222">
        <w:t>”</w:t>
      </w:r>
      <w:r w:rsidRPr="00FB10CC">
        <w:t xml:space="preserve"> At [43], the Minister noted</w:t>
      </w:r>
      <w:r w:rsidR="00C82B32">
        <w:t xml:space="preserve"> </w:t>
      </w:r>
      <w:r w:rsidRPr="00FB10CC">
        <w:t xml:space="preserve">that Mr Tesic </w:t>
      </w:r>
      <w:r w:rsidR="00D02222">
        <w:t>“</w:t>
      </w:r>
      <w:r w:rsidRPr="00FB10CC">
        <w:t>continued to traffick drugs, following his cessation of their use, until he was apprehended by police.</w:t>
      </w:r>
      <w:r w:rsidR="00D02222">
        <w:t>”</w:t>
      </w:r>
      <w:r w:rsidRPr="00FB10CC">
        <w:t xml:space="preserve"> At [49], the Minister said: </w:t>
      </w:r>
      <w:r w:rsidR="00D02222">
        <w:t>“</w:t>
      </w:r>
      <w:r w:rsidRPr="00FB10CC">
        <w:t>Mr TESIC continued to traffick drugs when he had ceased personal use, and while he was on bail for drug possession offences.</w:t>
      </w:r>
      <w:r w:rsidR="00D02222">
        <w:t>”</w:t>
      </w:r>
    </w:p>
    <w:p w:rsidR="00FC17E9" w:rsidRDefault="00BE4876" w:rsidP="00552449">
      <w:pPr>
        <w:pStyle w:val="ParaNumbering"/>
      </w:pPr>
      <w:r>
        <w:t>In his c</w:t>
      </w:r>
      <w:r w:rsidR="00FC17E9">
        <w:t>onclusion, the Minister said</w:t>
      </w:r>
      <w:r w:rsidR="00A36406">
        <w:t>, at [55]:</w:t>
      </w:r>
    </w:p>
    <w:p w:rsidR="00A36406" w:rsidRDefault="00A36406" w:rsidP="00C71321">
      <w:pPr>
        <w:pStyle w:val="Quote1"/>
      </w:pPr>
      <w:r>
        <w:t>On the other hand, in considering whether I was satisfied that there is another reason why the original decision should be revoked, I gave significant weight to the serious nature of the crime committed by Mr TESIC, that of trafficking in dangerous drugs, and his relatively frequent antecedent offending which includes offences of violence. I am also mindful of the principle that persons who commit serious crimes should expect to forfeit the privilege of remaining in Australia.</w:t>
      </w:r>
    </w:p>
    <w:p w:rsidR="00FB10CC" w:rsidRPr="00FB10CC" w:rsidRDefault="00FB10CC" w:rsidP="00C71321">
      <w:pPr>
        <w:pStyle w:val="Heading2"/>
      </w:pPr>
      <w:r>
        <w:t>The application before the primary judge</w:t>
      </w:r>
    </w:p>
    <w:p w:rsidR="008B5254" w:rsidRDefault="008B5254" w:rsidP="00552449">
      <w:pPr>
        <w:pStyle w:val="ParaNumbering"/>
      </w:pPr>
      <w:r>
        <w:t>The application to this Court for judicial review of the Minister</w:t>
      </w:r>
      <w:r w:rsidR="00D02222">
        <w:t>’</w:t>
      </w:r>
      <w:r>
        <w:t>s decision contained the following grounds, as amended.</w:t>
      </w:r>
    </w:p>
    <w:p w:rsidR="008B5254" w:rsidRPr="008B5254" w:rsidRDefault="008B5254" w:rsidP="005C6C42">
      <w:pPr>
        <w:pStyle w:val="Quote1"/>
        <w:numPr>
          <w:ilvl w:val="0"/>
          <w:numId w:val="31"/>
        </w:numPr>
        <w:ind w:left="1440" w:hanging="703"/>
      </w:pPr>
      <w:r w:rsidRPr="008B5254">
        <w:t>The responde</w:t>
      </w:r>
      <w:r>
        <w:t>nt did not properly apply s 501CA and s 501</w:t>
      </w:r>
      <w:r w:rsidRPr="008B5254">
        <w:t>CA(</w:t>
      </w:r>
      <w:r>
        <w:t>4</w:t>
      </w:r>
      <w:r w:rsidRPr="008B5254">
        <w:t>) of the Migration Act 1958;</w:t>
      </w:r>
    </w:p>
    <w:p w:rsidR="008B5254" w:rsidRPr="008B5254" w:rsidRDefault="008B5254" w:rsidP="005C6C42">
      <w:pPr>
        <w:pStyle w:val="Quote1"/>
        <w:numPr>
          <w:ilvl w:val="0"/>
          <w:numId w:val="31"/>
        </w:numPr>
        <w:ind w:left="1440" w:hanging="703"/>
      </w:pPr>
      <w:r w:rsidRPr="008B5254">
        <w:t>The respondent</w:t>
      </w:r>
      <w:r w:rsidR="00D02222">
        <w:t>’</w:t>
      </w:r>
      <w:r w:rsidRPr="008B5254">
        <w:t>s decision was unreasonable;</w:t>
      </w:r>
    </w:p>
    <w:p w:rsidR="008B5254" w:rsidRPr="008B5254" w:rsidRDefault="008B5254" w:rsidP="005C6C42">
      <w:pPr>
        <w:pStyle w:val="Quote1"/>
        <w:numPr>
          <w:ilvl w:val="0"/>
          <w:numId w:val="31"/>
        </w:numPr>
        <w:ind w:left="1440" w:hanging="703"/>
      </w:pPr>
      <w:r w:rsidRPr="008B5254">
        <w:t>The respondent took into account irrelevant considerations;</w:t>
      </w:r>
    </w:p>
    <w:p w:rsidR="008B5254" w:rsidRPr="008B5254" w:rsidRDefault="008B5254" w:rsidP="005C6C42">
      <w:pPr>
        <w:pStyle w:val="Quote1"/>
        <w:numPr>
          <w:ilvl w:val="0"/>
          <w:numId w:val="31"/>
        </w:numPr>
        <w:ind w:left="1440" w:hanging="703"/>
      </w:pPr>
      <w:r w:rsidRPr="008B5254">
        <w:lastRenderedPageBreak/>
        <w:t>The respondent failed to take relevant considerations into account;</w:t>
      </w:r>
    </w:p>
    <w:p w:rsidR="008B5254" w:rsidRPr="008B5254" w:rsidRDefault="008B5254" w:rsidP="005C6C42">
      <w:pPr>
        <w:pStyle w:val="Quote1"/>
        <w:numPr>
          <w:ilvl w:val="0"/>
          <w:numId w:val="31"/>
        </w:numPr>
        <w:ind w:left="1440" w:hanging="703"/>
      </w:pPr>
      <w:r w:rsidRPr="008B5254">
        <w:t>There was insufficient evidence or no evidence to support various findings made by the respondent;</w:t>
      </w:r>
    </w:p>
    <w:p w:rsidR="008B5254" w:rsidRPr="008B5254" w:rsidRDefault="008B5254" w:rsidP="005C6C42">
      <w:pPr>
        <w:pStyle w:val="Quote1"/>
        <w:numPr>
          <w:ilvl w:val="0"/>
          <w:numId w:val="31"/>
        </w:numPr>
        <w:ind w:left="1440" w:hanging="703"/>
      </w:pPr>
      <w:r w:rsidRPr="008B5254">
        <w:t>[not pressed];</w:t>
      </w:r>
    </w:p>
    <w:p w:rsidR="008B5254" w:rsidRPr="008B5254" w:rsidRDefault="008B5254" w:rsidP="005C6C42">
      <w:pPr>
        <w:pStyle w:val="Quote1"/>
        <w:numPr>
          <w:ilvl w:val="0"/>
          <w:numId w:val="31"/>
        </w:numPr>
        <w:ind w:left="1440" w:hanging="703"/>
      </w:pPr>
      <w:r w:rsidRPr="008B5254">
        <w:t>The respondent failed to properly exer</w:t>
      </w:r>
      <w:r w:rsidR="00504BC9">
        <w:t>cise his</w:t>
      </w:r>
      <w:r w:rsidR="00C82B32">
        <w:t xml:space="preserve"> discretion under s 501CA and s </w:t>
      </w:r>
      <w:r w:rsidR="00504BC9">
        <w:t>501CA</w:t>
      </w:r>
      <w:r w:rsidRPr="008B5254">
        <w:t>(</w:t>
      </w:r>
      <w:r w:rsidR="00504BC9">
        <w:t>4</w:t>
      </w:r>
      <w:r w:rsidRPr="008B5254">
        <w:t>) of the Migration Act 1958;</w:t>
      </w:r>
    </w:p>
    <w:p w:rsidR="008B5254" w:rsidRPr="008B5254" w:rsidRDefault="008B5254" w:rsidP="005C6C42">
      <w:pPr>
        <w:pStyle w:val="Quote1"/>
        <w:numPr>
          <w:ilvl w:val="0"/>
          <w:numId w:val="31"/>
        </w:numPr>
        <w:ind w:left="1440" w:hanging="703"/>
      </w:pPr>
      <w:r w:rsidRPr="008B5254">
        <w:t>The respondent</w:t>
      </w:r>
      <w:r w:rsidR="00D02222">
        <w:t>’</w:t>
      </w:r>
      <w:r w:rsidRPr="008B5254">
        <w:t>s decision involved an error of law;</w:t>
      </w:r>
    </w:p>
    <w:p w:rsidR="008B5254" w:rsidRPr="008B5254" w:rsidRDefault="008B5254" w:rsidP="005C6C42">
      <w:pPr>
        <w:pStyle w:val="Quote1"/>
        <w:numPr>
          <w:ilvl w:val="0"/>
          <w:numId w:val="31"/>
        </w:numPr>
        <w:ind w:left="1440" w:hanging="703"/>
      </w:pPr>
      <w:r w:rsidRPr="008B5254">
        <w:t>[not pressed];</w:t>
      </w:r>
    </w:p>
    <w:p w:rsidR="008B5254" w:rsidRPr="008B5254" w:rsidRDefault="008B5254" w:rsidP="005C6C42">
      <w:pPr>
        <w:pStyle w:val="Quote1"/>
        <w:numPr>
          <w:ilvl w:val="0"/>
          <w:numId w:val="31"/>
        </w:numPr>
        <w:ind w:left="1440" w:hanging="703"/>
      </w:pPr>
      <w:r w:rsidRPr="008B5254">
        <w:t>The respondent in making the decision did not comply with the rules of natural justice and/or the applicant was denied procedural fairness.</w:t>
      </w:r>
    </w:p>
    <w:p w:rsidR="00FB10CC" w:rsidRPr="00FB10CC" w:rsidRDefault="00FB10CC" w:rsidP="00C71321">
      <w:pPr>
        <w:pStyle w:val="Heading2"/>
      </w:pPr>
      <w:r w:rsidRPr="00FB10CC">
        <w:t xml:space="preserve">The reasons of the primary judge </w:t>
      </w:r>
    </w:p>
    <w:p w:rsidR="008B5254" w:rsidRDefault="008B5254" w:rsidP="00552449">
      <w:pPr>
        <w:pStyle w:val="ParaNumbering"/>
      </w:pPr>
      <w:r>
        <w:t>The reasons of the primary judge</w:t>
      </w:r>
      <w:r w:rsidR="00C82B32">
        <w:t>,</w:t>
      </w:r>
      <w:r>
        <w:t xml:space="preserve"> </w:t>
      </w:r>
      <w:r w:rsidR="00E355CB">
        <w:t>insofar as relevant to the present appeal</w:t>
      </w:r>
      <w:r w:rsidR="00C82B32">
        <w:t>,</w:t>
      </w:r>
      <w:r w:rsidR="00E355CB">
        <w:t xml:space="preserve"> </w:t>
      </w:r>
      <w:r>
        <w:t>were as follows.</w:t>
      </w:r>
    </w:p>
    <w:p w:rsidR="00FA318C" w:rsidRDefault="00E355CB" w:rsidP="00552449">
      <w:pPr>
        <w:pStyle w:val="ParaNumbering"/>
      </w:pPr>
      <w:r>
        <w:t>First, at [37], the primary judge allowed Mr Tesic to rely on an affidavit sworn by him and dated 22 October 2016 and a</w:t>
      </w:r>
      <w:r w:rsidR="00924C9C">
        <w:t>n</w:t>
      </w:r>
      <w:r>
        <w:t xml:space="preserve"> affidavit of Mr </w:t>
      </w:r>
      <w:r w:rsidR="005C6C42">
        <w:t xml:space="preserve">William John </w:t>
      </w:r>
      <w:r>
        <w:t xml:space="preserve">Markwell, his </w:t>
      </w:r>
      <w:r w:rsidR="00C82B32">
        <w:t xml:space="preserve">lawyer and </w:t>
      </w:r>
      <w:r>
        <w:t>migration agent</w:t>
      </w:r>
      <w:r w:rsidR="00C82B32">
        <w:t>,</w:t>
      </w:r>
      <w:r w:rsidR="00264BA4">
        <w:t xml:space="preserve"> dated 25 October 2016</w:t>
      </w:r>
      <w:r>
        <w:t>. Her Honour held that this material was relevant to the unreasonableness ground of review, the ground that there was insufficient evidence or no evidence to support a finding made by the Minister and to the ground of review that the Minister failed to take relevant considerations into account: see</w:t>
      </w:r>
      <w:r w:rsidR="009D27D2">
        <w:t xml:space="preserve"> her Honour</w:t>
      </w:r>
      <w:r w:rsidR="00D02222">
        <w:t>’</w:t>
      </w:r>
      <w:r w:rsidR="009D27D2">
        <w:t xml:space="preserve">s </w:t>
      </w:r>
      <w:r>
        <w:t>reasons at [34]. The issue was said to be the Minister</w:t>
      </w:r>
      <w:r w:rsidR="00D02222">
        <w:t>’</w:t>
      </w:r>
      <w:r>
        <w:t>s conclusion that Mr Tesic</w:t>
      </w:r>
      <w:r w:rsidR="000E3ED3">
        <w:t xml:space="preserve"> trafficked </w:t>
      </w:r>
      <w:r>
        <w:t>in drugs after he had stopped personal use</w:t>
      </w:r>
      <w:r w:rsidR="00F24C61">
        <w:t xml:space="preserve">: </w:t>
      </w:r>
      <w:r w:rsidR="00C82B32">
        <w:t>s</w:t>
      </w:r>
      <w:r w:rsidR="00F24C61">
        <w:t>ee the Minister</w:t>
      </w:r>
      <w:r w:rsidR="00D02222">
        <w:t>’</w:t>
      </w:r>
      <w:r w:rsidR="00F24C61">
        <w:t>s statement of reasons set out at [</w:t>
      </w:r>
      <w:r w:rsidR="00C82B32">
        <w:t>8</w:t>
      </w:r>
      <w:r w:rsidR="00F24C61">
        <w:t>] above.</w:t>
      </w:r>
    </w:p>
    <w:p w:rsidR="00F24C61" w:rsidRDefault="00F24C61" w:rsidP="00552449">
      <w:pPr>
        <w:pStyle w:val="ParaNumbering"/>
      </w:pPr>
      <w:r>
        <w:t>At [80] of the judgment, the primary judge concluded that the Minister</w:t>
      </w:r>
      <w:r w:rsidR="00D02222">
        <w:t>’</w:t>
      </w:r>
      <w:r>
        <w:t>s failure to take into account the correct time</w:t>
      </w:r>
      <w:r w:rsidR="005C6C42">
        <w:t xml:space="preserve"> from when Mr Tesic ceased drug </w:t>
      </w:r>
      <w:r>
        <w:t>trafficking amounted to jurisdictional error. At [82], the primary judge said it was not in dispute that the accurate history of Mr Tesic</w:t>
      </w:r>
      <w:r w:rsidR="00D02222">
        <w:t>’</w:t>
      </w:r>
      <w:r>
        <w:t xml:space="preserve">s criminal activity, including when he ceased </w:t>
      </w:r>
      <w:r w:rsidR="00BE4876">
        <w:t xml:space="preserve">drug </w:t>
      </w:r>
      <w:r>
        <w:t>trafficking, was a relevant consideration for the Minister. At [88], the primary judge held that Mr Tesic should not be denied relief</w:t>
      </w:r>
      <w:r w:rsidR="00C82B32">
        <w:t xml:space="preserve"> as </w:t>
      </w:r>
      <w:r>
        <w:t xml:space="preserve">the failure of the Minister to take into account the correct time from when Mr Tesic ceased </w:t>
      </w:r>
      <w:r w:rsidR="00BE4876">
        <w:t xml:space="preserve">drug </w:t>
      </w:r>
      <w:r>
        <w:t>trafficking may possibly have affected the outcome adversely to his interests</w:t>
      </w:r>
      <w:r w:rsidR="0082579B">
        <w:t>.</w:t>
      </w:r>
      <w:r>
        <w:t xml:space="preserve"> At [89], the primary judge</w:t>
      </w:r>
      <w:r w:rsidR="0082579B">
        <w:t xml:space="preserve"> appears to have held that the Minister had failed to take relevant considerations into account in this respect.</w:t>
      </w:r>
    </w:p>
    <w:p w:rsidR="0082579B" w:rsidRDefault="00804435" w:rsidP="00804435">
      <w:pPr>
        <w:pStyle w:val="ParaNumbering"/>
      </w:pPr>
      <w:r>
        <w:t>In relation to the issue raised by the Minister</w:t>
      </w:r>
      <w:r w:rsidR="00D02222">
        <w:t>’</w:t>
      </w:r>
      <w:r>
        <w:t xml:space="preserve">s use of the term </w:t>
      </w:r>
      <w:r w:rsidR="00D02222">
        <w:t>“</w:t>
      </w:r>
      <w:r>
        <w:t>privilege</w:t>
      </w:r>
      <w:r w:rsidR="00D02222">
        <w:t>”</w:t>
      </w:r>
      <w:r>
        <w:t xml:space="preserve"> </w:t>
      </w:r>
      <w:r w:rsidR="009D27D2">
        <w:t>(</w:t>
      </w:r>
      <w:r>
        <w:t>see the passages from the Minister</w:t>
      </w:r>
      <w:r w:rsidR="00D02222">
        <w:t>’</w:t>
      </w:r>
      <w:r>
        <w:t>s statement of reasons set out at [</w:t>
      </w:r>
      <w:r w:rsidR="00C82B32">
        <w:t>7</w:t>
      </w:r>
      <w:r>
        <w:t>] and [</w:t>
      </w:r>
      <w:r w:rsidR="00C82B32">
        <w:t>9</w:t>
      </w:r>
      <w:r>
        <w:t>] above</w:t>
      </w:r>
      <w:r w:rsidR="009D27D2">
        <w:t>)</w:t>
      </w:r>
      <w:r>
        <w:t>, the primary judge</w:t>
      </w:r>
      <w:r w:rsidR="00C146A8">
        <w:t xml:space="preserve"> held, at [52], </w:t>
      </w:r>
      <w:r>
        <w:t xml:space="preserve">that </w:t>
      </w:r>
      <w:r w:rsidRPr="00804435">
        <w:rPr>
          <w:i/>
        </w:rPr>
        <w:t>Minister for Immigration and Border Protection v Stretton</w:t>
      </w:r>
      <w:r w:rsidRPr="00804435">
        <w:t xml:space="preserve"> [2016] FCAFC 11; 237 FCR 1</w:t>
      </w:r>
      <w:r>
        <w:t xml:space="preserve"> and</w:t>
      </w:r>
      <w:r w:rsidRPr="00804435">
        <w:t xml:space="preserve"> </w:t>
      </w:r>
      <w:r w:rsidRPr="00804435">
        <w:rPr>
          <w:i/>
        </w:rPr>
        <w:t>AZAFQ v Minister for Immigration and Border Protection</w:t>
      </w:r>
      <w:r w:rsidRPr="00804435">
        <w:t xml:space="preserve"> [2016] FCAFC </w:t>
      </w:r>
      <w:r w:rsidRPr="00804435">
        <w:lastRenderedPageBreak/>
        <w:t>105; 243 FCR 451</w:t>
      </w:r>
      <w:r>
        <w:t xml:space="preserve"> were to be distinguished</w:t>
      </w:r>
      <w:r w:rsidR="00C146A8">
        <w:t xml:space="preserve"> </w:t>
      </w:r>
      <w:r w:rsidR="00D02222">
        <w:t>“</w:t>
      </w:r>
      <w:r w:rsidR="00C146A8">
        <w:t>as to whether the Minister had properly exercised his powers pursuant to s 501CA of the Migration Act, and in doing so had regard to irrelevant considerations.</w:t>
      </w:r>
      <w:r w:rsidR="00D02222">
        <w:t>”</w:t>
      </w:r>
      <w:r w:rsidR="00C146A8">
        <w:t xml:space="preserve"> Her Honour referred to the Minister</w:t>
      </w:r>
      <w:r w:rsidR="00D02222">
        <w:t>’</w:t>
      </w:r>
      <w:r w:rsidR="00C146A8">
        <w:t>s statements in this respect at [31] and [55] of his statement of reasons</w:t>
      </w:r>
      <w:r w:rsidR="00C82B32">
        <w:t xml:space="preserve"> </w:t>
      </w:r>
      <w:r w:rsidR="00C146A8">
        <w:t>and, at [55] of her reasons</w:t>
      </w:r>
      <w:r w:rsidR="009D27D2">
        <w:t xml:space="preserve"> for judgment</w:t>
      </w:r>
      <w:r w:rsidR="000E36D1">
        <w:t>,</w:t>
      </w:r>
      <w:r w:rsidR="00C146A8">
        <w:t xml:space="preserve"> said she did not accept that the statements of the Minister in respect of </w:t>
      </w:r>
      <w:r w:rsidR="00D02222">
        <w:t>“</w:t>
      </w:r>
      <w:r w:rsidR="00C146A8">
        <w:t>privilege</w:t>
      </w:r>
      <w:r w:rsidR="00D02222">
        <w:t>”</w:t>
      </w:r>
      <w:r w:rsidR="00C146A8">
        <w:t xml:space="preserve"> in this case could properly be confined to rhetoric expounding the relevant considerations concerning Mr Tesic</w:t>
      </w:r>
      <w:r w:rsidR="00D02222">
        <w:t>’</w:t>
      </w:r>
      <w:r w:rsidR="00C146A8">
        <w:t>s criminal history and the importance of protecting the Australian commu</w:t>
      </w:r>
      <w:r w:rsidR="000A2891">
        <w:t xml:space="preserve">nity. Her Honour held, at [56], </w:t>
      </w:r>
      <w:r w:rsidR="00C146A8">
        <w:t xml:space="preserve">that the fact that the Minister took into consideration that remaining in Australia is a privilege that Australia confers on non-citizens indicated that the decision-making process was distorted. At [57], the primary judge contrasted the statement of reasons in the present case with the statements of reasons in </w:t>
      </w:r>
      <w:r w:rsidR="00C146A8" w:rsidRPr="00C146A8">
        <w:rPr>
          <w:i/>
        </w:rPr>
        <w:t>Stretton</w:t>
      </w:r>
      <w:r w:rsidR="00C146A8">
        <w:t xml:space="preserve"> and in </w:t>
      </w:r>
      <w:r w:rsidR="00C146A8" w:rsidRPr="00C146A8">
        <w:rPr>
          <w:i/>
        </w:rPr>
        <w:t>AZAFQ</w:t>
      </w:r>
      <w:r w:rsidR="00C146A8">
        <w:t xml:space="preserve"> and said: </w:t>
      </w:r>
      <w:r w:rsidR="00D02222">
        <w:t>“</w:t>
      </w:r>
      <w:r w:rsidR="00C146A8">
        <w:t>Unlike in these cases, the Minister in the statement of reasons in Mr Tesic</w:t>
      </w:r>
      <w:r w:rsidR="00D02222">
        <w:t>’</w:t>
      </w:r>
      <w:r w:rsidR="00C146A8">
        <w:t xml:space="preserve">s case referred to the </w:t>
      </w:r>
      <w:r w:rsidR="00D02222">
        <w:t>“</w:t>
      </w:r>
      <w:r w:rsidR="00C146A8">
        <w:t>pr</w:t>
      </w:r>
      <w:r w:rsidR="000D02A1">
        <w:t>ivilege</w:t>
      </w:r>
      <w:r w:rsidR="00D02222">
        <w:t>”</w:t>
      </w:r>
      <w:r w:rsidR="000D02A1">
        <w:t xml:space="preserve"> as a principle of law </w:t>
      </w:r>
      <w:r w:rsidR="00C146A8">
        <w:t>referable to the exercise of the power, rather than a general policy statement.</w:t>
      </w:r>
      <w:r w:rsidR="00D02222">
        <w:t>”</w:t>
      </w:r>
      <w:r w:rsidR="00C146A8">
        <w:t xml:space="preserve"> The primary judge upheld, in this respect, the grounds that the Minister did not properly apply s 501CA(4), that the Minister took into account irrelevant considerations, that the Minister failed to properly exerci</w:t>
      </w:r>
      <w:r w:rsidR="009D27D2">
        <w:t>se his discretion under s 501CA</w:t>
      </w:r>
      <w:r w:rsidR="00C146A8">
        <w:t xml:space="preserve">(4) and </w:t>
      </w:r>
      <w:r w:rsidR="009D27D2">
        <w:t xml:space="preserve">that </w:t>
      </w:r>
      <w:r w:rsidR="00C146A8">
        <w:t>the Minister</w:t>
      </w:r>
      <w:r w:rsidR="00D02222">
        <w:t>’</w:t>
      </w:r>
      <w:r w:rsidR="00C146A8">
        <w:t>s decision involved an error of law.</w:t>
      </w:r>
    </w:p>
    <w:p w:rsidR="000A6A85" w:rsidRDefault="00FA318C" w:rsidP="00552449">
      <w:pPr>
        <w:pStyle w:val="ParaNumbering"/>
      </w:pPr>
      <w:r>
        <w:t>At [23], the primary judge identified the claim of denial of procedural fairness,</w:t>
      </w:r>
      <w:r w:rsidR="000E36D1">
        <w:t xml:space="preserve"> at that time raised by </w:t>
      </w:r>
      <w:r>
        <w:t>ground 10 of the application for judicial review and now the subject of the respondent</w:t>
      </w:r>
      <w:r w:rsidR="00D02222">
        <w:t>’</w:t>
      </w:r>
      <w:r>
        <w:t xml:space="preserve">s notice of contention. The basis of the claim was that Mr Tesic said he was not aware that the Minister was </w:t>
      </w:r>
      <w:r w:rsidR="000E36D1">
        <w:t xml:space="preserve">personally </w:t>
      </w:r>
      <w:r>
        <w:t>to make the decision on whether to revoke the cancellation of the visa. A delegate would be bound by a Ministerial Direction, but the Minister would not. The primary judge considered that ground of review at [38]-[43] and concluded that it had no merit. The primary judge reasoned that Mr Tesic was informed that potentially the Minister might make the decision and in that light he was invited to submit anything he thought appropriate. This was clear from the letter dated 2 March 2015 from the Department to Mr Tesic. That letter stated that either a delegate or the Minister may make the decision.</w:t>
      </w:r>
    </w:p>
    <w:p w:rsidR="00FB10CC" w:rsidRPr="00FB10CC" w:rsidRDefault="00FB10CC" w:rsidP="00C71321">
      <w:pPr>
        <w:pStyle w:val="Heading2"/>
      </w:pPr>
      <w:r>
        <w:t>The grounds of appeal and the notice of contention</w:t>
      </w:r>
    </w:p>
    <w:p w:rsidR="00504BC9" w:rsidRPr="00804435" w:rsidRDefault="008B5254" w:rsidP="00804435">
      <w:pPr>
        <w:pStyle w:val="ParaNumbering"/>
      </w:pPr>
      <w:r>
        <w:t xml:space="preserve">The  </w:t>
      </w:r>
      <w:r w:rsidR="00504BC9">
        <w:t>grounds in the Minister</w:t>
      </w:r>
      <w:r w:rsidR="00D02222">
        <w:t>’</w:t>
      </w:r>
      <w:r w:rsidR="00504BC9">
        <w:t xml:space="preserve">s </w:t>
      </w:r>
      <w:r>
        <w:t>n</w:t>
      </w:r>
      <w:r w:rsidR="00804435">
        <w:t>otice of appeal</w:t>
      </w:r>
      <w:r w:rsidR="000E36D1">
        <w:t xml:space="preserve"> were </w:t>
      </w:r>
      <w:r w:rsidR="00804435">
        <w:t>as follows:</w:t>
      </w:r>
    </w:p>
    <w:p w:rsidR="00504BC9" w:rsidRPr="00FA0C80" w:rsidRDefault="00504BC9" w:rsidP="00BE4876">
      <w:pPr>
        <w:pStyle w:val="Quote1"/>
        <w:numPr>
          <w:ilvl w:val="0"/>
          <w:numId w:val="32"/>
        </w:numPr>
        <w:ind w:left="1440" w:hanging="703"/>
        <w:rPr>
          <w:lang w:val="en-US"/>
        </w:rPr>
      </w:pPr>
      <w:r w:rsidRPr="00FA0C80">
        <w:rPr>
          <w:w w:val="105"/>
          <w:lang w:val="en-US"/>
        </w:rPr>
        <w:t>The [primary judge] erred</w:t>
      </w:r>
      <w:r w:rsidRPr="00FA0C80">
        <w:rPr>
          <w:spacing w:val="3"/>
          <w:w w:val="105"/>
          <w:lang w:val="en-US"/>
        </w:rPr>
        <w:t xml:space="preserve"> </w:t>
      </w:r>
      <w:r w:rsidRPr="00FA0C80">
        <w:rPr>
          <w:w w:val="105"/>
          <w:lang w:val="en-US"/>
        </w:rPr>
        <w:t>in</w:t>
      </w:r>
      <w:r w:rsidRPr="00FA0C80">
        <w:rPr>
          <w:spacing w:val="-13"/>
          <w:w w:val="105"/>
          <w:lang w:val="en-US"/>
        </w:rPr>
        <w:t xml:space="preserve"> </w:t>
      </w:r>
      <w:r w:rsidRPr="00FA0C80">
        <w:rPr>
          <w:w w:val="105"/>
          <w:lang w:val="en-US"/>
        </w:rPr>
        <w:t>finding</w:t>
      </w:r>
      <w:r w:rsidRPr="00FA0C80">
        <w:rPr>
          <w:spacing w:val="-2"/>
          <w:w w:val="105"/>
          <w:lang w:val="en-US"/>
        </w:rPr>
        <w:t xml:space="preserve"> </w:t>
      </w:r>
      <w:r w:rsidRPr="00FA0C80">
        <w:rPr>
          <w:w w:val="105"/>
          <w:lang w:val="en-US"/>
        </w:rPr>
        <w:t>(Judgment</w:t>
      </w:r>
      <w:r w:rsidRPr="00FA0C80">
        <w:rPr>
          <w:spacing w:val="-3"/>
          <w:w w:val="105"/>
          <w:lang w:val="en-US"/>
        </w:rPr>
        <w:t xml:space="preserve"> </w:t>
      </w:r>
      <w:r w:rsidRPr="00FA0C80">
        <w:rPr>
          <w:w w:val="105"/>
          <w:lang w:val="en-US"/>
        </w:rPr>
        <w:t>at [57])</w:t>
      </w:r>
      <w:r w:rsidRPr="00FA0C80">
        <w:rPr>
          <w:spacing w:val="-20"/>
          <w:w w:val="105"/>
          <w:lang w:val="en-US"/>
        </w:rPr>
        <w:t xml:space="preserve"> </w:t>
      </w:r>
      <w:r w:rsidRPr="00FA0C80">
        <w:rPr>
          <w:w w:val="105"/>
          <w:lang w:val="en-US"/>
        </w:rPr>
        <w:t>that</w:t>
      </w:r>
      <w:r w:rsidRPr="00FA0C80">
        <w:rPr>
          <w:spacing w:val="1"/>
          <w:w w:val="105"/>
          <w:lang w:val="en-US"/>
        </w:rPr>
        <w:t xml:space="preserve"> </w:t>
      </w:r>
      <w:r w:rsidRPr="00FA0C80">
        <w:rPr>
          <w:w w:val="105"/>
          <w:lang w:val="en-US"/>
        </w:rPr>
        <w:t>the</w:t>
      </w:r>
      <w:r w:rsidRPr="00FA0C80">
        <w:rPr>
          <w:spacing w:val="-11"/>
          <w:w w:val="105"/>
          <w:lang w:val="en-US"/>
        </w:rPr>
        <w:t xml:space="preserve"> </w:t>
      </w:r>
      <w:r w:rsidRPr="00FA0C80">
        <w:rPr>
          <w:w w:val="105"/>
          <w:lang w:val="en-US"/>
        </w:rPr>
        <w:t>reference</w:t>
      </w:r>
      <w:r w:rsidRPr="00FA0C80">
        <w:rPr>
          <w:spacing w:val="-4"/>
          <w:w w:val="105"/>
          <w:lang w:val="en-US"/>
        </w:rPr>
        <w:t xml:space="preserve"> </w:t>
      </w:r>
      <w:r w:rsidRPr="00FA0C80">
        <w:rPr>
          <w:w w:val="105"/>
          <w:lang w:val="en-US"/>
        </w:rPr>
        <w:t>by</w:t>
      </w:r>
      <w:r w:rsidRPr="00FA0C80">
        <w:rPr>
          <w:spacing w:val="-7"/>
          <w:w w:val="105"/>
          <w:lang w:val="en-US"/>
        </w:rPr>
        <w:t xml:space="preserve"> </w:t>
      </w:r>
      <w:r w:rsidRPr="00FA0C80">
        <w:rPr>
          <w:w w:val="105"/>
          <w:lang w:val="en-US"/>
        </w:rPr>
        <w:t>the</w:t>
      </w:r>
      <w:r w:rsidRPr="00FA0C80">
        <w:rPr>
          <w:spacing w:val="-11"/>
          <w:w w:val="105"/>
          <w:lang w:val="en-US"/>
        </w:rPr>
        <w:t xml:space="preserve"> </w:t>
      </w:r>
      <w:r w:rsidRPr="00FA0C80">
        <w:rPr>
          <w:w w:val="105"/>
          <w:lang w:val="en-US"/>
        </w:rPr>
        <w:t>Minister</w:t>
      </w:r>
      <w:r w:rsidRPr="00FA0C80">
        <w:rPr>
          <w:spacing w:val="-3"/>
          <w:w w:val="105"/>
          <w:lang w:val="en-US"/>
        </w:rPr>
        <w:t xml:space="preserve"> </w:t>
      </w:r>
      <w:r w:rsidRPr="00FA0C80">
        <w:rPr>
          <w:w w:val="105"/>
          <w:lang w:val="en-US"/>
        </w:rPr>
        <w:t>to</w:t>
      </w:r>
      <w:r w:rsidRPr="00FA0C80">
        <w:rPr>
          <w:w w:val="103"/>
          <w:lang w:val="en-US"/>
        </w:rPr>
        <w:t xml:space="preserve"> </w:t>
      </w:r>
      <w:r w:rsidR="00D02222">
        <w:rPr>
          <w:w w:val="105"/>
          <w:lang w:val="en-US"/>
        </w:rPr>
        <w:t>‘</w:t>
      </w:r>
      <w:r w:rsidRPr="00FA0C80">
        <w:rPr>
          <w:w w:val="105"/>
          <w:lang w:val="en-US"/>
        </w:rPr>
        <w:t>principle</w:t>
      </w:r>
      <w:r w:rsidR="00D02222">
        <w:rPr>
          <w:w w:val="105"/>
          <w:lang w:val="en-US"/>
        </w:rPr>
        <w:t>’</w:t>
      </w:r>
      <w:r w:rsidRPr="00FA0C80">
        <w:rPr>
          <w:spacing w:val="-51"/>
          <w:w w:val="175"/>
          <w:lang w:val="en-US"/>
        </w:rPr>
        <w:t xml:space="preserve"> </w:t>
      </w:r>
      <w:r w:rsidRPr="00FA0C80">
        <w:rPr>
          <w:w w:val="105"/>
          <w:lang w:val="en-US"/>
        </w:rPr>
        <w:t>in</w:t>
      </w:r>
      <w:r w:rsidRPr="00FA0C80">
        <w:rPr>
          <w:spacing w:val="-1"/>
          <w:w w:val="105"/>
          <w:lang w:val="en-US"/>
        </w:rPr>
        <w:t xml:space="preserve"> </w:t>
      </w:r>
      <w:r w:rsidRPr="00FA0C80">
        <w:rPr>
          <w:w w:val="105"/>
          <w:lang w:val="en-US"/>
        </w:rPr>
        <w:t>the</w:t>
      </w:r>
      <w:r w:rsidRPr="00FA0C80">
        <w:rPr>
          <w:spacing w:val="-12"/>
          <w:w w:val="105"/>
          <w:lang w:val="en-US"/>
        </w:rPr>
        <w:t xml:space="preserve"> </w:t>
      </w:r>
      <w:r w:rsidRPr="00FA0C80">
        <w:rPr>
          <w:w w:val="105"/>
          <w:lang w:val="en-US"/>
        </w:rPr>
        <w:t>Min</w:t>
      </w:r>
      <w:r w:rsidRPr="00FA0C80">
        <w:rPr>
          <w:spacing w:val="15"/>
          <w:w w:val="105"/>
          <w:lang w:val="en-US"/>
        </w:rPr>
        <w:t>i</w:t>
      </w:r>
      <w:r w:rsidRPr="00FA0C80">
        <w:rPr>
          <w:w w:val="105"/>
          <w:lang w:val="en-US"/>
        </w:rPr>
        <w:t>st</w:t>
      </w:r>
      <w:r w:rsidRPr="00FA0C80">
        <w:rPr>
          <w:spacing w:val="-5"/>
          <w:w w:val="105"/>
          <w:lang w:val="en-US"/>
        </w:rPr>
        <w:t>e</w:t>
      </w:r>
      <w:r w:rsidRPr="00FA0C80">
        <w:rPr>
          <w:spacing w:val="15"/>
          <w:w w:val="105"/>
          <w:lang w:val="en-US"/>
        </w:rPr>
        <w:t>r</w:t>
      </w:r>
      <w:r w:rsidR="00D02222">
        <w:rPr>
          <w:w w:val="105"/>
          <w:lang w:val="en-US"/>
        </w:rPr>
        <w:t>’</w:t>
      </w:r>
      <w:r w:rsidRPr="00FA0C80">
        <w:rPr>
          <w:w w:val="105"/>
          <w:lang w:val="en-US"/>
        </w:rPr>
        <w:t>s</w:t>
      </w:r>
      <w:r w:rsidRPr="00FA0C80">
        <w:rPr>
          <w:spacing w:val="-19"/>
          <w:w w:val="105"/>
          <w:lang w:val="en-US"/>
        </w:rPr>
        <w:t xml:space="preserve"> </w:t>
      </w:r>
      <w:r w:rsidRPr="00FA0C80">
        <w:rPr>
          <w:w w:val="105"/>
          <w:lang w:val="en-US"/>
        </w:rPr>
        <w:t>Statement</w:t>
      </w:r>
      <w:r w:rsidRPr="00FA0C80">
        <w:rPr>
          <w:spacing w:val="-6"/>
          <w:w w:val="105"/>
          <w:lang w:val="en-US"/>
        </w:rPr>
        <w:t xml:space="preserve"> </w:t>
      </w:r>
      <w:r w:rsidRPr="00FA0C80">
        <w:rPr>
          <w:w w:val="105"/>
          <w:lang w:val="en-US"/>
        </w:rPr>
        <w:t>of</w:t>
      </w:r>
      <w:r w:rsidRPr="00FA0C80">
        <w:rPr>
          <w:spacing w:val="-17"/>
          <w:w w:val="105"/>
          <w:lang w:val="en-US"/>
        </w:rPr>
        <w:t xml:space="preserve"> </w:t>
      </w:r>
      <w:r w:rsidRPr="00FA0C80">
        <w:rPr>
          <w:w w:val="105"/>
          <w:lang w:val="en-US"/>
        </w:rPr>
        <w:t>Reasons</w:t>
      </w:r>
      <w:r w:rsidRPr="00FA0C80">
        <w:rPr>
          <w:spacing w:val="-10"/>
          <w:w w:val="105"/>
          <w:lang w:val="en-US"/>
        </w:rPr>
        <w:t xml:space="preserve"> </w:t>
      </w:r>
      <w:r w:rsidRPr="00FA0C80">
        <w:rPr>
          <w:w w:val="105"/>
          <w:lang w:val="en-US"/>
        </w:rPr>
        <w:t>was</w:t>
      </w:r>
      <w:r w:rsidRPr="00FA0C80">
        <w:rPr>
          <w:spacing w:val="-5"/>
          <w:w w:val="105"/>
          <w:lang w:val="en-US"/>
        </w:rPr>
        <w:t xml:space="preserve"> </w:t>
      </w:r>
      <w:r w:rsidRPr="00FA0C80">
        <w:rPr>
          <w:w w:val="105"/>
          <w:lang w:val="en-US"/>
        </w:rPr>
        <w:t>referable</w:t>
      </w:r>
      <w:r w:rsidRPr="00FA0C80">
        <w:rPr>
          <w:spacing w:val="-3"/>
          <w:w w:val="105"/>
          <w:lang w:val="en-US"/>
        </w:rPr>
        <w:t xml:space="preserve"> </w:t>
      </w:r>
      <w:r w:rsidRPr="00FA0C80">
        <w:rPr>
          <w:w w:val="105"/>
          <w:lang w:val="en-US"/>
        </w:rPr>
        <w:t>to</w:t>
      </w:r>
      <w:r w:rsidRPr="00FA0C80">
        <w:rPr>
          <w:spacing w:val="-9"/>
          <w:w w:val="105"/>
          <w:lang w:val="en-US"/>
        </w:rPr>
        <w:t xml:space="preserve"> </w:t>
      </w:r>
      <w:r w:rsidRPr="00FA0C80">
        <w:rPr>
          <w:w w:val="105"/>
          <w:lang w:val="en-US"/>
        </w:rPr>
        <w:t>a</w:t>
      </w:r>
      <w:r w:rsidRPr="00FA0C80">
        <w:rPr>
          <w:spacing w:val="-2"/>
          <w:w w:val="105"/>
          <w:lang w:val="en-US"/>
        </w:rPr>
        <w:t xml:space="preserve"> </w:t>
      </w:r>
      <w:r w:rsidRPr="00FA0C80">
        <w:rPr>
          <w:w w:val="105"/>
          <w:lang w:val="en-US"/>
        </w:rPr>
        <w:t>principle</w:t>
      </w:r>
      <w:r w:rsidRPr="00FA0C80">
        <w:rPr>
          <w:spacing w:val="-3"/>
          <w:w w:val="105"/>
          <w:lang w:val="en-US"/>
        </w:rPr>
        <w:t xml:space="preserve"> </w:t>
      </w:r>
      <w:r w:rsidRPr="00FA0C80">
        <w:rPr>
          <w:w w:val="105"/>
          <w:lang w:val="en-US"/>
        </w:rPr>
        <w:t>of</w:t>
      </w:r>
      <w:r w:rsidRPr="00FA0C80">
        <w:rPr>
          <w:spacing w:val="-6"/>
          <w:w w:val="105"/>
          <w:lang w:val="en-US"/>
        </w:rPr>
        <w:t xml:space="preserve"> </w:t>
      </w:r>
      <w:r w:rsidRPr="00FA0C80">
        <w:rPr>
          <w:w w:val="105"/>
          <w:lang w:val="en-US"/>
        </w:rPr>
        <w:t>law.</w:t>
      </w:r>
      <w:r w:rsidRPr="00FA0C80">
        <w:rPr>
          <w:spacing w:val="-4"/>
          <w:w w:val="105"/>
          <w:lang w:val="en-US"/>
        </w:rPr>
        <w:t xml:space="preserve"> </w:t>
      </w:r>
      <w:r w:rsidRPr="00FA0C80">
        <w:rPr>
          <w:w w:val="105"/>
          <w:lang w:val="en-US"/>
        </w:rPr>
        <w:t>Her</w:t>
      </w:r>
      <w:r w:rsidRPr="00FA0C80">
        <w:rPr>
          <w:spacing w:val="-12"/>
          <w:w w:val="105"/>
          <w:lang w:val="en-US"/>
        </w:rPr>
        <w:t xml:space="preserve"> </w:t>
      </w:r>
      <w:r w:rsidRPr="00FA0C80">
        <w:rPr>
          <w:w w:val="105"/>
          <w:lang w:val="en-US"/>
        </w:rPr>
        <w:t>Honour</w:t>
      </w:r>
      <w:r w:rsidRPr="00FA0C80">
        <w:rPr>
          <w:w w:val="103"/>
          <w:lang w:val="en-US"/>
        </w:rPr>
        <w:t xml:space="preserve"> </w:t>
      </w:r>
      <w:r w:rsidRPr="00FA0C80">
        <w:rPr>
          <w:w w:val="105"/>
          <w:lang w:val="en-US"/>
        </w:rPr>
        <w:t>should</w:t>
      </w:r>
      <w:r w:rsidRPr="00FA0C80">
        <w:rPr>
          <w:spacing w:val="-13"/>
          <w:w w:val="105"/>
          <w:lang w:val="en-US"/>
        </w:rPr>
        <w:t xml:space="preserve"> </w:t>
      </w:r>
      <w:r w:rsidRPr="00FA0C80">
        <w:rPr>
          <w:w w:val="105"/>
          <w:lang w:val="en-US"/>
        </w:rPr>
        <w:t>have</w:t>
      </w:r>
      <w:r w:rsidRPr="00FA0C80">
        <w:rPr>
          <w:spacing w:val="-4"/>
          <w:w w:val="105"/>
          <w:lang w:val="en-US"/>
        </w:rPr>
        <w:t xml:space="preserve"> </w:t>
      </w:r>
      <w:r w:rsidRPr="00FA0C80">
        <w:rPr>
          <w:w w:val="105"/>
          <w:lang w:val="en-US"/>
        </w:rPr>
        <w:t>found</w:t>
      </w:r>
      <w:r w:rsidRPr="00FA0C80">
        <w:rPr>
          <w:spacing w:val="-8"/>
          <w:w w:val="105"/>
          <w:lang w:val="en-US"/>
        </w:rPr>
        <w:t xml:space="preserve"> </w:t>
      </w:r>
      <w:r w:rsidRPr="00FA0C80">
        <w:rPr>
          <w:w w:val="105"/>
          <w:lang w:val="en-US"/>
        </w:rPr>
        <w:t>that</w:t>
      </w:r>
      <w:r w:rsidRPr="00FA0C80">
        <w:rPr>
          <w:spacing w:val="-9"/>
          <w:w w:val="105"/>
          <w:lang w:val="en-US"/>
        </w:rPr>
        <w:t xml:space="preserve"> </w:t>
      </w:r>
      <w:r w:rsidRPr="00FA0C80">
        <w:rPr>
          <w:w w:val="105"/>
          <w:lang w:val="en-US"/>
        </w:rPr>
        <w:t>the</w:t>
      </w:r>
      <w:r w:rsidRPr="00FA0C80">
        <w:rPr>
          <w:spacing w:val="-8"/>
          <w:w w:val="105"/>
          <w:lang w:val="en-US"/>
        </w:rPr>
        <w:t xml:space="preserve"> </w:t>
      </w:r>
      <w:r w:rsidRPr="00FA0C80">
        <w:rPr>
          <w:w w:val="105"/>
          <w:lang w:val="en-US"/>
        </w:rPr>
        <w:lastRenderedPageBreak/>
        <w:t>references</w:t>
      </w:r>
      <w:r w:rsidRPr="00FA0C80">
        <w:rPr>
          <w:spacing w:val="-3"/>
          <w:w w:val="105"/>
          <w:lang w:val="en-US"/>
        </w:rPr>
        <w:t xml:space="preserve"> </w:t>
      </w:r>
      <w:r w:rsidRPr="00FA0C80">
        <w:rPr>
          <w:w w:val="105"/>
          <w:lang w:val="en-US"/>
        </w:rPr>
        <w:t>to</w:t>
      </w:r>
      <w:r w:rsidRPr="00FA0C80">
        <w:rPr>
          <w:spacing w:val="-10"/>
          <w:w w:val="105"/>
          <w:lang w:val="en-US"/>
        </w:rPr>
        <w:t xml:space="preserve"> </w:t>
      </w:r>
      <w:r w:rsidRPr="00FA0C80">
        <w:rPr>
          <w:w w:val="105"/>
          <w:lang w:val="en-US"/>
        </w:rPr>
        <w:t>the</w:t>
      </w:r>
      <w:r w:rsidRPr="00FA0C80">
        <w:rPr>
          <w:spacing w:val="-14"/>
          <w:w w:val="105"/>
          <w:lang w:val="en-US"/>
        </w:rPr>
        <w:t xml:space="preserve"> </w:t>
      </w:r>
      <w:r w:rsidR="00D02222">
        <w:rPr>
          <w:spacing w:val="-17"/>
          <w:w w:val="105"/>
          <w:lang w:val="en-US"/>
        </w:rPr>
        <w:t>“</w:t>
      </w:r>
      <w:r w:rsidRPr="00FA0C80">
        <w:rPr>
          <w:w w:val="105"/>
          <w:lang w:val="en-US"/>
        </w:rPr>
        <w:t>privilege</w:t>
      </w:r>
      <w:r w:rsidRPr="00FA0C80">
        <w:rPr>
          <w:spacing w:val="-4"/>
          <w:w w:val="105"/>
          <w:lang w:val="en-US"/>
        </w:rPr>
        <w:t xml:space="preserve"> </w:t>
      </w:r>
      <w:r w:rsidRPr="00FA0C80">
        <w:rPr>
          <w:w w:val="105"/>
          <w:lang w:val="en-US"/>
        </w:rPr>
        <w:t>of</w:t>
      </w:r>
      <w:r w:rsidRPr="00FA0C80">
        <w:rPr>
          <w:spacing w:val="-13"/>
          <w:w w:val="105"/>
          <w:lang w:val="en-US"/>
        </w:rPr>
        <w:t xml:space="preserve"> </w:t>
      </w:r>
      <w:r w:rsidRPr="00FA0C80">
        <w:rPr>
          <w:w w:val="105"/>
          <w:lang w:val="en-US"/>
        </w:rPr>
        <w:t>remaining</w:t>
      </w:r>
      <w:r w:rsidRPr="00FA0C80">
        <w:rPr>
          <w:spacing w:val="6"/>
          <w:w w:val="105"/>
          <w:lang w:val="en-US"/>
        </w:rPr>
        <w:t xml:space="preserve"> </w:t>
      </w:r>
      <w:r w:rsidRPr="00FA0C80">
        <w:rPr>
          <w:w w:val="105"/>
          <w:lang w:val="en-US"/>
        </w:rPr>
        <w:t>in</w:t>
      </w:r>
      <w:r w:rsidRPr="00FA0C80">
        <w:rPr>
          <w:spacing w:val="-4"/>
          <w:w w:val="105"/>
          <w:lang w:val="en-US"/>
        </w:rPr>
        <w:t xml:space="preserve"> </w:t>
      </w:r>
      <w:r w:rsidRPr="00FA0C80">
        <w:rPr>
          <w:w w:val="105"/>
          <w:lang w:val="en-US"/>
        </w:rPr>
        <w:t>Australia</w:t>
      </w:r>
      <w:r w:rsidR="00D02222">
        <w:rPr>
          <w:w w:val="105"/>
          <w:lang w:val="en-US"/>
        </w:rPr>
        <w:t>”</w:t>
      </w:r>
      <w:r w:rsidRPr="00FA0C80">
        <w:rPr>
          <w:spacing w:val="-4"/>
          <w:w w:val="105"/>
          <w:lang w:val="en-US"/>
        </w:rPr>
        <w:t xml:space="preserve"> </w:t>
      </w:r>
      <w:r w:rsidRPr="00FA0C80">
        <w:rPr>
          <w:w w:val="105"/>
          <w:lang w:val="en-US"/>
        </w:rPr>
        <w:t>were</w:t>
      </w:r>
      <w:r w:rsidRPr="00FA0C80">
        <w:rPr>
          <w:spacing w:val="-11"/>
          <w:w w:val="105"/>
          <w:lang w:val="en-US"/>
        </w:rPr>
        <w:t xml:space="preserve"> </w:t>
      </w:r>
      <w:r w:rsidRPr="00FA0C80">
        <w:rPr>
          <w:w w:val="105"/>
          <w:lang w:val="en-US"/>
        </w:rPr>
        <w:t>an</w:t>
      </w:r>
      <w:r w:rsidRPr="00FA0C80">
        <w:rPr>
          <w:w w:val="102"/>
          <w:lang w:val="en-US"/>
        </w:rPr>
        <w:t xml:space="preserve"> </w:t>
      </w:r>
      <w:r w:rsidR="00D02222">
        <w:rPr>
          <w:spacing w:val="-17"/>
          <w:w w:val="105"/>
          <w:lang w:val="en-US"/>
        </w:rPr>
        <w:t>“</w:t>
      </w:r>
      <w:r w:rsidRPr="00FA0C80">
        <w:rPr>
          <w:w w:val="105"/>
          <w:lang w:val="en-US"/>
        </w:rPr>
        <w:t>unremarkable</w:t>
      </w:r>
      <w:r w:rsidRPr="00FA0C80">
        <w:rPr>
          <w:spacing w:val="2"/>
          <w:w w:val="105"/>
          <w:lang w:val="en-US"/>
        </w:rPr>
        <w:t xml:space="preserve"> </w:t>
      </w:r>
      <w:r w:rsidRPr="00FA0C80">
        <w:rPr>
          <w:w w:val="105"/>
          <w:lang w:val="en-US"/>
        </w:rPr>
        <w:t>synonymous</w:t>
      </w:r>
      <w:r w:rsidRPr="00FA0C80">
        <w:rPr>
          <w:spacing w:val="3"/>
          <w:w w:val="105"/>
          <w:lang w:val="en-US"/>
        </w:rPr>
        <w:t xml:space="preserve"> </w:t>
      </w:r>
      <w:r w:rsidRPr="00FA0C80">
        <w:rPr>
          <w:w w:val="105"/>
          <w:lang w:val="en-US"/>
        </w:rPr>
        <w:t>phrase</w:t>
      </w:r>
      <w:r w:rsidRPr="00FA0C80">
        <w:rPr>
          <w:spacing w:val="4"/>
          <w:w w:val="105"/>
          <w:lang w:val="en-US"/>
        </w:rPr>
        <w:t xml:space="preserve"> </w:t>
      </w:r>
      <w:r w:rsidRPr="00FA0C80">
        <w:rPr>
          <w:w w:val="105"/>
          <w:lang w:val="en-US"/>
        </w:rPr>
        <w:t>for</w:t>
      </w:r>
      <w:r w:rsidRPr="00FA0C80">
        <w:rPr>
          <w:spacing w:val="-20"/>
          <w:w w:val="105"/>
          <w:lang w:val="en-US"/>
        </w:rPr>
        <w:t xml:space="preserve"> </w:t>
      </w:r>
      <w:r w:rsidRPr="00FA0C80">
        <w:rPr>
          <w:w w:val="105"/>
          <w:lang w:val="en-US"/>
        </w:rPr>
        <w:t>the</w:t>
      </w:r>
      <w:r w:rsidRPr="00FA0C80">
        <w:rPr>
          <w:spacing w:val="-15"/>
          <w:w w:val="105"/>
          <w:lang w:val="en-US"/>
        </w:rPr>
        <w:t xml:space="preserve"> </w:t>
      </w:r>
      <w:r w:rsidRPr="00FA0C80">
        <w:rPr>
          <w:w w:val="105"/>
          <w:lang w:val="en-US"/>
        </w:rPr>
        <w:t>statutory</w:t>
      </w:r>
      <w:r w:rsidRPr="00FA0C80">
        <w:rPr>
          <w:spacing w:val="-2"/>
          <w:w w:val="105"/>
          <w:lang w:val="en-US"/>
        </w:rPr>
        <w:t xml:space="preserve"> </w:t>
      </w:r>
      <w:r w:rsidRPr="00FA0C80">
        <w:rPr>
          <w:w w:val="105"/>
          <w:lang w:val="en-US"/>
        </w:rPr>
        <w:t>rights</w:t>
      </w:r>
      <w:r w:rsidRPr="00FA0C80">
        <w:rPr>
          <w:spacing w:val="-14"/>
          <w:w w:val="105"/>
          <w:lang w:val="en-US"/>
        </w:rPr>
        <w:t xml:space="preserve"> </w:t>
      </w:r>
      <w:r w:rsidRPr="00FA0C80">
        <w:rPr>
          <w:w w:val="105"/>
          <w:lang w:val="en-US"/>
        </w:rPr>
        <w:t>held</w:t>
      </w:r>
      <w:r w:rsidRPr="00FA0C80">
        <w:rPr>
          <w:spacing w:val="-3"/>
          <w:w w:val="105"/>
          <w:lang w:val="en-US"/>
        </w:rPr>
        <w:t xml:space="preserve"> </w:t>
      </w:r>
      <w:r w:rsidRPr="00FA0C80">
        <w:rPr>
          <w:w w:val="105"/>
          <w:lang w:val="en-US"/>
        </w:rPr>
        <w:t>under the</w:t>
      </w:r>
      <w:r w:rsidRPr="00FA0C80">
        <w:rPr>
          <w:spacing w:val="-15"/>
          <w:w w:val="105"/>
          <w:lang w:val="en-US"/>
        </w:rPr>
        <w:t xml:space="preserve"> </w:t>
      </w:r>
      <w:r w:rsidRPr="00FA0C80">
        <w:rPr>
          <w:w w:val="105"/>
          <w:lang w:val="en-US"/>
        </w:rPr>
        <w:t>Migration</w:t>
      </w:r>
      <w:r w:rsidRPr="00FA0C80">
        <w:rPr>
          <w:spacing w:val="9"/>
          <w:w w:val="105"/>
          <w:lang w:val="en-US"/>
        </w:rPr>
        <w:t xml:space="preserve"> </w:t>
      </w:r>
      <w:r w:rsidRPr="00FA0C80">
        <w:rPr>
          <w:w w:val="105"/>
          <w:lang w:val="en-US"/>
        </w:rPr>
        <w:t>Ac</w:t>
      </w:r>
      <w:r w:rsidRPr="00FA0C80">
        <w:rPr>
          <w:spacing w:val="4"/>
          <w:w w:val="105"/>
          <w:lang w:val="en-US"/>
        </w:rPr>
        <w:t>t</w:t>
      </w:r>
      <w:r w:rsidR="00D02222">
        <w:rPr>
          <w:w w:val="105"/>
          <w:lang w:val="en-US"/>
        </w:rPr>
        <w:t>”</w:t>
      </w:r>
      <w:r w:rsidRPr="00FA0C80">
        <w:rPr>
          <w:spacing w:val="-38"/>
          <w:w w:val="105"/>
          <w:lang w:val="en-US"/>
        </w:rPr>
        <w:t xml:space="preserve"> </w:t>
      </w:r>
      <w:r w:rsidRPr="00FA0C80">
        <w:rPr>
          <w:w w:val="105"/>
          <w:lang w:val="en-US"/>
        </w:rPr>
        <w:t>as</w:t>
      </w:r>
      <w:r w:rsidRPr="00FA0C80">
        <w:rPr>
          <w:spacing w:val="-16"/>
          <w:w w:val="105"/>
          <w:lang w:val="en-US"/>
        </w:rPr>
        <w:t xml:space="preserve"> </w:t>
      </w:r>
      <w:r w:rsidRPr="00FA0C80">
        <w:rPr>
          <w:w w:val="105"/>
          <w:lang w:val="en-US"/>
        </w:rPr>
        <w:t>was</w:t>
      </w:r>
      <w:r w:rsidRPr="00FA0C80">
        <w:rPr>
          <w:lang w:val="en-US"/>
        </w:rPr>
        <w:t xml:space="preserve"> </w:t>
      </w:r>
      <w:r w:rsidRPr="00FA0C80">
        <w:rPr>
          <w:w w:val="105"/>
          <w:lang w:val="en-US"/>
        </w:rPr>
        <w:t>held</w:t>
      </w:r>
      <w:r w:rsidRPr="00FA0C80">
        <w:rPr>
          <w:spacing w:val="-2"/>
          <w:w w:val="105"/>
          <w:lang w:val="en-US"/>
        </w:rPr>
        <w:t xml:space="preserve"> </w:t>
      </w:r>
      <w:r w:rsidRPr="00FA0C80">
        <w:rPr>
          <w:w w:val="105"/>
          <w:lang w:val="en-US"/>
        </w:rPr>
        <w:t>by</w:t>
      </w:r>
      <w:r w:rsidRPr="00FA0C80">
        <w:rPr>
          <w:spacing w:val="-8"/>
          <w:w w:val="105"/>
          <w:lang w:val="en-US"/>
        </w:rPr>
        <w:t xml:space="preserve"> </w:t>
      </w:r>
      <w:r w:rsidRPr="00FA0C80">
        <w:rPr>
          <w:w w:val="105"/>
          <w:lang w:val="en-US"/>
        </w:rPr>
        <w:t>the</w:t>
      </w:r>
      <w:r w:rsidRPr="00FA0C80">
        <w:rPr>
          <w:spacing w:val="-7"/>
          <w:w w:val="105"/>
          <w:lang w:val="en-US"/>
        </w:rPr>
        <w:t xml:space="preserve"> </w:t>
      </w:r>
      <w:r w:rsidRPr="00FA0C80">
        <w:rPr>
          <w:w w:val="105"/>
          <w:lang w:val="en-US"/>
        </w:rPr>
        <w:t>Chief</w:t>
      </w:r>
      <w:r w:rsidRPr="00FA0C80">
        <w:rPr>
          <w:spacing w:val="-14"/>
          <w:w w:val="105"/>
          <w:lang w:val="en-US"/>
        </w:rPr>
        <w:t xml:space="preserve"> </w:t>
      </w:r>
      <w:r w:rsidRPr="00FA0C80">
        <w:rPr>
          <w:w w:val="105"/>
          <w:lang w:val="en-US"/>
        </w:rPr>
        <w:t>Justice</w:t>
      </w:r>
      <w:r w:rsidRPr="00FA0C80">
        <w:rPr>
          <w:spacing w:val="1"/>
          <w:w w:val="105"/>
          <w:lang w:val="en-US"/>
        </w:rPr>
        <w:t xml:space="preserve"> </w:t>
      </w:r>
      <w:r w:rsidRPr="00FA0C80">
        <w:rPr>
          <w:w w:val="105"/>
          <w:lang w:val="en-US"/>
        </w:rPr>
        <w:t>in</w:t>
      </w:r>
      <w:r w:rsidRPr="00FA0C80">
        <w:rPr>
          <w:spacing w:val="-20"/>
          <w:w w:val="105"/>
          <w:lang w:val="en-US"/>
        </w:rPr>
        <w:t xml:space="preserve"> </w:t>
      </w:r>
      <w:r w:rsidRPr="00FA0C80">
        <w:rPr>
          <w:i/>
          <w:w w:val="105"/>
          <w:lang w:val="en-US"/>
        </w:rPr>
        <w:t>Min</w:t>
      </w:r>
      <w:r w:rsidRPr="00FA0C80">
        <w:rPr>
          <w:i/>
          <w:spacing w:val="4"/>
          <w:w w:val="105"/>
          <w:lang w:val="en-US"/>
        </w:rPr>
        <w:t>ist</w:t>
      </w:r>
      <w:r w:rsidRPr="00FA0C80">
        <w:rPr>
          <w:i/>
          <w:w w:val="105"/>
          <w:lang w:val="en-US"/>
        </w:rPr>
        <w:t>er</w:t>
      </w:r>
      <w:r w:rsidR="00FA0C80">
        <w:rPr>
          <w:i/>
          <w:w w:val="105"/>
          <w:lang w:val="en-US"/>
        </w:rPr>
        <w:t xml:space="preserve"> </w:t>
      </w:r>
      <w:r w:rsidRPr="00FA0C80">
        <w:rPr>
          <w:i/>
          <w:w w:val="105"/>
          <w:lang w:val="en-US"/>
        </w:rPr>
        <w:t>for</w:t>
      </w:r>
      <w:r w:rsidR="00FA0C80">
        <w:rPr>
          <w:i/>
          <w:w w:val="105"/>
          <w:lang w:val="en-US"/>
        </w:rPr>
        <w:t xml:space="preserve"> Immigration and Border Protection </w:t>
      </w:r>
      <w:r w:rsidRPr="00FA0C80">
        <w:rPr>
          <w:i/>
          <w:w w:val="105"/>
          <w:lang w:val="en-US"/>
        </w:rPr>
        <w:t>v</w:t>
      </w:r>
      <w:r w:rsidRPr="00FA0C80">
        <w:rPr>
          <w:i/>
          <w:spacing w:val="-19"/>
          <w:w w:val="105"/>
          <w:lang w:val="en-US"/>
        </w:rPr>
        <w:t xml:space="preserve"> </w:t>
      </w:r>
      <w:r w:rsidRPr="00FA0C80">
        <w:rPr>
          <w:i/>
          <w:w w:val="105"/>
          <w:lang w:val="en-US"/>
        </w:rPr>
        <w:t>Stretton</w:t>
      </w:r>
      <w:r w:rsidRPr="00FA0C80">
        <w:rPr>
          <w:i/>
          <w:spacing w:val="4"/>
          <w:w w:val="105"/>
          <w:lang w:val="en-US"/>
        </w:rPr>
        <w:t xml:space="preserve"> </w:t>
      </w:r>
      <w:r w:rsidRPr="00FA0C80">
        <w:rPr>
          <w:w w:val="105"/>
          <w:lang w:val="en-US"/>
        </w:rPr>
        <w:t>[2016]</w:t>
      </w:r>
      <w:r w:rsidRPr="00FA0C80">
        <w:rPr>
          <w:w w:val="104"/>
          <w:lang w:val="en-US"/>
        </w:rPr>
        <w:t xml:space="preserve"> </w:t>
      </w:r>
      <w:r w:rsidRPr="00FA0C80">
        <w:rPr>
          <w:w w:val="105"/>
          <w:lang w:val="en-US"/>
        </w:rPr>
        <w:t>FCAFC</w:t>
      </w:r>
      <w:r w:rsidRPr="00FA0C80">
        <w:rPr>
          <w:spacing w:val="32"/>
          <w:w w:val="105"/>
          <w:lang w:val="en-US"/>
        </w:rPr>
        <w:t xml:space="preserve"> </w:t>
      </w:r>
      <w:r w:rsidRPr="00FA0C80">
        <w:rPr>
          <w:w w:val="105"/>
          <w:lang w:val="en-US"/>
        </w:rPr>
        <w:t>11;</w:t>
      </w:r>
      <w:r w:rsidRPr="00FA0C80">
        <w:rPr>
          <w:spacing w:val="-20"/>
          <w:w w:val="105"/>
          <w:lang w:val="en-US"/>
        </w:rPr>
        <w:t xml:space="preserve"> </w:t>
      </w:r>
      <w:r w:rsidRPr="00FA0C80">
        <w:rPr>
          <w:w w:val="105"/>
          <w:lang w:val="en-US"/>
        </w:rPr>
        <w:t>237 FCR</w:t>
      </w:r>
      <w:r w:rsidRPr="00FA0C80">
        <w:rPr>
          <w:spacing w:val="18"/>
          <w:w w:val="105"/>
          <w:lang w:val="en-US"/>
        </w:rPr>
        <w:t xml:space="preserve"> </w:t>
      </w:r>
      <w:r w:rsidRPr="00FA0C80">
        <w:rPr>
          <w:rFonts w:eastAsia="Arial"/>
          <w:spacing w:val="-11"/>
          <w:w w:val="130"/>
          <w:lang w:val="en-US"/>
        </w:rPr>
        <w:t xml:space="preserve">1 </w:t>
      </w:r>
      <w:r w:rsidRPr="00FA0C80">
        <w:rPr>
          <w:w w:val="130"/>
          <w:lang w:val="en-US"/>
        </w:rPr>
        <w:t>at</w:t>
      </w:r>
      <w:r w:rsidRPr="00FA0C80">
        <w:rPr>
          <w:spacing w:val="-4"/>
          <w:w w:val="130"/>
          <w:lang w:val="en-US"/>
        </w:rPr>
        <w:t xml:space="preserve"> </w:t>
      </w:r>
      <w:r w:rsidRPr="00FA0C80">
        <w:rPr>
          <w:w w:val="105"/>
          <w:lang w:val="en-US"/>
        </w:rPr>
        <w:t>[26].</w:t>
      </w:r>
    </w:p>
    <w:p w:rsidR="00504BC9" w:rsidRPr="00FA0C80" w:rsidRDefault="00504BC9" w:rsidP="00BE4876">
      <w:pPr>
        <w:pStyle w:val="Quote1"/>
        <w:numPr>
          <w:ilvl w:val="0"/>
          <w:numId w:val="32"/>
        </w:numPr>
        <w:ind w:left="1440" w:hanging="703"/>
        <w:rPr>
          <w:lang w:val="en-US"/>
        </w:rPr>
      </w:pPr>
      <w:r w:rsidRPr="00FA0C80">
        <w:rPr>
          <w:lang w:val="en-US"/>
        </w:rPr>
        <w:t>The [primary judge] erred</w:t>
      </w:r>
      <w:r w:rsidRPr="00FA0C80">
        <w:rPr>
          <w:spacing w:val="34"/>
          <w:lang w:val="en-US"/>
        </w:rPr>
        <w:t xml:space="preserve"> </w:t>
      </w:r>
      <w:r w:rsidRPr="00FA0C80">
        <w:rPr>
          <w:lang w:val="en-US"/>
        </w:rPr>
        <w:t>(Judgement</w:t>
      </w:r>
      <w:r w:rsidRPr="00FA0C80">
        <w:rPr>
          <w:spacing w:val="31"/>
          <w:lang w:val="en-US"/>
        </w:rPr>
        <w:t xml:space="preserve"> </w:t>
      </w:r>
      <w:r w:rsidRPr="00FA0C80">
        <w:rPr>
          <w:lang w:val="en-US"/>
        </w:rPr>
        <w:t>at</w:t>
      </w:r>
      <w:r w:rsidRPr="00FA0C80">
        <w:rPr>
          <w:spacing w:val="27"/>
          <w:lang w:val="en-US"/>
        </w:rPr>
        <w:t xml:space="preserve"> </w:t>
      </w:r>
      <w:r w:rsidRPr="00FA0C80">
        <w:rPr>
          <w:lang w:val="en-US"/>
        </w:rPr>
        <w:t>[52]</w:t>
      </w:r>
      <w:r w:rsidRPr="00FA0C80">
        <w:rPr>
          <w:spacing w:val="-3"/>
          <w:lang w:val="en-US"/>
        </w:rPr>
        <w:t xml:space="preserve"> </w:t>
      </w:r>
      <w:r w:rsidRPr="00FA0C80">
        <w:rPr>
          <w:lang w:val="en-US"/>
        </w:rPr>
        <w:t>to</w:t>
      </w:r>
      <w:r w:rsidRPr="00FA0C80">
        <w:rPr>
          <w:spacing w:val="25"/>
          <w:lang w:val="en-US"/>
        </w:rPr>
        <w:t xml:space="preserve"> </w:t>
      </w:r>
      <w:r w:rsidRPr="00FA0C80">
        <w:rPr>
          <w:lang w:val="en-US"/>
        </w:rPr>
        <w:t>[58])</w:t>
      </w:r>
      <w:r w:rsidRPr="00FA0C80">
        <w:rPr>
          <w:spacing w:val="8"/>
          <w:lang w:val="en-US"/>
        </w:rPr>
        <w:t xml:space="preserve"> </w:t>
      </w:r>
      <w:r w:rsidRPr="00FA0C80">
        <w:rPr>
          <w:lang w:val="en-US"/>
        </w:rPr>
        <w:t>in</w:t>
      </w:r>
      <w:r w:rsidRPr="00FA0C80">
        <w:rPr>
          <w:spacing w:val="9"/>
          <w:lang w:val="en-US"/>
        </w:rPr>
        <w:t xml:space="preserve"> </w:t>
      </w:r>
      <w:r w:rsidRPr="00FA0C80">
        <w:rPr>
          <w:lang w:val="en-US"/>
        </w:rPr>
        <w:t>concluding</w:t>
      </w:r>
      <w:r w:rsidRPr="00FA0C80">
        <w:rPr>
          <w:spacing w:val="28"/>
          <w:lang w:val="en-US"/>
        </w:rPr>
        <w:t xml:space="preserve"> </w:t>
      </w:r>
      <w:r w:rsidRPr="00FA0C80">
        <w:rPr>
          <w:lang w:val="en-US"/>
        </w:rPr>
        <w:t>that</w:t>
      </w:r>
      <w:r w:rsidRPr="00FA0C80">
        <w:rPr>
          <w:spacing w:val="20"/>
          <w:lang w:val="en-US"/>
        </w:rPr>
        <w:t xml:space="preserve"> </w:t>
      </w:r>
      <w:r w:rsidRPr="00FA0C80">
        <w:rPr>
          <w:lang w:val="en-US"/>
        </w:rPr>
        <w:t>the</w:t>
      </w:r>
      <w:r w:rsidRPr="00FA0C80">
        <w:rPr>
          <w:spacing w:val="11"/>
          <w:lang w:val="en-US"/>
        </w:rPr>
        <w:t xml:space="preserve"> </w:t>
      </w:r>
      <w:r w:rsidRPr="00FA0C80">
        <w:rPr>
          <w:lang w:val="en-US"/>
        </w:rPr>
        <w:t>references</w:t>
      </w:r>
      <w:r w:rsidRPr="00FA0C80">
        <w:rPr>
          <w:spacing w:val="28"/>
          <w:lang w:val="en-US"/>
        </w:rPr>
        <w:t xml:space="preserve"> </w:t>
      </w:r>
      <w:r w:rsidRPr="00FA0C80">
        <w:rPr>
          <w:lang w:val="en-US"/>
        </w:rPr>
        <w:t>to</w:t>
      </w:r>
      <w:r w:rsidRPr="00FA0C80">
        <w:rPr>
          <w:spacing w:val="7"/>
          <w:lang w:val="en-US"/>
        </w:rPr>
        <w:t xml:space="preserve"> </w:t>
      </w:r>
      <w:r w:rsidRPr="00FA0C80">
        <w:rPr>
          <w:lang w:val="en-US"/>
        </w:rPr>
        <w:t>the</w:t>
      </w:r>
      <w:r w:rsidRPr="00FA0C80">
        <w:rPr>
          <w:w w:val="106"/>
          <w:lang w:val="en-US"/>
        </w:rPr>
        <w:t xml:space="preserve"> </w:t>
      </w:r>
      <w:r w:rsidR="00D02222">
        <w:rPr>
          <w:spacing w:val="-22"/>
          <w:lang w:val="en-US"/>
        </w:rPr>
        <w:t>“</w:t>
      </w:r>
      <w:r w:rsidRPr="00FA0C80">
        <w:rPr>
          <w:lang w:val="en-US"/>
        </w:rPr>
        <w:t>privilege</w:t>
      </w:r>
      <w:r w:rsidRPr="00FA0C80">
        <w:rPr>
          <w:spacing w:val="44"/>
          <w:lang w:val="en-US"/>
        </w:rPr>
        <w:t xml:space="preserve"> </w:t>
      </w:r>
      <w:r w:rsidRPr="00FA0C80">
        <w:rPr>
          <w:lang w:val="en-US"/>
        </w:rPr>
        <w:t>of</w:t>
      </w:r>
      <w:r w:rsidRPr="00FA0C80">
        <w:rPr>
          <w:spacing w:val="10"/>
          <w:lang w:val="en-US"/>
        </w:rPr>
        <w:t xml:space="preserve"> </w:t>
      </w:r>
      <w:r w:rsidRPr="00FA0C80">
        <w:rPr>
          <w:lang w:val="en-US"/>
        </w:rPr>
        <w:t>remaining</w:t>
      </w:r>
      <w:r w:rsidRPr="00FA0C80">
        <w:rPr>
          <w:spacing w:val="32"/>
          <w:lang w:val="en-US"/>
        </w:rPr>
        <w:t xml:space="preserve"> </w:t>
      </w:r>
      <w:r w:rsidRPr="00FA0C80">
        <w:rPr>
          <w:lang w:val="en-US"/>
        </w:rPr>
        <w:t>in</w:t>
      </w:r>
      <w:r w:rsidRPr="00FA0C80">
        <w:rPr>
          <w:spacing w:val="26"/>
          <w:lang w:val="en-US"/>
        </w:rPr>
        <w:t xml:space="preserve"> </w:t>
      </w:r>
      <w:r w:rsidRPr="00FA0C80">
        <w:rPr>
          <w:lang w:val="en-US"/>
        </w:rPr>
        <w:t>Australia</w:t>
      </w:r>
      <w:r w:rsidR="00D02222">
        <w:rPr>
          <w:lang w:val="en-US"/>
        </w:rPr>
        <w:t>”</w:t>
      </w:r>
      <w:r w:rsidRPr="00FA0C80">
        <w:rPr>
          <w:spacing w:val="21"/>
          <w:lang w:val="en-US"/>
        </w:rPr>
        <w:t xml:space="preserve"> </w:t>
      </w:r>
      <w:r w:rsidRPr="00FA0C80">
        <w:rPr>
          <w:lang w:val="en-US"/>
        </w:rPr>
        <w:t>in</w:t>
      </w:r>
      <w:r w:rsidRPr="00FA0C80">
        <w:rPr>
          <w:spacing w:val="25"/>
          <w:lang w:val="en-US"/>
        </w:rPr>
        <w:t xml:space="preserve"> </w:t>
      </w:r>
      <w:r w:rsidRPr="00FA0C80">
        <w:rPr>
          <w:lang w:val="en-US"/>
        </w:rPr>
        <w:t>the</w:t>
      </w:r>
      <w:r w:rsidRPr="00FA0C80">
        <w:rPr>
          <w:spacing w:val="19"/>
          <w:lang w:val="en-US"/>
        </w:rPr>
        <w:t xml:space="preserve"> </w:t>
      </w:r>
      <w:r w:rsidRPr="00FA0C80">
        <w:rPr>
          <w:lang w:val="en-US"/>
        </w:rPr>
        <w:t>Minister</w:t>
      </w:r>
      <w:r w:rsidR="00D02222">
        <w:rPr>
          <w:lang w:val="en-US"/>
        </w:rPr>
        <w:t>’</w:t>
      </w:r>
      <w:r w:rsidRPr="00FA0C80">
        <w:rPr>
          <w:lang w:val="en-US"/>
        </w:rPr>
        <w:t>s</w:t>
      </w:r>
      <w:r w:rsidRPr="00FA0C80">
        <w:rPr>
          <w:spacing w:val="44"/>
          <w:lang w:val="en-US"/>
        </w:rPr>
        <w:t xml:space="preserve"> </w:t>
      </w:r>
      <w:r w:rsidRPr="00FA0C80">
        <w:rPr>
          <w:lang w:val="en-US"/>
        </w:rPr>
        <w:t>Statement</w:t>
      </w:r>
      <w:r w:rsidRPr="00FA0C80">
        <w:rPr>
          <w:spacing w:val="32"/>
          <w:lang w:val="en-US"/>
        </w:rPr>
        <w:t xml:space="preserve"> </w:t>
      </w:r>
      <w:r w:rsidRPr="00FA0C80">
        <w:rPr>
          <w:lang w:val="en-US"/>
        </w:rPr>
        <w:t>of</w:t>
      </w:r>
      <w:r w:rsidRPr="00FA0C80">
        <w:rPr>
          <w:spacing w:val="20"/>
          <w:lang w:val="en-US"/>
        </w:rPr>
        <w:t xml:space="preserve"> </w:t>
      </w:r>
      <w:r w:rsidRPr="00FA0C80">
        <w:rPr>
          <w:lang w:val="en-US"/>
        </w:rPr>
        <w:t>Reasons</w:t>
      </w:r>
      <w:r w:rsidRPr="00FA0C80">
        <w:rPr>
          <w:spacing w:val="32"/>
          <w:lang w:val="en-US"/>
        </w:rPr>
        <w:t xml:space="preserve"> </w:t>
      </w:r>
      <w:r w:rsidRPr="00FA0C80">
        <w:rPr>
          <w:lang w:val="en-US"/>
        </w:rPr>
        <w:t>discl</w:t>
      </w:r>
      <w:r w:rsidRPr="00FA0C80">
        <w:rPr>
          <w:spacing w:val="7"/>
          <w:lang w:val="en-US"/>
        </w:rPr>
        <w:t>o</w:t>
      </w:r>
      <w:r w:rsidRPr="00FA0C80">
        <w:rPr>
          <w:lang w:val="en-US"/>
        </w:rPr>
        <w:t>sed</w:t>
      </w:r>
      <w:r w:rsidRPr="00FA0C80">
        <w:rPr>
          <w:w w:val="97"/>
          <w:lang w:val="en-US"/>
        </w:rPr>
        <w:t xml:space="preserve"> </w:t>
      </w:r>
      <w:r w:rsidRPr="00FA0C80">
        <w:rPr>
          <w:lang w:val="en-US"/>
        </w:rPr>
        <w:t>jurisdictional error.</w:t>
      </w:r>
      <w:r w:rsidRPr="00FA0C80">
        <w:rPr>
          <w:spacing w:val="14"/>
          <w:lang w:val="en-US"/>
        </w:rPr>
        <w:t xml:space="preserve"> </w:t>
      </w:r>
      <w:r w:rsidRPr="00FA0C80">
        <w:rPr>
          <w:rFonts w:eastAsia="Arial"/>
          <w:lang w:val="en-US"/>
        </w:rPr>
        <w:t>In</w:t>
      </w:r>
      <w:r w:rsidRPr="00FA0C80">
        <w:rPr>
          <w:rFonts w:eastAsia="Arial"/>
          <w:spacing w:val="-26"/>
          <w:lang w:val="en-US"/>
        </w:rPr>
        <w:t xml:space="preserve"> </w:t>
      </w:r>
      <w:r w:rsidRPr="00FA0C80">
        <w:rPr>
          <w:lang w:val="en-US"/>
        </w:rPr>
        <w:t>so</w:t>
      </w:r>
      <w:r w:rsidRPr="00FA0C80">
        <w:rPr>
          <w:spacing w:val="16"/>
          <w:lang w:val="en-US"/>
        </w:rPr>
        <w:t xml:space="preserve"> f</w:t>
      </w:r>
      <w:r w:rsidRPr="00FA0C80">
        <w:rPr>
          <w:lang w:val="en-US"/>
        </w:rPr>
        <w:t>inding,</w:t>
      </w:r>
      <w:r w:rsidRPr="00FA0C80">
        <w:rPr>
          <w:spacing w:val="20"/>
          <w:lang w:val="en-US"/>
        </w:rPr>
        <w:t xml:space="preserve"> </w:t>
      </w:r>
      <w:r w:rsidRPr="00FA0C80">
        <w:rPr>
          <w:lang w:val="en-US"/>
        </w:rPr>
        <w:t>her</w:t>
      </w:r>
      <w:r w:rsidRPr="00FA0C80">
        <w:rPr>
          <w:spacing w:val="14"/>
          <w:lang w:val="en-US"/>
        </w:rPr>
        <w:t xml:space="preserve"> </w:t>
      </w:r>
      <w:r w:rsidRPr="00FA0C80">
        <w:rPr>
          <w:lang w:val="en-US"/>
        </w:rPr>
        <w:t>Honour</w:t>
      </w:r>
      <w:r w:rsidRPr="00FA0C80">
        <w:rPr>
          <w:spacing w:val="27"/>
          <w:lang w:val="en-US"/>
        </w:rPr>
        <w:t xml:space="preserve"> </w:t>
      </w:r>
      <w:r w:rsidRPr="00FA0C80">
        <w:rPr>
          <w:lang w:val="en-US"/>
        </w:rPr>
        <w:t>erred</w:t>
      </w:r>
      <w:r w:rsidRPr="00FA0C80">
        <w:rPr>
          <w:spacing w:val="18"/>
          <w:lang w:val="en-US"/>
        </w:rPr>
        <w:t xml:space="preserve"> </w:t>
      </w:r>
      <w:r w:rsidRPr="00FA0C80">
        <w:rPr>
          <w:lang w:val="en-US"/>
        </w:rPr>
        <w:t>in</w:t>
      </w:r>
      <w:r w:rsidRPr="00FA0C80">
        <w:rPr>
          <w:spacing w:val="10"/>
          <w:lang w:val="en-US"/>
        </w:rPr>
        <w:t xml:space="preserve"> </w:t>
      </w:r>
      <w:r w:rsidRPr="00FA0C80">
        <w:rPr>
          <w:lang w:val="en-US"/>
        </w:rPr>
        <w:t>considering</w:t>
      </w:r>
      <w:r w:rsidRPr="00FA0C80">
        <w:rPr>
          <w:spacing w:val="20"/>
          <w:lang w:val="en-US"/>
        </w:rPr>
        <w:t xml:space="preserve"> </w:t>
      </w:r>
      <w:r w:rsidRPr="00FA0C80">
        <w:rPr>
          <w:lang w:val="en-US"/>
        </w:rPr>
        <w:t>these</w:t>
      </w:r>
      <w:r w:rsidRPr="00FA0C80">
        <w:rPr>
          <w:spacing w:val="27"/>
          <w:lang w:val="en-US"/>
        </w:rPr>
        <w:t xml:space="preserve"> </w:t>
      </w:r>
      <w:r w:rsidRPr="00FA0C80">
        <w:rPr>
          <w:lang w:val="en-US"/>
        </w:rPr>
        <w:t>references</w:t>
      </w:r>
      <w:r w:rsidRPr="00FA0C80">
        <w:rPr>
          <w:spacing w:val="39"/>
          <w:lang w:val="en-US"/>
        </w:rPr>
        <w:t xml:space="preserve"> </w:t>
      </w:r>
      <w:r w:rsidRPr="00FA0C80">
        <w:rPr>
          <w:lang w:val="en-US"/>
        </w:rPr>
        <w:t>in</w:t>
      </w:r>
      <w:r w:rsidRPr="00FA0C80">
        <w:rPr>
          <w:spacing w:val="10"/>
          <w:lang w:val="en-US"/>
        </w:rPr>
        <w:t xml:space="preserve"> </w:t>
      </w:r>
      <w:r w:rsidRPr="00FA0C80">
        <w:rPr>
          <w:lang w:val="en-US"/>
        </w:rPr>
        <w:t>isolation</w:t>
      </w:r>
      <w:r w:rsidRPr="00FA0C80">
        <w:rPr>
          <w:w w:val="101"/>
          <w:lang w:val="en-US"/>
        </w:rPr>
        <w:t xml:space="preserve"> </w:t>
      </w:r>
      <w:r w:rsidRPr="00FA0C80">
        <w:rPr>
          <w:lang w:val="en-US"/>
        </w:rPr>
        <w:t>and</w:t>
      </w:r>
      <w:r w:rsidRPr="00FA0C80">
        <w:rPr>
          <w:spacing w:val="12"/>
          <w:lang w:val="en-US"/>
        </w:rPr>
        <w:t xml:space="preserve"> </w:t>
      </w:r>
      <w:r w:rsidRPr="00FA0C80">
        <w:rPr>
          <w:lang w:val="en-US"/>
        </w:rPr>
        <w:t>without</w:t>
      </w:r>
      <w:r w:rsidRPr="00FA0C80">
        <w:rPr>
          <w:spacing w:val="25"/>
          <w:lang w:val="en-US"/>
        </w:rPr>
        <w:t xml:space="preserve"> </w:t>
      </w:r>
      <w:r w:rsidRPr="00FA0C80">
        <w:rPr>
          <w:lang w:val="en-US"/>
        </w:rPr>
        <w:t>having</w:t>
      </w:r>
      <w:r w:rsidRPr="00FA0C80">
        <w:rPr>
          <w:spacing w:val="32"/>
          <w:lang w:val="en-US"/>
        </w:rPr>
        <w:t xml:space="preserve"> </w:t>
      </w:r>
      <w:r w:rsidRPr="00FA0C80">
        <w:rPr>
          <w:lang w:val="en-US"/>
        </w:rPr>
        <w:t>regard</w:t>
      </w:r>
      <w:r w:rsidRPr="00FA0C80">
        <w:rPr>
          <w:spacing w:val="36"/>
          <w:lang w:val="en-US"/>
        </w:rPr>
        <w:t xml:space="preserve"> </w:t>
      </w:r>
      <w:r w:rsidRPr="00FA0C80">
        <w:rPr>
          <w:lang w:val="en-US"/>
        </w:rPr>
        <w:t>to</w:t>
      </w:r>
      <w:r w:rsidRPr="00FA0C80">
        <w:rPr>
          <w:spacing w:val="15"/>
          <w:lang w:val="en-US"/>
        </w:rPr>
        <w:t xml:space="preserve"> </w:t>
      </w:r>
      <w:r w:rsidRPr="00FA0C80">
        <w:rPr>
          <w:lang w:val="en-US"/>
        </w:rPr>
        <w:t>the</w:t>
      </w:r>
      <w:r w:rsidRPr="00FA0C80">
        <w:rPr>
          <w:spacing w:val="20"/>
          <w:lang w:val="en-US"/>
        </w:rPr>
        <w:t xml:space="preserve"> </w:t>
      </w:r>
      <w:r w:rsidRPr="00FA0C80">
        <w:rPr>
          <w:lang w:val="en-US"/>
        </w:rPr>
        <w:t>Minister</w:t>
      </w:r>
      <w:r w:rsidR="00D02222">
        <w:rPr>
          <w:lang w:val="en-US"/>
        </w:rPr>
        <w:t>’</w:t>
      </w:r>
      <w:r w:rsidRPr="00FA0C80">
        <w:rPr>
          <w:lang w:val="en-US"/>
        </w:rPr>
        <w:t>s</w:t>
      </w:r>
      <w:r w:rsidRPr="00FA0C80">
        <w:rPr>
          <w:spacing w:val="34"/>
          <w:lang w:val="en-US"/>
        </w:rPr>
        <w:t xml:space="preserve"> </w:t>
      </w:r>
      <w:r w:rsidRPr="00FA0C80">
        <w:rPr>
          <w:lang w:val="en-US"/>
        </w:rPr>
        <w:t>Statement</w:t>
      </w:r>
      <w:r w:rsidRPr="00FA0C80">
        <w:rPr>
          <w:spacing w:val="23"/>
          <w:lang w:val="en-US"/>
        </w:rPr>
        <w:t xml:space="preserve"> </w:t>
      </w:r>
      <w:r w:rsidRPr="00FA0C80">
        <w:rPr>
          <w:lang w:val="en-US"/>
        </w:rPr>
        <w:t>of</w:t>
      </w:r>
      <w:r w:rsidRPr="00FA0C80">
        <w:rPr>
          <w:spacing w:val="9"/>
          <w:lang w:val="en-US"/>
        </w:rPr>
        <w:t xml:space="preserve"> </w:t>
      </w:r>
      <w:r w:rsidRPr="00FA0C80">
        <w:rPr>
          <w:lang w:val="en-US"/>
        </w:rPr>
        <w:t>Re</w:t>
      </w:r>
      <w:r w:rsidRPr="00FA0C80">
        <w:rPr>
          <w:spacing w:val="9"/>
          <w:lang w:val="en-US"/>
        </w:rPr>
        <w:t>a</w:t>
      </w:r>
      <w:r w:rsidRPr="00FA0C80">
        <w:rPr>
          <w:lang w:val="en-US"/>
        </w:rPr>
        <w:t>s</w:t>
      </w:r>
      <w:r w:rsidRPr="00FA0C80">
        <w:rPr>
          <w:spacing w:val="-8"/>
          <w:lang w:val="en-US"/>
        </w:rPr>
        <w:t>o</w:t>
      </w:r>
      <w:r w:rsidRPr="00FA0C80">
        <w:rPr>
          <w:lang w:val="en-US"/>
        </w:rPr>
        <w:t>ns</w:t>
      </w:r>
      <w:r w:rsidRPr="00FA0C80">
        <w:rPr>
          <w:spacing w:val="18"/>
          <w:lang w:val="en-US"/>
        </w:rPr>
        <w:t xml:space="preserve"> </w:t>
      </w:r>
      <w:r w:rsidRPr="00FA0C80">
        <w:rPr>
          <w:lang w:val="en-US"/>
        </w:rPr>
        <w:t>as</w:t>
      </w:r>
      <w:r w:rsidRPr="00FA0C80">
        <w:rPr>
          <w:spacing w:val="17"/>
          <w:lang w:val="en-US"/>
        </w:rPr>
        <w:t xml:space="preserve"> </w:t>
      </w:r>
      <w:r w:rsidRPr="00FA0C80">
        <w:rPr>
          <w:lang w:val="en-US"/>
        </w:rPr>
        <w:t>a</w:t>
      </w:r>
      <w:r w:rsidRPr="00FA0C80">
        <w:rPr>
          <w:spacing w:val="6"/>
          <w:lang w:val="en-US"/>
        </w:rPr>
        <w:t xml:space="preserve"> </w:t>
      </w:r>
      <w:r w:rsidRPr="00FA0C80">
        <w:rPr>
          <w:lang w:val="en-US"/>
        </w:rPr>
        <w:t>whole</w:t>
      </w:r>
      <w:r w:rsidRPr="00FA0C80">
        <w:rPr>
          <w:spacing w:val="16"/>
          <w:lang w:val="en-US"/>
        </w:rPr>
        <w:t xml:space="preserve"> </w:t>
      </w:r>
      <w:r w:rsidRPr="00FA0C80">
        <w:rPr>
          <w:lang w:val="en-US"/>
        </w:rPr>
        <w:t>and</w:t>
      </w:r>
      <w:r w:rsidRPr="00FA0C80">
        <w:rPr>
          <w:spacing w:val="14"/>
          <w:lang w:val="en-US"/>
        </w:rPr>
        <w:t xml:space="preserve"> </w:t>
      </w:r>
      <w:r w:rsidRPr="00FA0C80">
        <w:rPr>
          <w:lang w:val="en-US"/>
        </w:rPr>
        <w:t>without</w:t>
      </w:r>
      <w:r w:rsidRPr="00FA0C80">
        <w:rPr>
          <w:spacing w:val="26"/>
          <w:lang w:val="en-US"/>
        </w:rPr>
        <w:t xml:space="preserve"> </w:t>
      </w:r>
      <w:r w:rsidRPr="00FA0C80">
        <w:rPr>
          <w:lang w:val="en-US"/>
        </w:rPr>
        <w:t>an</w:t>
      </w:r>
      <w:r w:rsidRPr="00FA0C80">
        <w:rPr>
          <w:spacing w:val="9"/>
          <w:lang w:val="en-US"/>
        </w:rPr>
        <w:t xml:space="preserve"> </w:t>
      </w:r>
      <w:r w:rsidRPr="00FA0C80">
        <w:rPr>
          <w:lang w:val="en-US"/>
        </w:rPr>
        <w:t>eye</w:t>
      </w:r>
      <w:r w:rsidRPr="00FA0C80">
        <w:rPr>
          <w:w w:val="105"/>
          <w:lang w:val="en-US"/>
        </w:rPr>
        <w:t xml:space="preserve"> </w:t>
      </w:r>
      <w:r w:rsidRPr="00FA0C80">
        <w:rPr>
          <w:lang w:val="en-US"/>
        </w:rPr>
        <w:t>keenly</w:t>
      </w:r>
      <w:r w:rsidRPr="00FA0C80">
        <w:rPr>
          <w:spacing w:val="29"/>
          <w:lang w:val="en-US"/>
        </w:rPr>
        <w:t xml:space="preserve"> </w:t>
      </w:r>
      <w:r w:rsidRPr="00FA0C80">
        <w:rPr>
          <w:lang w:val="en-US"/>
        </w:rPr>
        <w:t>attuned</w:t>
      </w:r>
      <w:r w:rsidRPr="00FA0C80">
        <w:rPr>
          <w:spacing w:val="26"/>
          <w:lang w:val="en-US"/>
        </w:rPr>
        <w:t xml:space="preserve"> </w:t>
      </w:r>
      <w:r w:rsidRPr="00FA0C80">
        <w:rPr>
          <w:lang w:val="en-US"/>
        </w:rPr>
        <w:t>to</w:t>
      </w:r>
      <w:r w:rsidRPr="00FA0C80">
        <w:rPr>
          <w:spacing w:val="21"/>
          <w:lang w:val="en-US"/>
        </w:rPr>
        <w:t xml:space="preserve"> </w:t>
      </w:r>
      <w:r w:rsidRPr="00FA0C80">
        <w:rPr>
          <w:lang w:val="en-US"/>
        </w:rPr>
        <w:t>detecting</w:t>
      </w:r>
      <w:r w:rsidRPr="00FA0C80">
        <w:rPr>
          <w:spacing w:val="27"/>
          <w:lang w:val="en-US"/>
        </w:rPr>
        <w:t xml:space="preserve"> </w:t>
      </w:r>
      <w:r w:rsidRPr="00FA0C80">
        <w:rPr>
          <w:lang w:val="en-US"/>
        </w:rPr>
        <w:t>error</w:t>
      </w:r>
      <w:r w:rsidRPr="00FA0C80">
        <w:rPr>
          <w:spacing w:val="23"/>
          <w:lang w:val="en-US"/>
        </w:rPr>
        <w:t xml:space="preserve"> </w:t>
      </w:r>
      <w:r w:rsidRPr="00FA0C80">
        <w:rPr>
          <w:lang w:val="en-US"/>
        </w:rPr>
        <w:t>(contrary</w:t>
      </w:r>
      <w:r w:rsidRPr="00FA0C80">
        <w:rPr>
          <w:spacing w:val="26"/>
          <w:lang w:val="en-US"/>
        </w:rPr>
        <w:t xml:space="preserve"> </w:t>
      </w:r>
      <w:r w:rsidRPr="00FA0C80">
        <w:rPr>
          <w:lang w:val="en-US"/>
        </w:rPr>
        <w:t>to</w:t>
      </w:r>
      <w:r w:rsidRPr="00FA0C80">
        <w:rPr>
          <w:spacing w:val="21"/>
          <w:lang w:val="en-US"/>
        </w:rPr>
        <w:t xml:space="preserve"> </w:t>
      </w:r>
      <w:r w:rsidRPr="00FA0C80">
        <w:rPr>
          <w:lang w:val="en-US"/>
        </w:rPr>
        <w:t>the</w:t>
      </w:r>
      <w:r w:rsidRPr="00FA0C80">
        <w:rPr>
          <w:spacing w:val="15"/>
          <w:lang w:val="en-US"/>
        </w:rPr>
        <w:t xml:space="preserve"> </w:t>
      </w:r>
      <w:r w:rsidRPr="00FA0C80">
        <w:rPr>
          <w:lang w:val="en-US"/>
        </w:rPr>
        <w:t>guidance</w:t>
      </w:r>
      <w:r w:rsidRPr="00FA0C80">
        <w:rPr>
          <w:spacing w:val="34"/>
          <w:lang w:val="en-US"/>
        </w:rPr>
        <w:t xml:space="preserve"> </w:t>
      </w:r>
      <w:r w:rsidRPr="00FA0C80">
        <w:rPr>
          <w:rFonts w:eastAsia="Arial"/>
          <w:lang w:val="en-US"/>
        </w:rPr>
        <w:t>in</w:t>
      </w:r>
      <w:r w:rsidRPr="00FA0C80">
        <w:rPr>
          <w:rFonts w:eastAsia="Arial"/>
          <w:spacing w:val="-34"/>
          <w:lang w:val="en-US"/>
        </w:rPr>
        <w:t xml:space="preserve"> </w:t>
      </w:r>
      <w:r w:rsidRPr="00FA0C80">
        <w:rPr>
          <w:i/>
          <w:lang w:val="en-US"/>
        </w:rPr>
        <w:t>AZAFQ v</w:t>
      </w:r>
      <w:r w:rsidRPr="00FA0C80">
        <w:rPr>
          <w:i/>
          <w:spacing w:val="-21"/>
          <w:lang w:val="en-US"/>
        </w:rPr>
        <w:t xml:space="preserve"> </w:t>
      </w:r>
      <w:r w:rsidRPr="00FA0C80">
        <w:rPr>
          <w:i/>
          <w:lang w:val="en-US"/>
        </w:rPr>
        <w:t>Ministe</w:t>
      </w:r>
      <w:r w:rsidRPr="00FA0C80">
        <w:rPr>
          <w:i/>
          <w:spacing w:val="14"/>
          <w:lang w:val="en-US"/>
        </w:rPr>
        <w:t>r</w:t>
      </w:r>
      <w:r w:rsidR="00FA0C80">
        <w:rPr>
          <w:i/>
          <w:spacing w:val="14"/>
          <w:lang w:val="en-US"/>
        </w:rPr>
        <w:t xml:space="preserve"> </w:t>
      </w:r>
      <w:r w:rsidRPr="00FA0C80">
        <w:rPr>
          <w:i/>
          <w:lang w:val="en-US"/>
        </w:rPr>
        <w:t>for Immigration</w:t>
      </w:r>
      <w:r w:rsidRPr="00FA0C80">
        <w:rPr>
          <w:i/>
          <w:w w:val="102"/>
          <w:lang w:val="en-US"/>
        </w:rPr>
        <w:t xml:space="preserve"> </w:t>
      </w:r>
      <w:r w:rsidRPr="00FA0C80">
        <w:rPr>
          <w:i/>
          <w:lang w:val="en-US"/>
        </w:rPr>
        <w:t>and</w:t>
      </w:r>
      <w:r w:rsidRPr="00FA0C80">
        <w:rPr>
          <w:i/>
          <w:spacing w:val="23"/>
          <w:lang w:val="en-US"/>
        </w:rPr>
        <w:t xml:space="preserve"> </w:t>
      </w:r>
      <w:r w:rsidRPr="00FA0C80">
        <w:rPr>
          <w:i/>
          <w:lang w:val="en-US"/>
        </w:rPr>
        <w:t>Border</w:t>
      </w:r>
      <w:r w:rsidRPr="00FA0C80">
        <w:rPr>
          <w:i/>
          <w:spacing w:val="20"/>
          <w:lang w:val="en-US"/>
        </w:rPr>
        <w:t xml:space="preserve"> </w:t>
      </w:r>
      <w:r w:rsidRPr="00FA0C80">
        <w:rPr>
          <w:i/>
          <w:lang w:val="en-US"/>
        </w:rPr>
        <w:t>Protection</w:t>
      </w:r>
      <w:r w:rsidR="00FA0C80">
        <w:rPr>
          <w:i/>
          <w:lang w:val="en-US"/>
        </w:rPr>
        <w:t xml:space="preserve"> </w:t>
      </w:r>
      <w:r w:rsidRPr="00FA0C80">
        <w:rPr>
          <w:lang w:val="en-US"/>
        </w:rPr>
        <w:t>[2016]</w:t>
      </w:r>
      <w:r w:rsidRPr="00FA0C80">
        <w:rPr>
          <w:spacing w:val="-8"/>
          <w:lang w:val="en-US"/>
        </w:rPr>
        <w:t xml:space="preserve"> </w:t>
      </w:r>
      <w:r w:rsidRPr="00FA0C80">
        <w:rPr>
          <w:lang w:val="en-US"/>
        </w:rPr>
        <w:t>FCAFC 105</w:t>
      </w:r>
      <w:r w:rsidRPr="00FA0C80">
        <w:rPr>
          <w:spacing w:val="-11"/>
          <w:lang w:val="en-US"/>
        </w:rPr>
        <w:t xml:space="preserve"> </w:t>
      </w:r>
      <w:r w:rsidRPr="00FA0C80">
        <w:rPr>
          <w:lang w:val="en-US"/>
        </w:rPr>
        <w:t>at</w:t>
      </w:r>
      <w:r w:rsidRPr="00FA0C80">
        <w:rPr>
          <w:spacing w:val="25"/>
          <w:lang w:val="en-US"/>
        </w:rPr>
        <w:t xml:space="preserve"> </w:t>
      </w:r>
      <w:r w:rsidR="009D27D2">
        <w:rPr>
          <w:lang w:val="en-US"/>
        </w:rPr>
        <w:t xml:space="preserve">[47]-[48]). </w:t>
      </w:r>
      <w:r w:rsidRPr="00FA0C80">
        <w:rPr>
          <w:lang w:val="en-US"/>
        </w:rPr>
        <w:t>Her</w:t>
      </w:r>
      <w:r w:rsidRPr="00FA0C80">
        <w:rPr>
          <w:spacing w:val="18"/>
          <w:lang w:val="en-US"/>
        </w:rPr>
        <w:t xml:space="preserve"> </w:t>
      </w:r>
      <w:r w:rsidRPr="00FA0C80">
        <w:rPr>
          <w:lang w:val="en-US"/>
        </w:rPr>
        <w:t>Honour</w:t>
      </w:r>
      <w:r w:rsidRPr="00FA0C80">
        <w:rPr>
          <w:spacing w:val="24"/>
          <w:lang w:val="en-US"/>
        </w:rPr>
        <w:t xml:space="preserve"> </w:t>
      </w:r>
      <w:r w:rsidRPr="00FA0C80">
        <w:rPr>
          <w:lang w:val="en-US"/>
        </w:rPr>
        <w:t>should</w:t>
      </w:r>
      <w:r w:rsidRPr="00FA0C80">
        <w:rPr>
          <w:spacing w:val="20"/>
          <w:lang w:val="en-US"/>
        </w:rPr>
        <w:t xml:space="preserve"> </w:t>
      </w:r>
      <w:r w:rsidRPr="00FA0C80">
        <w:rPr>
          <w:lang w:val="en-US"/>
        </w:rPr>
        <w:t>have</w:t>
      </w:r>
      <w:r w:rsidRPr="00FA0C80">
        <w:rPr>
          <w:spacing w:val="24"/>
          <w:lang w:val="en-US"/>
        </w:rPr>
        <w:t xml:space="preserve"> </w:t>
      </w:r>
      <w:r w:rsidRPr="00FA0C80">
        <w:rPr>
          <w:lang w:val="en-US"/>
        </w:rPr>
        <w:t>found</w:t>
      </w:r>
      <w:r w:rsidRPr="00FA0C80">
        <w:rPr>
          <w:spacing w:val="23"/>
          <w:lang w:val="en-US"/>
        </w:rPr>
        <w:t xml:space="preserve"> </w:t>
      </w:r>
      <w:r w:rsidRPr="00FA0C80">
        <w:rPr>
          <w:lang w:val="en-US"/>
        </w:rPr>
        <w:t>that</w:t>
      </w:r>
      <w:r w:rsidRPr="00FA0C80">
        <w:rPr>
          <w:w w:val="99"/>
          <w:lang w:val="en-US"/>
        </w:rPr>
        <w:t xml:space="preserve"> </w:t>
      </w:r>
      <w:r w:rsidRPr="00FA0C80">
        <w:rPr>
          <w:lang w:val="en-US"/>
        </w:rPr>
        <w:t>there</w:t>
      </w:r>
      <w:r w:rsidRPr="00FA0C80">
        <w:rPr>
          <w:spacing w:val="13"/>
          <w:lang w:val="en-US"/>
        </w:rPr>
        <w:t xml:space="preserve"> </w:t>
      </w:r>
      <w:r w:rsidRPr="00FA0C80">
        <w:rPr>
          <w:lang w:val="en-US"/>
        </w:rPr>
        <w:t>was</w:t>
      </w:r>
      <w:r w:rsidRPr="00FA0C80">
        <w:rPr>
          <w:spacing w:val="12"/>
          <w:lang w:val="en-US"/>
        </w:rPr>
        <w:t xml:space="preserve"> </w:t>
      </w:r>
      <w:r w:rsidRPr="00FA0C80">
        <w:rPr>
          <w:lang w:val="en-US"/>
        </w:rPr>
        <w:t>no</w:t>
      </w:r>
      <w:r w:rsidRPr="00FA0C80">
        <w:rPr>
          <w:spacing w:val="-8"/>
          <w:lang w:val="en-US"/>
        </w:rPr>
        <w:t xml:space="preserve"> </w:t>
      </w:r>
      <w:r w:rsidRPr="00FA0C80">
        <w:rPr>
          <w:lang w:val="en-US"/>
        </w:rPr>
        <w:t>jurisdictional error.</w:t>
      </w:r>
    </w:p>
    <w:p w:rsidR="00504BC9" w:rsidRPr="00FA0C80" w:rsidRDefault="00504BC9" w:rsidP="00BE4876">
      <w:pPr>
        <w:pStyle w:val="Quote1"/>
        <w:numPr>
          <w:ilvl w:val="0"/>
          <w:numId w:val="32"/>
        </w:numPr>
        <w:ind w:left="1440" w:hanging="703"/>
        <w:rPr>
          <w:lang w:val="en-US"/>
        </w:rPr>
      </w:pPr>
      <w:r w:rsidRPr="00FA0C80">
        <w:rPr>
          <w:lang w:val="en-US"/>
        </w:rPr>
        <w:t>The [primary judge] erred</w:t>
      </w:r>
      <w:r w:rsidRPr="00FA0C80">
        <w:rPr>
          <w:spacing w:val="30"/>
          <w:lang w:val="en-US"/>
        </w:rPr>
        <w:t xml:space="preserve"> </w:t>
      </w:r>
      <w:r w:rsidRPr="00FA0C80">
        <w:rPr>
          <w:lang w:val="en-US"/>
        </w:rPr>
        <w:t>(Judgment</w:t>
      </w:r>
      <w:r w:rsidRPr="00FA0C80">
        <w:rPr>
          <w:spacing w:val="22"/>
          <w:lang w:val="en-US"/>
        </w:rPr>
        <w:t xml:space="preserve"> </w:t>
      </w:r>
      <w:r w:rsidRPr="00FA0C80">
        <w:rPr>
          <w:lang w:val="en-US"/>
        </w:rPr>
        <w:t>at</w:t>
      </w:r>
      <w:r w:rsidRPr="00FA0C80">
        <w:rPr>
          <w:spacing w:val="18"/>
          <w:lang w:val="en-US"/>
        </w:rPr>
        <w:t xml:space="preserve"> </w:t>
      </w:r>
      <w:r w:rsidRPr="00FA0C80">
        <w:rPr>
          <w:lang w:val="en-US"/>
        </w:rPr>
        <w:t>[63])</w:t>
      </w:r>
      <w:r w:rsidRPr="00FA0C80">
        <w:rPr>
          <w:spacing w:val="-1"/>
          <w:lang w:val="en-US"/>
        </w:rPr>
        <w:t xml:space="preserve"> </w:t>
      </w:r>
      <w:r w:rsidRPr="00FA0C80">
        <w:rPr>
          <w:lang w:val="en-US"/>
        </w:rPr>
        <w:t>in</w:t>
      </w:r>
      <w:r w:rsidRPr="00FA0C80">
        <w:rPr>
          <w:spacing w:val="26"/>
          <w:lang w:val="en-US"/>
        </w:rPr>
        <w:t xml:space="preserve"> </w:t>
      </w:r>
      <w:r w:rsidRPr="00FA0C80">
        <w:rPr>
          <w:lang w:val="en-US"/>
        </w:rPr>
        <w:t>relying</w:t>
      </w:r>
      <w:r w:rsidRPr="00FA0C80">
        <w:rPr>
          <w:spacing w:val="21"/>
          <w:lang w:val="en-US"/>
        </w:rPr>
        <w:t xml:space="preserve"> </w:t>
      </w:r>
      <w:r w:rsidRPr="00FA0C80">
        <w:rPr>
          <w:lang w:val="en-US"/>
        </w:rPr>
        <w:t>upon</w:t>
      </w:r>
      <w:r w:rsidRPr="00FA0C80">
        <w:rPr>
          <w:spacing w:val="42"/>
          <w:lang w:val="en-US"/>
        </w:rPr>
        <w:t xml:space="preserve"> </w:t>
      </w:r>
      <w:r w:rsidRPr="00FA0C80">
        <w:rPr>
          <w:lang w:val="en-US"/>
        </w:rPr>
        <w:t>her</w:t>
      </w:r>
      <w:r w:rsidRPr="00FA0C80">
        <w:rPr>
          <w:spacing w:val="19"/>
          <w:lang w:val="en-US"/>
        </w:rPr>
        <w:t xml:space="preserve"> </w:t>
      </w:r>
      <w:r w:rsidRPr="00FA0C80">
        <w:rPr>
          <w:lang w:val="en-US"/>
        </w:rPr>
        <w:t>Honour</w:t>
      </w:r>
      <w:r w:rsidR="00D02222">
        <w:rPr>
          <w:spacing w:val="-25"/>
          <w:lang w:val="en-US"/>
        </w:rPr>
        <w:t>’</w:t>
      </w:r>
      <w:r w:rsidRPr="00FA0C80">
        <w:rPr>
          <w:w w:val="110"/>
          <w:lang w:val="en-US"/>
        </w:rPr>
        <w:t>s</w:t>
      </w:r>
      <w:r w:rsidRPr="00FA0C80">
        <w:rPr>
          <w:spacing w:val="4"/>
          <w:w w:val="110"/>
          <w:lang w:val="en-US"/>
        </w:rPr>
        <w:t xml:space="preserve"> </w:t>
      </w:r>
      <w:r w:rsidRPr="00FA0C80">
        <w:rPr>
          <w:lang w:val="en-US"/>
        </w:rPr>
        <w:t>interpretation</w:t>
      </w:r>
      <w:r w:rsidRPr="00FA0C80">
        <w:rPr>
          <w:spacing w:val="52"/>
          <w:lang w:val="en-US"/>
        </w:rPr>
        <w:t xml:space="preserve"> </w:t>
      </w:r>
      <w:r w:rsidRPr="00FA0C80">
        <w:rPr>
          <w:lang w:val="en-US"/>
        </w:rPr>
        <w:t>of</w:t>
      </w:r>
      <w:r w:rsidRPr="00FA0C80">
        <w:rPr>
          <w:w w:val="104"/>
          <w:lang w:val="en-US"/>
        </w:rPr>
        <w:t xml:space="preserve"> </w:t>
      </w:r>
      <w:r w:rsidRPr="00FA0C80">
        <w:rPr>
          <w:lang w:val="en-US"/>
        </w:rPr>
        <w:t>the</w:t>
      </w:r>
      <w:r w:rsidRPr="00FA0C80">
        <w:rPr>
          <w:spacing w:val="18"/>
          <w:lang w:val="en-US"/>
        </w:rPr>
        <w:t xml:space="preserve"> </w:t>
      </w:r>
      <w:r w:rsidRPr="00FA0C80">
        <w:rPr>
          <w:lang w:val="en-US"/>
        </w:rPr>
        <w:t>cases</w:t>
      </w:r>
      <w:r w:rsidRPr="00FA0C80">
        <w:rPr>
          <w:spacing w:val="14"/>
          <w:lang w:val="en-US"/>
        </w:rPr>
        <w:t xml:space="preserve"> </w:t>
      </w:r>
      <w:r w:rsidRPr="00FA0C80">
        <w:rPr>
          <w:lang w:val="en-US"/>
        </w:rPr>
        <w:t>of</w:t>
      </w:r>
      <w:r w:rsidRPr="00FA0C80">
        <w:rPr>
          <w:spacing w:val="1"/>
          <w:lang w:val="en-US"/>
        </w:rPr>
        <w:t xml:space="preserve"> </w:t>
      </w:r>
      <w:r w:rsidRPr="00FA0C80">
        <w:rPr>
          <w:i/>
          <w:lang w:val="en-US"/>
        </w:rPr>
        <w:t>Lu</w:t>
      </w:r>
      <w:r w:rsidR="00FA0C80">
        <w:rPr>
          <w:i/>
          <w:lang w:val="en-US"/>
        </w:rPr>
        <w:t xml:space="preserve"> </w:t>
      </w:r>
      <w:r w:rsidRPr="00FA0C80">
        <w:rPr>
          <w:i/>
          <w:lang w:val="en-US"/>
        </w:rPr>
        <w:t>v</w:t>
      </w:r>
      <w:r w:rsidR="00FA0C80">
        <w:rPr>
          <w:i/>
          <w:spacing w:val="-6"/>
          <w:lang w:val="en-US"/>
        </w:rPr>
        <w:t xml:space="preserve"> </w:t>
      </w:r>
      <w:r w:rsidRPr="00FA0C80">
        <w:rPr>
          <w:i/>
          <w:lang w:val="en-US"/>
        </w:rPr>
        <w:t>Minister</w:t>
      </w:r>
      <w:r w:rsidRPr="00FA0C80">
        <w:rPr>
          <w:i/>
          <w:spacing w:val="-26"/>
          <w:lang w:val="en-US"/>
        </w:rPr>
        <w:t xml:space="preserve"> </w:t>
      </w:r>
      <w:r w:rsidRPr="00FA0C80">
        <w:rPr>
          <w:i/>
          <w:lang w:val="en-US"/>
        </w:rPr>
        <w:t>for Immigration</w:t>
      </w:r>
      <w:r w:rsidRPr="00FA0C80">
        <w:rPr>
          <w:i/>
          <w:spacing w:val="50"/>
          <w:lang w:val="en-US"/>
        </w:rPr>
        <w:t xml:space="preserve"> </w:t>
      </w:r>
      <w:r w:rsidRPr="00FA0C80">
        <w:rPr>
          <w:i/>
          <w:lang w:val="en-US"/>
        </w:rPr>
        <w:t>and</w:t>
      </w:r>
      <w:r w:rsidRPr="00FA0C80">
        <w:rPr>
          <w:i/>
          <w:spacing w:val="20"/>
          <w:lang w:val="en-US"/>
        </w:rPr>
        <w:t xml:space="preserve"> </w:t>
      </w:r>
      <w:r w:rsidRPr="00FA0C80">
        <w:rPr>
          <w:i/>
          <w:lang w:val="en-US"/>
        </w:rPr>
        <w:t>Multicultural</w:t>
      </w:r>
      <w:r w:rsidRPr="00FA0C80">
        <w:rPr>
          <w:i/>
          <w:spacing w:val="33"/>
          <w:lang w:val="en-US"/>
        </w:rPr>
        <w:t xml:space="preserve"> </w:t>
      </w:r>
      <w:r w:rsidRPr="00FA0C80">
        <w:rPr>
          <w:i/>
          <w:lang w:val="en-US"/>
        </w:rPr>
        <w:t>and</w:t>
      </w:r>
      <w:r w:rsidRPr="00FA0C80">
        <w:rPr>
          <w:i/>
          <w:spacing w:val="8"/>
          <w:lang w:val="en-US"/>
        </w:rPr>
        <w:t xml:space="preserve"> </w:t>
      </w:r>
      <w:r w:rsidRPr="00FA0C80">
        <w:rPr>
          <w:i/>
          <w:lang w:val="en-US"/>
        </w:rPr>
        <w:t>Indigenous</w:t>
      </w:r>
      <w:r w:rsidRPr="00FA0C80">
        <w:rPr>
          <w:i/>
          <w:spacing w:val="18"/>
          <w:lang w:val="en-US"/>
        </w:rPr>
        <w:t xml:space="preserve"> </w:t>
      </w:r>
      <w:r w:rsidRPr="00FA0C80">
        <w:rPr>
          <w:i/>
          <w:lang w:val="en-US"/>
        </w:rPr>
        <w:t>Affairs</w:t>
      </w:r>
      <w:r w:rsidRPr="00FA0C80">
        <w:rPr>
          <w:i/>
          <w:spacing w:val="43"/>
          <w:lang w:val="en-US"/>
        </w:rPr>
        <w:t xml:space="preserve"> </w:t>
      </w:r>
      <w:r w:rsidRPr="00FA0C80">
        <w:rPr>
          <w:lang w:val="en-US"/>
        </w:rPr>
        <w:t>(2004)</w:t>
      </w:r>
      <w:r w:rsidRPr="00FA0C80">
        <w:rPr>
          <w:spacing w:val="46"/>
          <w:lang w:val="en-US"/>
        </w:rPr>
        <w:t xml:space="preserve"> </w:t>
      </w:r>
      <w:r w:rsidRPr="00FA0C80">
        <w:rPr>
          <w:lang w:val="en-US"/>
        </w:rPr>
        <w:t>141 FCR</w:t>
      </w:r>
      <w:r w:rsidRPr="00FA0C80">
        <w:rPr>
          <w:spacing w:val="20"/>
          <w:lang w:val="en-US"/>
        </w:rPr>
        <w:t xml:space="preserve"> </w:t>
      </w:r>
      <w:r w:rsidRPr="00FA0C80">
        <w:rPr>
          <w:lang w:val="en-US"/>
        </w:rPr>
        <w:t>346</w:t>
      </w:r>
      <w:r w:rsidRPr="00FA0C80">
        <w:rPr>
          <w:spacing w:val="10"/>
          <w:lang w:val="en-US"/>
        </w:rPr>
        <w:t xml:space="preserve"> </w:t>
      </w:r>
      <w:r w:rsidRPr="00FA0C80">
        <w:rPr>
          <w:lang w:val="en-US"/>
        </w:rPr>
        <w:t>and</w:t>
      </w:r>
      <w:r w:rsidRPr="00FA0C80">
        <w:rPr>
          <w:spacing w:val="15"/>
          <w:lang w:val="en-US"/>
        </w:rPr>
        <w:t xml:space="preserve"> </w:t>
      </w:r>
      <w:r w:rsidRPr="00FA0C80">
        <w:rPr>
          <w:i/>
          <w:lang w:val="en-US"/>
        </w:rPr>
        <w:t>Ruatita</w:t>
      </w:r>
      <w:r w:rsidRPr="00FA0C80">
        <w:rPr>
          <w:i/>
          <w:spacing w:val="44"/>
          <w:lang w:val="en-US"/>
        </w:rPr>
        <w:t xml:space="preserve"> </w:t>
      </w:r>
      <w:r w:rsidRPr="00FA0C80">
        <w:rPr>
          <w:i/>
          <w:lang w:val="en-US"/>
        </w:rPr>
        <w:t>v</w:t>
      </w:r>
      <w:r w:rsidRPr="00FA0C80">
        <w:rPr>
          <w:i/>
          <w:spacing w:val="-6"/>
          <w:lang w:val="en-US"/>
        </w:rPr>
        <w:t xml:space="preserve"> </w:t>
      </w:r>
      <w:r w:rsidRPr="00FA0C80">
        <w:rPr>
          <w:i/>
          <w:lang w:val="en-US"/>
        </w:rPr>
        <w:t>Minister</w:t>
      </w:r>
      <w:r w:rsidRPr="00FA0C80">
        <w:rPr>
          <w:i/>
          <w:spacing w:val="-25"/>
          <w:lang w:val="en-US"/>
        </w:rPr>
        <w:t xml:space="preserve"> </w:t>
      </w:r>
      <w:r w:rsidRPr="00FA0C80">
        <w:rPr>
          <w:i/>
          <w:lang w:val="en-US"/>
        </w:rPr>
        <w:t>for</w:t>
      </w:r>
      <w:r w:rsidRPr="00FA0C80">
        <w:rPr>
          <w:i/>
          <w:spacing w:val="45"/>
          <w:lang w:val="en-US"/>
        </w:rPr>
        <w:t xml:space="preserve"> </w:t>
      </w:r>
      <w:r w:rsidRPr="00FA0C80">
        <w:rPr>
          <w:i/>
          <w:lang w:val="en-US"/>
        </w:rPr>
        <w:t>Immigration</w:t>
      </w:r>
      <w:r w:rsidRPr="00FA0C80">
        <w:rPr>
          <w:i/>
          <w:spacing w:val="51"/>
          <w:lang w:val="en-US"/>
        </w:rPr>
        <w:t xml:space="preserve"> </w:t>
      </w:r>
      <w:r w:rsidRPr="00FA0C80">
        <w:rPr>
          <w:i/>
          <w:lang w:val="en-US"/>
        </w:rPr>
        <w:t>and</w:t>
      </w:r>
      <w:r w:rsidRPr="00FA0C80">
        <w:rPr>
          <w:i/>
          <w:spacing w:val="37"/>
          <w:lang w:val="en-US"/>
        </w:rPr>
        <w:t xml:space="preserve"> </w:t>
      </w:r>
      <w:r w:rsidRPr="00FA0C80">
        <w:rPr>
          <w:i/>
          <w:lang w:val="en-US"/>
        </w:rPr>
        <w:t>Citizenship</w:t>
      </w:r>
      <w:r w:rsidRPr="00FA0C80">
        <w:rPr>
          <w:i/>
          <w:spacing w:val="28"/>
          <w:lang w:val="en-US"/>
        </w:rPr>
        <w:t xml:space="preserve"> </w:t>
      </w:r>
      <w:r w:rsidRPr="00FA0C80">
        <w:rPr>
          <w:lang w:val="en-US"/>
        </w:rPr>
        <w:t>(2013)</w:t>
      </w:r>
      <w:r w:rsidRPr="00FA0C80">
        <w:rPr>
          <w:spacing w:val="12"/>
          <w:lang w:val="en-US"/>
        </w:rPr>
        <w:t xml:space="preserve"> </w:t>
      </w:r>
      <w:r w:rsidRPr="00FA0C80">
        <w:rPr>
          <w:lang w:val="en-US"/>
        </w:rPr>
        <w:t>212</w:t>
      </w:r>
      <w:r w:rsidRPr="00FA0C80">
        <w:rPr>
          <w:spacing w:val="7"/>
          <w:lang w:val="en-US"/>
        </w:rPr>
        <w:t xml:space="preserve"> </w:t>
      </w:r>
      <w:r w:rsidRPr="00FA0C80">
        <w:rPr>
          <w:lang w:val="en-US"/>
        </w:rPr>
        <w:t>FCR</w:t>
      </w:r>
      <w:r w:rsidRPr="00FA0C80">
        <w:rPr>
          <w:spacing w:val="21"/>
          <w:lang w:val="en-US"/>
        </w:rPr>
        <w:t xml:space="preserve"> </w:t>
      </w:r>
      <w:r w:rsidRPr="00FA0C80">
        <w:rPr>
          <w:lang w:val="en-US"/>
        </w:rPr>
        <w:t>362</w:t>
      </w:r>
      <w:r w:rsidRPr="00FA0C80">
        <w:rPr>
          <w:spacing w:val="7"/>
          <w:lang w:val="en-US"/>
        </w:rPr>
        <w:t xml:space="preserve"> </w:t>
      </w:r>
      <w:r w:rsidRPr="00FA0C80">
        <w:rPr>
          <w:lang w:val="en-US"/>
        </w:rPr>
        <w:t>without</w:t>
      </w:r>
      <w:r w:rsidRPr="00FA0C80">
        <w:rPr>
          <w:w w:val="99"/>
          <w:lang w:val="en-US"/>
        </w:rPr>
        <w:t xml:space="preserve"> </w:t>
      </w:r>
      <w:r w:rsidRPr="00FA0C80">
        <w:rPr>
          <w:lang w:val="en-US"/>
        </w:rPr>
        <w:t>giving</w:t>
      </w:r>
      <w:r w:rsidRPr="00FA0C80">
        <w:rPr>
          <w:spacing w:val="17"/>
          <w:lang w:val="en-US"/>
        </w:rPr>
        <w:t xml:space="preserve"> </w:t>
      </w:r>
      <w:r w:rsidRPr="00FA0C80">
        <w:rPr>
          <w:lang w:val="en-US"/>
        </w:rPr>
        <w:t>the</w:t>
      </w:r>
      <w:r w:rsidRPr="00FA0C80">
        <w:rPr>
          <w:spacing w:val="12"/>
          <w:lang w:val="en-US"/>
        </w:rPr>
        <w:t xml:space="preserve"> </w:t>
      </w:r>
      <w:r w:rsidRPr="00FA0C80">
        <w:rPr>
          <w:lang w:val="en-US"/>
        </w:rPr>
        <w:t>parties</w:t>
      </w:r>
      <w:r w:rsidRPr="00FA0C80">
        <w:rPr>
          <w:spacing w:val="20"/>
          <w:lang w:val="en-US"/>
        </w:rPr>
        <w:t xml:space="preserve"> </w:t>
      </w:r>
      <w:r w:rsidRPr="00FA0C80">
        <w:rPr>
          <w:lang w:val="en-US"/>
        </w:rPr>
        <w:t>the</w:t>
      </w:r>
      <w:r w:rsidRPr="00FA0C80">
        <w:rPr>
          <w:spacing w:val="21"/>
          <w:lang w:val="en-US"/>
        </w:rPr>
        <w:t xml:space="preserve"> </w:t>
      </w:r>
      <w:r w:rsidRPr="00FA0C80">
        <w:rPr>
          <w:lang w:val="en-US"/>
        </w:rPr>
        <w:t>opportunity</w:t>
      </w:r>
      <w:r w:rsidRPr="00FA0C80">
        <w:rPr>
          <w:spacing w:val="30"/>
          <w:lang w:val="en-US"/>
        </w:rPr>
        <w:t xml:space="preserve"> </w:t>
      </w:r>
      <w:r w:rsidRPr="00FA0C80">
        <w:rPr>
          <w:lang w:val="en-US"/>
        </w:rPr>
        <w:t>to</w:t>
      </w:r>
      <w:r w:rsidRPr="00FA0C80">
        <w:rPr>
          <w:spacing w:val="8"/>
          <w:lang w:val="en-US"/>
        </w:rPr>
        <w:t xml:space="preserve"> </w:t>
      </w:r>
      <w:r w:rsidRPr="00FA0C80">
        <w:rPr>
          <w:lang w:val="en-US"/>
        </w:rPr>
        <w:t>make</w:t>
      </w:r>
      <w:r w:rsidRPr="00FA0C80">
        <w:rPr>
          <w:spacing w:val="35"/>
          <w:lang w:val="en-US"/>
        </w:rPr>
        <w:t xml:space="preserve"> </w:t>
      </w:r>
      <w:r w:rsidRPr="00FA0C80">
        <w:rPr>
          <w:lang w:val="en-US"/>
        </w:rPr>
        <w:t>submissions</w:t>
      </w:r>
      <w:r w:rsidRPr="00FA0C80">
        <w:rPr>
          <w:spacing w:val="21"/>
          <w:lang w:val="en-US"/>
        </w:rPr>
        <w:t xml:space="preserve"> </w:t>
      </w:r>
      <w:r w:rsidRPr="00FA0C80">
        <w:rPr>
          <w:lang w:val="en-US"/>
        </w:rPr>
        <w:t>as</w:t>
      </w:r>
      <w:r w:rsidRPr="00FA0C80">
        <w:rPr>
          <w:spacing w:val="2"/>
          <w:lang w:val="en-US"/>
        </w:rPr>
        <w:t xml:space="preserve"> </w:t>
      </w:r>
      <w:r w:rsidRPr="00FA0C80">
        <w:rPr>
          <w:lang w:val="en-US"/>
        </w:rPr>
        <w:t>to</w:t>
      </w:r>
      <w:r w:rsidRPr="00FA0C80">
        <w:rPr>
          <w:spacing w:val="17"/>
          <w:lang w:val="en-US"/>
        </w:rPr>
        <w:t xml:space="preserve"> </w:t>
      </w:r>
      <w:r w:rsidRPr="00FA0C80">
        <w:rPr>
          <w:lang w:val="en-US"/>
        </w:rPr>
        <w:t>either</w:t>
      </w:r>
      <w:r w:rsidRPr="00FA0C80">
        <w:rPr>
          <w:spacing w:val="10"/>
          <w:lang w:val="en-US"/>
        </w:rPr>
        <w:t xml:space="preserve"> </w:t>
      </w:r>
      <w:r w:rsidRPr="00FA0C80">
        <w:rPr>
          <w:lang w:val="en-US"/>
        </w:rPr>
        <w:t>of</w:t>
      </w:r>
      <w:r w:rsidRPr="00FA0C80">
        <w:rPr>
          <w:spacing w:val="22"/>
          <w:lang w:val="en-US"/>
        </w:rPr>
        <w:t xml:space="preserve"> </w:t>
      </w:r>
      <w:r w:rsidRPr="00FA0C80">
        <w:rPr>
          <w:lang w:val="en-US"/>
        </w:rPr>
        <w:t>these</w:t>
      </w:r>
      <w:r w:rsidRPr="00FA0C80">
        <w:rPr>
          <w:spacing w:val="15"/>
          <w:lang w:val="en-US"/>
        </w:rPr>
        <w:t xml:space="preserve"> </w:t>
      </w:r>
      <w:r w:rsidRPr="00FA0C80">
        <w:rPr>
          <w:lang w:val="en-US"/>
        </w:rPr>
        <w:t>cases,</w:t>
      </w:r>
      <w:r w:rsidRPr="00FA0C80">
        <w:rPr>
          <w:spacing w:val="13"/>
          <w:lang w:val="en-US"/>
        </w:rPr>
        <w:t xml:space="preserve"> </w:t>
      </w:r>
      <w:r w:rsidRPr="00FA0C80">
        <w:rPr>
          <w:lang w:val="en-US"/>
        </w:rPr>
        <w:t>neither</w:t>
      </w:r>
      <w:r w:rsidRPr="00FA0C80">
        <w:rPr>
          <w:spacing w:val="21"/>
          <w:lang w:val="en-US"/>
        </w:rPr>
        <w:t xml:space="preserve"> </w:t>
      </w:r>
      <w:r w:rsidRPr="00FA0C80">
        <w:rPr>
          <w:lang w:val="en-US"/>
        </w:rPr>
        <w:t>of</w:t>
      </w:r>
      <w:r w:rsidRPr="00FA0C80">
        <w:rPr>
          <w:w w:val="104"/>
          <w:lang w:val="en-US"/>
        </w:rPr>
        <w:t xml:space="preserve"> </w:t>
      </w:r>
      <w:r w:rsidRPr="00FA0C80">
        <w:rPr>
          <w:lang w:val="en-US"/>
        </w:rPr>
        <w:t>which</w:t>
      </w:r>
      <w:r w:rsidRPr="00FA0C80">
        <w:rPr>
          <w:spacing w:val="25"/>
          <w:lang w:val="en-US"/>
        </w:rPr>
        <w:t xml:space="preserve"> </w:t>
      </w:r>
      <w:r w:rsidRPr="00FA0C80">
        <w:rPr>
          <w:lang w:val="en-US"/>
        </w:rPr>
        <w:t>were</w:t>
      </w:r>
      <w:r w:rsidRPr="00FA0C80">
        <w:rPr>
          <w:spacing w:val="17"/>
          <w:lang w:val="en-US"/>
        </w:rPr>
        <w:t xml:space="preserve"> </w:t>
      </w:r>
      <w:r w:rsidRPr="00FA0C80">
        <w:rPr>
          <w:lang w:val="en-US"/>
        </w:rPr>
        <w:t>referred</w:t>
      </w:r>
      <w:r w:rsidRPr="00FA0C80">
        <w:rPr>
          <w:spacing w:val="34"/>
          <w:lang w:val="en-US"/>
        </w:rPr>
        <w:t xml:space="preserve"> </w:t>
      </w:r>
      <w:r w:rsidRPr="00FA0C80">
        <w:rPr>
          <w:lang w:val="en-US"/>
        </w:rPr>
        <w:t>to</w:t>
      </w:r>
      <w:r w:rsidRPr="00FA0C80">
        <w:rPr>
          <w:spacing w:val="19"/>
          <w:lang w:val="en-US"/>
        </w:rPr>
        <w:t xml:space="preserve"> </w:t>
      </w:r>
      <w:r w:rsidRPr="00FA0C80">
        <w:rPr>
          <w:lang w:val="en-US"/>
        </w:rPr>
        <w:t>in</w:t>
      </w:r>
      <w:r w:rsidRPr="00FA0C80">
        <w:rPr>
          <w:spacing w:val="13"/>
          <w:lang w:val="en-US"/>
        </w:rPr>
        <w:t xml:space="preserve"> </w:t>
      </w:r>
      <w:r w:rsidRPr="00FA0C80">
        <w:rPr>
          <w:lang w:val="en-US"/>
        </w:rPr>
        <w:t>written</w:t>
      </w:r>
      <w:r w:rsidRPr="00FA0C80">
        <w:rPr>
          <w:spacing w:val="28"/>
          <w:lang w:val="en-US"/>
        </w:rPr>
        <w:t xml:space="preserve"> </w:t>
      </w:r>
      <w:r w:rsidRPr="00FA0C80">
        <w:rPr>
          <w:lang w:val="en-US"/>
        </w:rPr>
        <w:t>or</w:t>
      </w:r>
      <w:r w:rsidRPr="00FA0C80">
        <w:rPr>
          <w:spacing w:val="4"/>
          <w:lang w:val="en-US"/>
        </w:rPr>
        <w:t xml:space="preserve"> </w:t>
      </w:r>
      <w:r w:rsidRPr="00FA0C80">
        <w:rPr>
          <w:lang w:val="en-US"/>
        </w:rPr>
        <w:t>oral</w:t>
      </w:r>
      <w:r w:rsidRPr="00FA0C80">
        <w:rPr>
          <w:spacing w:val="9"/>
          <w:lang w:val="en-US"/>
        </w:rPr>
        <w:t xml:space="preserve"> </w:t>
      </w:r>
      <w:r w:rsidRPr="00FA0C80">
        <w:rPr>
          <w:lang w:val="en-US"/>
        </w:rPr>
        <w:t>submissions,</w:t>
      </w:r>
      <w:r w:rsidRPr="00FA0C80">
        <w:rPr>
          <w:spacing w:val="35"/>
          <w:lang w:val="en-US"/>
        </w:rPr>
        <w:t xml:space="preserve"> </w:t>
      </w:r>
      <w:r w:rsidRPr="00FA0C80">
        <w:rPr>
          <w:lang w:val="en-US"/>
        </w:rPr>
        <w:t>or</w:t>
      </w:r>
      <w:r w:rsidRPr="00FA0C80">
        <w:rPr>
          <w:spacing w:val="7"/>
          <w:lang w:val="en-US"/>
        </w:rPr>
        <w:t xml:space="preserve"> </w:t>
      </w:r>
      <w:r w:rsidRPr="00FA0C80">
        <w:rPr>
          <w:lang w:val="en-US"/>
        </w:rPr>
        <w:t>during</w:t>
      </w:r>
      <w:r w:rsidRPr="00FA0C80">
        <w:rPr>
          <w:spacing w:val="17"/>
          <w:lang w:val="en-US"/>
        </w:rPr>
        <w:t xml:space="preserve"> </w:t>
      </w:r>
      <w:r w:rsidRPr="00FA0C80">
        <w:rPr>
          <w:lang w:val="en-US"/>
        </w:rPr>
        <w:t>the</w:t>
      </w:r>
      <w:r w:rsidRPr="00FA0C80">
        <w:rPr>
          <w:spacing w:val="14"/>
          <w:lang w:val="en-US"/>
        </w:rPr>
        <w:t xml:space="preserve"> </w:t>
      </w:r>
      <w:r w:rsidRPr="00FA0C80">
        <w:rPr>
          <w:lang w:val="en-US"/>
        </w:rPr>
        <w:t>course</w:t>
      </w:r>
      <w:r w:rsidRPr="00FA0C80">
        <w:rPr>
          <w:spacing w:val="11"/>
          <w:lang w:val="en-US"/>
        </w:rPr>
        <w:t xml:space="preserve"> </w:t>
      </w:r>
      <w:r w:rsidRPr="00FA0C80">
        <w:rPr>
          <w:lang w:val="en-US"/>
        </w:rPr>
        <w:t>of</w:t>
      </w:r>
      <w:r w:rsidRPr="00FA0C80">
        <w:rPr>
          <w:spacing w:val="12"/>
          <w:lang w:val="en-US"/>
        </w:rPr>
        <w:t xml:space="preserve"> </w:t>
      </w:r>
      <w:r w:rsidRPr="00FA0C80">
        <w:rPr>
          <w:lang w:val="en-US"/>
        </w:rPr>
        <w:t>the</w:t>
      </w:r>
      <w:r w:rsidRPr="00FA0C80">
        <w:rPr>
          <w:spacing w:val="14"/>
          <w:lang w:val="en-US"/>
        </w:rPr>
        <w:t xml:space="preserve"> </w:t>
      </w:r>
      <w:r w:rsidRPr="00FA0C80">
        <w:rPr>
          <w:lang w:val="en-US"/>
        </w:rPr>
        <w:t>hearing.</w:t>
      </w:r>
      <w:r w:rsidRPr="00FA0C80">
        <w:rPr>
          <w:spacing w:val="31"/>
          <w:lang w:val="en-US"/>
        </w:rPr>
        <w:t xml:space="preserve"> </w:t>
      </w:r>
      <w:r w:rsidRPr="00FA0C80">
        <w:rPr>
          <w:rFonts w:eastAsia="Arial"/>
          <w:lang w:val="en-US"/>
        </w:rPr>
        <w:t>In</w:t>
      </w:r>
      <w:r w:rsidRPr="00FA0C80">
        <w:rPr>
          <w:rFonts w:eastAsia="Arial"/>
          <w:spacing w:val="-23"/>
          <w:lang w:val="en-US"/>
        </w:rPr>
        <w:t xml:space="preserve"> </w:t>
      </w:r>
      <w:r w:rsidRPr="00FA0C80">
        <w:rPr>
          <w:spacing w:val="-1"/>
          <w:lang w:val="en-US"/>
        </w:rPr>
        <w:t>t</w:t>
      </w:r>
      <w:r w:rsidRPr="00FA0C80">
        <w:rPr>
          <w:lang w:val="en-US"/>
        </w:rPr>
        <w:t>he</w:t>
      </w:r>
      <w:r w:rsidRPr="00FA0C80">
        <w:rPr>
          <w:w w:val="102"/>
          <w:lang w:val="en-US"/>
        </w:rPr>
        <w:t xml:space="preserve"> </w:t>
      </w:r>
      <w:r w:rsidRPr="00FA0C80">
        <w:rPr>
          <w:lang w:val="en-US"/>
        </w:rPr>
        <w:t>circumstances,</w:t>
      </w:r>
      <w:r w:rsidRPr="00FA0C80">
        <w:rPr>
          <w:spacing w:val="19"/>
          <w:lang w:val="en-US"/>
        </w:rPr>
        <w:t xml:space="preserve"> </w:t>
      </w:r>
      <w:r w:rsidRPr="00FA0C80">
        <w:rPr>
          <w:lang w:val="en-US"/>
        </w:rPr>
        <w:t>this</w:t>
      </w:r>
      <w:r w:rsidRPr="00FA0C80">
        <w:rPr>
          <w:spacing w:val="10"/>
          <w:lang w:val="en-US"/>
        </w:rPr>
        <w:t xml:space="preserve"> </w:t>
      </w:r>
      <w:r w:rsidRPr="00FA0C80">
        <w:rPr>
          <w:lang w:val="en-US"/>
        </w:rPr>
        <w:t>was</w:t>
      </w:r>
      <w:r w:rsidRPr="00FA0C80">
        <w:rPr>
          <w:spacing w:val="10"/>
          <w:lang w:val="en-US"/>
        </w:rPr>
        <w:t xml:space="preserve"> </w:t>
      </w:r>
      <w:r w:rsidRPr="00FA0C80">
        <w:rPr>
          <w:lang w:val="en-US"/>
        </w:rPr>
        <w:t>a</w:t>
      </w:r>
      <w:r w:rsidRPr="00FA0C80">
        <w:rPr>
          <w:spacing w:val="26"/>
          <w:lang w:val="en-US"/>
        </w:rPr>
        <w:t xml:space="preserve"> </w:t>
      </w:r>
      <w:r w:rsidRPr="00FA0C80">
        <w:rPr>
          <w:lang w:val="en-US"/>
        </w:rPr>
        <w:t>denial</w:t>
      </w:r>
      <w:r w:rsidRPr="00FA0C80">
        <w:rPr>
          <w:spacing w:val="20"/>
          <w:lang w:val="en-US"/>
        </w:rPr>
        <w:t xml:space="preserve"> </w:t>
      </w:r>
      <w:r w:rsidRPr="00FA0C80">
        <w:rPr>
          <w:lang w:val="en-US"/>
        </w:rPr>
        <w:t>of</w:t>
      </w:r>
      <w:r w:rsidRPr="00FA0C80">
        <w:rPr>
          <w:spacing w:val="12"/>
          <w:lang w:val="en-US"/>
        </w:rPr>
        <w:t xml:space="preserve"> </w:t>
      </w:r>
      <w:r w:rsidRPr="00FA0C80">
        <w:rPr>
          <w:lang w:val="en-US"/>
        </w:rPr>
        <w:t>procedural</w:t>
      </w:r>
      <w:r w:rsidRPr="00FA0C80">
        <w:rPr>
          <w:spacing w:val="46"/>
          <w:lang w:val="en-US"/>
        </w:rPr>
        <w:t xml:space="preserve"> </w:t>
      </w:r>
      <w:r w:rsidRPr="00FA0C80">
        <w:rPr>
          <w:lang w:val="en-US"/>
        </w:rPr>
        <w:t>fairness.</w:t>
      </w:r>
    </w:p>
    <w:p w:rsidR="00504BC9" w:rsidRPr="00FA0C80" w:rsidRDefault="00C71321" w:rsidP="00BE4876">
      <w:pPr>
        <w:pStyle w:val="Quote1"/>
        <w:ind w:left="1440" w:hanging="703"/>
        <w:rPr>
          <w:lang w:val="en-US"/>
        </w:rPr>
      </w:pPr>
      <w:r>
        <w:rPr>
          <w:lang w:val="en-US"/>
        </w:rPr>
        <w:t>4.</w:t>
      </w:r>
      <w:r>
        <w:rPr>
          <w:lang w:val="en-US"/>
        </w:rPr>
        <w:tab/>
      </w:r>
      <w:r w:rsidR="00504BC9" w:rsidRPr="00FA0C80">
        <w:rPr>
          <w:lang w:val="en-US"/>
        </w:rPr>
        <w:t>The [primary judge] erred</w:t>
      </w:r>
      <w:r w:rsidR="00504BC9" w:rsidRPr="00FA0C80">
        <w:rPr>
          <w:spacing w:val="28"/>
          <w:lang w:val="en-US"/>
        </w:rPr>
        <w:t xml:space="preserve"> </w:t>
      </w:r>
      <w:r w:rsidR="00504BC9" w:rsidRPr="00FA0C80">
        <w:rPr>
          <w:lang w:val="en-US"/>
        </w:rPr>
        <w:t>(Judgment</w:t>
      </w:r>
      <w:r w:rsidR="00504BC9" w:rsidRPr="00FA0C80">
        <w:rPr>
          <w:spacing w:val="25"/>
          <w:lang w:val="en-US"/>
        </w:rPr>
        <w:t xml:space="preserve"> </w:t>
      </w:r>
      <w:r w:rsidR="00504BC9" w:rsidRPr="00FA0C80">
        <w:rPr>
          <w:lang w:val="en-US"/>
        </w:rPr>
        <w:t>at</w:t>
      </w:r>
      <w:r w:rsidR="00504BC9" w:rsidRPr="00FA0C80">
        <w:rPr>
          <w:spacing w:val="20"/>
          <w:lang w:val="en-US"/>
        </w:rPr>
        <w:t xml:space="preserve"> </w:t>
      </w:r>
      <w:r w:rsidR="00504BC9" w:rsidRPr="00FA0C80">
        <w:rPr>
          <w:lang w:val="en-US"/>
        </w:rPr>
        <w:t>[79]</w:t>
      </w:r>
      <w:r w:rsidR="00504BC9" w:rsidRPr="00FA0C80">
        <w:rPr>
          <w:spacing w:val="-1"/>
          <w:lang w:val="en-US"/>
        </w:rPr>
        <w:t xml:space="preserve"> </w:t>
      </w:r>
      <w:r w:rsidR="00504BC9" w:rsidRPr="00FA0C80">
        <w:rPr>
          <w:lang w:val="en-US"/>
        </w:rPr>
        <w:t>and</w:t>
      </w:r>
      <w:r w:rsidR="00504BC9" w:rsidRPr="00FA0C80">
        <w:rPr>
          <w:spacing w:val="34"/>
          <w:lang w:val="en-US"/>
        </w:rPr>
        <w:t xml:space="preserve"> </w:t>
      </w:r>
      <w:r w:rsidR="00504BC9" w:rsidRPr="00FA0C80">
        <w:rPr>
          <w:lang w:val="en-US"/>
        </w:rPr>
        <w:t>[87]) in</w:t>
      </w:r>
      <w:r w:rsidR="00504BC9" w:rsidRPr="00FA0C80">
        <w:rPr>
          <w:spacing w:val="21"/>
          <w:lang w:val="en-US"/>
        </w:rPr>
        <w:t xml:space="preserve"> </w:t>
      </w:r>
      <w:r w:rsidR="00504BC9" w:rsidRPr="00FA0C80">
        <w:rPr>
          <w:lang w:val="en-US"/>
        </w:rPr>
        <w:t>finding</w:t>
      </w:r>
      <w:r w:rsidR="00504BC9" w:rsidRPr="00FA0C80">
        <w:rPr>
          <w:spacing w:val="19"/>
          <w:lang w:val="en-US"/>
        </w:rPr>
        <w:t xml:space="preserve"> </w:t>
      </w:r>
      <w:r w:rsidR="00504BC9" w:rsidRPr="00FA0C80">
        <w:rPr>
          <w:lang w:val="en-US"/>
        </w:rPr>
        <w:t>that</w:t>
      </w:r>
      <w:r w:rsidR="00504BC9" w:rsidRPr="00FA0C80">
        <w:rPr>
          <w:spacing w:val="25"/>
          <w:lang w:val="en-US"/>
        </w:rPr>
        <w:t xml:space="preserve"> </w:t>
      </w:r>
      <w:r w:rsidR="00504BC9" w:rsidRPr="00FA0C80">
        <w:rPr>
          <w:lang w:val="en-US"/>
        </w:rPr>
        <w:t>the</w:t>
      </w:r>
      <w:r w:rsidR="00504BC9" w:rsidRPr="00FA0C80">
        <w:rPr>
          <w:spacing w:val="3"/>
          <w:lang w:val="en-US"/>
        </w:rPr>
        <w:t xml:space="preserve"> </w:t>
      </w:r>
      <w:r w:rsidR="00504BC9" w:rsidRPr="00FA0C80">
        <w:rPr>
          <w:lang w:val="en-US"/>
        </w:rPr>
        <w:t>Minister</w:t>
      </w:r>
      <w:r w:rsidR="00504BC9" w:rsidRPr="00FA0C80">
        <w:rPr>
          <w:spacing w:val="37"/>
          <w:lang w:val="en-US"/>
        </w:rPr>
        <w:t xml:space="preserve"> </w:t>
      </w:r>
      <w:r w:rsidR="00504BC9" w:rsidRPr="00FA0C80">
        <w:rPr>
          <w:lang w:val="en-US"/>
        </w:rPr>
        <w:t>failed</w:t>
      </w:r>
      <w:r w:rsidR="00504BC9" w:rsidRPr="00FA0C80">
        <w:rPr>
          <w:spacing w:val="28"/>
          <w:lang w:val="en-US"/>
        </w:rPr>
        <w:t xml:space="preserve"> </w:t>
      </w:r>
      <w:r w:rsidR="00504BC9" w:rsidRPr="00FA0C80">
        <w:rPr>
          <w:lang w:val="en-US"/>
        </w:rPr>
        <w:t>to</w:t>
      </w:r>
      <w:r w:rsidR="00504BC9" w:rsidRPr="00FA0C80">
        <w:rPr>
          <w:w w:val="99"/>
          <w:lang w:val="en-US"/>
        </w:rPr>
        <w:t xml:space="preserve"> </w:t>
      </w:r>
      <w:r w:rsidR="00504BC9" w:rsidRPr="00FA0C80">
        <w:rPr>
          <w:lang w:val="en-US"/>
        </w:rPr>
        <w:t>consider</w:t>
      </w:r>
      <w:r w:rsidR="00504BC9" w:rsidRPr="00FA0C80">
        <w:rPr>
          <w:spacing w:val="21"/>
          <w:lang w:val="en-US"/>
        </w:rPr>
        <w:t xml:space="preserve"> </w:t>
      </w:r>
      <w:r w:rsidR="00504BC9" w:rsidRPr="00FA0C80">
        <w:rPr>
          <w:lang w:val="en-US"/>
        </w:rPr>
        <w:t>a</w:t>
      </w:r>
      <w:r w:rsidR="00504BC9" w:rsidRPr="00FA0C80">
        <w:rPr>
          <w:spacing w:val="31"/>
          <w:lang w:val="en-US"/>
        </w:rPr>
        <w:t xml:space="preserve"> </w:t>
      </w:r>
      <w:r w:rsidR="00504BC9" w:rsidRPr="00FA0C80">
        <w:rPr>
          <w:lang w:val="en-US"/>
        </w:rPr>
        <w:t>relevant</w:t>
      </w:r>
      <w:r w:rsidR="00504BC9" w:rsidRPr="00FA0C80">
        <w:rPr>
          <w:spacing w:val="40"/>
          <w:lang w:val="en-US"/>
        </w:rPr>
        <w:t xml:space="preserve"> </w:t>
      </w:r>
      <w:r w:rsidR="00504BC9" w:rsidRPr="00FA0C80">
        <w:rPr>
          <w:lang w:val="en-US"/>
        </w:rPr>
        <w:t>consideration namely</w:t>
      </w:r>
      <w:r w:rsidR="00504BC9" w:rsidRPr="00FA0C80">
        <w:rPr>
          <w:spacing w:val="41"/>
          <w:lang w:val="en-US"/>
        </w:rPr>
        <w:t xml:space="preserve"> </w:t>
      </w:r>
      <w:r w:rsidR="00504BC9" w:rsidRPr="00FA0C80">
        <w:rPr>
          <w:lang w:val="en-US"/>
        </w:rPr>
        <w:t>an</w:t>
      </w:r>
      <w:r w:rsidR="00504BC9" w:rsidRPr="00FA0C80">
        <w:rPr>
          <w:spacing w:val="24"/>
          <w:lang w:val="en-US"/>
        </w:rPr>
        <w:t xml:space="preserve"> </w:t>
      </w:r>
      <w:r w:rsidR="00504BC9" w:rsidRPr="00FA0C80">
        <w:rPr>
          <w:lang w:val="en-US"/>
        </w:rPr>
        <w:t>accurate</w:t>
      </w:r>
      <w:r w:rsidR="00504BC9" w:rsidRPr="00FA0C80">
        <w:rPr>
          <w:spacing w:val="29"/>
          <w:lang w:val="en-US"/>
        </w:rPr>
        <w:t xml:space="preserve"> </w:t>
      </w:r>
      <w:r w:rsidR="00504BC9" w:rsidRPr="00FA0C80">
        <w:rPr>
          <w:lang w:val="en-US"/>
        </w:rPr>
        <w:t>history</w:t>
      </w:r>
      <w:r w:rsidR="00504BC9" w:rsidRPr="00FA0C80">
        <w:rPr>
          <w:spacing w:val="31"/>
          <w:lang w:val="en-US"/>
        </w:rPr>
        <w:t xml:space="preserve"> </w:t>
      </w:r>
      <w:r w:rsidR="00504BC9" w:rsidRPr="00FA0C80">
        <w:rPr>
          <w:lang w:val="en-US"/>
        </w:rPr>
        <w:t>of Mr</w:t>
      </w:r>
      <w:r w:rsidR="00504BC9" w:rsidRPr="00FA0C80">
        <w:rPr>
          <w:spacing w:val="12"/>
          <w:lang w:val="en-US"/>
        </w:rPr>
        <w:t xml:space="preserve"> </w:t>
      </w:r>
      <w:r w:rsidR="00FA0C80" w:rsidRPr="00FA0C80">
        <w:rPr>
          <w:lang w:val="en-US"/>
        </w:rPr>
        <w:t>Tesic</w:t>
      </w:r>
      <w:r w:rsidR="00D02222">
        <w:rPr>
          <w:lang w:val="en-US"/>
        </w:rPr>
        <w:t>’</w:t>
      </w:r>
      <w:r w:rsidR="00504BC9" w:rsidRPr="00FA0C80">
        <w:rPr>
          <w:lang w:val="en-US"/>
        </w:rPr>
        <w:t>s</w:t>
      </w:r>
      <w:r w:rsidR="00504BC9" w:rsidRPr="00FA0C80">
        <w:rPr>
          <w:spacing w:val="21"/>
          <w:lang w:val="en-US"/>
        </w:rPr>
        <w:t xml:space="preserve"> </w:t>
      </w:r>
      <w:r w:rsidR="00504BC9" w:rsidRPr="00FA0C80">
        <w:rPr>
          <w:lang w:val="en-US"/>
        </w:rPr>
        <w:t>criminal</w:t>
      </w:r>
      <w:r w:rsidR="00504BC9" w:rsidRPr="00FA0C80">
        <w:rPr>
          <w:spacing w:val="29"/>
          <w:lang w:val="en-US"/>
        </w:rPr>
        <w:t xml:space="preserve"> </w:t>
      </w:r>
      <w:r w:rsidR="00504BC9" w:rsidRPr="00FA0C80">
        <w:rPr>
          <w:lang w:val="en-US"/>
        </w:rPr>
        <w:t>activity.</w:t>
      </w:r>
      <w:r w:rsidR="00504BC9" w:rsidRPr="00FA0C80">
        <w:rPr>
          <w:spacing w:val="23"/>
          <w:lang w:val="en-US"/>
        </w:rPr>
        <w:t xml:space="preserve"> </w:t>
      </w:r>
      <w:r w:rsidR="00504BC9" w:rsidRPr="00FA0C80">
        <w:rPr>
          <w:lang w:val="en-US"/>
        </w:rPr>
        <w:t>Her</w:t>
      </w:r>
      <w:r w:rsidR="00504BC9" w:rsidRPr="00FA0C80">
        <w:rPr>
          <w:w w:val="102"/>
          <w:lang w:val="en-US"/>
        </w:rPr>
        <w:t xml:space="preserve"> </w:t>
      </w:r>
      <w:r w:rsidR="00504BC9" w:rsidRPr="00FA0C80">
        <w:rPr>
          <w:lang w:val="en-US"/>
        </w:rPr>
        <w:t>Honour</w:t>
      </w:r>
      <w:r w:rsidR="00504BC9" w:rsidRPr="00FA0C80">
        <w:rPr>
          <w:spacing w:val="28"/>
          <w:lang w:val="en-US"/>
        </w:rPr>
        <w:t xml:space="preserve"> </w:t>
      </w:r>
      <w:r w:rsidR="00504BC9" w:rsidRPr="00FA0C80">
        <w:rPr>
          <w:lang w:val="en-US"/>
        </w:rPr>
        <w:t>should</w:t>
      </w:r>
      <w:r w:rsidR="00504BC9" w:rsidRPr="00FA0C80">
        <w:rPr>
          <w:spacing w:val="17"/>
          <w:lang w:val="en-US"/>
        </w:rPr>
        <w:t xml:space="preserve"> </w:t>
      </w:r>
      <w:r w:rsidR="00504BC9" w:rsidRPr="00FA0C80">
        <w:rPr>
          <w:lang w:val="en-US"/>
        </w:rPr>
        <w:t>have</w:t>
      </w:r>
      <w:r w:rsidR="00504BC9" w:rsidRPr="00FA0C80">
        <w:rPr>
          <w:spacing w:val="19"/>
          <w:lang w:val="en-US"/>
        </w:rPr>
        <w:t xml:space="preserve"> </w:t>
      </w:r>
      <w:r w:rsidR="00504BC9" w:rsidRPr="00FA0C80">
        <w:rPr>
          <w:lang w:val="en-US"/>
        </w:rPr>
        <w:t>held</w:t>
      </w:r>
      <w:r w:rsidR="00504BC9" w:rsidRPr="00FA0C80">
        <w:rPr>
          <w:spacing w:val="25"/>
          <w:lang w:val="en-US"/>
        </w:rPr>
        <w:t xml:space="preserve"> </w:t>
      </w:r>
      <w:r w:rsidR="00504BC9" w:rsidRPr="00FA0C80">
        <w:rPr>
          <w:lang w:val="en-US"/>
        </w:rPr>
        <w:t>that:</w:t>
      </w:r>
    </w:p>
    <w:p w:rsidR="00504BC9" w:rsidRPr="00FA0C80" w:rsidRDefault="00504BC9" w:rsidP="00D90544">
      <w:pPr>
        <w:pStyle w:val="Quote2"/>
        <w:ind w:left="2127" w:hanging="687"/>
        <w:rPr>
          <w:lang w:val="en-US"/>
        </w:rPr>
      </w:pPr>
      <w:r w:rsidRPr="00FA0C80">
        <w:rPr>
          <w:lang w:val="en-US"/>
        </w:rPr>
        <w:t>a.</w:t>
      </w:r>
      <w:r w:rsidR="00F24C61">
        <w:rPr>
          <w:lang w:val="en-US"/>
        </w:rPr>
        <w:tab/>
        <w:t>The Minister was entitled</w:t>
      </w:r>
      <w:r w:rsidRPr="00FA0C80">
        <w:rPr>
          <w:lang w:val="en-US"/>
        </w:rPr>
        <w:t xml:space="preserve">, on the material before him, to conclude that Mr Tesic had continued to traffick in drugs until he was apprehended by police and whilst he </w:t>
      </w:r>
      <w:r w:rsidR="008229B6">
        <w:rPr>
          <w:lang w:val="en-US"/>
        </w:rPr>
        <w:t xml:space="preserve">was on bail for drug possession </w:t>
      </w:r>
      <w:r w:rsidRPr="00FA0C80">
        <w:rPr>
          <w:lang w:val="en-US"/>
        </w:rPr>
        <w:t>offences (Minister</w:t>
      </w:r>
      <w:r w:rsidR="00D02222">
        <w:rPr>
          <w:lang w:val="en-US"/>
        </w:rPr>
        <w:t>’</w:t>
      </w:r>
      <w:r w:rsidRPr="00FA0C80">
        <w:rPr>
          <w:lang w:val="en-US"/>
        </w:rPr>
        <w:t>s Statement of Reasons at [43</w:t>
      </w:r>
      <w:r w:rsidR="008229B6">
        <w:rPr>
          <w:lang w:val="en-US"/>
        </w:rPr>
        <w:t xml:space="preserve">] and [49]); </w:t>
      </w:r>
      <w:r w:rsidRPr="00FA0C80">
        <w:rPr>
          <w:lang w:val="en-US"/>
        </w:rPr>
        <w:t>and</w:t>
      </w:r>
    </w:p>
    <w:p w:rsidR="00504BC9" w:rsidRPr="00FA0C80" w:rsidRDefault="00504BC9" w:rsidP="00D90544">
      <w:pPr>
        <w:pStyle w:val="Quote2"/>
        <w:ind w:left="2127" w:hanging="709"/>
        <w:rPr>
          <w:lang w:val="en-US"/>
        </w:rPr>
      </w:pPr>
      <w:r w:rsidRPr="00FA0C80">
        <w:rPr>
          <w:lang w:val="en-US"/>
        </w:rPr>
        <w:t>b.</w:t>
      </w:r>
      <w:r w:rsidRPr="00FA0C80">
        <w:rPr>
          <w:lang w:val="en-US"/>
        </w:rPr>
        <w:tab/>
        <w:t>In any event, that any error of fact as to such matters would not lead to jurisdictional error.</w:t>
      </w:r>
    </w:p>
    <w:p w:rsidR="00504BC9" w:rsidRPr="00FA0C80" w:rsidRDefault="00D90544" w:rsidP="00BE4876">
      <w:pPr>
        <w:pStyle w:val="Quote1"/>
        <w:ind w:left="1440" w:hanging="703"/>
        <w:rPr>
          <w:lang w:val="en-US"/>
        </w:rPr>
      </w:pPr>
      <w:r>
        <w:rPr>
          <w:w w:val="105"/>
          <w:lang w:val="en-US"/>
        </w:rPr>
        <w:t>5.</w:t>
      </w:r>
      <w:r>
        <w:rPr>
          <w:w w:val="105"/>
          <w:lang w:val="en-US"/>
        </w:rPr>
        <w:tab/>
      </w:r>
      <w:r w:rsidR="00504BC9" w:rsidRPr="00FA0C80">
        <w:rPr>
          <w:w w:val="105"/>
          <w:lang w:val="en-US"/>
        </w:rPr>
        <w:t>The [primary judge] erred</w:t>
      </w:r>
      <w:r w:rsidR="00504BC9" w:rsidRPr="00FA0C80">
        <w:rPr>
          <w:spacing w:val="8"/>
          <w:w w:val="105"/>
          <w:lang w:val="en-US"/>
        </w:rPr>
        <w:t xml:space="preserve"> </w:t>
      </w:r>
      <w:r w:rsidR="00504BC9" w:rsidRPr="00FA0C80">
        <w:rPr>
          <w:w w:val="105"/>
          <w:lang w:val="en-US"/>
        </w:rPr>
        <w:t>in</w:t>
      </w:r>
      <w:r w:rsidR="00504BC9" w:rsidRPr="00FA0C80">
        <w:rPr>
          <w:spacing w:val="-11"/>
          <w:w w:val="105"/>
          <w:lang w:val="en-US"/>
        </w:rPr>
        <w:t xml:space="preserve"> </w:t>
      </w:r>
      <w:r w:rsidR="00504BC9" w:rsidRPr="00FA0C80">
        <w:rPr>
          <w:w w:val="105"/>
          <w:lang w:val="en-US"/>
        </w:rPr>
        <w:t>characterising</w:t>
      </w:r>
      <w:r w:rsidR="00504BC9" w:rsidRPr="00FA0C80">
        <w:rPr>
          <w:spacing w:val="8"/>
          <w:w w:val="105"/>
          <w:lang w:val="en-US"/>
        </w:rPr>
        <w:t xml:space="preserve"> </w:t>
      </w:r>
      <w:r w:rsidR="00504BC9" w:rsidRPr="00FA0C80">
        <w:rPr>
          <w:w w:val="105"/>
          <w:lang w:val="en-US"/>
        </w:rPr>
        <w:t>an</w:t>
      </w:r>
      <w:r w:rsidR="00504BC9" w:rsidRPr="00FA0C80">
        <w:rPr>
          <w:spacing w:val="-10"/>
          <w:w w:val="105"/>
          <w:lang w:val="en-US"/>
        </w:rPr>
        <w:t xml:space="preserve"> </w:t>
      </w:r>
      <w:r w:rsidR="00504BC9" w:rsidRPr="00FA0C80">
        <w:rPr>
          <w:w w:val="105"/>
          <w:lang w:val="en-US"/>
        </w:rPr>
        <w:t>error</w:t>
      </w:r>
      <w:r w:rsidR="00504BC9" w:rsidRPr="00FA0C80">
        <w:rPr>
          <w:spacing w:val="-4"/>
          <w:w w:val="105"/>
          <w:lang w:val="en-US"/>
        </w:rPr>
        <w:t xml:space="preserve"> </w:t>
      </w:r>
      <w:r w:rsidR="00504BC9" w:rsidRPr="00FA0C80">
        <w:rPr>
          <w:w w:val="105"/>
          <w:lang w:val="en-US"/>
        </w:rPr>
        <w:t>as</w:t>
      </w:r>
      <w:r w:rsidR="00504BC9" w:rsidRPr="00FA0C80">
        <w:rPr>
          <w:spacing w:val="-10"/>
          <w:w w:val="105"/>
          <w:lang w:val="en-US"/>
        </w:rPr>
        <w:t xml:space="preserve"> </w:t>
      </w:r>
      <w:r w:rsidR="00504BC9" w:rsidRPr="00FA0C80">
        <w:rPr>
          <w:w w:val="105"/>
          <w:lang w:val="en-US"/>
        </w:rPr>
        <w:t>to</w:t>
      </w:r>
      <w:r w:rsidR="00504BC9" w:rsidRPr="00FA0C80">
        <w:rPr>
          <w:spacing w:val="-11"/>
          <w:w w:val="105"/>
          <w:lang w:val="en-US"/>
        </w:rPr>
        <w:t xml:space="preserve"> </w:t>
      </w:r>
      <w:r w:rsidR="00504BC9" w:rsidRPr="00FA0C80">
        <w:rPr>
          <w:w w:val="105"/>
          <w:lang w:val="en-US"/>
        </w:rPr>
        <w:t>the</w:t>
      </w:r>
      <w:r w:rsidR="00504BC9" w:rsidRPr="00FA0C80">
        <w:rPr>
          <w:spacing w:val="-3"/>
          <w:w w:val="105"/>
          <w:lang w:val="en-US"/>
        </w:rPr>
        <w:t xml:space="preserve"> </w:t>
      </w:r>
      <w:r w:rsidR="00504BC9" w:rsidRPr="00FA0C80">
        <w:rPr>
          <w:w w:val="105"/>
          <w:lang w:val="en-US"/>
        </w:rPr>
        <w:t>precise</w:t>
      </w:r>
      <w:r w:rsidR="00504BC9" w:rsidRPr="00FA0C80">
        <w:rPr>
          <w:spacing w:val="2"/>
          <w:w w:val="105"/>
          <w:lang w:val="en-US"/>
        </w:rPr>
        <w:t xml:space="preserve"> </w:t>
      </w:r>
      <w:r w:rsidR="00504BC9" w:rsidRPr="00FA0C80">
        <w:rPr>
          <w:w w:val="105"/>
          <w:lang w:val="en-US"/>
        </w:rPr>
        <w:t>date</w:t>
      </w:r>
      <w:r w:rsidR="00504BC9" w:rsidRPr="00FA0C80">
        <w:rPr>
          <w:spacing w:val="-12"/>
          <w:w w:val="105"/>
          <w:lang w:val="en-US"/>
        </w:rPr>
        <w:t xml:space="preserve"> </w:t>
      </w:r>
      <w:r w:rsidR="00504BC9" w:rsidRPr="00FA0C80">
        <w:rPr>
          <w:w w:val="105"/>
          <w:lang w:val="en-US"/>
        </w:rPr>
        <w:t>of</w:t>
      </w:r>
      <w:r w:rsidR="00504BC9" w:rsidRPr="00FA0C80">
        <w:rPr>
          <w:spacing w:val="-10"/>
          <w:w w:val="105"/>
          <w:lang w:val="en-US"/>
        </w:rPr>
        <w:t xml:space="preserve"> </w:t>
      </w:r>
      <w:r w:rsidR="00504BC9" w:rsidRPr="00FA0C80">
        <w:rPr>
          <w:w w:val="105"/>
          <w:lang w:val="en-US"/>
        </w:rPr>
        <w:t>cessation of</w:t>
      </w:r>
      <w:r w:rsidR="00504BC9" w:rsidRPr="00FA0C80">
        <w:rPr>
          <w:w w:val="104"/>
          <w:lang w:val="en-US"/>
        </w:rPr>
        <w:t xml:space="preserve"> </w:t>
      </w:r>
      <w:r w:rsidR="00504BC9" w:rsidRPr="00FA0C80">
        <w:rPr>
          <w:w w:val="105"/>
          <w:lang w:val="en-US"/>
        </w:rPr>
        <w:t>offending</w:t>
      </w:r>
      <w:r w:rsidR="00504BC9" w:rsidRPr="00FA0C80">
        <w:rPr>
          <w:spacing w:val="-5"/>
          <w:w w:val="105"/>
          <w:lang w:val="en-US"/>
        </w:rPr>
        <w:t xml:space="preserve"> </w:t>
      </w:r>
      <w:r w:rsidR="00504BC9" w:rsidRPr="00FA0C80">
        <w:rPr>
          <w:w w:val="105"/>
          <w:lang w:val="en-US"/>
        </w:rPr>
        <w:t>(even</w:t>
      </w:r>
      <w:r w:rsidR="00504BC9" w:rsidRPr="00FA0C80">
        <w:rPr>
          <w:spacing w:val="-10"/>
          <w:w w:val="105"/>
          <w:lang w:val="en-US"/>
        </w:rPr>
        <w:t xml:space="preserve"> </w:t>
      </w:r>
      <w:r w:rsidR="00504BC9" w:rsidRPr="00FA0C80">
        <w:rPr>
          <w:w w:val="105"/>
          <w:lang w:val="en-US"/>
        </w:rPr>
        <w:t>if</w:t>
      </w:r>
      <w:r w:rsidR="00504BC9" w:rsidRPr="00FA0C80">
        <w:rPr>
          <w:spacing w:val="-6"/>
          <w:w w:val="105"/>
          <w:lang w:val="en-US"/>
        </w:rPr>
        <w:t xml:space="preserve"> </w:t>
      </w:r>
      <w:r w:rsidR="00504BC9" w:rsidRPr="00FA0C80">
        <w:rPr>
          <w:w w:val="105"/>
          <w:lang w:val="en-US"/>
        </w:rPr>
        <w:t>such</w:t>
      </w:r>
      <w:r w:rsidR="00504BC9" w:rsidRPr="00FA0C80">
        <w:rPr>
          <w:spacing w:val="-14"/>
          <w:w w:val="105"/>
          <w:lang w:val="en-US"/>
        </w:rPr>
        <w:t xml:space="preserve"> </w:t>
      </w:r>
      <w:r w:rsidR="00504BC9" w:rsidRPr="00FA0C80">
        <w:rPr>
          <w:w w:val="105"/>
          <w:lang w:val="en-US"/>
        </w:rPr>
        <w:t>error</w:t>
      </w:r>
      <w:r w:rsidR="00504BC9" w:rsidRPr="00FA0C80">
        <w:rPr>
          <w:spacing w:val="-14"/>
          <w:w w:val="105"/>
          <w:lang w:val="en-US"/>
        </w:rPr>
        <w:t xml:space="preserve"> </w:t>
      </w:r>
      <w:r w:rsidR="00504BC9" w:rsidRPr="00FA0C80">
        <w:rPr>
          <w:w w:val="105"/>
          <w:lang w:val="en-US"/>
        </w:rPr>
        <w:t>were</w:t>
      </w:r>
      <w:r w:rsidR="00504BC9" w:rsidRPr="00FA0C80">
        <w:rPr>
          <w:spacing w:val="-11"/>
          <w:w w:val="105"/>
          <w:lang w:val="en-US"/>
        </w:rPr>
        <w:t xml:space="preserve"> </w:t>
      </w:r>
      <w:r w:rsidR="00504BC9" w:rsidRPr="00FA0C80">
        <w:rPr>
          <w:w w:val="105"/>
          <w:lang w:val="en-US"/>
        </w:rPr>
        <w:t>apparent)</w:t>
      </w:r>
      <w:r w:rsidR="00504BC9" w:rsidRPr="00FA0C80">
        <w:rPr>
          <w:spacing w:val="-2"/>
          <w:w w:val="105"/>
          <w:lang w:val="en-US"/>
        </w:rPr>
        <w:t xml:space="preserve"> </w:t>
      </w:r>
      <w:r w:rsidR="00504BC9" w:rsidRPr="00FA0C80">
        <w:rPr>
          <w:w w:val="105"/>
          <w:lang w:val="en-US"/>
        </w:rPr>
        <w:t>as</w:t>
      </w:r>
      <w:r w:rsidR="00504BC9" w:rsidRPr="00FA0C80">
        <w:rPr>
          <w:spacing w:val="-20"/>
          <w:w w:val="105"/>
          <w:lang w:val="en-US"/>
        </w:rPr>
        <w:t xml:space="preserve"> </w:t>
      </w:r>
      <w:r w:rsidR="00504BC9" w:rsidRPr="00FA0C80">
        <w:rPr>
          <w:w w:val="105"/>
          <w:lang w:val="en-US"/>
        </w:rPr>
        <w:t>a</w:t>
      </w:r>
      <w:r w:rsidR="00504BC9" w:rsidRPr="00FA0C80">
        <w:rPr>
          <w:spacing w:val="-3"/>
          <w:w w:val="105"/>
          <w:lang w:val="en-US"/>
        </w:rPr>
        <w:t xml:space="preserve"> </w:t>
      </w:r>
      <w:r w:rsidR="00504BC9" w:rsidRPr="00FA0C80">
        <w:rPr>
          <w:w w:val="105"/>
          <w:lang w:val="en-US"/>
        </w:rPr>
        <w:t>failure</w:t>
      </w:r>
      <w:r w:rsidR="00504BC9" w:rsidRPr="00FA0C80">
        <w:rPr>
          <w:spacing w:val="-11"/>
          <w:w w:val="105"/>
          <w:lang w:val="en-US"/>
        </w:rPr>
        <w:t xml:space="preserve"> </w:t>
      </w:r>
      <w:r w:rsidR="00504BC9" w:rsidRPr="00FA0C80">
        <w:rPr>
          <w:w w:val="105"/>
          <w:lang w:val="en-US"/>
        </w:rPr>
        <w:t>to</w:t>
      </w:r>
      <w:r w:rsidR="00504BC9" w:rsidRPr="00FA0C80">
        <w:rPr>
          <w:spacing w:val="-14"/>
          <w:w w:val="105"/>
          <w:lang w:val="en-US"/>
        </w:rPr>
        <w:t xml:space="preserve"> </w:t>
      </w:r>
      <w:r w:rsidR="00504BC9" w:rsidRPr="00FA0C80">
        <w:rPr>
          <w:w w:val="105"/>
          <w:lang w:val="en-US"/>
        </w:rPr>
        <w:t>have</w:t>
      </w:r>
      <w:r w:rsidR="00504BC9" w:rsidRPr="00FA0C80">
        <w:rPr>
          <w:spacing w:val="-10"/>
          <w:w w:val="105"/>
          <w:lang w:val="en-US"/>
        </w:rPr>
        <w:t xml:space="preserve"> </w:t>
      </w:r>
      <w:r w:rsidR="00504BC9" w:rsidRPr="00FA0C80">
        <w:rPr>
          <w:w w:val="105"/>
          <w:lang w:val="en-US"/>
        </w:rPr>
        <w:t>regard to</w:t>
      </w:r>
      <w:r w:rsidR="00504BC9" w:rsidRPr="00FA0C80">
        <w:rPr>
          <w:spacing w:val="-10"/>
          <w:w w:val="105"/>
          <w:lang w:val="en-US"/>
        </w:rPr>
        <w:t xml:space="preserve"> </w:t>
      </w:r>
      <w:r w:rsidR="00504BC9" w:rsidRPr="00FA0C80">
        <w:rPr>
          <w:w w:val="105"/>
          <w:lang w:val="en-US"/>
        </w:rPr>
        <w:t>a</w:t>
      </w:r>
      <w:r w:rsidR="00504BC9" w:rsidRPr="00FA0C80">
        <w:rPr>
          <w:spacing w:val="-9"/>
          <w:w w:val="105"/>
          <w:lang w:val="en-US"/>
        </w:rPr>
        <w:t xml:space="preserve"> </w:t>
      </w:r>
      <w:r w:rsidR="00504BC9" w:rsidRPr="00FA0C80">
        <w:rPr>
          <w:w w:val="105"/>
          <w:lang w:val="en-US"/>
        </w:rPr>
        <w:t>mandatory</w:t>
      </w:r>
      <w:r w:rsidR="00504BC9" w:rsidRPr="00FA0C80">
        <w:rPr>
          <w:spacing w:val="4"/>
          <w:w w:val="105"/>
          <w:lang w:val="en-US"/>
        </w:rPr>
        <w:t xml:space="preserve"> </w:t>
      </w:r>
      <w:r w:rsidR="00504BC9" w:rsidRPr="00FA0C80">
        <w:rPr>
          <w:w w:val="105"/>
          <w:lang w:val="en-US"/>
        </w:rPr>
        <w:t>relevant</w:t>
      </w:r>
      <w:r w:rsidR="00504BC9" w:rsidRPr="00FA0C80">
        <w:rPr>
          <w:lang w:val="en-US"/>
        </w:rPr>
        <w:t xml:space="preserve"> </w:t>
      </w:r>
      <w:r w:rsidR="00504BC9" w:rsidRPr="00FA0C80">
        <w:rPr>
          <w:w w:val="105"/>
          <w:lang w:val="en-US"/>
        </w:rPr>
        <w:t>consideration.</w:t>
      </w:r>
      <w:r w:rsidR="00504BC9" w:rsidRPr="00FA0C80">
        <w:rPr>
          <w:spacing w:val="-1"/>
          <w:w w:val="105"/>
          <w:lang w:val="en-US"/>
        </w:rPr>
        <w:t xml:space="preserve"> </w:t>
      </w:r>
      <w:r w:rsidR="00504BC9" w:rsidRPr="00FA0C80">
        <w:rPr>
          <w:w w:val="105"/>
          <w:lang w:val="en-US"/>
        </w:rPr>
        <w:t>Consistent</w:t>
      </w:r>
      <w:r w:rsidR="00504BC9" w:rsidRPr="00FA0C80">
        <w:rPr>
          <w:spacing w:val="-4"/>
          <w:w w:val="105"/>
          <w:lang w:val="en-US"/>
        </w:rPr>
        <w:t xml:space="preserve"> </w:t>
      </w:r>
      <w:r w:rsidR="00504BC9" w:rsidRPr="00FA0C80">
        <w:rPr>
          <w:w w:val="105"/>
          <w:lang w:val="en-US"/>
        </w:rPr>
        <w:t>with</w:t>
      </w:r>
      <w:r w:rsidR="00504BC9" w:rsidRPr="00FA0C80">
        <w:rPr>
          <w:spacing w:val="-17"/>
          <w:w w:val="105"/>
          <w:lang w:val="en-US"/>
        </w:rPr>
        <w:t xml:space="preserve"> </w:t>
      </w:r>
      <w:r w:rsidR="00504BC9" w:rsidRPr="00FA0C80">
        <w:rPr>
          <w:w w:val="105"/>
          <w:lang w:val="en-US"/>
        </w:rPr>
        <w:t>the</w:t>
      </w:r>
      <w:r w:rsidR="00504BC9" w:rsidRPr="00FA0C80">
        <w:rPr>
          <w:spacing w:val="-11"/>
          <w:w w:val="105"/>
          <w:lang w:val="en-US"/>
        </w:rPr>
        <w:t xml:space="preserve"> </w:t>
      </w:r>
      <w:r w:rsidR="00504BC9" w:rsidRPr="00FA0C80">
        <w:rPr>
          <w:w w:val="105"/>
          <w:lang w:val="en-US"/>
        </w:rPr>
        <w:t>Full</w:t>
      </w:r>
      <w:r w:rsidR="00504BC9" w:rsidRPr="00FA0C80">
        <w:rPr>
          <w:spacing w:val="-12"/>
          <w:w w:val="105"/>
          <w:lang w:val="en-US"/>
        </w:rPr>
        <w:t xml:space="preserve"> </w:t>
      </w:r>
      <w:r w:rsidR="00504BC9" w:rsidRPr="00FA0C80">
        <w:rPr>
          <w:w w:val="105"/>
          <w:lang w:val="en-US"/>
        </w:rPr>
        <w:t>Court</w:t>
      </w:r>
      <w:r w:rsidR="00D02222">
        <w:rPr>
          <w:w w:val="105"/>
          <w:lang w:val="en-US"/>
        </w:rPr>
        <w:t>’</w:t>
      </w:r>
      <w:r w:rsidR="00504BC9" w:rsidRPr="00FA0C80">
        <w:rPr>
          <w:w w:val="105"/>
          <w:lang w:val="en-US"/>
        </w:rPr>
        <w:t>s</w:t>
      </w:r>
      <w:r w:rsidR="00504BC9" w:rsidRPr="00FA0C80">
        <w:rPr>
          <w:spacing w:val="-11"/>
          <w:w w:val="105"/>
          <w:lang w:val="en-US"/>
        </w:rPr>
        <w:t xml:space="preserve"> </w:t>
      </w:r>
      <w:r w:rsidR="00504BC9" w:rsidRPr="00FA0C80">
        <w:rPr>
          <w:w w:val="105"/>
          <w:lang w:val="en-US"/>
        </w:rPr>
        <w:t>decision</w:t>
      </w:r>
      <w:r w:rsidR="00504BC9" w:rsidRPr="00FA0C80">
        <w:rPr>
          <w:spacing w:val="10"/>
          <w:w w:val="105"/>
          <w:lang w:val="en-US"/>
        </w:rPr>
        <w:t xml:space="preserve"> </w:t>
      </w:r>
      <w:r w:rsidR="00504BC9" w:rsidRPr="00FA0C80">
        <w:rPr>
          <w:w w:val="105"/>
          <w:lang w:val="en-US"/>
        </w:rPr>
        <w:t>in</w:t>
      </w:r>
      <w:r w:rsidR="00504BC9" w:rsidRPr="00FA0C80">
        <w:rPr>
          <w:spacing w:val="-16"/>
          <w:w w:val="105"/>
          <w:lang w:val="en-US"/>
        </w:rPr>
        <w:t xml:space="preserve"> </w:t>
      </w:r>
      <w:r w:rsidR="00504BC9" w:rsidRPr="00FA0C80">
        <w:rPr>
          <w:i/>
          <w:w w:val="105"/>
          <w:lang w:val="en-US"/>
        </w:rPr>
        <w:t>Ministe</w:t>
      </w:r>
      <w:r w:rsidR="00504BC9" w:rsidRPr="00FA0C80">
        <w:rPr>
          <w:i/>
          <w:spacing w:val="15"/>
          <w:w w:val="105"/>
          <w:lang w:val="en-US"/>
        </w:rPr>
        <w:t xml:space="preserve">r </w:t>
      </w:r>
      <w:r w:rsidR="00504BC9" w:rsidRPr="00FA0C80">
        <w:rPr>
          <w:i/>
          <w:w w:val="105"/>
          <w:lang w:val="en-US"/>
        </w:rPr>
        <w:t>for</w:t>
      </w:r>
      <w:r w:rsidR="00504BC9" w:rsidRPr="00FA0C80">
        <w:rPr>
          <w:i/>
          <w:spacing w:val="10"/>
          <w:w w:val="105"/>
          <w:lang w:val="en-US"/>
        </w:rPr>
        <w:t xml:space="preserve"> </w:t>
      </w:r>
      <w:r w:rsidR="00504BC9" w:rsidRPr="00FA0C80">
        <w:rPr>
          <w:i/>
          <w:w w:val="105"/>
          <w:lang w:val="en-US"/>
        </w:rPr>
        <w:t>Immigration</w:t>
      </w:r>
      <w:r w:rsidR="00504BC9" w:rsidRPr="00FA0C80">
        <w:rPr>
          <w:i/>
          <w:spacing w:val="5"/>
          <w:w w:val="105"/>
          <w:lang w:val="en-US"/>
        </w:rPr>
        <w:t xml:space="preserve"> </w:t>
      </w:r>
      <w:r w:rsidR="00504BC9" w:rsidRPr="00FA0C80">
        <w:rPr>
          <w:i/>
          <w:w w:val="105"/>
          <w:lang w:val="en-US"/>
        </w:rPr>
        <w:t>and</w:t>
      </w:r>
      <w:r w:rsidR="00504BC9" w:rsidRPr="00FA0C80">
        <w:rPr>
          <w:i/>
          <w:w w:val="101"/>
          <w:lang w:val="en-US"/>
        </w:rPr>
        <w:t xml:space="preserve"> </w:t>
      </w:r>
      <w:r w:rsidR="00504BC9" w:rsidRPr="00FA0C80">
        <w:rPr>
          <w:i/>
          <w:w w:val="105"/>
          <w:lang w:val="en-US"/>
        </w:rPr>
        <w:t>Multicultural</w:t>
      </w:r>
      <w:r w:rsidR="00504BC9" w:rsidRPr="00FA0C80">
        <w:rPr>
          <w:i/>
          <w:spacing w:val="2"/>
          <w:w w:val="105"/>
          <w:lang w:val="en-US"/>
        </w:rPr>
        <w:t xml:space="preserve"> </w:t>
      </w:r>
      <w:r w:rsidR="00504BC9" w:rsidRPr="00FA0C80">
        <w:rPr>
          <w:i/>
          <w:w w:val="105"/>
          <w:lang w:val="en-US"/>
        </w:rPr>
        <w:t>and</w:t>
      </w:r>
      <w:r w:rsidR="00504BC9" w:rsidRPr="00FA0C80">
        <w:rPr>
          <w:i/>
          <w:spacing w:val="-15"/>
          <w:w w:val="105"/>
          <w:lang w:val="en-US"/>
        </w:rPr>
        <w:t xml:space="preserve"> </w:t>
      </w:r>
      <w:r w:rsidR="00504BC9" w:rsidRPr="00FA0C80">
        <w:rPr>
          <w:i/>
          <w:w w:val="105"/>
          <w:lang w:val="en-US"/>
        </w:rPr>
        <w:t>Indigenous</w:t>
      </w:r>
      <w:r w:rsidR="00504BC9" w:rsidRPr="00FA0C80">
        <w:rPr>
          <w:i/>
          <w:spacing w:val="2"/>
          <w:w w:val="105"/>
          <w:lang w:val="en-US"/>
        </w:rPr>
        <w:t xml:space="preserve"> </w:t>
      </w:r>
      <w:r w:rsidR="00504BC9" w:rsidRPr="00FA0C80">
        <w:rPr>
          <w:i/>
          <w:w w:val="105"/>
          <w:lang w:val="en-US"/>
        </w:rPr>
        <w:t>Affairs</w:t>
      </w:r>
      <w:r w:rsidR="00504BC9" w:rsidRPr="00FA0C80">
        <w:rPr>
          <w:i/>
          <w:spacing w:val="15"/>
          <w:w w:val="105"/>
          <w:lang w:val="en-US"/>
        </w:rPr>
        <w:t xml:space="preserve"> </w:t>
      </w:r>
      <w:r w:rsidR="00504BC9" w:rsidRPr="00FA0C80">
        <w:rPr>
          <w:i/>
          <w:w w:val="105"/>
          <w:lang w:val="en-US"/>
        </w:rPr>
        <w:t>v</w:t>
      </w:r>
      <w:r w:rsidR="00504BC9" w:rsidRPr="00FA0C80">
        <w:rPr>
          <w:i/>
          <w:spacing w:val="-31"/>
          <w:w w:val="105"/>
          <w:lang w:val="en-US"/>
        </w:rPr>
        <w:t xml:space="preserve"> </w:t>
      </w:r>
      <w:r w:rsidR="00504BC9" w:rsidRPr="00FA0C80">
        <w:rPr>
          <w:i/>
          <w:w w:val="105"/>
          <w:lang w:val="en-US"/>
        </w:rPr>
        <w:t>Huynh</w:t>
      </w:r>
      <w:r w:rsidR="00504BC9" w:rsidRPr="00FA0C80">
        <w:rPr>
          <w:i/>
          <w:spacing w:val="14"/>
          <w:w w:val="105"/>
          <w:lang w:val="en-US"/>
        </w:rPr>
        <w:t xml:space="preserve"> </w:t>
      </w:r>
      <w:r w:rsidR="00504BC9" w:rsidRPr="00FA0C80">
        <w:rPr>
          <w:w w:val="105"/>
          <w:lang w:val="en-US"/>
        </w:rPr>
        <w:t>[2004]</w:t>
      </w:r>
      <w:r w:rsidR="00504BC9" w:rsidRPr="00FA0C80">
        <w:rPr>
          <w:spacing w:val="-20"/>
          <w:w w:val="105"/>
          <w:lang w:val="en-US"/>
        </w:rPr>
        <w:t xml:space="preserve"> </w:t>
      </w:r>
      <w:r w:rsidR="00504BC9" w:rsidRPr="00FA0C80">
        <w:rPr>
          <w:w w:val="105"/>
          <w:lang w:val="en-US"/>
        </w:rPr>
        <w:t>FCAFC</w:t>
      </w:r>
      <w:r w:rsidR="00504BC9" w:rsidRPr="00FA0C80">
        <w:rPr>
          <w:spacing w:val="-1"/>
          <w:w w:val="105"/>
          <w:lang w:val="en-US"/>
        </w:rPr>
        <w:t xml:space="preserve"> </w:t>
      </w:r>
      <w:r w:rsidR="00504BC9" w:rsidRPr="00FA0C80">
        <w:rPr>
          <w:w w:val="105"/>
          <w:lang w:val="en-US"/>
        </w:rPr>
        <w:t>256;</w:t>
      </w:r>
      <w:r w:rsidR="00504BC9" w:rsidRPr="00FA0C80">
        <w:rPr>
          <w:spacing w:val="10"/>
          <w:w w:val="105"/>
          <w:lang w:val="en-US"/>
        </w:rPr>
        <w:t xml:space="preserve"> </w:t>
      </w:r>
      <w:r w:rsidR="00504BC9" w:rsidRPr="00FA0C80">
        <w:rPr>
          <w:w w:val="105"/>
          <w:lang w:val="en-US"/>
        </w:rPr>
        <w:t>139</w:t>
      </w:r>
      <w:r w:rsidR="00504BC9" w:rsidRPr="00FA0C80">
        <w:rPr>
          <w:spacing w:val="-28"/>
          <w:w w:val="105"/>
          <w:lang w:val="en-US"/>
        </w:rPr>
        <w:t xml:space="preserve"> </w:t>
      </w:r>
      <w:r w:rsidR="00504BC9" w:rsidRPr="00FA0C80">
        <w:rPr>
          <w:w w:val="105"/>
          <w:lang w:val="en-US"/>
        </w:rPr>
        <w:t>FCR</w:t>
      </w:r>
      <w:r w:rsidR="00504BC9" w:rsidRPr="00FA0C80">
        <w:rPr>
          <w:spacing w:val="-7"/>
          <w:w w:val="105"/>
          <w:lang w:val="en-US"/>
        </w:rPr>
        <w:t xml:space="preserve"> </w:t>
      </w:r>
      <w:r w:rsidR="00504BC9" w:rsidRPr="00FA0C80">
        <w:rPr>
          <w:w w:val="105"/>
          <w:lang w:val="en-US"/>
        </w:rPr>
        <w:t>505</w:t>
      </w:r>
      <w:r w:rsidR="00504BC9" w:rsidRPr="00FA0C80">
        <w:rPr>
          <w:spacing w:val="-13"/>
          <w:w w:val="105"/>
          <w:lang w:val="en-US"/>
        </w:rPr>
        <w:t xml:space="preserve"> </w:t>
      </w:r>
      <w:r w:rsidR="00504BC9" w:rsidRPr="00FA0C80">
        <w:rPr>
          <w:w w:val="105"/>
          <w:lang w:val="en-US"/>
        </w:rPr>
        <w:t>at</w:t>
      </w:r>
      <w:r w:rsidR="00504BC9" w:rsidRPr="00FA0C80">
        <w:rPr>
          <w:spacing w:val="-2"/>
          <w:w w:val="105"/>
          <w:lang w:val="en-US"/>
        </w:rPr>
        <w:t xml:space="preserve"> </w:t>
      </w:r>
      <w:r w:rsidR="00504BC9" w:rsidRPr="00FA0C80">
        <w:rPr>
          <w:w w:val="105"/>
          <w:lang w:val="en-US"/>
        </w:rPr>
        <w:t>[71]</w:t>
      </w:r>
      <w:r w:rsidR="00504BC9" w:rsidRPr="00FA0C80">
        <w:rPr>
          <w:spacing w:val="-22"/>
          <w:w w:val="105"/>
          <w:lang w:val="en-US"/>
        </w:rPr>
        <w:t xml:space="preserve"> </w:t>
      </w:r>
      <w:r w:rsidR="00504BC9" w:rsidRPr="00FA0C80">
        <w:rPr>
          <w:w w:val="105"/>
          <w:lang w:val="en-US"/>
        </w:rPr>
        <w:t>and</w:t>
      </w:r>
      <w:r w:rsidR="00504BC9" w:rsidRPr="00FA0C80">
        <w:rPr>
          <w:spacing w:val="-12"/>
          <w:w w:val="105"/>
          <w:lang w:val="en-US"/>
        </w:rPr>
        <w:t xml:space="preserve"> </w:t>
      </w:r>
      <w:r w:rsidR="00504BC9" w:rsidRPr="00FA0C80">
        <w:rPr>
          <w:w w:val="105"/>
          <w:lang w:val="en-US"/>
        </w:rPr>
        <w:t>with</w:t>
      </w:r>
      <w:r w:rsidR="00504BC9" w:rsidRPr="00FA0C80">
        <w:rPr>
          <w:w w:val="101"/>
          <w:lang w:val="en-US"/>
        </w:rPr>
        <w:t xml:space="preserve"> </w:t>
      </w:r>
      <w:r w:rsidR="00504BC9" w:rsidRPr="00FA0C80">
        <w:rPr>
          <w:w w:val="105"/>
          <w:lang w:val="en-US"/>
        </w:rPr>
        <w:t>the</w:t>
      </w:r>
      <w:r w:rsidR="00504BC9" w:rsidRPr="00FA0C80">
        <w:rPr>
          <w:spacing w:val="-31"/>
          <w:w w:val="105"/>
          <w:lang w:val="en-US"/>
        </w:rPr>
        <w:t xml:space="preserve"> </w:t>
      </w:r>
      <w:r w:rsidR="00504BC9" w:rsidRPr="00FA0C80">
        <w:rPr>
          <w:w w:val="105"/>
          <w:lang w:val="en-US"/>
        </w:rPr>
        <w:t>judgment</w:t>
      </w:r>
      <w:r w:rsidR="00504BC9" w:rsidRPr="00FA0C80">
        <w:rPr>
          <w:spacing w:val="18"/>
          <w:w w:val="105"/>
          <w:lang w:val="en-US"/>
        </w:rPr>
        <w:t xml:space="preserve"> </w:t>
      </w:r>
      <w:r w:rsidR="00504BC9" w:rsidRPr="00FA0C80">
        <w:rPr>
          <w:w w:val="105"/>
          <w:lang w:val="en-US"/>
        </w:rPr>
        <w:t>of</w:t>
      </w:r>
      <w:r w:rsidR="00504BC9" w:rsidRPr="00FA0C80">
        <w:rPr>
          <w:spacing w:val="-10"/>
          <w:w w:val="105"/>
          <w:lang w:val="en-US"/>
        </w:rPr>
        <w:t xml:space="preserve"> </w:t>
      </w:r>
      <w:r w:rsidR="00504BC9" w:rsidRPr="00FA0C80">
        <w:rPr>
          <w:w w:val="105"/>
          <w:lang w:val="en-US"/>
        </w:rPr>
        <w:t>Sackville</w:t>
      </w:r>
      <w:r w:rsidR="00504BC9" w:rsidRPr="00FA0C80">
        <w:rPr>
          <w:spacing w:val="-23"/>
          <w:w w:val="105"/>
          <w:lang w:val="en-US"/>
        </w:rPr>
        <w:t xml:space="preserve"> </w:t>
      </w:r>
      <w:r w:rsidR="00504BC9" w:rsidRPr="00FA0C80">
        <w:rPr>
          <w:w w:val="105"/>
          <w:lang w:val="en-US"/>
        </w:rPr>
        <w:t>J</w:t>
      </w:r>
      <w:r w:rsidR="00504BC9" w:rsidRPr="00FA0C80">
        <w:rPr>
          <w:spacing w:val="-5"/>
          <w:w w:val="105"/>
          <w:lang w:val="en-US"/>
        </w:rPr>
        <w:t xml:space="preserve"> </w:t>
      </w:r>
      <w:r w:rsidR="00504BC9" w:rsidRPr="00FA0C80">
        <w:rPr>
          <w:w w:val="105"/>
          <w:lang w:val="en-US"/>
        </w:rPr>
        <w:t>in</w:t>
      </w:r>
      <w:r w:rsidR="00504BC9" w:rsidRPr="00FA0C80">
        <w:rPr>
          <w:spacing w:val="-20"/>
          <w:w w:val="105"/>
          <w:lang w:val="en-US"/>
        </w:rPr>
        <w:t xml:space="preserve"> </w:t>
      </w:r>
      <w:r w:rsidR="00504BC9" w:rsidRPr="00FA0C80">
        <w:rPr>
          <w:i/>
          <w:w w:val="105"/>
          <w:lang w:val="en-US"/>
        </w:rPr>
        <w:t>Lu</w:t>
      </w:r>
      <w:r w:rsidR="00504BC9" w:rsidRPr="00FA0C80">
        <w:rPr>
          <w:i/>
          <w:spacing w:val="5"/>
          <w:w w:val="105"/>
          <w:lang w:val="en-US"/>
        </w:rPr>
        <w:t xml:space="preserve"> </w:t>
      </w:r>
      <w:r w:rsidR="00504BC9" w:rsidRPr="00FA0C80">
        <w:rPr>
          <w:i/>
          <w:w w:val="105"/>
          <w:lang w:val="en-US"/>
        </w:rPr>
        <w:t>v</w:t>
      </w:r>
      <w:r w:rsidR="00504BC9" w:rsidRPr="00FA0C80">
        <w:rPr>
          <w:i/>
          <w:spacing w:val="-26"/>
          <w:w w:val="105"/>
          <w:lang w:val="en-US"/>
        </w:rPr>
        <w:t xml:space="preserve"> </w:t>
      </w:r>
      <w:r w:rsidR="00504BC9" w:rsidRPr="00FA0C80">
        <w:rPr>
          <w:i/>
          <w:w w:val="105"/>
          <w:lang w:val="en-US"/>
        </w:rPr>
        <w:t>Minister</w:t>
      </w:r>
      <w:r w:rsidR="00504BC9" w:rsidRPr="00FA0C80">
        <w:rPr>
          <w:i/>
          <w:spacing w:val="-33"/>
          <w:w w:val="105"/>
          <w:lang w:val="en-US"/>
        </w:rPr>
        <w:t xml:space="preserve"> </w:t>
      </w:r>
      <w:r w:rsidR="00504BC9" w:rsidRPr="00FA0C80">
        <w:rPr>
          <w:i/>
          <w:w w:val="105"/>
          <w:lang w:val="en-US"/>
        </w:rPr>
        <w:t>for</w:t>
      </w:r>
      <w:r w:rsidR="00504BC9" w:rsidRPr="00FA0C80">
        <w:rPr>
          <w:i/>
          <w:spacing w:val="13"/>
          <w:w w:val="105"/>
          <w:lang w:val="en-US"/>
        </w:rPr>
        <w:t xml:space="preserve"> </w:t>
      </w:r>
      <w:r w:rsidR="00504BC9" w:rsidRPr="00FA0C80">
        <w:rPr>
          <w:i/>
          <w:w w:val="105"/>
          <w:lang w:val="en-US"/>
        </w:rPr>
        <w:t>Immigration and</w:t>
      </w:r>
      <w:r w:rsidR="00504BC9" w:rsidRPr="00FA0C80">
        <w:rPr>
          <w:i/>
          <w:spacing w:val="-16"/>
          <w:w w:val="105"/>
          <w:lang w:val="en-US"/>
        </w:rPr>
        <w:t xml:space="preserve"> </w:t>
      </w:r>
      <w:r w:rsidR="00504BC9" w:rsidRPr="00FA0C80">
        <w:rPr>
          <w:i/>
          <w:w w:val="105"/>
          <w:lang w:val="en-US"/>
        </w:rPr>
        <w:t>Multicultural</w:t>
      </w:r>
      <w:r w:rsidR="00504BC9" w:rsidRPr="00FA0C80">
        <w:rPr>
          <w:i/>
          <w:spacing w:val="8"/>
          <w:w w:val="105"/>
          <w:lang w:val="en-US"/>
        </w:rPr>
        <w:t xml:space="preserve"> </w:t>
      </w:r>
      <w:r w:rsidR="00504BC9" w:rsidRPr="00FA0C80">
        <w:rPr>
          <w:i/>
          <w:w w:val="105"/>
          <w:lang w:val="en-US"/>
        </w:rPr>
        <w:t>and</w:t>
      </w:r>
      <w:r w:rsidR="00504BC9" w:rsidRPr="00FA0C80">
        <w:rPr>
          <w:i/>
          <w:spacing w:val="-10"/>
          <w:w w:val="105"/>
          <w:lang w:val="en-US"/>
        </w:rPr>
        <w:t xml:space="preserve"> </w:t>
      </w:r>
      <w:r w:rsidR="00504BC9" w:rsidRPr="00FA0C80">
        <w:rPr>
          <w:i/>
          <w:w w:val="105"/>
          <w:lang w:val="en-US"/>
        </w:rPr>
        <w:t>Indi</w:t>
      </w:r>
      <w:r w:rsidR="00504BC9" w:rsidRPr="00FA0C80">
        <w:rPr>
          <w:i/>
          <w:spacing w:val="18"/>
          <w:w w:val="105"/>
          <w:lang w:val="en-US"/>
        </w:rPr>
        <w:t>g</w:t>
      </w:r>
      <w:r w:rsidR="00504BC9" w:rsidRPr="00FA0C80">
        <w:rPr>
          <w:i/>
          <w:w w:val="105"/>
          <w:lang w:val="en-US"/>
        </w:rPr>
        <w:t>enous</w:t>
      </w:r>
      <w:r w:rsidR="00504BC9" w:rsidRPr="00FA0C80">
        <w:rPr>
          <w:i/>
          <w:w w:val="101"/>
          <w:lang w:val="en-US"/>
        </w:rPr>
        <w:t xml:space="preserve"> </w:t>
      </w:r>
      <w:r w:rsidR="00504BC9" w:rsidRPr="00FA0C80">
        <w:rPr>
          <w:i/>
          <w:w w:val="105"/>
          <w:lang w:val="en-US"/>
        </w:rPr>
        <w:t>Affairs</w:t>
      </w:r>
      <w:r w:rsidR="00504BC9" w:rsidRPr="00FA0C80">
        <w:rPr>
          <w:i/>
          <w:spacing w:val="3"/>
          <w:w w:val="105"/>
          <w:lang w:val="en-US"/>
        </w:rPr>
        <w:t xml:space="preserve"> </w:t>
      </w:r>
      <w:r w:rsidR="00504BC9" w:rsidRPr="00FA0C80">
        <w:rPr>
          <w:w w:val="105"/>
          <w:lang w:val="en-US"/>
        </w:rPr>
        <w:t>(2004)</w:t>
      </w:r>
      <w:r w:rsidR="00504BC9" w:rsidRPr="00FA0C80">
        <w:rPr>
          <w:spacing w:val="10"/>
          <w:w w:val="105"/>
          <w:lang w:val="en-US"/>
        </w:rPr>
        <w:t xml:space="preserve"> </w:t>
      </w:r>
      <w:r w:rsidR="00504BC9" w:rsidRPr="00FA0C80">
        <w:rPr>
          <w:w w:val="105"/>
          <w:lang w:val="en-US"/>
        </w:rPr>
        <w:t>141</w:t>
      </w:r>
      <w:r w:rsidR="00504BC9" w:rsidRPr="00FA0C80">
        <w:rPr>
          <w:spacing w:val="-24"/>
          <w:w w:val="105"/>
          <w:lang w:val="en-US"/>
        </w:rPr>
        <w:t xml:space="preserve"> </w:t>
      </w:r>
      <w:r w:rsidR="00504BC9" w:rsidRPr="00FA0C80">
        <w:rPr>
          <w:w w:val="105"/>
          <w:lang w:val="en-US"/>
        </w:rPr>
        <w:t>FCR</w:t>
      </w:r>
      <w:r w:rsidR="00504BC9" w:rsidRPr="00FA0C80">
        <w:rPr>
          <w:spacing w:val="-6"/>
          <w:w w:val="105"/>
          <w:lang w:val="en-US"/>
        </w:rPr>
        <w:t xml:space="preserve"> </w:t>
      </w:r>
      <w:r w:rsidR="00504BC9" w:rsidRPr="00FA0C80">
        <w:rPr>
          <w:w w:val="105"/>
          <w:lang w:val="en-US"/>
        </w:rPr>
        <w:t>346</w:t>
      </w:r>
      <w:r w:rsidR="00504BC9" w:rsidRPr="00FA0C80">
        <w:rPr>
          <w:spacing w:val="-12"/>
          <w:w w:val="105"/>
          <w:lang w:val="en-US"/>
        </w:rPr>
        <w:t xml:space="preserve"> </w:t>
      </w:r>
      <w:r w:rsidR="00504BC9" w:rsidRPr="00FA0C80">
        <w:rPr>
          <w:w w:val="105"/>
          <w:lang w:val="en-US"/>
        </w:rPr>
        <w:t>at</w:t>
      </w:r>
      <w:r w:rsidR="00504BC9" w:rsidRPr="00FA0C80">
        <w:rPr>
          <w:spacing w:val="-6"/>
          <w:w w:val="105"/>
          <w:lang w:val="en-US"/>
        </w:rPr>
        <w:t xml:space="preserve"> </w:t>
      </w:r>
      <w:r w:rsidR="00504BC9" w:rsidRPr="00FA0C80">
        <w:rPr>
          <w:w w:val="105"/>
          <w:lang w:val="en-US"/>
        </w:rPr>
        <w:t>[54]</w:t>
      </w:r>
      <w:r w:rsidR="00504BC9" w:rsidRPr="00FA0C80">
        <w:rPr>
          <w:spacing w:val="-21"/>
          <w:w w:val="105"/>
          <w:lang w:val="en-US"/>
        </w:rPr>
        <w:t xml:space="preserve"> </w:t>
      </w:r>
      <w:r w:rsidR="00504BC9" w:rsidRPr="00FA0C80">
        <w:rPr>
          <w:w w:val="105"/>
          <w:lang w:val="en-US"/>
        </w:rPr>
        <w:t>the</w:t>
      </w:r>
      <w:r w:rsidR="00504BC9" w:rsidRPr="00FA0C80">
        <w:rPr>
          <w:spacing w:val="-12"/>
          <w:w w:val="105"/>
          <w:lang w:val="en-US"/>
        </w:rPr>
        <w:t xml:space="preserve"> </w:t>
      </w:r>
      <w:r w:rsidR="00504BC9" w:rsidRPr="00FA0C80">
        <w:rPr>
          <w:w w:val="105"/>
          <w:lang w:val="en-US"/>
        </w:rPr>
        <w:t>circumstances</w:t>
      </w:r>
      <w:r w:rsidR="00504BC9" w:rsidRPr="00FA0C80">
        <w:rPr>
          <w:spacing w:val="-1"/>
          <w:w w:val="105"/>
          <w:lang w:val="en-US"/>
        </w:rPr>
        <w:t xml:space="preserve"> </w:t>
      </w:r>
      <w:r w:rsidR="00504BC9" w:rsidRPr="00FA0C80">
        <w:rPr>
          <w:w w:val="105"/>
          <w:lang w:val="en-US"/>
        </w:rPr>
        <w:t>surrounding</w:t>
      </w:r>
      <w:r w:rsidR="00504BC9" w:rsidRPr="00FA0C80">
        <w:rPr>
          <w:spacing w:val="-2"/>
          <w:w w:val="105"/>
          <w:lang w:val="en-US"/>
        </w:rPr>
        <w:t xml:space="preserve"> </w:t>
      </w:r>
      <w:r w:rsidR="00504BC9" w:rsidRPr="00FA0C80">
        <w:rPr>
          <w:w w:val="105"/>
          <w:lang w:val="en-US"/>
        </w:rPr>
        <w:t>the</w:t>
      </w:r>
      <w:r w:rsidR="00504BC9" w:rsidRPr="00FA0C80">
        <w:rPr>
          <w:spacing w:val="-6"/>
          <w:w w:val="105"/>
          <w:lang w:val="en-US"/>
        </w:rPr>
        <w:t xml:space="preserve"> </w:t>
      </w:r>
      <w:r w:rsidR="00504BC9" w:rsidRPr="00FA0C80">
        <w:rPr>
          <w:w w:val="105"/>
          <w:lang w:val="en-US"/>
        </w:rPr>
        <w:t>offences</w:t>
      </w:r>
      <w:r w:rsidR="00504BC9" w:rsidRPr="00FA0C80">
        <w:rPr>
          <w:spacing w:val="-2"/>
          <w:w w:val="105"/>
          <w:lang w:val="en-US"/>
        </w:rPr>
        <w:t xml:space="preserve"> </w:t>
      </w:r>
      <w:r w:rsidR="00504BC9" w:rsidRPr="00FA0C80">
        <w:rPr>
          <w:w w:val="105"/>
          <w:lang w:val="en-US"/>
        </w:rPr>
        <w:t>do</w:t>
      </w:r>
      <w:r w:rsidR="00504BC9" w:rsidRPr="00FA0C80">
        <w:rPr>
          <w:spacing w:val="-12"/>
          <w:w w:val="105"/>
          <w:lang w:val="en-US"/>
        </w:rPr>
        <w:t xml:space="preserve"> </w:t>
      </w:r>
      <w:r w:rsidR="00504BC9" w:rsidRPr="00FA0C80">
        <w:rPr>
          <w:w w:val="105"/>
          <w:lang w:val="en-US"/>
        </w:rPr>
        <w:t>not amount</w:t>
      </w:r>
      <w:r w:rsidR="00504BC9" w:rsidRPr="00FA0C80">
        <w:rPr>
          <w:spacing w:val="-4"/>
          <w:w w:val="105"/>
          <w:lang w:val="en-US"/>
        </w:rPr>
        <w:t xml:space="preserve"> </w:t>
      </w:r>
      <w:r w:rsidR="00504BC9" w:rsidRPr="00FA0C80">
        <w:rPr>
          <w:w w:val="105"/>
          <w:lang w:val="en-US"/>
        </w:rPr>
        <w:t>to</w:t>
      </w:r>
      <w:r w:rsidR="00504BC9" w:rsidRPr="00FA0C80">
        <w:rPr>
          <w:w w:val="103"/>
          <w:lang w:val="en-US"/>
        </w:rPr>
        <w:t xml:space="preserve"> </w:t>
      </w:r>
      <w:r w:rsidR="00504BC9" w:rsidRPr="00FA0C80">
        <w:rPr>
          <w:w w:val="105"/>
          <w:lang w:val="en-US"/>
        </w:rPr>
        <w:t>a</w:t>
      </w:r>
      <w:r w:rsidR="00504BC9" w:rsidRPr="00FA0C80">
        <w:rPr>
          <w:spacing w:val="-24"/>
          <w:w w:val="105"/>
          <w:lang w:val="en-US"/>
        </w:rPr>
        <w:t xml:space="preserve"> </w:t>
      </w:r>
      <w:r w:rsidR="00504BC9" w:rsidRPr="00FA0C80">
        <w:rPr>
          <w:w w:val="105"/>
          <w:lang w:val="en-US"/>
        </w:rPr>
        <w:t>mandatory</w:t>
      </w:r>
      <w:r w:rsidR="00504BC9" w:rsidRPr="00FA0C80">
        <w:rPr>
          <w:spacing w:val="-16"/>
          <w:w w:val="105"/>
          <w:lang w:val="en-US"/>
        </w:rPr>
        <w:t xml:space="preserve"> </w:t>
      </w:r>
      <w:r w:rsidR="00504BC9" w:rsidRPr="00FA0C80">
        <w:rPr>
          <w:w w:val="105"/>
          <w:lang w:val="en-US"/>
        </w:rPr>
        <w:t>relevant</w:t>
      </w:r>
      <w:r w:rsidR="00504BC9" w:rsidRPr="00FA0C80">
        <w:rPr>
          <w:spacing w:val="-15"/>
          <w:w w:val="105"/>
          <w:lang w:val="en-US"/>
        </w:rPr>
        <w:t xml:space="preserve"> </w:t>
      </w:r>
      <w:r w:rsidR="00504BC9" w:rsidRPr="00FA0C80">
        <w:rPr>
          <w:w w:val="105"/>
          <w:lang w:val="en-US"/>
        </w:rPr>
        <w:t>consideration.</w:t>
      </w:r>
    </w:p>
    <w:p w:rsidR="00504BC9" w:rsidRPr="00FA0C80" w:rsidRDefault="00D90544" w:rsidP="00BE4876">
      <w:pPr>
        <w:pStyle w:val="Quote1"/>
        <w:ind w:left="1440" w:hanging="703"/>
        <w:rPr>
          <w:lang w:val="en-US"/>
        </w:rPr>
      </w:pPr>
      <w:r>
        <w:rPr>
          <w:w w:val="105"/>
          <w:lang w:val="en-US"/>
        </w:rPr>
        <w:t>6.</w:t>
      </w:r>
      <w:r>
        <w:rPr>
          <w:w w:val="105"/>
          <w:lang w:val="en-US"/>
        </w:rPr>
        <w:tab/>
      </w:r>
      <w:r w:rsidR="00504BC9" w:rsidRPr="00FA0C80">
        <w:rPr>
          <w:w w:val="105"/>
          <w:lang w:val="en-US"/>
        </w:rPr>
        <w:t>The [primary judge] erred</w:t>
      </w:r>
      <w:r w:rsidR="00504BC9" w:rsidRPr="00FA0C80">
        <w:rPr>
          <w:spacing w:val="5"/>
          <w:w w:val="105"/>
          <w:lang w:val="en-US"/>
        </w:rPr>
        <w:t xml:space="preserve"> </w:t>
      </w:r>
      <w:r w:rsidR="00504BC9" w:rsidRPr="00FA0C80">
        <w:rPr>
          <w:w w:val="105"/>
          <w:lang w:val="en-US"/>
        </w:rPr>
        <w:t>(Judgment</w:t>
      </w:r>
      <w:r w:rsidR="00504BC9" w:rsidRPr="00FA0C80">
        <w:rPr>
          <w:spacing w:val="3"/>
          <w:w w:val="105"/>
          <w:lang w:val="en-US"/>
        </w:rPr>
        <w:t xml:space="preserve"> </w:t>
      </w:r>
      <w:r w:rsidR="00504BC9" w:rsidRPr="00FA0C80">
        <w:rPr>
          <w:w w:val="105"/>
          <w:lang w:val="en-US"/>
        </w:rPr>
        <w:t>at</w:t>
      </w:r>
      <w:r w:rsidR="00504BC9" w:rsidRPr="00FA0C80">
        <w:rPr>
          <w:spacing w:val="1"/>
          <w:w w:val="105"/>
          <w:lang w:val="en-US"/>
        </w:rPr>
        <w:t xml:space="preserve"> </w:t>
      </w:r>
      <w:r w:rsidR="00504BC9" w:rsidRPr="00FA0C80">
        <w:rPr>
          <w:w w:val="105"/>
          <w:lang w:val="en-US"/>
        </w:rPr>
        <w:t>[37])</w:t>
      </w:r>
      <w:r w:rsidR="00504BC9" w:rsidRPr="00FA0C80">
        <w:rPr>
          <w:spacing w:val="-23"/>
          <w:w w:val="105"/>
          <w:lang w:val="en-US"/>
        </w:rPr>
        <w:t xml:space="preserve"> </w:t>
      </w:r>
      <w:r w:rsidR="00504BC9" w:rsidRPr="00FA0C80">
        <w:rPr>
          <w:w w:val="105"/>
          <w:lang w:val="en-US"/>
        </w:rPr>
        <w:t>by</w:t>
      </w:r>
      <w:r w:rsidR="00504BC9" w:rsidRPr="00FA0C80">
        <w:rPr>
          <w:spacing w:val="-5"/>
          <w:w w:val="105"/>
          <w:lang w:val="en-US"/>
        </w:rPr>
        <w:t xml:space="preserve"> </w:t>
      </w:r>
      <w:r w:rsidR="00504BC9" w:rsidRPr="00FA0C80">
        <w:rPr>
          <w:w w:val="105"/>
          <w:lang w:val="en-US"/>
        </w:rPr>
        <w:t>allowing</w:t>
      </w:r>
      <w:r w:rsidR="00504BC9" w:rsidRPr="00FA0C80">
        <w:rPr>
          <w:spacing w:val="-3"/>
          <w:w w:val="105"/>
          <w:lang w:val="en-US"/>
        </w:rPr>
        <w:t xml:space="preserve"> </w:t>
      </w:r>
      <w:r w:rsidR="00504BC9" w:rsidRPr="00FA0C80">
        <w:rPr>
          <w:w w:val="105"/>
          <w:lang w:val="en-US"/>
        </w:rPr>
        <w:t>Mr</w:t>
      </w:r>
      <w:r w:rsidR="00504BC9" w:rsidRPr="00FA0C80">
        <w:rPr>
          <w:spacing w:val="-16"/>
          <w:w w:val="105"/>
          <w:lang w:val="en-US"/>
        </w:rPr>
        <w:t xml:space="preserve"> </w:t>
      </w:r>
      <w:r w:rsidR="00504BC9" w:rsidRPr="00FA0C80">
        <w:rPr>
          <w:w w:val="105"/>
          <w:lang w:val="en-US"/>
        </w:rPr>
        <w:t>Tesic</w:t>
      </w:r>
      <w:r w:rsidR="00504BC9" w:rsidRPr="00FA0C80">
        <w:rPr>
          <w:spacing w:val="-17"/>
          <w:w w:val="105"/>
          <w:lang w:val="en-US"/>
        </w:rPr>
        <w:t xml:space="preserve"> </w:t>
      </w:r>
      <w:r w:rsidR="00504BC9" w:rsidRPr="00FA0C80">
        <w:rPr>
          <w:w w:val="105"/>
          <w:lang w:val="en-US"/>
        </w:rPr>
        <w:t>to</w:t>
      </w:r>
      <w:r w:rsidR="00504BC9" w:rsidRPr="00FA0C80">
        <w:rPr>
          <w:spacing w:val="-8"/>
          <w:w w:val="105"/>
          <w:lang w:val="en-US"/>
        </w:rPr>
        <w:t xml:space="preserve"> </w:t>
      </w:r>
      <w:r w:rsidR="00504BC9" w:rsidRPr="00FA0C80">
        <w:rPr>
          <w:w w:val="105"/>
          <w:lang w:val="en-US"/>
        </w:rPr>
        <w:t>rely</w:t>
      </w:r>
      <w:r w:rsidR="00504BC9" w:rsidRPr="00FA0C80">
        <w:rPr>
          <w:spacing w:val="-6"/>
          <w:w w:val="105"/>
          <w:lang w:val="en-US"/>
        </w:rPr>
        <w:t xml:space="preserve"> </w:t>
      </w:r>
      <w:r w:rsidR="00504BC9" w:rsidRPr="00FA0C80">
        <w:rPr>
          <w:w w:val="105"/>
          <w:lang w:val="en-US"/>
        </w:rPr>
        <w:t>on</w:t>
      </w:r>
      <w:r w:rsidR="00504BC9" w:rsidRPr="00FA0C80">
        <w:rPr>
          <w:spacing w:val="-6"/>
          <w:w w:val="105"/>
          <w:lang w:val="en-US"/>
        </w:rPr>
        <w:t xml:space="preserve"> </w:t>
      </w:r>
      <w:r w:rsidR="00504BC9" w:rsidRPr="00FA0C80">
        <w:rPr>
          <w:w w:val="105"/>
          <w:lang w:val="en-US"/>
        </w:rPr>
        <w:t>further</w:t>
      </w:r>
      <w:r w:rsidR="00504BC9" w:rsidRPr="00FA0C80">
        <w:rPr>
          <w:spacing w:val="-6"/>
          <w:w w:val="105"/>
          <w:lang w:val="en-US"/>
        </w:rPr>
        <w:t xml:space="preserve"> </w:t>
      </w:r>
      <w:r w:rsidR="00504BC9" w:rsidRPr="00FA0C80">
        <w:rPr>
          <w:w w:val="105"/>
          <w:lang w:val="en-US"/>
        </w:rPr>
        <w:t>evidence</w:t>
      </w:r>
      <w:r w:rsidR="00504BC9" w:rsidRPr="00FA0C80">
        <w:rPr>
          <w:spacing w:val="-10"/>
          <w:w w:val="105"/>
          <w:lang w:val="en-US"/>
        </w:rPr>
        <w:t xml:space="preserve"> </w:t>
      </w:r>
      <w:r w:rsidR="00504BC9" w:rsidRPr="00FA0C80">
        <w:rPr>
          <w:w w:val="105"/>
          <w:lang w:val="en-US"/>
        </w:rPr>
        <w:t>in</w:t>
      </w:r>
      <w:r w:rsidR="00504BC9" w:rsidRPr="00FA0C80">
        <w:rPr>
          <w:spacing w:val="-6"/>
          <w:w w:val="105"/>
          <w:lang w:val="en-US"/>
        </w:rPr>
        <w:t xml:space="preserve"> </w:t>
      </w:r>
      <w:r w:rsidR="00504BC9" w:rsidRPr="00FA0C80">
        <w:rPr>
          <w:w w:val="105"/>
          <w:lang w:val="en-US"/>
        </w:rPr>
        <w:t>the</w:t>
      </w:r>
      <w:r w:rsidR="00504BC9" w:rsidRPr="00FA0C80">
        <w:rPr>
          <w:spacing w:val="9"/>
          <w:lang w:val="en-US"/>
        </w:rPr>
        <w:t xml:space="preserve"> </w:t>
      </w:r>
      <w:r w:rsidR="00504BC9" w:rsidRPr="00FA0C80">
        <w:rPr>
          <w:w w:val="105"/>
          <w:lang w:val="en-US"/>
        </w:rPr>
        <w:t>form</w:t>
      </w:r>
      <w:r w:rsidR="00504BC9" w:rsidRPr="00FA0C80">
        <w:rPr>
          <w:spacing w:val="-7"/>
          <w:w w:val="105"/>
          <w:lang w:val="en-US"/>
        </w:rPr>
        <w:t xml:space="preserve"> </w:t>
      </w:r>
      <w:r w:rsidR="00504BC9" w:rsidRPr="00FA0C80">
        <w:rPr>
          <w:w w:val="105"/>
          <w:lang w:val="en-US"/>
        </w:rPr>
        <w:t>of</w:t>
      </w:r>
      <w:r w:rsidR="00504BC9" w:rsidRPr="00FA0C80">
        <w:rPr>
          <w:spacing w:val="-17"/>
          <w:w w:val="105"/>
          <w:lang w:val="en-US"/>
        </w:rPr>
        <w:t xml:space="preserve"> </w:t>
      </w:r>
      <w:r w:rsidR="00504BC9" w:rsidRPr="00FA0C80">
        <w:rPr>
          <w:w w:val="105"/>
          <w:lang w:val="en-US"/>
        </w:rPr>
        <w:t>an</w:t>
      </w:r>
      <w:r w:rsidR="00504BC9" w:rsidRPr="00FA0C80">
        <w:rPr>
          <w:spacing w:val="-7"/>
          <w:w w:val="105"/>
          <w:lang w:val="en-US"/>
        </w:rPr>
        <w:t xml:space="preserve"> </w:t>
      </w:r>
      <w:r w:rsidR="00504BC9" w:rsidRPr="00FA0C80">
        <w:rPr>
          <w:w w:val="105"/>
          <w:lang w:val="en-US"/>
        </w:rPr>
        <w:t>Affidavit</w:t>
      </w:r>
      <w:r w:rsidR="00504BC9" w:rsidRPr="00FA0C80">
        <w:rPr>
          <w:spacing w:val="1"/>
          <w:w w:val="105"/>
          <w:lang w:val="en-US"/>
        </w:rPr>
        <w:t xml:space="preserve"> </w:t>
      </w:r>
      <w:r w:rsidR="00504BC9" w:rsidRPr="00FA0C80">
        <w:rPr>
          <w:w w:val="105"/>
          <w:lang w:val="en-US"/>
        </w:rPr>
        <w:t>of</w:t>
      </w:r>
      <w:r w:rsidR="00504BC9" w:rsidRPr="00FA0C80">
        <w:rPr>
          <w:spacing w:val="-12"/>
          <w:w w:val="105"/>
          <w:lang w:val="en-US"/>
        </w:rPr>
        <w:t xml:space="preserve"> </w:t>
      </w:r>
      <w:r w:rsidR="00504BC9" w:rsidRPr="00FA0C80">
        <w:rPr>
          <w:w w:val="105"/>
          <w:lang w:val="en-US"/>
        </w:rPr>
        <w:t>himself</w:t>
      </w:r>
      <w:r w:rsidR="00504BC9" w:rsidRPr="00FA0C80">
        <w:rPr>
          <w:spacing w:val="-3"/>
          <w:w w:val="105"/>
          <w:lang w:val="en-US"/>
        </w:rPr>
        <w:t xml:space="preserve"> </w:t>
      </w:r>
      <w:r w:rsidR="00504BC9" w:rsidRPr="00FA0C80">
        <w:rPr>
          <w:w w:val="105"/>
          <w:lang w:val="en-US"/>
        </w:rPr>
        <w:t>and</w:t>
      </w:r>
      <w:r w:rsidR="00504BC9" w:rsidRPr="00FA0C80">
        <w:rPr>
          <w:spacing w:val="-16"/>
          <w:w w:val="105"/>
          <w:lang w:val="en-US"/>
        </w:rPr>
        <w:t xml:space="preserve"> </w:t>
      </w:r>
      <w:r w:rsidR="00504BC9" w:rsidRPr="00FA0C80">
        <w:rPr>
          <w:w w:val="105"/>
          <w:lang w:val="en-US"/>
        </w:rPr>
        <w:t>Mr</w:t>
      </w:r>
      <w:r w:rsidR="00504BC9" w:rsidRPr="00FA0C80">
        <w:rPr>
          <w:spacing w:val="-13"/>
          <w:w w:val="105"/>
          <w:lang w:val="en-US"/>
        </w:rPr>
        <w:t xml:space="preserve"> </w:t>
      </w:r>
      <w:r w:rsidR="00504BC9" w:rsidRPr="00FA0C80">
        <w:rPr>
          <w:w w:val="105"/>
          <w:lang w:val="en-US"/>
        </w:rPr>
        <w:t>Markwell</w:t>
      </w:r>
      <w:r w:rsidR="00504BC9" w:rsidRPr="00FA0C80">
        <w:rPr>
          <w:spacing w:val="15"/>
          <w:w w:val="105"/>
          <w:lang w:val="en-US"/>
        </w:rPr>
        <w:t xml:space="preserve"> </w:t>
      </w:r>
      <w:r w:rsidR="00504BC9" w:rsidRPr="00FA0C80">
        <w:rPr>
          <w:w w:val="105"/>
          <w:lang w:val="en-US"/>
        </w:rPr>
        <w:t>as:</w:t>
      </w:r>
    </w:p>
    <w:p w:rsidR="00504BC9" w:rsidRPr="00D30B33" w:rsidRDefault="00D90544" w:rsidP="00D90544">
      <w:pPr>
        <w:pStyle w:val="Quote2"/>
        <w:ind w:left="2126" w:hanging="686"/>
        <w:rPr>
          <w:lang w:val="en-US"/>
        </w:rPr>
      </w:pPr>
      <w:r>
        <w:rPr>
          <w:w w:val="105"/>
          <w:lang w:val="en-US"/>
        </w:rPr>
        <w:t>(a)</w:t>
      </w:r>
      <w:r>
        <w:rPr>
          <w:w w:val="105"/>
          <w:lang w:val="en-US"/>
        </w:rPr>
        <w:tab/>
      </w:r>
      <w:r w:rsidR="00504BC9" w:rsidRPr="00FA0C80">
        <w:rPr>
          <w:w w:val="105"/>
          <w:lang w:val="en-US"/>
        </w:rPr>
        <w:t>Such</w:t>
      </w:r>
      <w:r w:rsidR="00504BC9" w:rsidRPr="00FA0C80">
        <w:rPr>
          <w:spacing w:val="-16"/>
          <w:w w:val="105"/>
          <w:lang w:val="en-US"/>
        </w:rPr>
        <w:t xml:space="preserve"> </w:t>
      </w:r>
      <w:r w:rsidR="00504BC9" w:rsidRPr="00FA0C80">
        <w:rPr>
          <w:w w:val="105"/>
          <w:lang w:val="en-US"/>
        </w:rPr>
        <w:t>material</w:t>
      </w:r>
      <w:r w:rsidR="00504BC9" w:rsidRPr="00FA0C80">
        <w:rPr>
          <w:spacing w:val="-9"/>
          <w:w w:val="105"/>
          <w:lang w:val="en-US"/>
        </w:rPr>
        <w:t xml:space="preserve"> </w:t>
      </w:r>
      <w:r w:rsidR="00504BC9" w:rsidRPr="00FA0C80">
        <w:rPr>
          <w:w w:val="105"/>
          <w:lang w:val="en-US"/>
        </w:rPr>
        <w:t>was</w:t>
      </w:r>
      <w:r w:rsidR="00504BC9" w:rsidRPr="00FA0C80">
        <w:rPr>
          <w:spacing w:val="-10"/>
          <w:w w:val="105"/>
          <w:lang w:val="en-US"/>
        </w:rPr>
        <w:t xml:space="preserve"> </w:t>
      </w:r>
      <w:r w:rsidR="00504BC9" w:rsidRPr="00FA0C80">
        <w:rPr>
          <w:w w:val="105"/>
          <w:lang w:val="en-US"/>
        </w:rPr>
        <w:t>not</w:t>
      </w:r>
      <w:r w:rsidR="00504BC9" w:rsidRPr="00FA0C80">
        <w:rPr>
          <w:spacing w:val="-3"/>
          <w:w w:val="105"/>
          <w:lang w:val="en-US"/>
        </w:rPr>
        <w:t xml:space="preserve"> </w:t>
      </w:r>
      <w:r w:rsidR="00504BC9" w:rsidRPr="00FA0C80">
        <w:rPr>
          <w:w w:val="105"/>
          <w:lang w:val="en-US"/>
        </w:rPr>
        <w:t>relevant</w:t>
      </w:r>
      <w:r w:rsidR="00504BC9" w:rsidRPr="00FA0C80">
        <w:rPr>
          <w:spacing w:val="-5"/>
          <w:w w:val="105"/>
          <w:lang w:val="en-US"/>
        </w:rPr>
        <w:t xml:space="preserve"> </w:t>
      </w:r>
      <w:r w:rsidR="00504BC9" w:rsidRPr="00FA0C80">
        <w:rPr>
          <w:w w:val="105"/>
          <w:lang w:val="en-US"/>
        </w:rPr>
        <w:t>to</w:t>
      </w:r>
      <w:r w:rsidR="00504BC9" w:rsidRPr="00FA0C80">
        <w:rPr>
          <w:spacing w:val="-11"/>
          <w:w w:val="105"/>
          <w:lang w:val="en-US"/>
        </w:rPr>
        <w:t xml:space="preserve"> </w:t>
      </w:r>
      <w:r w:rsidR="00504BC9" w:rsidRPr="00FA0C80">
        <w:rPr>
          <w:w w:val="105"/>
          <w:lang w:val="en-US"/>
        </w:rPr>
        <w:t>a</w:t>
      </w:r>
      <w:r w:rsidR="00504BC9" w:rsidRPr="00FA0C80">
        <w:rPr>
          <w:spacing w:val="-17"/>
          <w:w w:val="105"/>
          <w:lang w:val="en-US"/>
        </w:rPr>
        <w:t xml:space="preserve"> </w:t>
      </w:r>
      <w:r w:rsidR="00504BC9" w:rsidRPr="00FA0C80">
        <w:rPr>
          <w:w w:val="105"/>
          <w:lang w:val="en-US"/>
        </w:rPr>
        <w:t>consideration</w:t>
      </w:r>
      <w:r w:rsidR="00504BC9" w:rsidRPr="00FA0C80">
        <w:rPr>
          <w:spacing w:val="2"/>
          <w:w w:val="105"/>
          <w:lang w:val="en-US"/>
        </w:rPr>
        <w:t xml:space="preserve"> </w:t>
      </w:r>
      <w:r w:rsidR="00504BC9" w:rsidRPr="00FA0C80">
        <w:rPr>
          <w:w w:val="105"/>
          <w:lang w:val="en-US"/>
        </w:rPr>
        <w:t>of</w:t>
      </w:r>
      <w:r w:rsidR="00504BC9" w:rsidRPr="00FA0C80">
        <w:rPr>
          <w:spacing w:val="-14"/>
          <w:w w:val="105"/>
          <w:lang w:val="en-US"/>
        </w:rPr>
        <w:t xml:space="preserve"> </w:t>
      </w:r>
      <w:r w:rsidR="00504BC9" w:rsidRPr="00FA0C80">
        <w:rPr>
          <w:w w:val="105"/>
          <w:lang w:val="en-US"/>
        </w:rPr>
        <w:t>whether</w:t>
      </w:r>
      <w:r w:rsidR="00504BC9" w:rsidRPr="00FA0C80">
        <w:rPr>
          <w:spacing w:val="-1"/>
          <w:w w:val="105"/>
          <w:lang w:val="en-US"/>
        </w:rPr>
        <w:t xml:space="preserve"> </w:t>
      </w:r>
      <w:r w:rsidR="00504BC9" w:rsidRPr="00FA0C80">
        <w:rPr>
          <w:w w:val="105"/>
          <w:lang w:val="en-US"/>
        </w:rPr>
        <w:t>or</w:t>
      </w:r>
      <w:r w:rsidR="00504BC9" w:rsidRPr="00FA0C80">
        <w:rPr>
          <w:spacing w:val="-26"/>
          <w:w w:val="105"/>
          <w:lang w:val="en-US"/>
        </w:rPr>
        <w:t xml:space="preserve"> </w:t>
      </w:r>
      <w:r w:rsidR="00504BC9" w:rsidRPr="00FA0C80">
        <w:rPr>
          <w:w w:val="105"/>
          <w:lang w:val="en-US"/>
        </w:rPr>
        <w:t>not</w:t>
      </w:r>
      <w:r w:rsidR="00504BC9" w:rsidRPr="00FA0C80">
        <w:rPr>
          <w:spacing w:val="-9"/>
          <w:w w:val="105"/>
          <w:lang w:val="en-US"/>
        </w:rPr>
        <w:t xml:space="preserve"> </w:t>
      </w:r>
      <w:r w:rsidR="00504BC9" w:rsidRPr="00FA0C80">
        <w:rPr>
          <w:w w:val="105"/>
          <w:lang w:val="en-US"/>
        </w:rPr>
        <w:t>the</w:t>
      </w:r>
      <w:r w:rsidR="00504BC9" w:rsidRPr="00FA0C80">
        <w:rPr>
          <w:spacing w:val="-9"/>
          <w:w w:val="105"/>
          <w:lang w:val="en-US"/>
        </w:rPr>
        <w:t xml:space="preserve"> </w:t>
      </w:r>
      <w:r w:rsidR="00504BC9" w:rsidRPr="00FA0C80">
        <w:rPr>
          <w:w w:val="105"/>
          <w:lang w:val="en-US"/>
        </w:rPr>
        <w:t>Minister</w:t>
      </w:r>
      <w:r w:rsidR="00504BC9" w:rsidRPr="00FA0C80">
        <w:rPr>
          <w:spacing w:val="-6"/>
          <w:w w:val="105"/>
          <w:lang w:val="en-US"/>
        </w:rPr>
        <w:t xml:space="preserve"> </w:t>
      </w:r>
      <w:r w:rsidR="00504BC9" w:rsidRPr="00FA0C80">
        <w:rPr>
          <w:w w:val="105"/>
          <w:lang w:val="en-US"/>
        </w:rPr>
        <w:t>committed</w:t>
      </w:r>
      <w:r w:rsidR="00504BC9" w:rsidRPr="00FA0C80">
        <w:rPr>
          <w:lang w:val="en-US"/>
        </w:rPr>
        <w:t xml:space="preserve"> </w:t>
      </w:r>
      <w:r w:rsidR="00504BC9" w:rsidRPr="00FA0C80">
        <w:rPr>
          <w:w w:val="105"/>
          <w:lang w:val="en-US"/>
        </w:rPr>
        <w:t>jurisdictional</w:t>
      </w:r>
      <w:r w:rsidR="00504BC9" w:rsidRPr="00FA0C80">
        <w:rPr>
          <w:spacing w:val="28"/>
          <w:w w:val="105"/>
          <w:lang w:val="en-US"/>
        </w:rPr>
        <w:t xml:space="preserve"> </w:t>
      </w:r>
      <w:r w:rsidR="00504BC9" w:rsidRPr="00FA0C80">
        <w:rPr>
          <w:w w:val="105"/>
          <w:lang w:val="en-US"/>
        </w:rPr>
        <w:t>error</w:t>
      </w:r>
      <w:r w:rsidR="00504BC9" w:rsidRPr="00FA0C80">
        <w:rPr>
          <w:spacing w:val="-13"/>
          <w:w w:val="105"/>
          <w:lang w:val="en-US"/>
        </w:rPr>
        <w:t xml:space="preserve"> </w:t>
      </w:r>
      <w:r w:rsidR="00504BC9" w:rsidRPr="00FA0C80">
        <w:rPr>
          <w:w w:val="105"/>
          <w:lang w:val="en-US"/>
        </w:rPr>
        <w:t>as</w:t>
      </w:r>
      <w:r w:rsidR="00504BC9" w:rsidRPr="00FA0C80">
        <w:rPr>
          <w:spacing w:val="-19"/>
          <w:w w:val="105"/>
          <w:lang w:val="en-US"/>
        </w:rPr>
        <w:t xml:space="preserve"> </w:t>
      </w:r>
      <w:r w:rsidR="00504BC9" w:rsidRPr="00FA0C80">
        <w:rPr>
          <w:w w:val="105"/>
          <w:lang w:val="en-US"/>
        </w:rPr>
        <w:t>it</w:t>
      </w:r>
      <w:r w:rsidR="00504BC9" w:rsidRPr="00FA0C80">
        <w:rPr>
          <w:spacing w:val="-6"/>
          <w:w w:val="105"/>
          <w:lang w:val="en-US"/>
        </w:rPr>
        <w:t xml:space="preserve"> </w:t>
      </w:r>
      <w:r w:rsidR="00504BC9" w:rsidRPr="00FA0C80">
        <w:rPr>
          <w:w w:val="105"/>
          <w:lang w:val="en-US"/>
        </w:rPr>
        <w:t>only</w:t>
      </w:r>
      <w:r w:rsidR="00504BC9" w:rsidRPr="00FA0C80">
        <w:rPr>
          <w:spacing w:val="-12"/>
          <w:w w:val="105"/>
          <w:lang w:val="en-US"/>
        </w:rPr>
        <w:t xml:space="preserve"> </w:t>
      </w:r>
      <w:r w:rsidR="00504BC9" w:rsidRPr="00FA0C80">
        <w:rPr>
          <w:w w:val="105"/>
          <w:lang w:val="en-US"/>
        </w:rPr>
        <w:t>sought</w:t>
      </w:r>
      <w:r w:rsidR="00504BC9" w:rsidRPr="00FA0C80">
        <w:rPr>
          <w:spacing w:val="-7"/>
          <w:w w:val="105"/>
          <w:lang w:val="en-US"/>
        </w:rPr>
        <w:t xml:space="preserve"> </w:t>
      </w:r>
      <w:r w:rsidR="00504BC9" w:rsidRPr="00FA0C80">
        <w:rPr>
          <w:w w:val="105"/>
          <w:lang w:val="en-US"/>
        </w:rPr>
        <w:t>to</w:t>
      </w:r>
      <w:r w:rsidR="00504BC9" w:rsidRPr="00FA0C80">
        <w:rPr>
          <w:spacing w:val="-10"/>
          <w:w w:val="105"/>
          <w:lang w:val="en-US"/>
        </w:rPr>
        <w:t xml:space="preserve"> </w:t>
      </w:r>
      <w:r w:rsidR="00504BC9" w:rsidRPr="00FA0C80">
        <w:rPr>
          <w:w w:val="105"/>
          <w:lang w:val="en-US"/>
        </w:rPr>
        <w:t>contest</w:t>
      </w:r>
      <w:r w:rsidR="00504BC9" w:rsidRPr="00FA0C80">
        <w:rPr>
          <w:spacing w:val="-3"/>
          <w:w w:val="105"/>
          <w:lang w:val="en-US"/>
        </w:rPr>
        <w:t xml:space="preserve"> </w:t>
      </w:r>
      <w:r w:rsidR="00504BC9" w:rsidRPr="00FA0C80">
        <w:rPr>
          <w:w w:val="105"/>
          <w:lang w:val="en-US"/>
        </w:rPr>
        <w:t>the</w:t>
      </w:r>
      <w:r w:rsidR="00504BC9" w:rsidRPr="00FA0C80">
        <w:rPr>
          <w:spacing w:val="-12"/>
          <w:w w:val="105"/>
          <w:lang w:val="en-US"/>
        </w:rPr>
        <w:t xml:space="preserve"> </w:t>
      </w:r>
      <w:r w:rsidR="00504BC9" w:rsidRPr="00FA0C80">
        <w:rPr>
          <w:w w:val="105"/>
          <w:lang w:val="en-US"/>
        </w:rPr>
        <w:t>merits</w:t>
      </w:r>
      <w:r w:rsidR="00504BC9" w:rsidRPr="00FA0C80">
        <w:rPr>
          <w:spacing w:val="-2"/>
          <w:w w:val="105"/>
          <w:lang w:val="en-US"/>
        </w:rPr>
        <w:t xml:space="preserve"> </w:t>
      </w:r>
      <w:r w:rsidR="00504BC9" w:rsidRPr="00FA0C80">
        <w:rPr>
          <w:w w:val="105"/>
          <w:lang w:val="en-US"/>
        </w:rPr>
        <w:t>of</w:t>
      </w:r>
      <w:r w:rsidR="00504BC9" w:rsidRPr="00FA0C80">
        <w:rPr>
          <w:spacing w:val="-12"/>
          <w:w w:val="105"/>
          <w:lang w:val="en-US"/>
        </w:rPr>
        <w:t xml:space="preserve"> </w:t>
      </w:r>
      <w:r w:rsidR="00504BC9" w:rsidRPr="00FA0C80">
        <w:rPr>
          <w:w w:val="105"/>
          <w:lang w:val="en-US"/>
        </w:rPr>
        <w:t>the</w:t>
      </w:r>
      <w:r w:rsidR="00504BC9" w:rsidRPr="00FA0C80">
        <w:rPr>
          <w:spacing w:val="-12"/>
          <w:w w:val="105"/>
          <w:lang w:val="en-US"/>
        </w:rPr>
        <w:t xml:space="preserve"> </w:t>
      </w:r>
      <w:r w:rsidR="00504BC9" w:rsidRPr="00FA0C80">
        <w:rPr>
          <w:w w:val="105"/>
          <w:lang w:val="en-US"/>
        </w:rPr>
        <w:t>decision,</w:t>
      </w:r>
      <w:r w:rsidR="00504BC9" w:rsidRPr="00FA0C80">
        <w:rPr>
          <w:spacing w:val="-28"/>
          <w:w w:val="105"/>
          <w:lang w:val="en-US"/>
        </w:rPr>
        <w:t xml:space="preserve"> </w:t>
      </w:r>
      <w:r w:rsidR="00504BC9" w:rsidRPr="00FA0C80">
        <w:rPr>
          <w:w w:val="105"/>
          <w:lang w:val="en-US"/>
        </w:rPr>
        <w:t>which</w:t>
      </w:r>
      <w:r w:rsidR="00504BC9" w:rsidRPr="00FA0C80">
        <w:rPr>
          <w:spacing w:val="4"/>
          <w:w w:val="105"/>
          <w:lang w:val="en-US"/>
        </w:rPr>
        <w:t xml:space="preserve"> </w:t>
      </w:r>
      <w:r w:rsidR="00504BC9" w:rsidRPr="00FA0C80">
        <w:rPr>
          <w:w w:val="105"/>
          <w:lang w:val="en-US"/>
        </w:rPr>
        <w:t>would not</w:t>
      </w:r>
      <w:r w:rsidR="00504BC9" w:rsidRPr="00FA0C80">
        <w:rPr>
          <w:w w:val="98"/>
          <w:lang w:val="en-US"/>
        </w:rPr>
        <w:t xml:space="preserve"> </w:t>
      </w:r>
      <w:r w:rsidR="00504BC9" w:rsidRPr="00FA0C80">
        <w:rPr>
          <w:w w:val="105"/>
          <w:lang w:val="en-US"/>
        </w:rPr>
        <w:t>constitute</w:t>
      </w:r>
      <w:r w:rsidR="00504BC9" w:rsidRPr="00FA0C80">
        <w:rPr>
          <w:spacing w:val="-13"/>
          <w:w w:val="105"/>
          <w:lang w:val="en-US"/>
        </w:rPr>
        <w:t xml:space="preserve"> </w:t>
      </w:r>
      <w:r w:rsidR="00504BC9" w:rsidRPr="00FA0C80">
        <w:rPr>
          <w:w w:val="105"/>
          <w:lang w:val="en-US"/>
        </w:rPr>
        <w:t>a</w:t>
      </w:r>
      <w:r w:rsidR="00504BC9" w:rsidRPr="00FA0C80">
        <w:rPr>
          <w:spacing w:val="-38"/>
          <w:w w:val="105"/>
          <w:lang w:val="en-US"/>
        </w:rPr>
        <w:t xml:space="preserve"> </w:t>
      </w:r>
      <w:r w:rsidR="00504BC9" w:rsidRPr="00FA0C80">
        <w:rPr>
          <w:w w:val="105"/>
          <w:lang w:val="en-US"/>
        </w:rPr>
        <w:t>jurisdictional</w:t>
      </w:r>
      <w:r w:rsidR="00504BC9" w:rsidRPr="00FA0C80">
        <w:rPr>
          <w:spacing w:val="14"/>
          <w:w w:val="105"/>
          <w:lang w:val="en-US"/>
        </w:rPr>
        <w:t xml:space="preserve"> </w:t>
      </w:r>
      <w:r w:rsidR="00504BC9" w:rsidRPr="00FA0C80">
        <w:rPr>
          <w:w w:val="105"/>
          <w:lang w:val="en-US"/>
        </w:rPr>
        <w:t>error;</w:t>
      </w:r>
      <w:r w:rsidR="00504BC9" w:rsidRPr="00FA0C80">
        <w:rPr>
          <w:spacing w:val="-3"/>
          <w:w w:val="105"/>
          <w:lang w:val="en-US"/>
        </w:rPr>
        <w:t xml:space="preserve"> </w:t>
      </w:r>
      <w:r w:rsidR="00504BC9" w:rsidRPr="00FA0C80">
        <w:rPr>
          <w:w w:val="105"/>
          <w:lang w:val="en-US"/>
        </w:rPr>
        <w:t>and</w:t>
      </w:r>
    </w:p>
    <w:p w:rsidR="00504BC9" w:rsidRPr="00D30B33" w:rsidRDefault="00D90544" w:rsidP="00D90544">
      <w:pPr>
        <w:pStyle w:val="Quote2"/>
        <w:ind w:left="2126" w:hanging="686"/>
        <w:rPr>
          <w:lang w:val="en-US"/>
        </w:rPr>
      </w:pPr>
      <w:r>
        <w:rPr>
          <w:lang w:val="en-US"/>
        </w:rPr>
        <w:t>(b)</w:t>
      </w:r>
      <w:r>
        <w:rPr>
          <w:lang w:val="en-US"/>
        </w:rPr>
        <w:tab/>
      </w:r>
      <w:r w:rsidR="00504BC9" w:rsidRPr="00D30B33">
        <w:rPr>
          <w:lang w:val="en-US"/>
        </w:rPr>
        <w:t>Such</w:t>
      </w:r>
      <w:r w:rsidR="00504BC9" w:rsidRPr="00D30B33">
        <w:rPr>
          <w:spacing w:val="7"/>
          <w:lang w:val="en-US"/>
        </w:rPr>
        <w:t xml:space="preserve"> </w:t>
      </w:r>
      <w:r w:rsidR="00504BC9" w:rsidRPr="00D30B33">
        <w:rPr>
          <w:lang w:val="en-US"/>
        </w:rPr>
        <w:t>material</w:t>
      </w:r>
      <w:r w:rsidR="00504BC9" w:rsidRPr="00D30B33">
        <w:rPr>
          <w:spacing w:val="26"/>
          <w:lang w:val="en-US"/>
        </w:rPr>
        <w:t xml:space="preserve"> </w:t>
      </w:r>
      <w:r w:rsidR="00504BC9" w:rsidRPr="00D30B33">
        <w:rPr>
          <w:lang w:val="en-US"/>
        </w:rPr>
        <w:t>was</w:t>
      </w:r>
      <w:r w:rsidR="00504BC9" w:rsidRPr="00D30B33">
        <w:rPr>
          <w:spacing w:val="20"/>
          <w:lang w:val="en-US"/>
        </w:rPr>
        <w:t xml:space="preserve"> </w:t>
      </w:r>
      <w:r w:rsidR="00504BC9" w:rsidRPr="00D30B33">
        <w:rPr>
          <w:lang w:val="en-US"/>
        </w:rPr>
        <w:t>not</w:t>
      </w:r>
      <w:r w:rsidR="00504BC9" w:rsidRPr="00D30B33">
        <w:rPr>
          <w:spacing w:val="17"/>
          <w:lang w:val="en-US"/>
        </w:rPr>
        <w:t xml:space="preserve"> </w:t>
      </w:r>
      <w:r w:rsidR="00504BC9" w:rsidRPr="00D30B33">
        <w:rPr>
          <w:lang w:val="en-US"/>
        </w:rPr>
        <w:t>relevant</w:t>
      </w:r>
      <w:r w:rsidR="00504BC9" w:rsidRPr="00D30B33">
        <w:rPr>
          <w:spacing w:val="33"/>
          <w:lang w:val="en-US"/>
        </w:rPr>
        <w:t xml:space="preserve"> </w:t>
      </w:r>
      <w:r w:rsidR="00504BC9" w:rsidRPr="00D30B33">
        <w:rPr>
          <w:lang w:val="en-US"/>
        </w:rPr>
        <w:t>to</w:t>
      </w:r>
      <w:r w:rsidR="00504BC9" w:rsidRPr="00D30B33">
        <w:rPr>
          <w:spacing w:val="22"/>
          <w:lang w:val="en-US"/>
        </w:rPr>
        <w:t xml:space="preserve"> </w:t>
      </w:r>
      <w:r w:rsidR="00504BC9" w:rsidRPr="00D30B33">
        <w:rPr>
          <w:lang w:val="en-US"/>
        </w:rPr>
        <w:t>a</w:t>
      </w:r>
      <w:r w:rsidR="00504BC9" w:rsidRPr="00D30B33">
        <w:rPr>
          <w:spacing w:val="14"/>
          <w:lang w:val="en-US"/>
        </w:rPr>
        <w:t xml:space="preserve"> </w:t>
      </w:r>
      <w:r w:rsidR="00504BC9" w:rsidRPr="00D30B33">
        <w:rPr>
          <w:lang w:val="en-US"/>
        </w:rPr>
        <w:t>consideration</w:t>
      </w:r>
      <w:r w:rsidR="00504BC9" w:rsidRPr="00D30B33">
        <w:rPr>
          <w:spacing w:val="25"/>
          <w:lang w:val="en-US"/>
        </w:rPr>
        <w:t xml:space="preserve"> </w:t>
      </w:r>
      <w:r w:rsidR="00504BC9" w:rsidRPr="00D30B33">
        <w:rPr>
          <w:lang w:val="en-US"/>
        </w:rPr>
        <w:t>of</w:t>
      </w:r>
      <w:r w:rsidR="00504BC9" w:rsidRPr="00D30B33">
        <w:rPr>
          <w:spacing w:val="3"/>
          <w:lang w:val="en-US"/>
        </w:rPr>
        <w:t xml:space="preserve"> </w:t>
      </w:r>
      <w:r w:rsidR="00504BC9" w:rsidRPr="00D30B33">
        <w:rPr>
          <w:lang w:val="en-US"/>
        </w:rPr>
        <w:t>whether</w:t>
      </w:r>
      <w:r w:rsidR="00504BC9" w:rsidRPr="00D30B33">
        <w:rPr>
          <w:spacing w:val="23"/>
          <w:lang w:val="en-US"/>
        </w:rPr>
        <w:t xml:space="preserve"> </w:t>
      </w:r>
      <w:r w:rsidR="00504BC9" w:rsidRPr="00D30B33">
        <w:rPr>
          <w:lang w:val="en-US"/>
        </w:rPr>
        <w:t>or</w:t>
      </w:r>
      <w:r w:rsidR="00504BC9" w:rsidRPr="00D30B33">
        <w:rPr>
          <w:spacing w:val="8"/>
          <w:lang w:val="en-US"/>
        </w:rPr>
        <w:t xml:space="preserve"> </w:t>
      </w:r>
      <w:r w:rsidR="00504BC9" w:rsidRPr="00D30B33">
        <w:rPr>
          <w:lang w:val="en-US"/>
        </w:rPr>
        <w:t>not</w:t>
      </w:r>
      <w:r w:rsidR="00504BC9" w:rsidRPr="00D30B33">
        <w:rPr>
          <w:spacing w:val="20"/>
          <w:lang w:val="en-US"/>
        </w:rPr>
        <w:t xml:space="preserve"> </w:t>
      </w:r>
      <w:r w:rsidR="00504BC9" w:rsidRPr="00D30B33">
        <w:rPr>
          <w:lang w:val="en-US"/>
        </w:rPr>
        <w:lastRenderedPageBreak/>
        <w:t>the</w:t>
      </w:r>
      <w:r w:rsidR="00504BC9" w:rsidRPr="00D30B33">
        <w:rPr>
          <w:spacing w:val="9"/>
          <w:lang w:val="en-US"/>
        </w:rPr>
        <w:t xml:space="preserve"> </w:t>
      </w:r>
      <w:r w:rsidR="00504BC9" w:rsidRPr="00D30B33">
        <w:rPr>
          <w:lang w:val="en-US"/>
        </w:rPr>
        <w:t>Minister</w:t>
      </w:r>
      <w:r w:rsidR="00504BC9" w:rsidRPr="00D30B33">
        <w:rPr>
          <w:spacing w:val="24"/>
          <w:lang w:val="en-US"/>
        </w:rPr>
        <w:t xml:space="preserve"> </w:t>
      </w:r>
      <w:r w:rsidR="00504BC9" w:rsidRPr="00D30B33">
        <w:rPr>
          <w:lang w:val="en-US"/>
        </w:rPr>
        <w:t>committed</w:t>
      </w:r>
      <w:r w:rsidR="00FA0C80" w:rsidRPr="00D30B33">
        <w:rPr>
          <w:lang w:val="en-US"/>
        </w:rPr>
        <w:t xml:space="preserve"> </w:t>
      </w:r>
      <w:r w:rsidR="00504BC9" w:rsidRPr="00D30B33">
        <w:rPr>
          <w:lang w:val="en-US"/>
        </w:rPr>
        <w:t xml:space="preserve">jurisdictional </w:t>
      </w:r>
      <w:r w:rsidR="00504BC9" w:rsidRPr="00D30B33">
        <w:rPr>
          <w:spacing w:val="28"/>
          <w:lang w:val="en-US"/>
        </w:rPr>
        <w:t xml:space="preserve"> </w:t>
      </w:r>
      <w:r w:rsidR="00504BC9" w:rsidRPr="00D30B33">
        <w:rPr>
          <w:lang w:val="en-US"/>
        </w:rPr>
        <w:t>error</w:t>
      </w:r>
      <w:r w:rsidR="00504BC9" w:rsidRPr="00D30B33">
        <w:rPr>
          <w:spacing w:val="20"/>
          <w:lang w:val="en-US"/>
        </w:rPr>
        <w:t xml:space="preserve"> </w:t>
      </w:r>
      <w:r w:rsidR="00504BC9" w:rsidRPr="00D30B33">
        <w:rPr>
          <w:lang w:val="en-US"/>
        </w:rPr>
        <w:t>as,</w:t>
      </w:r>
      <w:r w:rsidR="00504BC9" w:rsidRPr="00D30B33">
        <w:rPr>
          <w:spacing w:val="9"/>
          <w:lang w:val="en-US"/>
        </w:rPr>
        <w:t xml:space="preserve"> </w:t>
      </w:r>
      <w:r w:rsidR="00504BC9" w:rsidRPr="00D30B33">
        <w:rPr>
          <w:lang w:val="en-US"/>
        </w:rPr>
        <w:t>at</w:t>
      </w:r>
      <w:r w:rsidR="00504BC9" w:rsidRPr="00D30B33">
        <w:rPr>
          <w:spacing w:val="3"/>
          <w:lang w:val="en-US"/>
        </w:rPr>
        <w:t xml:space="preserve"> </w:t>
      </w:r>
      <w:r w:rsidR="00504BC9" w:rsidRPr="00D30B33">
        <w:rPr>
          <w:lang w:val="en-US"/>
        </w:rPr>
        <w:t>best</w:t>
      </w:r>
      <w:r w:rsidR="00504BC9" w:rsidRPr="00D30B33">
        <w:rPr>
          <w:spacing w:val="44"/>
          <w:lang w:val="en-US"/>
        </w:rPr>
        <w:t xml:space="preserve"> </w:t>
      </w:r>
      <w:r w:rsidR="00504BC9" w:rsidRPr="00D30B33">
        <w:rPr>
          <w:lang w:val="en-US"/>
        </w:rPr>
        <w:t>it</w:t>
      </w:r>
      <w:r w:rsidR="00504BC9" w:rsidRPr="00D30B33">
        <w:rPr>
          <w:spacing w:val="20"/>
          <w:lang w:val="en-US"/>
        </w:rPr>
        <w:t xml:space="preserve"> </w:t>
      </w:r>
      <w:r w:rsidR="00504BC9" w:rsidRPr="00D30B33">
        <w:rPr>
          <w:lang w:val="en-US"/>
        </w:rPr>
        <w:t>would</w:t>
      </w:r>
      <w:r w:rsidR="00504BC9" w:rsidRPr="00D30B33">
        <w:rPr>
          <w:spacing w:val="38"/>
          <w:lang w:val="en-US"/>
        </w:rPr>
        <w:t xml:space="preserve"> </w:t>
      </w:r>
      <w:r w:rsidR="00504BC9" w:rsidRPr="00D30B33">
        <w:rPr>
          <w:lang w:val="en-US"/>
        </w:rPr>
        <w:t>only</w:t>
      </w:r>
      <w:r w:rsidR="00504BC9" w:rsidRPr="00D30B33">
        <w:rPr>
          <w:spacing w:val="30"/>
          <w:lang w:val="en-US"/>
        </w:rPr>
        <w:t xml:space="preserve"> </w:t>
      </w:r>
      <w:r w:rsidR="00504BC9" w:rsidRPr="00D30B33">
        <w:rPr>
          <w:lang w:val="en-US"/>
        </w:rPr>
        <w:t>establish</w:t>
      </w:r>
      <w:r w:rsidR="00504BC9" w:rsidRPr="00D30B33">
        <w:rPr>
          <w:spacing w:val="42"/>
          <w:lang w:val="en-US"/>
        </w:rPr>
        <w:t xml:space="preserve"> </w:t>
      </w:r>
      <w:r w:rsidR="00D02222">
        <w:rPr>
          <w:i/>
          <w:lang w:val="en-US"/>
        </w:rPr>
        <w:t>‘</w:t>
      </w:r>
      <w:r w:rsidR="00504BC9" w:rsidRPr="00D30B33">
        <w:rPr>
          <w:i/>
          <w:lang w:val="en-US"/>
        </w:rPr>
        <w:t>negligence,</w:t>
      </w:r>
      <w:r w:rsidR="00504BC9" w:rsidRPr="00D30B33">
        <w:rPr>
          <w:i/>
          <w:spacing w:val="19"/>
          <w:lang w:val="en-US"/>
        </w:rPr>
        <w:t xml:space="preserve"> </w:t>
      </w:r>
      <w:r w:rsidR="00504BC9" w:rsidRPr="00D30B33">
        <w:rPr>
          <w:i/>
          <w:lang w:val="en-US"/>
        </w:rPr>
        <w:t>inad</w:t>
      </w:r>
      <w:r w:rsidR="00504BC9" w:rsidRPr="00D30B33">
        <w:rPr>
          <w:i/>
          <w:spacing w:val="-10"/>
          <w:lang w:val="en-US"/>
        </w:rPr>
        <w:t>v</w:t>
      </w:r>
      <w:r w:rsidR="00504BC9" w:rsidRPr="00D30B33">
        <w:rPr>
          <w:i/>
          <w:spacing w:val="-2"/>
          <w:lang w:val="en-US"/>
        </w:rPr>
        <w:t>e</w:t>
      </w:r>
      <w:r w:rsidR="00504BC9" w:rsidRPr="00D30B33">
        <w:rPr>
          <w:i/>
          <w:lang w:val="en-US"/>
        </w:rPr>
        <w:t>rten</w:t>
      </w:r>
      <w:r w:rsidR="00504BC9" w:rsidRPr="00D30B33">
        <w:rPr>
          <w:i/>
          <w:spacing w:val="6"/>
          <w:lang w:val="en-US"/>
        </w:rPr>
        <w:t>c</w:t>
      </w:r>
      <w:r w:rsidR="00504BC9" w:rsidRPr="00D30B33">
        <w:rPr>
          <w:i/>
          <w:lang w:val="en-US"/>
        </w:rPr>
        <w:t>e</w:t>
      </w:r>
      <w:r w:rsidR="00504BC9" w:rsidRPr="00D30B33">
        <w:rPr>
          <w:i/>
          <w:spacing w:val="6"/>
          <w:lang w:val="en-US"/>
        </w:rPr>
        <w:t xml:space="preserve"> </w:t>
      </w:r>
      <w:r w:rsidR="00504BC9" w:rsidRPr="00D30B33">
        <w:rPr>
          <w:i/>
          <w:lang w:val="en-US"/>
        </w:rPr>
        <w:t>or</w:t>
      </w:r>
      <w:r w:rsidR="00FA0C80" w:rsidRPr="00D30B33">
        <w:rPr>
          <w:lang w:val="en-US"/>
        </w:rPr>
        <w:t xml:space="preserve"> </w:t>
      </w:r>
      <w:r w:rsidR="00504BC9" w:rsidRPr="00D30B33">
        <w:rPr>
          <w:i/>
          <w:w w:val="105"/>
        </w:rPr>
        <w:t>incom</w:t>
      </w:r>
      <w:r w:rsidR="00504BC9" w:rsidRPr="00D30B33">
        <w:rPr>
          <w:i/>
          <w:spacing w:val="4"/>
          <w:w w:val="105"/>
        </w:rPr>
        <w:t>p</w:t>
      </w:r>
      <w:r w:rsidR="00504BC9" w:rsidRPr="00D30B33">
        <w:rPr>
          <w:i/>
          <w:spacing w:val="-1"/>
          <w:w w:val="105"/>
        </w:rPr>
        <w:t>e</w:t>
      </w:r>
      <w:r w:rsidR="00504BC9" w:rsidRPr="00D30B33">
        <w:rPr>
          <w:i/>
          <w:w w:val="105"/>
        </w:rPr>
        <w:t>tence</w:t>
      </w:r>
      <w:r w:rsidR="00504BC9" w:rsidRPr="00D30B33">
        <w:rPr>
          <w:i/>
          <w:spacing w:val="-17"/>
          <w:w w:val="105"/>
        </w:rPr>
        <w:t xml:space="preserve"> </w:t>
      </w:r>
      <w:r w:rsidR="00504BC9" w:rsidRPr="00D30B33">
        <w:rPr>
          <w:i/>
          <w:w w:val="105"/>
        </w:rPr>
        <w:t>on</w:t>
      </w:r>
      <w:r w:rsidR="00504BC9" w:rsidRPr="00D30B33">
        <w:rPr>
          <w:i/>
          <w:spacing w:val="-16"/>
          <w:w w:val="105"/>
        </w:rPr>
        <w:t xml:space="preserve"> </w:t>
      </w:r>
      <w:r w:rsidR="00504BC9" w:rsidRPr="00D30B33">
        <w:rPr>
          <w:i/>
          <w:w w:val="105"/>
        </w:rPr>
        <w:t>the</w:t>
      </w:r>
      <w:r w:rsidR="00504BC9" w:rsidRPr="00D30B33">
        <w:rPr>
          <w:i/>
          <w:spacing w:val="-29"/>
          <w:w w:val="105"/>
        </w:rPr>
        <w:t xml:space="preserve"> </w:t>
      </w:r>
      <w:r w:rsidR="00504BC9" w:rsidRPr="00D30B33">
        <w:rPr>
          <w:i/>
          <w:w w:val="105"/>
        </w:rPr>
        <w:t>part</w:t>
      </w:r>
      <w:r w:rsidR="00504BC9" w:rsidRPr="00D30B33">
        <w:rPr>
          <w:i/>
          <w:spacing w:val="17"/>
          <w:w w:val="105"/>
        </w:rPr>
        <w:t xml:space="preserve"> </w:t>
      </w:r>
      <w:r w:rsidR="00504BC9" w:rsidRPr="00D30B33">
        <w:rPr>
          <w:i/>
          <w:w w:val="105"/>
        </w:rPr>
        <w:t>of</w:t>
      </w:r>
      <w:r w:rsidR="00504BC9" w:rsidRPr="00D30B33">
        <w:rPr>
          <w:i/>
          <w:spacing w:val="-15"/>
          <w:w w:val="105"/>
        </w:rPr>
        <w:t xml:space="preserve"> </w:t>
      </w:r>
      <w:r w:rsidR="00504BC9" w:rsidRPr="00D30B33">
        <w:rPr>
          <w:i/>
          <w:w w:val="105"/>
        </w:rPr>
        <w:t>t</w:t>
      </w:r>
      <w:r w:rsidR="00504BC9" w:rsidRPr="00D30B33">
        <w:rPr>
          <w:i/>
          <w:spacing w:val="-8"/>
          <w:w w:val="105"/>
        </w:rPr>
        <w:t>h</w:t>
      </w:r>
      <w:r w:rsidR="00504BC9" w:rsidRPr="00D30B33">
        <w:rPr>
          <w:i/>
          <w:w w:val="105"/>
        </w:rPr>
        <w:t>e</w:t>
      </w:r>
      <w:r w:rsidR="00504BC9" w:rsidRPr="00D30B33">
        <w:rPr>
          <w:i/>
          <w:spacing w:val="-20"/>
          <w:w w:val="105"/>
        </w:rPr>
        <w:t xml:space="preserve"> </w:t>
      </w:r>
      <w:r w:rsidR="00504BC9" w:rsidRPr="00D30B33">
        <w:rPr>
          <w:i/>
          <w:w w:val="105"/>
        </w:rPr>
        <w:t>agent</w:t>
      </w:r>
      <w:r w:rsidR="00D02222">
        <w:rPr>
          <w:i/>
          <w:w w:val="105"/>
        </w:rPr>
        <w:t>’</w:t>
      </w:r>
      <w:r w:rsidR="00FA0C80" w:rsidRPr="00D30B33">
        <w:rPr>
          <w:i/>
          <w:w w:val="105"/>
        </w:rPr>
        <w:t xml:space="preserve"> </w:t>
      </w:r>
      <w:r w:rsidR="00504BC9" w:rsidRPr="00D30B33">
        <w:rPr>
          <w:i/>
          <w:w w:val="105"/>
        </w:rPr>
        <w:t>(SZSXT</w:t>
      </w:r>
      <w:r w:rsidR="00504BC9" w:rsidRPr="00D30B33">
        <w:rPr>
          <w:i/>
          <w:spacing w:val="-18"/>
          <w:w w:val="105"/>
        </w:rPr>
        <w:t xml:space="preserve"> </w:t>
      </w:r>
      <w:r w:rsidR="00504BC9" w:rsidRPr="00D30B33">
        <w:rPr>
          <w:i/>
          <w:w w:val="105"/>
        </w:rPr>
        <w:t>v</w:t>
      </w:r>
      <w:r w:rsidR="00504BC9" w:rsidRPr="00D30B33">
        <w:rPr>
          <w:i/>
          <w:spacing w:val="-26"/>
          <w:w w:val="105"/>
        </w:rPr>
        <w:t xml:space="preserve"> </w:t>
      </w:r>
      <w:r w:rsidR="00504BC9" w:rsidRPr="00D30B33">
        <w:rPr>
          <w:i/>
          <w:w w:val="105"/>
        </w:rPr>
        <w:t>Minister</w:t>
      </w:r>
      <w:r w:rsidR="00FA0C80" w:rsidRPr="00D30B33">
        <w:rPr>
          <w:i/>
          <w:w w:val="105"/>
        </w:rPr>
        <w:t xml:space="preserve"> Immigration and Border </w:t>
      </w:r>
      <w:r w:rsidR="00504BC9" w:rsidRPr="00D30B33">
        <w:rPr>
          <w:i/>
          <w:w w:val="105"/>
        </w:rPr>
        <w:t>Pro</w:t>
      </w:r>
      <w:r w:rsidR="00504BC9" w:rsidRPr="00D30B33">
        <w:rPr>
          <w:i/>
          <w:spacing w:val="18"/>
          <w:w w:val="105"/>
        </w:rPr>
        <w:t>t</w:t>
      </w:r>
      <w:r w:rsidR="00504BC9" w:rsidRPr="00D30B33">
        <w:rPr>
          <w:i/>
          <w:w w:val="105"/>
        </w:rPr>
        <w:t>e</w:t>
      </w:r>
      <w:r w:rsidR="00504BC9" w:rsidRPr="00D30B33">
        <w:rPr>
          <w:i/>
          <w:spacing w:val="7"/>
          <w:w w:val="105"/>
        </w:rPr>
        <w:t>c</w:t>
      </w:r>
      <w:r w:rsidR="00504BC9" w:rsidRPr="00D30B33">
        <w:rPr>
          <w:i/>
          <w:w w:val="105"/>
        </w:rPr>
        <w:t>tion</w:t>
      </w:r>
      <w:r w:rsidR="00504BC9" w:rsidRPr="00D30B33">
        <w:rPr>
          <w:i/>
          <w:spacing w:val="-19"/>
          <w:w w:val="105"/>
        </w:rPr>
        <w:t xml:space="preserve"> </w:t>
      </w:r>
      <w:r w:rsidR="00504BC9" w:rsidRPr="00D30B33">
        <w:rPr>
          <w:w w:val="105"/>
        </w:rPr>
        <w:t>(2014)</w:t>
      </w:r>
      <w:r w:rsidR="00504BC9" w:rsidRPr="00D30B33">
        <w:rPr>
          <w:spacing w:val="-16"/>
          <w:w w:val="105"/>
        </w:rPr>
        <w:t xml:space="preserve"> </w:t>
      </w:r>
      <w:r w:rsidR="00504BC9" w:rsidRPr="00D30B33">
        <w:rPr>
          <w:w w:val="105"/>
        </w:rPr>
        <w:t>222</w:t>
      </w:r>
      <w:r w:rsidR="00504BC9" w:rsidRPr="00D30B33">
        <w:rPr>
          <w:spacing w:val="-13"/>
          <w:w w:val="105"/>
        </w:rPr>
        <w:t xml:space="preserve"> </w:t>
      </w:r>
      <w:r w:rsidR="00504BC9" w:rsidRPr="00D30B33">
        <w:rPr>
          <w:w w:val="105"/>
        </w:rPr>
        <w:t>FCR</w:t>
      </w:r>
      <w:r w:rsidR="00504BC9" w:rsidRPr="00D30B33">
        <w:rPr>
          <w:spacing w:val="-8"/>
          <w:w w:val="105"/>
        </w:rPr>
        <w:t xml:space="preserve"> </w:t>
      </w:r>
      <w:r w:rsidR="00504BC9" w:rsidRPr="00D30B33">
        <w:rPr>
          <w:w w:val="105"/>
        </w:rPr>
        <w:t>73</w:t>
      </w:r>
      <w:r w:rsidR="00504BC9" w:rsidRPr="00D30B33">
        <w:rPr>
          <w:spacing w:val="-23"/>
          <w:w w:val="105"/>
        </w:rPr>
        <w:t xml:space="preserve"> </w:t>
      </w:r>
      <w:r w:rsidR="00504BC9" w:rsidRPr="00D30B33">
        <w:rPr>
          <w:w w:val="105"/>
        </w:rPr>
        <w:t>at</w:t>
      </w:r>
      <w:r w:rsidR="00504BC9" w:rsidRPr="00D30B33">
        <w:rPr>
          <w:spacing w:val="-14"/>
          <w:w w:val="105"/>
        </w:rPr>
        <w:t xml:space="preserve"> </w:t>
      </w:r>
      <w:r w:rsidR="00504BC9" w:rsidRPr="00D30B33">
        <w:rPr>
          <w:w w:val="105"/>
        </w:rPr>
        <w:t>[52]</w:t>
      </w:r>
      <w:r w:rsidR="00504BC9" w:rsidRPr="00D30B33">
        <w:rPr>
          <w:spacing w:val="-7"/>
          <w:w w:val="105"/>
        </w:rPr>
        <w:t>)</w:t>
      </w:r>
      <w:r w:rsidR="00504BC9" w:rsidRPr="00D30B33">
        <w:rPr>
          <w:w w:val="105"/>
        </w:rPr>
        <w:t>,</w:t>
      </w:r>
      <w:r w:rsidR="00504BC9" w:rsidRPr="00D30B33">
        <w:rPr>
          <w:spacing w:val="-29"/>
          <w:w w:val="105"/>
        </w:rPr>
        <w:t xml:space="preserve"> </w:t>
      </w:r>
      <w:r w:rsidR="00504BC9" w:rsidRPr="00D30B33">
        <w:rPr>
          <w:w w:val="105"/>
        </w:rPr>
        <w:t>which</w:t>
      </w:r>
      <w:r w:rsidR="00504BC9" w:rsidRPr="00D30B33">
        <w:rPr>
          <w:spacing w:val="-7"/>
          <w:w w:val="105"/>
        </w:rPr>
        <w:t xml:space="preserve"> </w:t>
      </w:r>
      <w:r w:rsidR="00504BC9" w:rsidRPr="00D30B33">
        <w:rPr>
          <w:w w:val="105"/>
        </w:rPr>
        <w:t>would</w:t>
      </w:r>
      <w:r w:rsidR="00504BC9" w:rsidRPr="00D30B33">
        <w:rPr>
          <w:spacing w:val="-11"/>
          <w:w w:val="105"/>
        </w:rPr>
        <w:t xml:space="preserve"> </w:t>
      </w:r>
      <w:r w:rsidR="00504BC9" w:rsidRPr="00D30B33">
        <w:rPr>
          <w:w w:val="105"/>
        </w:rPr>
        <w:t>not</w:t>
      </w:r>
      <w:r w:rsidR="00504BC9" w:rsidRPr="00D30B33">
        <w:rPr>
          <w:spacing w:val="-8"/>
          <w:w w:val="105"/>
        </w:rPr>
        <w:t xml:space="preserve"> </w:t>
      </w:r>
      <w:r w:rsidR="00504BC9" w:rsidRPr="00D30B33">
        <w:rPr>
          <w:w w:val="105"/>
        </w:rPr>
        <w:t>constitute</w:t>
      </w:r>
      <w:r w:rsidR="00FA0C80" w:rsidRPr="00D30B33">
        <w:rPr>
          <w:w w:val="105"/>
        </w:rPr>
        <w:t xml:space="preserve"> a jurisdictional </w:t>
      </w:r>
      <w:r w:rsidR="00504BC9" w:rsidRPr="00D30B33">
        <w:rPr>
          <w:w w:val="105"/>
        </w:rPr>
        <w:t>error.</w:t>
      </w:r>
    </w:p>
    <w:p w:rsidR="008B5254" w:rsidRDefault="00FA0C80" w:rsidP="00552449">
      <w:pPr>
        <w:pStyle w:val="ParaNumbering"/>
      </w:pPr>
      <w:r>
        <w:t xml:space="preserve">The ground in </w:t>
      </w:r>
      <w:r w:rsidR="008B5254">
        <w:t>Mr Tesic</w:t>
      </w:r>
      <w:r w:rsidR="00D02222">
        <w:t>’</w:t>
      </w:r>
      <w:r w:rsidR="008B5254">
        <w:t>s notice of contention was as follows:</w:t>
      </w:r>
    </w:p>
    <w:p w:rsidR="008B5254" w:rsidRPr="00FA0C80" w:rsidRDefault="00FA0C80" w:rsidP="00BE4876">
      <w:pPr>
        <w:pStyle w:val="Quote1"/>
        <w:numPr>
          <w:ilvl w:val="0"/>
          <w:numId w:val="33"/>
        </w:numPr>
        <w:ind w:left="1440" w:hanging="703"/>
      </w:pPr>
      <w:r w:rsidRPr="00FA0C80">
        <w:t>The appellant in making the decision did not comply with the rules of natural justice and/or the applicant was denied procedural fairness.</w:t>
      </w:r>
    </w:p>
    <w:p w:rsidR="008B5254" w:rsidRPr="00C146A8" w:rsidRDefault="00C146A8" w:rsidP="00D90544">
      <w:pPr>
        <w:pStyle w:val="Heading2"/>
      </w:pPr>
      <w:r w:rsidRPr="00C146A8">
        <w:t>The submissions of the parties</w:t>
      </w:r>
    </w:p>
    <w:p w:rsidR="00C146A8" w:rsidRDefault="00C146A8" w:rsidP="00552449">
      <w:pPr>
        <w:pStyle w:val="ParaNumbering"/>
      </w:pPr>
      <w:r>
        <w:t xml:space="preserve">In relation to the </w:t>
      </w:r>
      <w:r w:rsidR="00D02222">
        <w:t>“</w:t>
      </w:r>
      <w:r>
        <w:t>privilege</w:t>
      </w:r>
      <w:r w:rsidR="00D02222">
        <w:t>”</w:t>
      </w:r>
      <w:r>
        <w:t xml:space="preserve"> of remaining in Australia grounds,</w:t>
      </w:r>
      <w:r w:rsidR="004B27F2">
        <w:t xml:space="preserve"> grounds 1 and 2,</w:t>
      </w:r>
      <w:r>
        <w:t xml:space="preserve"> </w:t>
      </w:r>
      <w:r w:rsidR="003A17DE">
        <w:t xml:space="preserve">the </w:t>
      </w:r>
      <w:r>
        <w:t>Minister submitted</w:t>
      </w:r>
      <w:r w:rsidR="00396257">
        <w:t xml:space="preserve"> that in </w:t>
      </w:r>
      <w:r w:rsidR="00396257" w:rsidRPr="00396257">
        <w:rPr>
          <w:i/>
        </w:rPr>
        <w:t>Stretton</w:t>
      </w:r>
      <w:r w:rsidR="00396257">
        <w:t xml:space="preserve"> and in </w:t>
      </w:r>
      <w:r w:rsidR="00396257" w:rsidRPr="00396257">
        <w:rPr>
          <w:i/>
        </w:rPr>
        <w:t>AZAFQ</w:t>
      </w:r>
      <w:r w:rsidR="00396257">
        <w:t xml:space="preserve">, the Full Court had considered language directly analogous to that used by the Minister in the present case. The Minister submitted that in </w:t>
      </w:r>
      <w:r w:rsidR="00396257" w:rsidRPr="00396257">
        <w:rPr>
          <w:i/>
        </w:rPr>
        <w:t xml:space="preserve">Stretton </w:t>
      </w:r>
      <w:r w:rsidR="00396257">
        <w:t xml:space="preserve">the Court did not suggest that the inclusion of reference to such </w:t>
      </w:r>
      <w:r w:rsidR="00D02222">
        <w:t>“</w:t>
      </w:r>
      <w:r w:rsidR="00396257">
        <w:t>privilege</w:t>
      </w:r>
      <w:r w:rsidR="00D02222">
        <w:t>”</w:t>
      </w:r>
      <w:r w:rsidR="00396257">
        <w:t xml:space="preserve"> grounded any jurisdictional error. In </w:t>
      </w:r>
      <w:r w:rsidR="00396257" w:rsidRPr="00396257">
        <w:rPr>
          <w:i/>
        </w:rPr>
        <w:t>AZAFQ</w:t>
      </w:r>
      <w:r w:rsidR="00396257">
        <w:t xml:space="preserve">, the Minister submitted, similar language was used but it was held that there was no legal unreasonableness. In the present case, the Minister submitted, contrary to the reasoning of the primary judge, as with </w:t>
      </w:r>
      <w:r w:rsidR="00396257" w:rsidRPr="00396257">
        <w:rPr>
          <w:i/>
        </w:rPr>
        <w:t>Stretton</w:t>
      </w:r>
      <w:r w:rsidR="00396257">
        <w:t xml:space="preserve"> and</w:t>
      </w:r>
      <w:r w:rsidR="00396257" w:rsidRPr="00396257">
        <w:rPr>
          <w:i/>
        </w:rPr>
        <w:t xml:space="preserve"> AZAFQ</w:t>
      </w:r>
      <w:r w:rsidR="00396257">
        <w:t xml:space="preserve">, there was no jurisdictional error in the Minister including reference to the </w:t>
      </w:r>
      <w:r w:rsidR="00D02222">
        <w:t>“</w:t>
      </w:r>
      <w:r w:rsidR="00396257">
        <w:t>privilege</w:t>
      </w:r>
      <w:r w:rsidR="00D02222">
        <w:t>”</w:t>
      </w:r>
      <w:r w:rsidR="00396257">
        <w:t xml:space="preserve"> of remaining in Australia in his statement of reasons. The language used was plainly referring to the framework for decision-making as set out in the preamble to Direction No</w:t>
      </w:r>
      <w:r w:rsidR="00BE4876">
        <w:t>.</w:t>
      </w:r>
      <w:r w:rsidR="00396257">
        <w:t xml:space="preserve"> 65. Read in context, the Minister submitted, he was saying no more than that, as a matter of policy, those who were granted visas were expected to be law-abiding and the rights conferred thereby may be removed if serious crimes are committed. There was no basis, the Minister submitted, for the conclusion of the primary judge that the decision-making process was </w:t>
      </w:r>
      <w:r w:rsidR="00D02222">
        <w:t>“</w:t>
      </w:r>
      <w:r w:rsidR="00396257">
        <w:t>distorted</w:t>
      </w:r>
      <w:r w:rsidR="00D02222">
        <w:t>”</w:t>
      </w:r>
      <w:r w:rsidR="00396257">
        <w:t xml:space="preserve"> by reason of the reference to </w:t>
      </w:r>
      <w:r w:rsidR="00D02222">
        <w:t>“</w:t>
      </w:r>
      <w:r w:rsidR="00396257">
        <w:t>privilege</w:t>
      </w:r>
      <w:r w:rsidR="00D02222">
        <w:t>”</w:t>
      </w:r>
      <w:r w:rsidR="00396257">
        <w:t>.</w:t>
      </w:r>
    </w:p>
    <w:p w:rsidR="00396257" w:rsidRDefault="00396257" w:rsidP="00552449">
      <w:pPr>
        <w:pStyle w:val="ParaNumbering"/>
      </w:pPr>
      <w:r>
        <w:t xml:space="preserve">Further, the Minister submitted, the primary judge erred in finding that the Minister applied the </w:t>
      </w:r>
      <w:r w:rsidR="00D02222">
        <w:t>“</w:t>
      </w:r>
      <w:r>
        <w:t>pri</w:t>
      </w:r>
      <w:r w:rsidR="003A17DE">
        <w:t>vilege</w:t>
      </w:r>
      <w:r w:rsidR="00D02222">
        <w:t>”</w:t>
      </w:r>
      <w:r w:rsidR="003A17DE">
        <w:t xml:space="preserve"> as a </w:t>
      </w:r>
      <w:r w:rsidR="00D02222">
        <w:t>“</w:t>
      </w:r>
      <w:r w:rsidR="003A17DE">
        <w:t xml:space="preserve">principle of law </w:t>
      </w:r>
      <w:r>
        <w:t>referable to the exercise of power, rather than a general policy statement</w:t>
      </w:r>
      <w:r w:rsidR="00D02222">
        <w:t>”</w:t>
      </w:r>
      <w:r>
        <w:t>. The Minister submitted the statement of reasons read as a whole did not support that construction.</w:t>
      </w:r>
    </w:p>
    <w:p w:rsidR="00E1428E" w:rsidRDefault="003A17DE" w:rsidP="00D90544">
      <w:pPr>
        <w:pStyle w:val="ParaNumbering"/>
      </w:pPr>
      <w:r>
        <w:t>The Minister submitted</w:t>
      </w:r>
      <w:r w:rsidR="00396257">
        <w:t xml:space="preserve"> that to the extent that the primary judge found that the policy framework reflected in the use of the term </w:t>
      </w:r>
      <w:r w:rsidR="00D02222">
        <w:t>“</w:t>
      </w:r>
      <w:r w:rsidR="00396257">
        <w:t>privilege</w:t>
      </w:r>
      <w:r w:rsidR="00D02222">
        <w:t>”</w:t>
      </w:r>
      <w:r w:rsidR="00396257">
        <w:t xml:space="preserve"> was an irrelevant consideration, the primary judge erred. The Minister submitted the unconfined nature of the discretion to be exercised under s 501CA(4) was one which did not lend itself to stated mandatory relevant or irrelevant considerations. The scope, object and purpose of the </w:t>
      </w:r>
      <w:r w:rsidR="00396257" w:rsidRPr="009D27D2">
        <w:rPr>
          <w:i/>
        </w:rPr>
        <w:t>Migration Act</w:t>
      </w:r>
      <w:r w:rsidR="00396257">
        <w:t xml:space="preserve"> did not support a conclusion that the Minister was</w:t>
      </w:r>
      <w:r w:rsidR="00E1428E">
        <w:t xml:space="preserve"> precluded from considering as a policy framework for his </w:t>
      </w:r>
      <w:r w:rsidR="00E1428E">
        <w:lastRenderedPageBreak/>
        <w:t>decision that visa holders should be expected to be law-abiding and that those who commit serious crime</w:t>
      </w:r>
      <w:r w:rsidR="00DF5ED6">
        <w:t>s</w:t>
      </w:r>
      <w:r w:rsidR="00E1428E">
        <w:t xml:space="preserve"> should expect that the</w:t>
      </w:r>
      <w:r>
        <w:t>ir</w:t>
      </w:r>
      <w:r w:rsidR="00E1428E">
        <w:t xml:space="preserve"> visas may be cancelled. The Minister submitted that this was consistent with the analysis of the then Direction in</w:t>
      </w:r>
      <w:r w:rsidR="00E1428E" w:rsidRPr="00E1428E">
        <w:t xml:space="preserve"> </w:t>
      </w:r>
      <w:r w:rsidR="00E1428E" w:rsidRPr="00E1428E">
        <w:rPr>
          <w:i/>
        </w:rPr>
        <w:t>Tanioria v Minister for Immigration and Border Protection</w:t>
      </w:r>
      <w:r w:rsidR="009475C9">
        <w:t xml:space="preserve"> [2016] FCAFC 43 at [19]. </w:t>
      </w:r>
      <w:r w:rsidR="00E1428E">
        <w:t xml:space="preserve">The Minister submitted that the analysis was inconsistent with any contention that the principles could not lawfully be considered. </w:t>
      </w:r>
    </w:p>
    <w:p w:rsidR="00D059CA" w:rsidRDefault="00D059CA" w:rsidP="00552449">
      <w:pPr>
        <w:pStyle w:val="ParaNumbering"/>
      </w:pPr>
      <w:r>
        <w:t>The respondent submitted in this respect</w:t>
      </w:r>
      <w:r w:rsidR="00E1428E">
        <w:t xml:space="preserve"> that the use of the word </w:t>
      </w:r>
      <w:r w:rsidR="00D02222">
        <w:t>“</w:t>
      </w:r>
      <w:r w:rsidR="00E1428E">
        <w:t>privilege</w:t>
      </w:r>
      <w:r w:rsidR="00D02222">
        <w:t>”</w:t>
      </w:r>
      <w:r w:rsidR="00E1428E">
        <w:t xml:space="preserve"> by the Minister was found in the section marked </w:t>
      </w:r>
      <w:r w:rsidR="00D02222">
        <w:t>“</w:t>
      </w:r>
      <w:r w:rsidR="00BE4876">
        <w:t>CONCLUSION</w:t>
      </w:r>
      <w:r w:rsidR="00D02222">
        <w:t>”</w:t>
      </w:r>
      <w:r w:rsidR="00E1428E">
        <w:t xml:space="preserve"> to the statement of reasons. There was in law no </w:t>
      </w:r>
      <w:r w:rsidR="00D02222">
        <w:t>“</w:t>
      </w:r>
      <w:r w:rsidR="00E1428E">
        <w:t>principle</w:t>
      </w:r>
      <w:r w:rsidR="00D02222">
        <w:t>”</w:t>
      </w:r>
      <w:r w:rsidR="00E1428E">
        <w:t xml:space="preserve"> of the kind the Minister was referring to. The words themselves had a particular force, being that this so-called </w:t>
      </w:r>
      <w:r w:rsidR="00D02222">
        <w:t>“</w:t>
      </w:r>
      <w:r w:rsidR="00E1428E">
        <w:t>principle</w:t>
      </w:r>
      <w:r w:rsidR="00D02222">
        <w:t>”</w:t>
      </w:r>
      <w:r w:rsidR="00E1428E">
        <w:t xml:space="preserve"> meant a person </w:t>
      </w:r>
      <w:r w:rsidR="00D02222">
        <w:t>“</w:t>
      </w:r>
      <w:r w:rsidR="00E1428E">
        <w:t>should expect to forfeit</w:t>
      </w:r>
      <w:r w:rsidR="00D02222">
        <w:t>”</w:t>
      </w:r>
      <w:r w:rsidR="00E1428E">
        <w:t xml:space="preserve"> the ability to remain in Australia. It was submitted that the so-called </w:t>
      </w:r>
      <w:r w:rsidR="00D02222">
        <w:t>“</w:t>
      </w:r>
      <w:r w:rsidR="00E1428E">
        <w:t>principle</w:t>
      </w:r>
      <w:r w:rsidR="00D02222">
        <w:t>”</w:t>
      </w:r>
      <w:r w:rsidR="00E1428E">
        <w:t xml:space="preserve"> had a tendency to lead to a prescription or skewed decision or a presumption towards making an unfavourable decision to an affected person. It was submitted that the word </w:t>
      </w:r>
      <w:r w:rsidR="00D02222">
        <w:t>“</w:t>
      </w:r>
      <w:r w:rsidR="00E1428E">
        <w:t>principle</w:t>
      </w:r>
      <w:r w:rsidR="00D02222">
        <w:t>”</w:t>
      </w:r>
      <w:r w:rsidR="00E1428E">
        <w:t xml:space="preserve"> had a driving force inconsistent with the unfettered nature of the discretion in s 501CA(4). It appeared that this </w:t>
      </w:r>
      <w:r w:rsidR="00D02222">
        <w:t>“</w:t>
      </w:r>
      <w:r w:rsidR="00E1428E">
        <w:t>principle</w:t>
      </w:r>
      <w:r w:rsidR="00D02222">
        <w:t>”</w:t>
      </w:r>
      <w:r w:rsidR="00E1428E">
        <w:t xml:space="preserve"> had developed a momentum to make it a driving force, something which it could not have at law. The respondent submitted that the primary judge was correct at [56] in stating that the </w:t>
      </w:r>
      <w:r w:rsidR="00D02222">
        <w:t>“</w:t>
      </w:r>
      <w:r w:rsidR="00E1428E">
        <w:t>principle</w:t>
      </w:r>
      <w:r w:rsidR="00D02222">
        <w:t>”</w:t>
      </w:r>
      <w:r w:rsidR="00E1428E">
        <w:t xml:space="preserve"> coloured the Minister</w:t>
      </w:r>
      <w:r w:rsidR="00D02222">
        <w:t>’</w:t>
      </w:r>
      <w:r w:rsidR="00E1428E">
        <w:t>s reasoning process.</w:t>
      </w:r>
    </w:p>
    <w:p w:rsidR="00F3722C" w:rsidRDefault="00D059CA" w:rsidP="00F3722C">
      <w:pPr>
        <w:pStyle w:val="ParaNumbering"/>
      </w:pPr>
      <w:r>
        <w:t>In relation</w:t>
      </w:r>
      <w:r w:rsidR="00F3722C">
        <w:t xml:space="preserve"> to the</w:t>
      </w:r>
      <w:r>
        <w:t xml:space="preserve"> </w:t>
      </w:r>
      <w:r w:rsidR="00F3722C">
        <w:t xml:space="preserve">grounds relating </w:t>
      </w:r>
      <w:r>
        <w:t>to the further evidence and the respondent</w:t>
      </w:r>
      <w:r w:rsidR="00D02222">
        <w:t>’</w:t>
      </w:r>
      <w:r>
        <w:t>s criminal history</w:t>
      </w:r>
      <w:r w:rsidR="00F3722C">
        <w:t>,</w:t>
      </w:r>
      <w:r>
        <w:t xml:space="preserve"> </w:t>
      </w:r>
      <w:r w:rsidR="004B27F2">
        <w:t xml:space="preserve">grounds </w:t>
      </w:r>
      <w:r w:rsidR="006D20F1">
        <w:t>3</w:t>
      </w:r>
      <w:r w:rsidR="004B27F2">
        <w:t xml:space="preserve"> to 6, </w:t>
      </w:r>
      <w:r>
        <w:t>the Minister submitted</w:t>
      </w:r>
      <w:r w:rsidR="00214722">
        <w:t xml:space="preserve"> that</w:t>
      </w:r>
      <w:r w:rsidR="00F3722C">
        <w:t xml:space="preserve"> he </w:t>
      </w:r>
      <w:r w:rsidR="00214722">
        <w:t>referred to and relied upon an accurate statement of the respondent</w:t>
      </w:r>
      <w:r w:rsidR="00D02222">
        <w:t>’</w:t>
      </w:r>
      <w:r w:rsidR="00214722">
        <w:t>s criminal record and of his sentences. Before the Minister, the respondent did not in any</w:t>
      </w:r>
      <w:r w:rsidR="00F3722C">
        <w:t xml:space="preserve"> way </w:t>
      </w:r>
      <w:r w:rsidR="003A17DE">
        <w:t>suggest</w:t>
      </w:r>
      <w:r w:rsidR="00214722">
        <w:t xml:space="preserve"> that he should not be regarded as having offen</w:t>
      </w:r>
      <w:r w:rsidR="00D02222">
        <w:t>ded as set out in the charge (ie</w:t>
      </w:r>
      <w:r w:rsidR="00214722">
        <w:t xml:space="preserve"> to 11 March 2010) nor did he challenge his representative</w:t>
      </w:r>
      <w:r w:rsidR="00D02222">
        <w:t>’</w:t>
      </w:r>
      <w:r w:rsidR="00214722">
        <w:t>s submission that the trafficking continued after the drug usage ceased. Any inaccuracy arose only from material not before the Minister.</w:t>
      </w:r>
      <w:r w:rsidR="00F3722C">
        <w:t xml:space="preserve"> </w:t>
      </w:r>
    </w:p>
    <w:p w:rsidR="00D059CA" w:rsidRDefault="00F3722C" w:rsidP="00F3722C">
      <w:pPr>
        <w:pStyle w:val="ParaNumbering"/>
      </w:pPr>
      <w:r>
        <w:t>The Minister s</w:t>
      </w:r>
      <w:r w:rsidR="00214722">
        <w:t>ubmitted that the primary judge erred in relying upon</w:t>
      </w:r>
      <w:r w:rsidR="00214722" w:rsidRPr="00214722">
        <w:t xml:space="preserve"> </w:t>
      </w:r>
      <w:r w:rsidRPr="00F3722C">
        <w:rPr>
          <w:i/>
        </w:rPr>
        <w:t>Lu v Minister for Immigration and Multicultural and Indigenous Affairs</w:t>
      </w:r>
      <w:r w:rsidRPr="00F3722C">
        <w:t xml:space="preserve"> </w:t>
      </w:r>
      <w:r>
        <w:t xml:space="preserve">[2004] FCAFC 340; 141 FCR 346 and </w:t>
      </w:r>
      <w:r w:rsidR="00214722" w:rsidRPr="00F3722C">
        <w:rPr>
          <w:i/>
        </w:rPr>
        <w:t>Ruatita v Minister for Immigration and Citizenship</w:t>
      </w:r>
      <w:r>
        <w:t xml:space="preserve"> [2013] FCA 542; 212 FCR 364. The Minister submitted the primary judge erred in finding that such factual material was a mandato</w:t>
      </w:r>
      <w:r w:rsidR="003A17DE">
        <w:t>ry relevant consideration and in</w:t>
      </w:r>
      <w:r>
        <w:t xml:space="preserve"> admitting the fresh evidence as relevant to the grounds of review. The Minister submitted that this case fell directly within the authority of the majority in</w:t>
      </w:r>
      <w:r w:rsidRPr="00F3722C">
        <w:t xml:space="preserve"> </w:t>
      </w:r>
      <w:r w:rsidRPr="00F3722C">
        <w:rPr>
          <w:i/>
        </w:rPr>
        <w:t>Minister for Immigration and Multicultural and Indigenous Affairs v Huynh</w:t>
      </w:r>
      <w:r>
        <w:t xml:space="preserve"> [2004] FCAFC 256; 139 FCR 505. Nor could </w:t>
      </w:r>
      <w:r w:rsidR="003A17DE">
        <w:t xml:space="preserve">it </w:t>
      </w:r>
      <w:r>
        <w:t xml:space="preserve">be said, the Minister submitted, that there </w:t>
      </w:r>
      <w:r>
        <w:lastRenderedPageBreak/>
        <w:t>was no evidence to support the Minister</w:t>
      </w:r>
      <w:r w:rsidR="00D02222">
        <w:t>’</w:t>
      </w:r>
      <w:r>
        <w:t>s description of the offence of which the respondent was convicted (having pleaded guilty) at [33] and [43] of the statement of reasons. The Minister submitted that any error of the respondent</w:t>
      </w:r>
      <w:r w:rsidR="00D02222">
        <w:t>’</w:t>
      </w:r>
      <w:r>
        <w:t>s migration agent in his submission to the Minister was not such as to constitute jurisdictional error.</w:t>
      </w:r>
    </w:p>
    <w:p w:rsidR="00D059CA" w:rsidRDefault="00D059CA" w:rsidP="006E2F4A">
      <w:pPr>
        <w:pStyle w:val="ParaNumbering"/>
      </w:pPr>
      <w:r>
        <w:t>The respondent submitted in this respect</w:t>
      </w:r>
      <w:r w:rsidR="00F3722C">
        <w:t xml:space="preserve"> that the primary judge made a finding that the fact that </w:t>
      </w:r>
      <w:r w:rsidR="0012578E">
        <w:t xml:space="preserve">he, </w:t>
      </w:r>
      <w:r w:rsidR="00F3722C">
        <w:t>Mr Tesic</w:t>
      </w:r>
      <w:r w:rsidR="0012578E">
        <w:t>,</w:t>
      </w:r>
      <w:r w:rsidR="00F3722C">
        <w:t xml:space="preserve"> continued to traffic</w:t>
      </w:r>
      <w:r w:rsidR="009475C9">
        <w:t>k</w:t>
      </w:r>
      <w:r w:rsidR="00F3722C">
        <w:t xml:space="preserve"> dangerous drugs when he had ceased personal use did not exist and referred to [83] and [84] of the judgment. This error, the respondent submitted, could be characterised as a jurisdictional error on three separate grounds, that is, unreasonable</w:t>
      </w:r>
      <w:r w:rsidR="006E2F4A">
        <w:t xml:space="preserve"> </w:t>
      </w:r>
      <w:r w:rsidR="006E2F4A" w:rsidRPr="006E2F4A">
        <w:t>(in the sense of no intelligible basis for the finding of a material fact)</w:t>
      </w:r>
      <w:r w:rsidR="00F3722C">
        <w:t xml:space="preserve">, failing to take a relevant consideration into account and absence of evidence of a material fact. The respondent submitted that what was involved was the misdescription of the sentences actually imposed on the respondent, referring to </w:t>
      </w:r>
      <w:r w:rsidR="00F3722C" w:rsidRPr="00F3722C">
        <w:rPr>
          <w:i/>
        </w:rPr>
        <w:t xml:space="preserve">Lu </w:t>
      </w:r>
      <w:r w:rsidR="00F3722C">
        <w:t>at [54] and to the same judgment at [55]-[56].</w:t>
      </w:r>
      <w:r w:rsidR="00E862BD">
        <w:t xml:space="preserve"> The respondent also submitted that having an accurate account of the visa holder</w:t>
      </w:r>
      <w:r w:rsidR="00D02222">
        <w:t>’</w:t>
      </w:r>
      <w:r w:rsidR="00E862BD">
        <w:t xml:space="preserve">s conduct is a relevant consideration and taking erroneous factual matters into account is an irrelevant consideration. The respondent submitted the preferable approach was to regard the provision of incorrect information about a matter the Minister regards as material </w:t>
      </w:r>
      <w:r w:rsidR="00A91E6B">
        <w:t xml:space="preserve">as meaning </w:t>
      </w:r>
      <w:r w:rsidR="00E862BD">
        <w:t>that the Minister</w:t>
      </w:r>
      <w:r w:rsidR="00D02222">
        <w:t>’</w:t>
      </w:r>
      <w:r w:rsidR="00E862BD">
        <w:t>s discretion has miscarried. The respondent also submitted that the character provisions make an accurate finding about the conduct of the visa holder a relevant consideration. If the Minister does not have an accurate finding of material fact on the visa holder</w:t>
      </w:r>
      <w:r w:rsidR="00D02222">
        <w:t>’</w:t>
      </w:r>
      <w:r w:rsidR="00E862BD">
        <w:t>s conduct before him or her, then it is a failure to take into account a relevant consideration. The evaluation of that conduct once accurately found as a material fact is a matter for the Minister</w:t>
      </w:r>
      <w:r w:rsidR="00D02222">
        <w:t>’</w:t>
      </w:r>
      <w:r w:rsidR="00E862BD">
        <w:t>s lawful discretion. The respondent submitted that the relevance of the further affidavits filed at first instance was interwoven into these issues. Clearly, it was submitted, those affidavits were relevant to enable the Court to properly assess the arguments of both parties.</w:t>
      </w:r>
    </w:p>
    <w:p w:rsidR="009D27D2" w:rsidRDefault="009D27D2" w:rsidP="009D27D2">
      <w:pPr>
        <w:pStyle w:val="ParaNumbering"/>
      </w:pPr>
      <w:r w:rsidRPr="009D27D2">
        <w:t xml:space="preserve">In relation to his notice of contention, the respondent submitted that essentially he was kept in the dark about whether it was the Minister or a delegate who would make the decision. It could be seen from the nature of the submissions made that they were based on the assumption that the decision would be made by a delegate bound by Ministerial </w:t>
      </w:r>
      <w:r w:rsidR="00BE4876">
        <w:t>Direction No. 65</w:t>
      </w:r>
      <w:r w:rsidRPr="009D27D2">
        <w:t>. Requiring the Department to notify a visa holder that it would be the Minister making the decision would not be an onerous exercise. Such an approach would let the visa holder know the parameters of the case he or she has to meet.</w:t>
      </w:r>
    </w:p>
    <w:p w:rsidR="00D059CA" w:rsidRPr="00D059CA" w:rsidRDefault="00D059CA" w:rsidP="00D90544">
      <w:pPr>
        <w:pStyle w:val="Heading2"/>
      </w:pPr>
      <w:r w:rsidRPr="00D059CA">
        <w:lastRenderedPageBreak/>
        <w:t>Analysis</w:t>
      </w:r>
    </w:p>
    <w:p w:rsidR="00D059CA" w:rsidRDefault="00E1428E" w:rsidP="00552449">
      <w:pPr>
        <w:pStyle w:val="ParaNumbering"/>
      </w:pPr>
      <w:r>
        <w:t xml:space="preserve">In relation to the use of the word </w:t>
      </w:r>
      <w:r w:rsidR="00D02222">
        <w:t>“</w:t>
      </w:r>
      <w:r>
        <w:t>privilege</w:t>
      </w:r>
      <w:r w:rsidR="00D02222">
        <w:t>”</w:t>
      </w:r>
      <w:r w:rsidR="007408E7">
        <w:t xml:space="preserve">, </w:t>
      </w:r>
      <w:r w:rsidR="006D20F1">
        <w:t xml:space="preserve">grounds 1 and 2, </w:t>
      </w:r>
      <w:r w:rsidR="007408E7">
        <w:t xml:space="preserve">it is appropriate to begin by considering the terms of </w:t>
      </w:r>
      <w:r w:rsidR="00BE4876">
        <w:t xml:space="preserve">Direction No. </w:t>
      </w:r>
      <w:r w:rsidR="007408E7">
        <w:t>65.</w:t>
      </w:r>
      <w:r w:rsidR="00722EBF">
        <w:t xml:space="preserve"> We note that the validity of that Dir</w:t>
      </w:r>
      <w:r w:rsidR="00D02222">
        <w:t>ection was not challenged in thi</w:t>
      </w:r>
      <w:r w:rsidR="00722EBF">
        <w:t>s</w:t>
      </w:r>
      <w:r w:rsidR="00D02222">
        <w:t xml:space="preserve"> proceeding</w:t>
      </w:r>
      <w:r w:rsidR="00722EBF">
        <w:t>.</w:t>
      </w:r>
    </w:p>
    <w:p w:rsidR="007408E7" w:rsidRDefault="002631CF" w:rsidP="00552449">
      <w:pPr>
        <w:pStyle w:val="ParaNumbering"/>
      </w:pPr>
      <w:r>
        <w:t>That Direction first refers to a privilege</w:t>
      </w:r>
      <w:r w:rsidR="009D27D2">
        <w:t xml:space="preserve"> at </w:t>
      </w:r>
      <w:r>
        <w:t>cl 6.3(1) and, more specifically, at cl 6.3(3)</w:t>
      </w:r>
      <w:r w:rsidR="002F2CC1">
        <w:t xml:space="preserve">. Those parts read as follows: </w:t>
      </w:r>
    </w:p>
    <w:p w:rsidR="002F2CC1" w:rsidRPr="00D90544" w:rsidRDefault="002F2CC1" w:rsidP="00D90544">
      <w:pPr>
        <w:pStyle w:val="Quote1"/>
        <w:rPr>
          <w:b/>
        </w:rPr>
      </w:pPr>
      <w:r w:rsidRPr="00D90544">
        <w:rPr>
          <w:b/>
        </w:rPr>
        <w:t>6.3</w:t>
      </w:r>
      <w:r w:rsidRPr="00D90544">
        <w:rPr>
          <w:b/>
        </w:rPr>
        <w:tab/>
        <w:t>Principles</w:t>
      </w:r>
    </w:p>
    <w:p w:rsidR="002F2CC1" w:rsidRDefault="002F2CC1" w:rsidP="00D90544">
      <w:pPr>
        <w:pStyle w:val="Quote1"/>
        <w:ind w:left="1418" w:hanging="681"/>
        <w:rPr>
          <w:szCs w:val="22"/>
        </w:rPr>
      </w:pPr>
      <w:r>
        <w:rPr>
          <w:szCs w:val="22"/>
        </w:rPr>
        <w:t>(1)</w:t>
      </w:r>
      <w:r>
        <w:rPr>
          <w:szCs w:val="22"/>
        </w:rPr>
        <w:tab/>
        <w:t>Australia has a sovereign right to determine whether non-citizens who are of character concern are allowed to enter and/or remain in Australia. Being able to come to or remain in Australia is a privilege Au</w:t>
      </w:r>
      <w:r w:rsidR="003A17DE">
        <w:rPr>
          <w:szCs w:val="22"/>
        </w:rPr>
        <w:t>stralia confers on non-citizen</w:t>
      </w:r>
      <w:r>
        <w:rPr>
          <w:szCs w:val="22"/>
        </w:rPr>
        <w:t>s in the expectation that they are, and have been, law-abiding, will respect important in</w:t>
      </w:r>
      <w:r w:rsidR="003A17DE">
        <w:rPr>
          <w:szCs w:val="22"/>
        </w:rPr>
        <w:t>stitutions, such as Australia</w:t>
      </w:r>
      <w:r w:rsidR="00D02222">
        <w:rPr>
          <w:szCs w:val="22"/>
        </w:rPr>
        <w:t>’</w:t>
      </w:r>
      <w:r>
        <w:rPr>
          <w:szCs w:val="22"/>
        </w:rPr>
        <w:t>s law enforcement framework, and will not cause or threaten harm to individuals or the Australian community.</w:t>
      </w:r>
    </w:p>
    <w:p w:rsidR="002F2CC1" w:rsidRDefault="002F2CC1" w:rsidP="00D90544">
      <w:pPr>
        <w:pStyle w:val="Quote1"/>
        <w:rPr>
          <w:szCs w:val="22"/>
        </w:rPr>
      </w:pPr>
      <w:r>
        <w:rPr>
          <w:szCs w:val="22"/>
        </w:rPr>
        <w:t>…</w:t>
      </w:r>
    </w:p>
    <w:p w:rsidR="002631CF" w:rsidRPr="002631CF" w:rsidRDefault="00D90544" w:rsidP="00D90544">
      <w:pPr>
        <w:pStyle w:val="Quote1"/>
        <w:ind w:left="1418" w:hanging="681"/>
        <w:rPr>
          <w:szCs w:val="22"/>
        </w:rPr>
      </w:pPr>
      <w:r>
        <w:rPr>
          <w:szCs w:val="22"/>
        </w:rPr>
        <w:t>(3)</w:t>
      </w:r>
      <w:r w:rsidR="002F2CC1">
        <w:rPr>
          <w:szCs w:val="22"/>
        </w:rPr>
        <w:tab/>
      </w:r>
      <w:r w:rsidR="002631CF" w:rsidRPr="002631CF">
        <w:rPr>
          <w:szCs w:val="22"/>
        </w:rPr>
        <w:t>A non-citizen who has committed a serious crime, including of a violent or sexual nature, and particularly against vulnerable membe</w:t>
      </w:r>
      <w:r w:rsidR="003A17DE">
        <w:rPr>
          <w:szCs w:val="22"/>
        </w:rPr>
        <w:t>rs of the community such as mino</w:t>
      </w:r>
      <w:r w:rsidR="002631CF" w:rsidRPr="002631CF">
        <w:rPr>
          <w:szCs w:val="22"/>
        </w:rPr>
        <w:t>rs, the elderly or disabled, should generally expect to be denied the privilege of coming to, or to forfeit the privilege of staying in, Australia.</w:t>
      </w:r>
    </w:p>
    <w:p w:rsidR="002631CF" w:rsidRDefault="002631CF" w:rsidP="007408E7">
      <w:pPr>
        <w:pStyle w:val="ParaNumbering"/>
      </w:pPr>
      <w:r>
        <w:t>Part C identifies the considerations relevant to former visa holders in determining whether to exercise the discretion to revoke the mandatory cancellation of the non-citizen</w:t>
      </w:r>
      <w:r w:rsidR="00D02222">
        <w:t>’</w:t>
      </w:r>
      <w:r>
        <w:t xml:space="preserve">s visa (see </w:t>
      </w:r>
      <w:r w:rsidR="00175F3C">
        <w:t xml:space="preserve">cl </w:t>
      </w:r>
      <w:r>
        <w:t>5 – Contents – Part C) and states at cl 13.1 under the headin</w:t>
      </w:r>
      <w:r w:rsidR="00D02222">
        <w:t>g “</w:t>
      </w:r>
      <w:r>
        <w:t>Protection of the Australian Community</w:t>
      </w:r>
      <w:r w:rsidR="00D02222">
        <w:t>”</w:t>
      </w:r>
      <w:r>
        <w:t xml:space="preserve"> that when considering protection of the Australian community:</w:t>
      </w:r>
    </w:p>
    <w:p w:rsidR="002631CF" w:rsidRPr="002631CF" w:rsidRDefault="00D02222" w:rsidP="00D90544">
      <w:pPr>
        <w:pStyle w:val="Quote1"/>
      </w:pPr>
      <w:r>
        <w:t>[</w:t>
      </w:r>
      <w:r w:rsidR="002631CF" w:rsidRPr="002631CF">
        <w:t>d</w:t>
      </w:r>
      <w:r>
        <w:t>]</w:t>
      </w:r>
      <w:r w:rsidR="002631CF" w:rsidRPr="002631CF">
        <w:t>ecision-makers should have regard to the</w:t>
      </w:r>
      <w:r w:rsidR="002631CF">
        <w:t xml:space="preserve"> principle </w:t>
      </w:r>
      <w:r w:rsidR="002631CF" w:rsidRPr="002631CF">
        <w:t>that the Government is committed to protecting the Australian community from harm as a result of criminal activity or other serious conduct by non-citizens. Remaining in Australia is a privilege that Australia confers on non-citizens in the expectation that they are, and have been, law-abiding, will respect important institutions, and will not cause or threaten harm to individuals or the Australian community.</w:t>
      </w:r>
    </w:p>
    <w:p w:rsidR="002F2CC1" w:rsidRDefault="002F2CC1" w:rsidP="007408E7">
      <w:pPr>
        <w:pStyle w:val="ParaNumbering"/>
      </w:pPr>
      <w:r>
        <w:t>In</w:t>
      </w:r>
      <w:r w:rsidR="004B27F2">
        <w:t xml:space="preserve"> our </w:t>
      </w:r>
      <w:r>
        <w:t xml:space="preserve">opinion, the Minister was referring at [31] of </w:t>
      </w:r>
      <w:r w:rsidR="004B27F2">
        <w:t>his statement of reasons to cl 6.3(1)</w:t>
      </w:r>
      <w:r>
        <w:t xml:space="preserve">. Similarly, at [55] of his </w:t>
      </w:r>
      <w:r w:rsidR="004B27F2">
        <w:t xml:space="preserve">statement of </w:t>
      </w:r>
      <w:r>
        <w:t>reasons, the Minister was referring to the principle in the same way as the Determination, at cl 6.3</w:t>
      </w:r>
      <w:r w:rsidR="004B27F2">
        <w:t>(3)</w:t>
      </w:r>
      <w:r>
        <w:t xml:space="preserve">, sets out </w:t>
      </w:r>
      <w:r w:rsidR="00D02222">
        <w:t>“</w:t>
      </w:r>
      <w:r>
        <w:t>Principles</w:t>
      </w:r>
      <w:r w:rsidR="00D02222">
        <w:t>”</w:t>
      </w:r>
      <w:r>
        <w:t>.</w:t>
      </w:r>
    </w:p>
    <w:p w:rsidR="004B27F2" w:rsidRDefault="004B27F2" w:rsidP="007408E7">
      <w:pPr>
        <w:pStyle w:val="ParaNumbering"/>
      </w:pPr>
      <w:r>
        <w:t>There are, in our opinion, t</w:t>
      </w:r>
      <w:r w:rsidR="006D20F1">
        <w:t>w</w:t>
      </w:r>
      <w:r>
        <w:t>o issues. The first is what is the meaning of the relevant passages in the Minister</w:t>
      </w:r>
      <w:r w:rsidR="00D02222">
        <w:t>’</w:t>
      </w:r>
      <w:r>
        <w:t>s statement of reasons, when read consistently with</w:t>
      </w:r>
      <w:r w:rsidRPr="004B27F2">
        <w:rPr>
          <w:i/>
        </w:rPr>
        <w:t xml:space="preserve"> Minister for Immigration and Ethnic Affairs v Wu Shan Liang</w:t>
      </w:r>
      <w:r w:rsidRPr="004B27F2">
        <w:t xml:space="preserve"> [1996] HCA 6; 185 CLR 259</w:t>
      </w:r>
      <w:r>
        <w:t>. The second issue, if reached, is whether that meaning gives rise to a jurisdictional error on the part of the Minister.</w:t>
      </w:r>
    </w:p>
    <w:p w:rsidR="002F2CC1" w:rsidRDefault="001D26ED" w:rsidP="007408E7">
      <w:pPr>
        <w:pStyle w:val="ParaNumbering"/>
      </w:pPr>
      <w:r>
        <w:lastRenderedPageBreak/>
        <w:t xml:space="preserve">Properly </w:t>
      </w:r>
      <w:r w:rsidR="002F2CC1">
        <w:t>read</w:t>
      </w:r>
      <w:r w:rsidR="00214722">
        <w:t xml:space="preserve"> in context</w:t>
      </w:r>
      <w:r w:rsidR="002F2CC1">
        <w:t>,</w:t>
      </w:r>
      <w:r w:rsidR="00214722">
        <w:t xml:space="preserve"> the references to </w:t>
      </w:r>
      <w:r w:rsidR="00D02222">
        <w:t>“</w:t>
      </w:r>
      <w:r w:rsidR="00214722">
        <w:t>privilege</w:t>
      </w:r>
      <w:r w:rsidR="00D02222">
        <w:t>”</w:t>
      </w:r>
      <w:r w:rsidR="00214722">
        <w:t xml:space="preserve"> in [31] and [55] </w:t>
      </w:r>
      <w:r w:rsidR="002F2CC1">
        <w:t>of the Minister</w:t>
      </w:r>
      <w:r w:rsidR="00D02222">
        <w:t>’</w:t>
      </w:r>
      <w:r w:rsidR="002F2CC1">
        <w:t>s statement of reasons are not to be construed as suggesting that the Minister was referring to legal principles but to considerations of government policy.</w:t>
      </w:r>
      <w:r w:rsidR="00214722">
        <w:t xml:space="preserve"> </w:t>
      </w:r>
      <w:r w:rsidR="00BE4876">
        <w:t>Direction No. 65</w:t>
      </w:r>
      <w:r w:rsidR="00D02222">
        <w:t xml:space="preserve"> </w:t>
      </w:r>
      <w:r w:rsidR="004B27F2">
        <w:t>provides the relevant context. We</w:t>
      </w:r>
      <w:r w:rsidR="00214722">
        <w:t xml:space="preserve"> do not read the Minister</w:t>
      </w:r>
      <w:r w:rsidR="00D02222">
        <w:t>’</w:t>
      </w:r>
      <w:r w:rsidR="00214722">
        <w:t>s statement of reasons as meaning that a non-citizen has no rights (but only privileges).</w:t>
      </w:r>
      <w:r w:rsidR="004B27F2">
        <w:t xml:space="preserve"> We </w:t>
      </w:r>
      <w:r w:rsidR="00214722">
        <w:t xml:space="preserve">therefore do not accept </w:t>
      </w:r>
      <w:r w:rsidR="005A6F55">
        <w:t xml:space="preserve">the factual basis for the submission </w:t>
      </w:r>
      <w:r w:rsidR="00214722">
        <w:t>that the decision-making process was distorted. Further</w:t>
      </w:r>
      <w:r w:rsidR="001C2C93">
        <w:t xml:space="preserve"> and consequentially</w:t>
      </w:r>
      <w:r w:rsidR="00214722">
        <w:t>,</w:t>
      </w:r>
      <w:r w:rsidR="004B27F2">
        <w:t xml:space="preserve"> we </w:t>
      </w:r>
      <w:r w:rsidR="00214722">
        <w:t xml:space="preserve">do not accept that </w:t>
      </w:r>
      <w:r w:rsidR="001C2C93">
        <w:t xml:space="preserve">there was a </w:t>
      </w:r>
      <w:r w:rsidR="00214722">
        <w:t>mi</w:t>
      </w:r>
      <w:r w:rsidR="003A17DE">
        <w:t xml:space="preserve">sunderstanding </w:t>
      </w:r>
      <w:r w:rsidR="001C2C93">
        <w:t xml:space="preserve">of </w:t>
      </w:r>
      <w:r w:rsidR="003A17DE">
        <w:t xml:space="preserve">the </w:t>
      </w:r>
      <w:r w:rsidR="00D02222">
        <w:t>“</w:t>
      </w:r>
      <w:r w:rsidR="003A17DE">
        <w:t>privilege</w:t>
      </w:r>
      <w:r w:rsidR="00D02222">
        <w:t>”</w:t>
      </w:r>
      <w:r w:rsidR="003A17DE">
        <w:t xml:space="preserve"> a</w:t>
      </w:r>
      <w:r w:rsidR="00214722">
        <w:t xml:space="preserve">s a principle of law </w:t>
      </w:r>
      <w:r w:rsidR="001C2C93">
        <w:t xml:space="preserve">which </w:t>
      </w:r>
      <w:r w:rsidR="00214722">
        <w:t>coloured the Minister</w:t>
      </w:r>
      <w:r w:rsidR="00D02222">
        <w:t>’</w:t>
      </w:r>
      <w:r w:rsidR="00214722">
        <w:t>s reasoning process.</w:t>
      </w:r>
    </w:p>
    <w:p w:rsidR="009D27D2" w:rsidRDefault="00B65F8B" w:rsidP="007408E7">
      <w:pPr>
        <w:pStyle w:val="ParaNumbering"/>
      </w:pPr>
      <w:r>
        <w:t xml:space="preserve">The respondent focused on the word </w:t>
      </w:r>
      <w:r w:rsidR="00D02222">
        <w:t>“</w:t>
      </w:r>
      <w:r>
        <w:t>principle</w:t>
      </w:r>
      <w:r w:rsidR="00D02222">
        <w:t>”</w:t>
      </w:r>
      <w:r>
        <w:t>. We do not accept the respondent</w:t>
      </w:r>
      <w:r w:rsidR="00D02222">
        <w:t>’</w:t>
      </w:r>
      <w:r>
        <w:t xml:space="preserve">s submission that the Minister used the word </w:t>
      </w:r>
      <w:r w:rsidR="00D02222">
        <w:t>“</w:t>
      </w:r>
      <w:r>
        <w:t>principle</w:t>
      </w:r>
      <w:r w:rsidR="00D02222">
        <w:t>”</w:t>
      </w:r>
      <w:r>
        <w:t xml:space="preserve"> to mean a rule of law that mandated or created a presumption that a person who committed serious crimes would not have his or her cancellation decision revoked, so as to distort </w:t>
      </w:r>
      <w:r w:rsidR="0012578E">
        <w:t xml:space="preserve">or impermissibly fetter </w:t>
      </w:r>
      <w:r>
        <w:t>the Minister</w:t>
      </w:r>
      <w:r w:rsidR="00D02222">
        <w:t>’</w:t>
      </w:r>
      <w:r>
        <w:t>s discretion. In our opinion, in saying that he was mindful of the principle that persons who commit serious crimes should expect to forfeit the privilege of remaining in Australia, the Minister was taking into account</w:t>
      </w:r>
      <w:r w:rsidR="0012578E">
        <w:t xml:space="preserve"> a </w:t>
      </w:r>
      <w:r>
        <w:t>policy</w:t>
      </w:r>
      <w:r w:rsidR="0012578E">
        <w:t xml:space="preserve"> to that effect</w:t>
      </w:r>
      <w:r>
        <w:t>.</w:t>
      </w:r>
    </w:p>
    <w:p w:rsidR="003D449E" w:rsidRDefault="00214722" w:rsidP="003D449E">
      <w:pPr>
        <w:pStyle w:val="ParaNumbering"/>
      </w:pPr>
      <w:r>
        <w:t>In</w:t>
      </w:r>
      <w:r w:rsidR="004B27F2">
        <w:t xml:space="preserve"> our </w:t>
      </w:r>
      <w:r>
        <w:t xml:space="preserve">opinion, the primary judge erred in distinguishing </w:t>
      </w:r>
      <w:r w:rsidRPr="00214722">
        <w:rPr>
          <w:i/>
        </w:rPr>
        <w:t>Stretton</w:t>
      </w:r>
      <w:r>
        <w:t xml:space="preserve"> and </w:t>
      </w:r>
      <w:r w:rsidRPr="00214722">
        <w:rPr>
          <w:i/>
        </w:rPr>
        <w:t>AZAFQ</w:t>
      </w:r>
      <w:r>
        <w:t xml:space="preserve"> and in concluding that the Minister h</w:t>
      </w:r>
      <w:r w:rsidR="00612050">
        <w:t xml:space="preserve">ad used the word </w:t>
      </w:r>
      <w:r w:rsidR="00D02222">
        <w:t>“</w:t>
      </w:r>
      <w:r w:rsidR="00612050">
        <w:t>privilege</w:t>
      </w:r>
      <w:r w:rsidR="00D02222">
        <w:t>”</w:t>
      </w:r>
      <w:r w:rsidR="00612050">
        <w:t xml:space="preserve"> in</w:t>
      </w:r>
      <w:r>
        <w:t>consistently with the statutory rights that non-citizens have in respect of visas.</w:t>
      </w:r>
      <w:r w:rsidR="003D449E">
        <w:t xml:space="preserve"> The primary judge also erred, at [56] insofar as her Honour concluded that the Minister, in stating that he was mindful of the </w:t>
      </w:r>
      <w:r w:rsidR="00D02222">
        <w:t>“</w:t>
      </w:r>
      <w:r w:rsidR="003D449E">
        <w:t>principle</w:t>
      </w:r>
      <w:r w:rsidR="00D02222">
        <w:t>”</w:t>
      </w:r>
      <w:r w:rsidR="003D449E">
        <w:t xml:space="preserve"> that persons who commit serious crimes should expect to forfeit the privilege of remaining in Australia, took into account an irrelevant consideration.</w:t>
      </w:r>
    </w:p>
    <w:p w:rsidR="00D81775" w:rsidRPr="00D81775" w:rsidRDefault="00D81775" w:rsidP="00D81775">
      <w:pPr>
        <w:pStyle w:val="ParaNumbering"/>
      </w:pPr>
      <w:r>
        <w:t>We refer to t</w:t>
      </w:r>
      <w:r w:rsidR="000A2891">
        <w:t>w</w:t>
      </w:r>
      <w:r>
        <w:t>o decisions relied on by the respondent,</w:t>
      </w:r>
      <w:r w:rsidRPr="00D81775">
        <w:rPr>
          <w:i/>
        </w:rPr>
        <w:t xml:space="preserve"> Aksu v Minister for Immigration and Multicultural Affairs</w:t>
      </w:r>
      <w:r w:rsidRPr="00D81775">
        <w:t xml:space="preserve"> [2001] FCA 514; 65 ALD 667</w:t>
      </w:r>
      <w:r>
        <w:t xml:space="preserve"> and </w:t>
      </w:r>
      <w:r w:rsidRPr="00D81775">
        <w:rPr>
          <w:i/>
        </w:rPr>
        <w:t>Andary v Minister for Immigration and Multicultural</w:t>
      </w:r>
      <w:r w:rsidRPr="00D81775">
        <w:t xml:space="preserve"> Affairs [2001] FCA 1544</w:t>
      </w:r>
      <w:r>
        <w:t xml:space="preserve">, and </w:t>
      </w:r>
      <w:r w:rsidR="0012578E">
        <w:t xml:space="preserve">to </w:t>
      </w:r>
      <w:r>
        <w:t>one decision relied on by the Minister,</w:t>
      </w:r>
      <w:r w:rsidRPr="00D81775">
        <w:rPr>
          <w:i/>
        </w:rPr>
        <w:t xml:space="preserve"> Tanioria </w:t>
      </w:r>
      <w:r w:rsidRPr="00D81775">
        <w:t>at [19].</w:t>
      </w:r>
    </w:p>
    <w:p w:rsidR="00BA2375" w:rsidRDefault="00BA2375" w:rsidP="00BA2375">
      <w:pPr>
        <w:pStyle w:val="ParaNumbering"/>
      </w:pPr>
      <w:r w:rsidRPr="00BA2375">
        <w:rPr>
          <w:i/>
        </w:rPr>
        <w:t>Aksu</w:t>
      </w:r>
      <w:r w:rsidRPr="00BA2375">
        <w:t xml:space="preserve"> </w:t>
      </w:r>
      <w:r>
        <w:t xml:space="preserve">concerned the power in s 501 of the </w:t>
      </w:r>
      <w:r w:rsidRPr="00BA2375">
        <w:rPr>
          <w:i/>
        </w:rPr>
        <w:t>Migration Act</w:t>
      </w:r>
      <w:r w:rsidR="000A2891">
        <w:t xml:space="preserve"> to cancel a visa if t</w:t>
      </w:r>
      <w:r>
        <w:t xml:space="preserve">he Minister reasonably suspected the person did not pass the character test and the person did not satisfy the Minister that he or she did pass the character test. It was said by Dowsett J at [10] that s 501 conferred an unfettered discretion and: </w:t>
      </w:r>
      <w:r w:rsidR="00D02222">
        <w:t>“</w:t>
      </w:r>
      <w:r>
        <w:t xml:space="preserve">In the absence of express provisions to the contrary, the </w:t>
      </w:r>
      <w:r w:rsidR="00D02222">
        <w:t xml:space="preserve">Minister </w:t>
      </w:r>
      <w:r>
        <w:t>cannot fetter his exercise of that discretion. He may, however formulate a policy to guide that exercise.</w:t>
      </w:r>
      <w:r w:rsidR="00D02222">
        <w:t>”</w:t>
      </w:r>
      <w:r>
        <w:t xml:space="preserve"> At [21], Dowsett J identified as a matter of concern the use of categories (primary and other considerations) and the prescription that: </w:t>
      </w:r>
      <w:r w:rsidR="00D02222">
        <w:t>“</w:t>
      </w:r>
      <w:r w:rsidRPr="00BA2375">
        <w:t xml:space="preserve">… no </w:t>
      </w:r>
      <w:r w:rsidRPr="00BA2375">
        <w:lastRenderedPageBreak/>
        <w:t>individual considerations can be more important than a primary consideration, but … a primary consideration cannot be conclusive in itself in deciding whether to exercise the discretion to refuse or to cancel a visa.</w:t>
      </w:r>
      <w:r w:rsidR="00D02222">
        <w:t>”</w:t>
      </w:r>
      <w:r w:rsidR="0014641E">
        <w:t xml:space="preserve"> At [24] and [34], his Honour said:</w:t>
      </w:r>
    </w:p>
    <w:p w:rsidR="0014641E" w:rsidRDefault="0014641E" w:rsidP="00D77B79">
      <w:pPr>
        <w:pStyle w:val="Quote1"/>
      </w:pPr>
      <w:r w:rsidRPr="0014641E">
        <w:t>It is one thing to say that some factors should generally be treated as more important than others.</w:t>
      </w:r>
      <w:r>
        <w:t xml:space="preserve">… </w:t>
      </w:r>
      <w:r w:rsidRPr="0014641E">
        <w:t>It is quite another thing to say that a particular consideration must always be treated as at least equally important as another consideration without regard to the facts of the case. Section 501 prescribes failure to satisfy the character test as a condition precedent to the exercise of the discretion to refuse or cancel. It does not create any presumption as to the way in which that discretion should be exercised. The unfettered nature of the discretion inevitably implies that in particular circumstances any one factor may, at least theoretically, outweigh any other possibly relevant factor.</w:t>
      </w:r>
    </w:p>
    <w:p w:rsidR="0014641E" w:rsidRPr="0014641E" w:rsidRDefault="00D02222" w:rsidP="00D77B79">
      <w:pPr>
        <w:pStyle w:val="Quote1"/>
      </w:pPr>
      <w:r>
        <w:t>…</w:t>
      </w:r>
      <w:r w:rsidR="004A1468">
        <w:t xml:space="preserve"> </w:t>
      </w:r>
      <w:r w:rsidR="0014641E" w:rsidRPr="0014641E">
        <w:t>It is an inescapable conclusion of his adoption of</w:t>
      </w:r>
      <w:r w:rsidR="0014641E">
        <w:t xml:space="preserve"> [the briefing paper] </w:t>
      </w:r>
      <w:r w:rsidR="0014641E" w:rsidRPr="0014641E">
        <w:t xml:space="preserve">that he proceeded in accordance with it. This must inevitably have included acceptance of the allegedly </w:t>
      </w:r>
      <w:r>
        <w:t>“</w:t>
      </w:r>
      <w:r w:rsidR="0014641E" w:rsidRPr="0014641E">
        <w:t>binding</w:t>
      </w:r>
      <w:r>
        <w:t>”</w:t>
      </w:r>
      <w:r w:rsidR="0014641E" w:rsidRPr="0014641E">
        <w:t xml:space="preserve"> nature of the </w:t>
      </w:r>
      <w:r w:rsidRPr="0014641E">
        <w:t>Direction</w:t>
      </w:r>
      <w:r w:rsidR="0014641E" w:rsidRPr="0014641E">
        <w:t>. It follows that he has inappropriately fettered his discretion by assuming that each primary consideration bore at least as much weight as each other consideration, regardless of the facts of the case. In my view this fettering of the discretion constituted an err</w:t>
      </w:r>
      <w:r w:rsidR="0014641E">
        <w:t>or of law for the purposes of s </w:t>
      </w:r>
      <w:r w:rsidR="0014641E" w:rsidRPr="0014641E">
        <w:t>476(1)(e) of the Act.</w:t>
      </w:r>
    </w:p>
    <w:p w:rsidR="0014641E" w:rsidRDefault="0014641E" w:rsidP="00D81775">
      <w:pPr>
        <w:pStyle w:val="ParaNumbering"/>
      </w:pPr>
      <w:r>
        <w:t xml:space="preserve">As may be seen, </w:t>
      </w:r>
      <w:r w:rsidR="00BA2375" w:rsidRPr="0014641E">
        <w:rPr>
          <w:i/>
        </w:rPr>
        <w:t>Aksu</w:t>
      </w:r>
      <w:r>
        <w:t xml:space="preserve"> confirms established principle, including that the Minister may formulate a policy to guide that exercise, and in the application of principle held that the Minister had fettered his discretion </w:t>
      </w:r>
      <w:r w:rsidR="00D02222">
        <w:t>“</w:t>
      </w:r>
      <w:r>
        <w:t>regardless of the facts of the case</w:t>
      </w:r>
      <w:r w:rsidR="00D02222">
        <w:t>”</w:t>
      </w:r>
      <w:r>
        <w:t>. If it had been necessary to decide, we would not</w:t>
      </w:r>
      <w:r w:rsidR="006D20F1">
        <w:t xml:space="preserve"> have accepted </w:t>
      </w:r>
      <w:r>
        <w:t xml:space="preserve">that in the present case </w:t>
      </w:r>
      <w:r w:rsidR="00BE4876">
        <w:t>Direction No. 65</w:t>
      </w:r>
      <w:r w:rsidR="00D02222">
        <w:t xml:space="preserve"> </w:t>
      </w:r>
      <w:r>
        <w:t>had that effect.</w:t>
      </w:r>
    </w:p>
    <w:p w:rsidR="00195F99" w:rsidRDefault="005A6F55" w:rsidP="005A6F55">
      <w:pPr>
        <w:pStyle w:val="ParaNumbering"/>
      </w:pPr>
      <w:r w:rsidRPr="005A6F55">
        <w:t xml:space="preserve">In </w:t>
      </w:r>
      <w:r w:rsidR="00BA2375" w:rsidRPr="00BA2375">
        <w:rPr>
          <w:i/>
        </w:rPr>
        <w:t>Andary</w:t>
      </w:r>
      <w:r>
        <w:t>,</w:t>
      </w:r>
      <w:r w:rsidRPr="005A6F55">
        <w:t xml:space="preserve"> </w:t>
      </w:r>
      <w:r w:rsidR="000A2891">
        <w:t xml:space="preserve">in contrast, </w:t>
      </w:r>
      <w:r w:rsidRPr="005A6F55">
        <w:t>the official who prepared the briefing paper (upon which the Minister acted), did not advise him that</w:t>
      </w:r>
      <w:r>
        <w:t xml:space="preserve"> </w:t>
      </w:r>
      <w:r w:rsidR="00BE4876">
        <w:t xml:space="preserve">Direction No. </w:t>
      </w:r>
      <w:r w:rsidRPr="005A6F55">
        <w:t>17 was binding upon him.</w:t>
      </w:r>
      <w:r>
        <w:t xml:space="preserve"> Nevertheless, Dowsett J concluded, at [42], that</w:t>
      </w:r>
      <w:r w:rsidRPr="005A6F55">
        <w:t xml:space="preserve"> </w:t>
      </w:r>
      <w:r>
        <w:t xml:space="preserve">the </w:t>
      </w:r>
      <w:r w:rsidRPr="005A6F55">
        <w:t>Minister</w:t>
      </w:r>
      <w:r>
        <w:t xml:space="preserve"> had </w:t>
      </w:r>
      <w:r w:rsidRPr="005A6F55">
        <w:t>not merely chosen to place more weight upon the primary considerations than upon the other matters having regard to the facts of the case.</w:t>
      </w:r>
      <w:r>
        <w:t xml:space="preserve"> Rather, the Minister </w:t>
      </w:r>
      <w:r w:rsidRPr="005A6F55">
        <w:t>accorded pre-eminence to the primary considerations and denied the possibility that the other matters</w:t>
      </w:r>
      <w:r w:rsidR="000A2891">
        <w:t>,</w:t>
      </w:r>
      <w:r w:rsidRPr="005A6F55">
        <w:t xml:space="preserve"> particular to the circumstances of the applicant</w:t>
      </w:r>
      <w:r w:rsidR="000A2891">
        <w:t>,</w:t>
      </w:r>
      <w:r w:rsidRPr="005A6F55">
        <w:t xml:space="preserve"> were entitled to greater importance than a primary consideration in the exercise of an unfettered discretion under s</w:t>
      </w:r>
      <w:r>
        <w:t xml:space="preserve"> </w:t>
      </w:r>
      <w:r w:rsidRPr="005A6F55">
        <w:t>501.</w:t>
      </w:r>
      <w:r>
        <w:t xml:space="preserve"> The Minister </w:t>
      </w:r>
      <w:r w:rsidRPr="005A6F55">
        <w:t xml:space="preserve">adopted this course because he applied the policy contained in </w:t>
      </w:r>
      <w:r w:rsidR="00BE4876">
        <w:t xml:space="preserve">Direction No. </w:t>
      </w:r>
      <w:r w:rsidRPr="005A6F55">
        <w:t>17 which directed such an approach to the exercise of the discretion.</w:t>
      </w:r>
      <w:r w:rsidR="006D20F1">
        <w:t xml:space="preserve"> </w:t>
      </w:r>
      <w:r w:rsidR="000A2891">
        <w:t xml:space="preserve"> </w:t>
      </w:r>
    </w:p>
    <w:p w:rsidR="0014641E" w:rsidRDefault="006D20F1" w:rsidP="0015028E">
      <w:pPr>
        <w:pStyle w:val="ParaNumbering"/>
      </w:pPr>
      <w:r>
        <w:t xml:space="preserve">If it had been necessary to decide, we would not have accepted that in the present case that course was taken by the Minister. We would not have accepted the submission that the use of the word </w:t>
      </w:r>
      <w:r w:rsidR="00D02222">
        <w:t>“</w:t>
      </w:r>
      <w:r>
        <w:t>princip</w:t>
      </w:r>
      <w:r w:rsidR="000A2891">
        <w:t>le</w:t>
      </w:r>
      <w:r w:rsidR="00D02222">
        <w:t>”</w:t>
      </w:r>
      <w:r>
        <w:t xml:space="preserve"> established that the Minister had fettered the width of his statutory discretion or </w:t>
      </w:r>
      <w:r w:rsidR="001C2C93">
        <w:t xml:space="preserve">that the Minister </w:t>
      </w:r>
      <w:r>
        <w:t xml:space="preserve">made his decision not to revoke the cancellation of the </w:t>
      </w:r>
      <w:r>
        <w:lastRenderedPageBreak/>
        <w:t>respondent</w:t>
      </w:r>
      <w:r w:rsidR="00D02222">
        <w:t>’</w:t>
      </w:r>
      <w:r>
        <w:t>s visa without regard to the circumstances of the present respondent.</w:t>
      </w:r>
      <w:r w:rsidR="0015028E">
        <w:t xml:space="preserve"> We refer to the recent discussion of these principles in</w:t>
      </w:r>
      <w:r w:rsidR="0015028E" w:rsidRPr="0015028E">
        <w:t xml:space="preserve"> </w:t>
      </w:r>
      <w:r w:rsidR="0015028E" w:rsidRPr="0015028E">
        <w:rPr>
          <w:i/>
        </w:rPr>
        <w:t>Plaintiff M64/2015 v Minister for Immigration and Border Protection</w:t>
      </w:r>
      <w:r w:rsidR="0015028E">
        <w:t xml:space="preserve"> [</w:t>
      </w:r>
      <w:r w:rsidR="00D02222">
        <w:t>2015] HCA 50; 327 ALR 8 at [52</w:t>
      </w:r>
      <w:r w:rsidR="007009A1">
        <w:t>]-</w:t>
      </w:r>
      <w:r w:rsidR="0015028E">
        <w:t xml:space="preserve">[54] per French CJ, Bell, </w:t>
      </w:r>
      <w:r w:rsidR="00D02222">
        <w:t>Keane and Gordon JJ and at [68</w:t>
      </w:r>
      <w:r w:rsidR="007009A1">
        <w:t>]-</w:t>
      </w:r>
      <w:r w:rsidR="0015028E">
        <w:t>[72] per Gageler J.</w:t>
      </w:r>
    </w:p>
    <w:p w:rsidR="00D81775" w:rsidRDefault="00D81775" w:rsidP="00D81775">
      <w:pPr>
        <w:pStyle w:val="ParaNumbering"/>
      </w:pPr>
      <w:r>
        <w:t>We should</w:t>
      </w:r>
      <w:r w:rsidR="00BA2375">
        <w:t xml:space="preserve"> note </w:t>
      </w:r>
      <w:r>
        <w:t>that we get no present assistance from the decision of the Full Court in</w:t>
      </w:r>
      <w:r w:rsidRPr="00D81775">
        <w:t xml:space="preserve"> </w:t>
      </w:r>
      <w:r w:rsidRPr="00D81775">
        <w:rPr>
          <w:i/>
        </w:rPr>
        <w:t>Tanioria</w:t>
      </w:r>
      <w:r w:rsidRPr="00D81775">
        <w:t xml:space="preserve"> at [19].</w:t>
      </w:r>
      <w:r w:rsidR="00BA2375">
        <w:t xml:space="preserve">  Although it was there submitted that cl 6.3(2) of the then Direction was </w:t>
      </w:r>
      <w:r w:rsidR="00BA2375" w:rsidRPr="00D02222">
        <w:rPr>
          <w:i/>
        </w:rPr>
        <w:t>ultra vires</w:t>
      </w:r>
      <w:r w:rsidR="00BA2375">
        <w:t xml:space="preserve"> the </w:t>
      </w:r>
      <w:r w:rsidR="00BA2375" w:rsidRPr="00BA2375">
        <w:rPr>
          <w:i/>
        </w:rPr>
        <w:t>Migration Act</w:t>
      </w:r>
      <w:r w:rsidR="00BA2375">
        <w:t xml:space="preserve">, the question </w:t>
      </w:r>
      <w:r w:rsidR="00195F99">
        <w:t>raised in</w:t>
      </w:r>
      <w:r w:rsidR="0012578E">
        <w:t xml:space="preserve"> the present </w:t>
      </w:r>
      <w:r w:rsidR="00195F99">
        <w:t xml:space="preserve">appeal </w:t>
      </w:r>
      <w:r w:rsidR="00BA2375">
        <w:t>was not raised</w:t>
      </w:r>
      <w:r w:rsidR="00195F99">
        <w:t xml:space="preserve"> in</w:t>
      </w:r>
      <w:r w:rsidR="00195F99" w:rsidRPr="00195F99">
        <w:rPr>
          <w:i/>
        </w:rPr>
        <w:t xml:space="preserve"> Tanioria</w:t>
      </w:r>
      <w:r w:rsidR="00BA2375">
        <w:t>.</w:t>
      </w:r>
    </w:p>
    <w:p w:rsidR="00E862BD" w:rsidRDefault="00E862BD" w:rsidP="007408E7">
      <w:pPr>
        <w:pStyle w:val="ParaNumbering"/>
      </w:pPr>
      <w:r>
        <w:t>In relation to the grounds of appeal concerning the respondent</w:t>
      </w:r>
      <w:r w:rsidR="00D02222">
        <w:t>’</w:t>
      </w:r>
      <w:r>
        <w:t>s criminal history and further evidence,</w:t>
      </w:r>
      <w:r w:rsidR="006D20F1">
        <w:t xml:space="preserve"> grounds 3 to 6, </w:t>
      </w:r>
      <w:r>
        <w:t>it is essential to start with the material which was before the Minister. Otherwise the jurisdiction of the Court to hear and determine the judicial review application in respect of the Minister</w:t>
      </w:r>
      <w:r w:rsidR="00D02222">
        <w:t>’</w:t>
      </w:r>
      <w:r>
        <w:t>s decision</w:t>
      </w:r>
      <w:r w:rsidR="006D20F1">
        <w:t xml:space="preserve"> risks sliding </w:t>
      </w:r>
      <w:r>
        <w:t>into impermissible merits review.</w:t>
      </w:r>
    </w:p>
    <w:p w:rsidR="00E862BD" w:rsidRDefault="001752BA" w:rsidP="007408E7">
      <w:pPr>
        <w:pStyle w:val="ParaNumbering"/>
      </w:pPr>
      <w:r>
        <w:t>The relevant finding by the Minister, at [43] of his statement of reasons, was that</w:t>
      </w:r>
      <w:r w:rsidR="00195F99">
        <w:t xml:space="preserve"> the respondent </w:t>
      </w:r>
      <w:r>
        <w:t>continued to traffic</w:t>
      </w:r>
      <w:r w:rsidR="009475C9">
        <w:t>k</w:t>
      </w:r>
      <w:r>
        <w:t xml:space="preserve"> drugs, following his cessation of their use. </w:t>
      </w:r>
      <w:r w:rsidR="00195F99">
        <w:t>Similarly</w:t>
      </w:r>
      <w:r>
        <w:t>, at [49], the Minister found that Mr Tesic continued to traffic</w:t>
      </w:r>
      <w:r w:rsidR="009475C9">
        <w:t>k</w:t>
      </w:r>
      <w:r>
        <w:t xml:space="preserve"> dangerous drugs when he had ceased personal use, and while he was on bail for drug possession offences.</w:t>
      </w:r>
    </w:p>
    <w:p w:rsidR="001752BA" w:rsidRPr="001752BA" w:rsidRDefault="001752BA" w:rsidP="007408E7">
      <w:pPr>
        <w:pStyle w:val="ParaNumbering"/>
        <w:rPr>
          <w:b/>
        </w:rPr>
      </w:pPr>
      <w:r>
        <w:t xml:space="preserve">The material before the Minister included what was said by the sentencing judge of the Supreme Court of Queensland on 19 November 2012. It was there stated that the count of trafficking in dangerous drugs related to the </w:t>
      </w:r>
      <w:r w:rsidR="00AE0CE3">
        <w:t>period from 18 September 2009 t</w:t>
      </w:r>
      <w:r>
        <w:t xml:space="preserve">o 11 March 2010. </w:t>
      </w:r>
      <w:r w:rsidR="0012578E">
        <w:t xml:space="preserve">The respondent had pleaded guilty to that charge, amongst others. </w:t>
      </w:r>
      <w:r>
        <w:t xml:space="preserve">The judge of the Supreme Court also said that Mr Tesic was put on bail after 19 September 2009 </w:t>
      </w:r>
      <w:r w:rsidR="00D02222">
        <w:t>“</w:t>
      </w:r>
      <w:r>
        <w:t>but continued your trafficking activities.</w:t>
      </w:r>
      <w:r w:rsidR="00D02222">
        <w:t>”</w:t>
      </w:r>
    </w:p>
    <w:p w:rsidR="001752BA" w:rsidRPr="00AE0CE3" w:rsidRDefault="001752BA" w:rsidP="007408E7">
      <w:pPr>
        <w:pStyle w:val="ParaNumbering"/>
        <w:rPr>
          <w:b/>
        </w:rPr>
      </w:pPr>
      <w:r>
        <w:t>Further, the respondent</w:t>
      </w:r>
      <w:r w:rsidR="00D02222">
        <w:t>’</w:t>
      </w:r>
      <w:r>
        <w:t>s migration agent/lawyer provided a substantial</w:t>
      </w:r>
      <w:r w:rsidR="003A17DE">
        <w:t xml:space="preserve"> number of statutory </w:t>
      </w:r>
      <w:r w:rsidR="00AE0CE3">
        <w:t>declaration</w:t>
      </w:r>
      <w:r>
        <w:t xml:space="preserve">s, including one by the respondent, and </w:t>
      </w:r>
      <w:r w:rsidR="003A17DE">
        <w:t>that migration agent/lawye</w:t>
      </w:r>
      <w:r w:rsidR="003D449E">
        <w:t>r</w:t>
      </w:r>
      <w:r w:rsidR="003A17DE">
        <w:t xml:space="preserve"> </w:t>
      </w:r>
      <w:r>
        <w:t>made a comprehensive submission on the respondent</w:t>
      </w:r>
      <w:r w:rsidR="00D02222">
        <w:t>’</w:t>
      </w:r>
      <w:r>
        <w:t>s behalf.</w:t>
      </w:r>
    </w:p>
    <w:p w:rsidR="00AE0CE3" w:rsidRPr="00AE0CE3" w:rsidRDefault="00AE0CE3" w:rsidP="007408E7">
      <w:pPr>
        <w:pStyle w:val="ParaNumbering"/>
        <w:rPr>
          <w:b/>
        </w:rPr>
      </w:pPr>
      <w:r>
        <w:t xml:space="preserve">It does not appear that any of that material took issue with what had been said </w:t>
      </w:r>
      <w:r w:rsidR="003A17DE">
        <w:t xml:space="preserve">on this topic </w:t>
      </w:r>
      <w:r>
        <w:t xml:space="preserve">by the sentencing judge. </w:t>
      </w:r>
      <w:r w:rsidR="003D449E">
        <w:t>We</w:t>
      </w:r>
      <w:r w:rsidR="000A2891">
        <w:t xml:space="preserve"> </w:t>
      </w:r>
      <w:r>
        <w:t>refer in particular to the respondent</w:t>
      </w:r>
      <w:r w:rsidR="00D02222">
        <w:t>’</w:t>
      </w:r>
      <w:r>
        <w:t>s statutory declarat</w:t>
      </w:r>
      <w:r w:rsidR="00D02222">
        <w:t>ion dated 18 March 2015 at [38</w:t>
      </w:r>
      <w:r w:rsidR="007009A1">
        <w:t>]-</w:t>
      </w:r>
      <w:r>
        <w:t xml:space="preserve">[43]. </w:t>
      </w:r>
    </w:p>
    <w:p w:rsidR="00AE0CE3" w:rsidRDefault="00AE0CE3" w:rsidP="007408E7">
      <w:pPr>
        <w:pStyle w:val="ParaNumbering"/>
        <w:rPr>
          <w:b/>
        </w:rPr>
      </w:pPr>
      <w:r w:rsidRPr="00AE0CE3">
        <w:t>Indeed, the migration agent/lawyer said</w:t>
      </w:r>
      <w:r>
        <w:rPr>
          <w:b/>
        </w:rPr>
        <w:t xml:space="preserve">: </w:t>
      </w:r>
    </w:p>
    <w:p w:rsidR="00AE0CE3" w:rsidRPr="00AE0CE3" w:rsidRDefault="00AE0CE3" w:rsidP="00D90544">
      <w:pPr>
        <w:pStyle w:val="Quote1"/>
      </w:pPr>
      <w:r w:rsidRPr="00AE0CE3">
        <w:lastRenderedPageBreak/>
        <w:t>It does seem, that the Applicant did continue trafficking for a short while after Larissa</w:t>
      </w:r>
      <w:r w:rsidR="00D02222">
        <w:t>’</w:t>
      </w:r>
      <w:r w:rsidRPr="00AE0CE3">
        <w:t>s ultimatum, but he was from all appearan</w:t>
      </w:r>
      <w:r w:rsidR="00D90544">
        <w:t>ces starting to wind this down.</w:t>
      </w:r>
    </w:p>
    <w:p w:rsidR="00AB023A" w:rsidRPr="00AB023A" w:rsidRDefault="00890B01" w:rsidP="007408E7">
      <w:pPr>
        <w:pStyle w:val="ParaNumbering"/>
        <w:rPr>
          <w:b/>
        </w:rPr>
      </w:pPr>
      <w:r>
        <w:t>We would not assume that the respondent was</w:t>
      </w:r>
      <w:r w:rsidR="000A2891">
        <w:t xml:space="preserve"> unaware </w:t>
      </w:r>
      <w:r>
        <w:t xml:space="preserve">of the sentencing remarks of the judge of the Supreme Court. In any event, it </w:t>
      </w:r>
      <w:r w:rsidR="00527FE4">
        <w:t xml:space="preserve">is </w:t>
      </w:r>
      <w:r w:rsidR="00AB023A">
        <w:t>clear that</w:t>
      </w:r>
      <w:r>
        <w:t xml:space="preserve"> those </w:t>
      </w:r>
      <w:r w:rsidR="00AB023A">
        <w:t xml:space="preserve">sentencing remarks were provided to the respondent </w:t>
      </w:r>
      <w:r w:rsidR="00527FE4">
        <w:t xml:space="preserve">by letter dated 29 June 2015, </w:t>
      </w:r>
      <w:r w:rsidR="00AB023A">
        <w:t xml:space="preserve">together with an invitation to comment on </w:t>
      </w:r>
      <w:r w:rsidR="0012578E">
        <w:t>them</w:t>
      </w:r>
      <w:r w:rsidR="00AB023A">
        <w:t xml:space="preserve">. </w:t>
      </w:r>
    </w:p>
    <w:p w:rsidR="00AE0CE3" w:rsidRPr="00AB023A" w:rsidRDefault="00AB023A" w:rsidP="007408E7">
      <w:pPr>
        <w:pStyle w:val="ParaNumbering"/>
        <w:rPr>
          <w:b/>
        </w:rPr>
      </w:pPr>
      <w:r>
        <w:t>In response</w:t>
      </w:r>
      <w:r w:rsidR="0012578E">
        <w:t xml:space="preserve"> by or on behalf of the respondent</w:t>
      </w:r>
      <w:r>
        <w:t xml:space="preserve">, </w:t>
      </w:r>
      <w:r w:rsidR="003D449E">
        <w:t>we</w:t>
      </w:r>
      <w:r w:rsidR="00AE0CE3" w:rsidRPr="00AE0CE3">
        <w:t xml:space="preserve"> note</w:t>
      </w:r>
      <w:r>
        <w:t xml:space="preserve"> first </w:t>
      </w:r>
      <w:r w:rsidR="00AE0CE3" w:rsidRPr="00AE0CE3">
        <w:t>that a supplementary submission dated 22 July 2015 was before the Minister</w:t>
      </w:r>
      <w:r w:rsidR="00AE0CE3">
        <w:rPr>
          <w:b/>
        </w:rPr>
        <w:t xml:space="preserve"> </w:t>
      </w:r>
      <w:r w:rsidR="00AE0CE3">
        <w:t>and that material sought to correct a sentencing remark</w:t>
      </w:r>
      <w:r>
        <w:t xml:space="preserve">, but not this one. Also before the Minister was a later statutory declaration by the respondent which sought to provide an explanation </w:t>
      </w:r>
      <w:r w:rsidR="00890B01">
        <w:t>of</w:t>
      </w:r>
      <w:r w:rsidR="00D02222">
        <w:t>,</w:t>
      </w:r>
      <w:r w:rsidR="00890B01">
        <w:t xml:space="preserve"> </w:t>
      </w:r>
      <w:r>
        <w:t>or qualification to another of</w:t>
      </w:r>
      <w:r w:rsidR="00D02222">
        <w:t>,</w:t>
      </w:r>
      <w:r>
        <w:t xml:space="preserve"> the sentencing remarks of the judge</w:t>
      </w:r>
      <w:r w:rsidR="009475C9">
        <w:t>, but not this one</w:t>
      </w:r>
      <w:r>
        <w:t>.</w:t>
      </w:r>
    </w:p>
    <w:p w:rsidR="00890B01" w:rsidRDefault="00A10D4F" w:rsidP="00031DD1">
      <w:pPr>
        <w:pStyle w:val="ParaNumbering"/>
      </w:pPr>
      <w:r>
        <w:t xml:space="preserve">The </w:t>
      </w:r>
      <w:r w:rsidR="00AB023A">
        <w:t>Minister had before him material on which to base his findings. Those findings could not be suggested to be legally unreasonable</w:t>
      </w:r>
      <w:r w:rsidR="00FD00B4">
        <w:t xml:space="preserve"> on the material before the Minister</w:t>
      </w:r>
      <w:r w:rsidR="00AB023A">
        <w:t xml:space="preserve">. </w:t>
      </w:r>
      <w:r w:rsidR="00C06FF1">
        <w:t xml:space="preserve">The findings by the Minister were not as to a jurisdictional fact. </w:t>
      </w:r>
      <w:r w:rsidR="00527FE4">
        <w:t xml:space="preserve">There was no relevant procedural error alleged. </w:t>
      </w:r>
      <w:r w:rsidR="00C06FF1">
        <w:t>Evidence is not to</w:t>
      </w:r>
      <w:r w:rsidR="003A17DE">
        <w:t xml:space="preserve"> be adduced on judicial review </w:t>
      </w:r>
      <w:r w:rsidR="00C06FF1">
        <w:t>merely on the basis that it goes to a mandatory consideration, even assuming that the period over which the</w:t>
      </w:r>
      <w:r>
        <w:t xml:space="preserve"> respondent </w:t>
      </w:r>
      <w:r w:rsidR="00C06FF1">
        <w:t xml:space="preserve">trafficked in dangerous drugs was a mandatory consideration. </w:t>
      </w:r>
    </w:p>
    <w:p w:rsidR="00031DD1" w:rsidRDefault="005B647B" w:rsidP="00031DD1">
      <w:pPr>
        <w:pStyle w:val="ParaNumbering"/>
      </w:pPr>
      <w:r>
        <w:t xml:space="preserve">In </w:t>
      </w:r>
      <w:r w:rsidR="00031DD1" w:rsidRPr="00031DD1">
        <w:rPr>
          <w:i/>
        </w:rPr>
        <w:t>Minister for Immigration and Multicultural Affairs v Yusuf</w:t>
      </w:r>
      <w:r w:rsidR="00031DD1" w:rsidRPr="00031DD1">
        <w:t xml:space="preserve"> [2001] HCA 30; 206 CLR 323</w:t>
      </w:r>
      <w:r w:rsidR="00031DD1">
        <w:t xml:space="preserve"> McHugh,</w:t>
      </w:r>
      <w:r w:rsidR="00F32405">
        <w:t xml:space="preserve"> Gummow and Hayne JJ said</w:t>
      </w:r>
      <w:r w:rsidR="00D02222">
        <w:t>, at [72</w:t>
      </w:r>
      <w:r w:rsidR="007009A1">
        <w:t>]-</w:t>
      </w:r>
      <w:r w:rsidR="00031DD1">
        <w:t>[7</w:t>
      </w:r>
      <w:r w:rsidR="00F32405">
        <w:t>3</w:t>
      </w:r>
      <w:r w:rsidR="00031DD1">
        <w:t>]</w:t>
      </w:r>
      <w:r w:rsidR="00F32405">
        <w:t xml:space="preserve"> (omitting footnotes)</w:t>
      </w:r>
      <w:r w:rsidR="00031DD1">
        <w:t>:</w:t>
      </w:r>
    </w:p>
    <w:p w:rsidR="00031DD1" w:rsidRPr="00031DD1" w:rsidRDefault="00031DD1" w:rsidP="00D77B79">
      <w:pPr>
        <w:pStyle w:val="Quote1"/>
        <w:rPr>
          <w:rFonts w:ascii="Open Sans" w:hAnsi="Open Sans" w:hint="eastAsia"/>
          <w:lang w:val="en" w:eastAsia="en-AU"/>
        </w:rPr>
      </w:pPr>
      <w:r w:rsidRPr="00031DD1">
        <w:rPr>
          <w:lang w:val="en" w:eastAsia="en-AU"/>
        </w:rPr>
        <w:t>The considerations that are, or ar</w:t>
      </w:r>
      <w:r w:rsidR="00F32405">
        <w:rPr>
          <w:lang w:val="en" w:eastAsia="en-AU"/>
        </w:rPr>
        <w:t>e not, relevant to the Tribunal</w:t>
      </w:r>
      <w:r w:rsidR="00D02222">
        <w:rPr>
          <w:lang w:val="en" w:eastAsia="en-AU"/>
        </w:rPr>
        <w:t>’</w:t>
      </w:r>
      <w:r w:rsidRPr="00031DD1">
        <w:rPr>
          <w:lang w:val="en" w:eastAsia="en-AU"/>
        </w:rPr>
        <w:t xml:space="preserve">s task are to be identified primarily, perhaps even entirely, by reference to the Act rather than the particular facts of the case that the Tribunal is called on to consider. </w:t>
      </w:r>
      <w:r w:rsidR="00F32405">
        <w:rPr>
          <w:lang w:val="en" w:eastAsia="en-AU"/>
        </w:rPr>
        <w:t>…</w:t>
      </w:r>
    </w:p>
    <w:p w:rsidR="00031DD1" w:rsidRPr="00F32405" w:rsidRDefault="00031DD1" w:rsidP="00D77B79">
      <w:pPr>
        <w:pStyle w:val="Quote1"/>
        <w:rPr>
          <w:rFonts w:ascii="Open Sans" w:hAnsi="Open Sans" w:hint="eastAsia"/>
          <w:lang w:val="en" w:eastAsia="en-AU"/>
        </w:rPr>
      </w:pPr>
      <w:r w:rsidRPr="00031DD1">
        <w:rPr>
          <w:rFonts w:ascii="Open Sans" w:hAnsi="Open Sans"/>
          <w:lang w:val="en" w:eastAsia="en-AU"/>
        </w:rPr>
        <w:t>This does not deny that considerations advanced by the parties can have some importance in deciding what is or is not a relevant consideration. It may be, for example, that a particular statute makes the matters which are advanced in the course of a process of decision-making relevant considerations for the decision-maker. What is important, however, is that the grounds of judicial review that fasten upo</w:t>
      </w:r>
      <w:r w:rsidR="00F32405" w:rsidRPr="00F32405">
        <w:rPr>
          <w:rFonts w:ascii="Open Sans" w:hAnsi="Open Sans"/>
          <w:lang w:val="en" w:eastAsia="en-AU"/>
        </w:rPr>
        <w:t xml:space="preserve">n the use made of relevant and </w:t>
      </w:r>
      <w:r w:rsidRPr="00031DD1">
        <w:rPr>
          <w:rFonts w:ascii="Open Sans" w:hAnsi="Open Sans"/>
          <w:lang w:val="en" w:eastAsia="en-AU"/>
        </w:rPr>
        <w:t>irrelevant considerations are concerned essentially with whether the decision-maker has properly applied the law. They are not grounds that are centrally concerned with the process of making the particular findings of fact upon which the decision-maker acts.</w:t>
      </w:r>
    </w:p>
    <w:p w:rsidR="00B26245" w:rsidRPr="00B26245" w:rsidRDefault="00B26245" w:rsidP="004E032C">
      <w:pPr>
        <w:pStyle w:val="ParaNumbering"/>
        <w:rPr>
          <w:b/>
        </w:rPr>
      </w:pPr>
      <w:r>
        <w:t xml:space="preserve">Put shortly, it is not permissible to conflate evidence with mandatory considerations. </w:t>
      </w:r>
    </w:p>
    <w:p w:rsidR="00AB023A" w:rsidRPr="00C06FF1" w:rsidRDefault="00AB023A" w:rsidP="004E032C">
      <w:pPr>
        <w:pStyle w:val="ParaNumbering"/>
        <w:rPr>
          <w:b/>
        </w:rPr>
      </w:pPr>
      <w:r>
        <w:t>In</w:t>
      </w:r>
      <w:r w:rsidR="00890B01">
        <w:t xml:space="preserve"> our </w:t>
      </w:r>
      <w:r>
        <w:t>opinion</w:t>
      </w:r>
      <w:r w:rsidR="00A10D4F">
        <w:t>, in</w:t>
      </w:r>
      <w:r w:rsidR="00C06FF1">
        <w:t xml:space="preserve"> the </w:t>
      </w:r>
      <w:r w:rsidR="00F32405">
        <w:t xml:space="preserve">present </w:t>
      </w:r>
      <w:r w:rsidR="00C06FF1">
        <w:t>circumstances</w:t>
      </w:r>
      <w:r>
        <w:t xml:space="preserve"> evidence was inadmissible before the primary judge to contradict the material on which the Minister made his findings </w:t>
      </w:r>
      <w:r w:rsidR="00F334B5">
        <w:t>of fact</w:t>
      </w:r>
      <w:r w:rsidR="0012578E">
        <w:t>: see [8] above</w:t>
      </w:r>
      <w:r w:rsidR="00F334B5">
        <w:t>.</w:t>
      </w:r>
      <w:r w:rsidR="00C06FF1">
        <w:t xml:space="preserve"> </w:t>
      </w:r>
    </w:p>
    <w:p w:rsidR="006E1CB6" w:rsidRPr="006E1CB6" w:rsidRDefault="006E1CB6" w:rsidP="006E1CB6">
      <w:pPr>
        <w:pStyle w:val="ParaNumbering"/>
        <w:rPr>
          <w:i/>
          <w:lang w:val="en"/>
        </w:rPr>
      </w:pPr>
      <w:r>
        <w:lastRenderedPageBreak/>
        <w:t xml:space="preserve">It is to be recalled that in </w:t>
      </w:r>
      <w:r w:rsidRPr="006E1CB6">
        <w:rPr>
          <w:i/>
          <w:lang w:val="en"/>
        </w:rPr>
        <w:t xml:space="preserve">Waterford v Commonwealth </w:t>
      </w:r>
      <w:r w:rsidRPr="006E1CB6">
        <w:rPr>
          <w:lang w:val="en"/>
        </w:rPr>
        <w:t xml:space="preserve">[1987] HCA 25; 163 CLR </w:t>
      </w:r>
      <w:r>
        <w:rPr>
          <w:lang w:val="en"/>
        </w:rPr>
        <w:t>54 Brennan J said at 77</w:t>
      </w:r>
      <w:r w:rsidR="00D02222">
        <w:rPr>
          <w:lang w:val="en"/>
        </w:rPr>
        <w:t>–</w:t>
      </w:r>
      <w:r>
        <w:rPr>
          <w:lang w:val="en"/>
        </w:rPr>
        <w:t>78:</w:t>
      </w:r>
    </w:p>
    <w:p w:rsidR="005B647B" w:rsidRPr="005B647B" w:rsidRDefault="005B647B" w:rsidP="00D77B79">
      <w:pPr>
        <w:pStyle w:val="Quote1"/>
        <w:rPr>
          <w:lang w:val="en"/>
        </w:rPr>
      </w:pPr>
      <w:r w:rsidRPr="005B647B">
        <w:rPr>
          <w:lang w:val="en"/>
        </w:rPr>
        <w:t xml:space="preserve">A finding by the A.A.T. on a matter of fact cannot be reviewed on appeal unless the finding is vitiated by an error of law. Section 44 of the A.A.T. Act confers on a party to a proceeding before the A.A.T. a right of appeal to the Federal Court of Australia </w:t>
      </w:r>
      <w:r w:rsidR="00D02222">
        <w:rPr>
          <w:rStyle w:val="g"/>
          <w:color w:val="373A3C"/>
          <w:szCs w:val="22"/>
          <w:lang w:val="en"/>
        </w:rPr>
        <w:t>“</w:t>
      </w:r>
      <w:r w:rsidRPr="005B647B">
        <w:rPr>
          <w:lang w:val="en"/>
        </w:rPr>
        <w:t>from any decision of the Tribunal in that proceeding</w:t>
      </w:r>
      <w:r w:rsidR="00D02222">
        <w:rPr>
          <w:lang w:val="en"/>
        </w:rPr>
        <w:t>”</w:t>
      </w:r>
      <w:r w:rsidRPr="005B647B">
        <w:rPr>
          <w:lang w:val="en"/>
        </w:rPr>
        <w:t xml:space="preserve"> but only </w:t>
      </w:r>
      <w:r w:rsidR="00D02222">
        <w:rPr>
          <w:rStyle w:val="g"/>
          <w:color w:val="373A3C"/>
          <w:szCs w:val="22"/>
          <w:lang w:val="en"/>
        </w:rPr>
        <w:t>“</w:t>
      </w:r>
      <w:r w:rsidRPr="005B647B">
        <w:rPr>
          <w:lang w:val="en"/>
        </w:rPr>
        <w:t>on a question of law</w:t>
      </w:r>
      <w:r w:rsidR="00D02222">
        <w:rPr>
          <w:lang w:val="en"/>
        </w:rPr>
        <w:t>”</w:t>
      </w:r>
      <w:r w:rsidRPr="005B647B">
        <w:rPr>
          <w:lang w:val="en"/>
        </w:rPr>
        <w:t xml:space="preserve">. The error of law which an appellant must rely on to succeed must arise on the facts as the A.A.T. has found them to be or it must vitiate the findings made or it must have led the A.A.T. to omit to make a finding it was legally required to make. There is no error of law simply in making a wrong finding of fact. Therefore an appellant cannot supplement the record by adducing fresh evidence merely in order to demonstrate an error of fact. </w:t>
      </w:r>
    </w:p>
    <w:p w:rsidR="006E1CB6" w:rsidRPr="00B26245" w:rsidRDefault="00B26245" w:rsidP="00D77B79">
      <w:pPr>
        <w:pStyle w:val="NoNum"/>
        <w:rPr>
          <w:lang w:val="en"/>
        </w:rPr>
      </w:pPr>
      <w:r>
        <w:rPr>
          <w:lang w:val="en"/>
        </w:rPr>
        <w:t>T</w:t>
      </w:r>
      <w:r w:rsidR="005B647B" w:rsidRPr="005B647B">
        <w:rPr>
          <w:lang w:val="en"/>
        </w:rPr>
        <w:t>he position of the Minist</w:t>
      </w:r>
      <w:r w:rsidR="007408EF">
        <w:rPr>
          <w:lang w:val="en"/>
        </w:rPr>
        <w:t>er</w:t>
      </w:r>
      <w:r w:rsidR="005B647B" w:rsidRPr="005B647B">
        <w:rPr>
          <w:lang w:val="en"/>
        </w:rPr>
        <w:t xml:space="preserve"> as primary decision-maker on judicial review for jurisdictional error can be no more favourable to the admission of fresh evidence than the position</w:t>
      </w:r>
      <w:r w:rsidR="00F32405">
        <w:rPr>
          <w:lang w:val="en"/>
        </w:rPr>
        <w:t xml:space="preserve"> in respect of </w:t>
      </w:r>
      <w:r w:rsidR="005B647B" w:rsidRPr="005B647B">
        <w:rPr>
          <w:lang w:val="en"/>
        </w:rPr>
        <w:t>the AAT on an appeal limited to a question of law.</w:t>
      </w:r>
      <w:r>
        <w:rPr>
          <w:lang w:val="en"/>
        </w:rPr>
        <w:t xml:space="preserve"> The Minister</w:t>
      </w:r>
      <w:r w:rsidR="00D02222">
        <w:rPr>
          <w:lang w:val="en"/>
        </w:rPr>
        <w:t>’</w:t>
      </w:r>
      <w:r>
        <w:rPr>
          <w:lang w:val="en"/>
        </w:rPr>
        <w:t>s findings were not vitiated by an error of law.</w:t>
      </w:r>
    </w:p>
    <w:p w:rsidR="00F334B5" w:rsidRDefault="00F334B5" w:rsidP="007408EF">
      <w:pPr>
        <w:pStyle w:val="ParaNumbering"/>
      </w:pPr>
      <w:r>
        <w:t xml:space="preserve">In </w:t>
      </w:r>
      <w:r w:rsidRPr="00F334B5">
        <w:rPr>
          <w:i/>
        </w:rPr>
        <w:t>Szelagowicz v Stocker</w:t>
      </w:r>
      <w:r w:rsidRPr="00F334B5">
        <w:t xml:space="preserve"> [1994] FCA 323; 35 ALD 16 at 22</w:t>
      </w:r>
      <w:r>
        <w:t>,</w:t>
      </w:r>
      <w:r w:rsidRPr="00F334B5">
        <w:t xml:space="preserve"> in relation to the broader </w:t>
      </w:r>
      <w:r w:rsidR="00D02222">
        <w:t>“</w:t>
      </w:r>
      <w:r w:rsidRPr="00F334B5">
        <w:t>no evidence</w:t>
      </w:r>
      <w:r w:rsidR="00D02222">
        <w:t>”</w:t>
      </w:r>
      <w:r w:rsidRPr="00F334B5">
        <w:t xml:space="preserve"> ground</w:t>
      </w:r>
      <w:r w:rsidR="007408EF">
        <w:t>s</w:t>
      </w:r>
      <w:r w:rsidRPr="00F334B5">
        <w:t xml:space="preserve"> in </w:t>
      </w:r>
      <w:r w:rsidR="007408EF">
        <w:t xml:space="preserve">ss 5(1)(h) and 5(3)(b) of </w:t>
      </w:r>
      <w:r w:rsidRPr="00F334B5">
        <w:t xml:space="preserve">the </w:t>
      </w:r>
      <w:r w:rsidRPr="00F334B5">
        <w:rPr>
          <w:i/>
        </w:rPr>
        <w:t>Administrative Decisions (Judicial Review) Act 1977</w:t>
      </w:r>
      <w:r w:rsidRPr="00F334B5">
        <w:t xml:space="preserve"> (Cth)</w:t>
      </w:r>
      <w:r w:rsidR="00D02222">
        <w:t>,</w:t>
      </w:r>
      <w:r>
        <w:t xml:space="preserve"> the</w:t>
      </w:r>
      <w:r w:rsidR="0012578E">
        <w:t xml:space="preserve"> plurality </w:t>
      </w:r>
      <w:r>
        <w:t>said</w:t>
      </w:r>
      <w:r w:rsidR="007408EF">
        <w:t xml:space="preserve">: </w:t>
      </w:r>
      <w:r w:rsidR="00D02222">
        <w:t>“</w:t>
      </w:r>
      <w:r w:rsidR="0012578E">
        <w:t xml:space="preserve">[Those grounds] </w:t>
      </w:r>
      <w:r w:rsidR="007408EF" w:rsidRPr="007408EF">
        <w:t>do not permit evidence to be adduced to contradict either evidence or material which was before the decision-maker or an inference which was available to be drawn from that evidence or material</w:t>
      </w:r>
      <w:r w:rsidR="007408EF">
        <w:t>.</w:t>
      </w:r>
      <w:r w:rsidR="00D02222">
        <w:t>”</w:t>
      </w:r>
      <w:r w:rsidR="007408EF">
        <w:t xml:space="preserve"> See </w:t>
      </w:r>
      <w:r>
        <w:t xml:space="preserve">also </w:t>
      </w:r>
      <w:r w:rsidRPr="00F334B5">
        <w:rPr>
          <w:i/>
        </w:rPr>
        <w:t>McCormack v Deputy Commissioner of Taxation Large Business &amp; International</w:t>
      </w:r>
      <w:r w:rsidRPr="00F334B5">
        <w:t xml:space="preserve"> [2001] FCA 1700; 114 FCR 574 at [40]. This was not a </w:t>
      </w:r>
      <w:r w:rsidR="00D02222">
        <w:t>“</w:t>
      </w:r>
      <w:r w:rsidRPr="00F334B5">
        <w:t>no evidence</w:t>
      </w:r>
      <w:r w:rsidR="00D02222">
        <w:t>”</w:t>
      </w:r>
      <w:r w:rsidRPr="00F334B5">
        <w:t xml:space="preserve"> case, as to which see </w:t>
      </w:r>
      <w:r w:rsidRPr="00F334B5">
        <w:rPr>
          <w:i/>
        </w:rPr>
        <w:t>Australian Broadcasting Tribunal v Bond</w:t>
      </w:r>
      <w:r w:rsidRPr="00F334B5">
        <w:t xml:space="preserve"> [1990] HCA 33; 170 CLR 321 at 356. </w:t>
      </w:r>
    </w:p>
    <w:p w:rsidR="00F334B5" w:rsidRPr="00F334B5" w:rsidRDefault="00F334B5" w:rsidP="00F334B5">
      <w:pPr>
        <w:pStyle w:val="ParaNumbering"/>
      </w:pPr>
      <w:r w:rsidRPr="00F334B5">
        <w:t xml:space="preserve">In our opinion, the primary judge erred in admitting into evidence the affidavit of the respondent sworn 22 October 2016 and the affidavit of </w:t>
      </w:r>
      <w:r w:rsidR="00D02222">
        <w:t xml:space="preserve">Mr </w:t>
      </w:r>
      <w:r w:rsidRPr="00F334B5">
        <w:t xml:space="preserve">William John Markwell sworn 25 October 2016. </w:t>
      </w:r>
    </w:p>
    <w:p w:rsidR="00C06FF1" w:rsidRPr="00A10D4F" w:rsidRDefault="00C06FF1" w:rsidP="007408E7">
      <w:pPr>
        <w:pStyle w:val="ParaNumbering"/>
        <w:rPr>
          <w:b/>
        </w:rPr>
      </w:pPr>
      <w:r>
        <w:t>In</w:t>
      </w:r>
      <w:r w:rsidR="00890B01">
        <w:t xml:space="preserve"> our </w:t>
      </w:r>
      <w:r>
        <w:t xml:space="preserve">opinion it was not open to the primary judge to </w:t>
      </w:r>
      <w:r w:rsidR="00C5471E">
        <w:t xml:space="preserve">admit fresh evidence, and then </w:t>
      </w:r>
      <w:r>
        <w:t>make findings of fact</w:t>
      </w:r>
      <w:r w:rsidR="00D02222">
        <w:t>,</w:t>
      </w:r>
      <w:r>
        <w:t xml:space="preserve"> which contradicted the Minister</w:t>
      </w:r>
      <w:r w:rsidR="00D02222">
        <w:t>’</w:t>
      </w:r>
      <w:r>
        <w:t>s findings.</w:t>
      </w:r>
      <w:r w:rsidR="00890B01">
        <w:t xml:space="preserve"> The reasoning of the primary judge at [83] and [84] shows that her Honour was there directing herself </w:t>
      </w:r>
      <w:r w:rsidR="007009A1">
        <w:t>to impermissible merits review.</w:t>
      </w:r>
    </w:p>
    <w:p w:rsidR="009475C9" w:rsidRDefault="00A10D4F" w:rsidP="007408E7">
      <w:pPr>
        <w:pStyle w:val="ParaNumbering"/>
      </w:pPr>
      <w:r>
        <w:t xml:space="preserve">The grounds </w:t>
      </w:r>
      <w:r w:rsidRPr="00A10D4F">
        <w:t>of review</w:t>
      </w:r>
      <w:r>
        <w:t xml:space="preserve"> based on this </w:t>
      </w:r>
      <w:r w:rsidRPr="00A10D4F">
        <w:t>inadmissible</w:t>
      </w:r>
      <w:r>
        <w:t xml:space="preserve"> material should not have been upheld by the primary judge.</w:t>
      </w:r>
    </w:p>
    <w:p w:rsidR="00A10D4F" w:rsidRDefault="009475C9" w:rsidP="009475C9">
      <w:pPr>
        <w:pStyle w:val="ParaNumbering"/>
      </w:pPr>
      <w:r>
        <w:lastRenderedPageBreak/>
        <w:t>As to the reliance by the primary judge</w:t>
      </w:r>
      <w:r w:rsidR="00A10D4F">
        <w:t xml:space="preserve"> </w:t>
      </w:r>
      <w:r>
        <w:t xml:space="preserve">on </w:t>
      </w:r>
      <w:r w:rsidRPr="009475C9">
        <w:rPr>
          <w:i/>
        </w:rPr>
        <w:t>Lu v Minister for Immigration and Multicultural and Indigenous Affairs</w:t>
      </w:r>
      <w:r>
        <w:t xml:space="preserve"> </w:t>
      </w:r>
      <w:r w:rsidRPr="009475C9">
        <w:t xml:space="preserve">and </w:t>
      </w:r>
      <w:r w:rsidRPr="009475C9">
        <w:rPr>
          <w:i/>
        </w:rPr>
        <w:t>Ruatita v Minister for Immigration and Citizenship</w:t>
      </w:r>
      <w:r>
        <w:t>,</w:t>
      </w:r>
      <w:r w:rsidR="00890B01">
        <w:t xml:space="preserve"> we </w:t>
      </w:r>
      <w:r>
        <w:t>would not regard this</w:t>
      </w:r>
      <w:r w:rsidR="004E21F6">
        <w:t xml:space="preserve"> reliance </w:t>
      </w:r>
      <w:r>
        <w:t>as founding a material denial of procedural fairness. Not having heard from the parties in relation to those authorities might explain an error but does not, in</w:t>
      </w:r>
      <w:r w:rsidR="000A2891">
        <w:t xml:space="preserve"> our </w:t>
      </w:r>
      <w:r>
        <w:t>opinion, constitute a material procedural error in itself. Any lack of procedural fairness is cured on the appeal.</w:t>
      </w:r>
      <w:r w:rsidR="00890B01">
        <w:t xml:space="preserve"> We reject ground 3 of the Minister</w:t>
      </w:r>
      <w:r w:rsidR="00D02222">
        <w:t>’</w:t>
      </w:r>
      <w:r w:rsidR="00890B01">
        <w:t>s grounds of appeal.</w:t>
      </w:r>
    </w:p>
    <w:p w:rsidR="004E21F6" w:rsidRDefault="004E21F6" w:rsidP="009475C9">
      <w:pPr>
        <w:pStyle w:val="ParaNumbering"/>
      </w:pPr>
      <w:r>
        <w:t xml:space="preserve">The primary judge </w:t>
      </w:r>
      <w:r w:rsidR="000A2891">
        <w:t>said, at [35], that those cases</w:t>
      </w:r>
      <w:r w:rsidR="00890B01">
        <w:t xml:space="preserve">, </w:t>
      </w:r>
      <w:r w:rsidR="00890B01" w:rsidRPr="00890B01">
        <w:rPr>
          <w:i/>
        </w:rPr>
        <w:t>Lu</w:t>
      </w:r>
      <w:r w:rsidR="00890B01">
        <w:t xml:space="preserve"> and </w:t>
      </w:r>
      <w:r w:rsidR="00890B01" w:rsidRPr="00890B01">
        <w:rPr>
          <w:i/>
        </w:rPr>
        <w:t>Ruatita</w:t>
      </w:r>
      <w:r w:rsidR="00890B01">
        <w:t xml:space="preserve">, </w:t>
      </w:r>
      <w:r>
        <w:t>made it clear that failure on the part of the Minister to take into account an applicant</w:t>
      </w:r>
      <w:r w:rsidR="00D02222">
        <w:t>’</w:t>
      </w:r>
      <w:r>
        <w:t>s correct criminal record or correct length of custodial sentences can amount to jurisdictional error.</w:t>
      </w:r>
    </w:p>
    <w:p w:rsidR="00890B01" w:rsidRDefault="004E21F6" w:rsidP="00971C03">
      <w:pPr>
        <w:pStyle w:val="ParaNumbering"/>
      </w:pPr>
      <w:r>
        <w:t xml:space="preserve">The primary judge analysed </w:t>
      </w:r>
      <w:r w:rsidRPr="004E21F6">
        <w:rPr>
          <w:i/>
        </w:rPr>
        <w:t>Lu</w:t>
      </w:r>
      <w:r w:rsidR="007009A1">
        <w:t xml:space="preserve"> extensively at [64]-</w:t>
      </w:r>
      <w:r>
        <w:t>[75] of her reasons</w:t>
      </w:r>
      <w:r w:rsidR="0012578E">
        <w:t xml:space="preserve"> for judgment</w:t>
      </w:r>
      <w:r>
        <w:t>.</w:t>
      </w:r>
      <w:r w:rsidR="00971C03">
        <w:t xml:space="preserve"> The most important distinction for present purposes is made clear by the judgment at first instance in</w:t>
      </w:r>
      <w:r w:rsidR="00971C03" w:rsidRPr="00971C03">
        <w:t xml:space="preserve"> </w:t>
      </w:r>
      <w:r w:rsidR="00971C03" w:rsidRPr="00971C03">
        <w:rPr>
          <w:i/>
        </w:rPr>
        <w:t>Lu v Minister for Immigration &amp; Multicultural &amp; Indigenous Affairs</w:t>
      </w:r>
      <w:r w:rsidR="007009A1">
        <w:t xml:space="preserve"> [2004] FCA 543 at [25]-</w:t>
      </w:r>
      <w:r w:rsidR="00971C03">
        <w:t>[27]</w:t>
      </w:r>
      <w:r w:rsidR="00F334B5">
        <w:t>: this distinction is that</w:t>
      </w:r>
      <w:r w:rsidR="00971C03">
        <w:t xml:space="preserve"> the error of fact had been made by the person who prepared the Issues Paper, that person having failed to appreciate the disconformity between what was contained in paragraphs 4 and 22 of that Issues Paper. </w:t>
      </w:r>
      <w:r w:rsidR="00F334B5">
        <w:t xml:space="preserve">The error was therefore contained within, and apparent from, the material before the Minister. </w:t>
      </w:r>
      <w:r w:rsidR="00971C03">
        <w:t xml:space="preserve">There was no question of introducing evidence to contradict the material on which the Minister made his findings. </w:t>
      </w:r>
      <w:r w:rsidR="00890B01">
        <w:t xml:space="preserve">In our opinion, it is a misreading of </w:t>
      </w:r>
      <w:r w:rsidR="00890B01" w:rsidRPr="00890B01">
        <w:rPr>
          <w:i/>
        </w:rPr>
        <w:t>Lu</w:t>
      </w:r>
      <w:r w:rsidR="00890B01">
        <w:t xml:space="preserve"> to reason that it stands for the proposition that evidence can be introduced on judicial review to contradict a finding of fact by the primary decision-maker on the basis that that evidence is relevant to a mandatory relevant consideration. </w:t>
      </w:r>
    </w:p>
    <w:p w:rsidR="004E21F6" w:rsidRDefault="00890B01" w:rsidP="00971C03">
      <w:pPr>
        <w:pStyle w:val="ParaNumbering"/>
      </w:pPr>
      <w:r>
        <w:t xml:space="preserve">We also note that in </w:t>
      </w:r>
      <w:r w:rsidRPr="00890B01">
        <w:rPr>
          <w:i/>
        </w:rPr>
        <w:t>Lu</w:t>
      </w:r>
      <w:r>
        <w:t xml:space="preserve">, </w:t>
      </w:r>
      <w:r w:rsidR="00971C03">
        <w:t xml:space="preserve">the misdescription was of the sentences actually imposed on the appellant in that case. </w:t>
      </w:r>
      <w:r>
        <w:t>Further</w:t>
      </w:r>
      <w:r w:rsidR="00971C03">
        <w:t>, the Minister conceded in that case that the appellant</w:t>
      </w:r>
      <w:r w:rsidR="00D02222">
        <w:t>’</w:t>
      </w:r>
      <w:r w:rsidR="00971C03">
        <w:t>s criminal record, including the sentences imposed on him, was a consideration that the Minister was bound by s 501A to take into account.</w:t>
      </w:r>
      <w:r>
        <w:t xml:space="preserve"> </w:t>
      </w:r>
      <w:r w:rsidR="007408EF">
        <w:t>No concession to this effect was made in the present case: the reasons of the primary judge at [82] (stating that it was not in dispute that the accurate history of the respondent</w:t>
      </w:r>
      <w:r w:rsidR="00D02222">
        <w:t>’</w:t>
      </w:r>
      <w:r w:rsidR="007408EF">
        <w:t xml:space="preserve">s criminal activity, including when he ceased drug trafficking, was a relevant consideration for the Minister) need to be read with what is recorded at [86] of those reasons (that the Minister submitted that if there was an error in respect of when the respondent ceased drug trafficking, the error was potentially of fact not law). </w:t>
      </w:r>
      <w:r>
        <w:t xml:space="preserve">Also, in </w:t>
      </w:r>
      <w:r w:rsidRPr="00890B01">
        <w:rPr>
          <w:i/>
        </w:rPr>
        <w:t>Lu</w:t>
      </w:r>
      <w:r>
        <w:t xml:space="preserve">, the </w:t>
      </w:r>
      <w:r w:rsidR="00971C03">
        <w:t>submission on behalf of the Minister</w:t>
      </w:r>
      <w:r w:rsidR="00982F95">
        <w:t>,</w:t>
      </w:r>
      <w:r w:rsidR="00971C03">
        <w:t xml:space="preserve"> which failed</w:t>
      </w:r>
      <w:r w:rsidR="00982F95">
        <w:t xml:space="preserve"> by majority, was </w:t>
      </w:r>
      <w:r w:rsidR="00E51C98">
        <w:t>that the errors could not have affected the exercise of the Minister</w:t>
      </w:r>
      <w:r w:rsidR="00D02222">
        <w:t>’</w:t>
      </w:r>
      <w:r w:rsidR="00E51C98">
        <w:t>s discretion</w:t>
      </w:r>
      <w:r w:rsidR="00982F95">
        <w:t>.</w:t>
      </w:r>
      <w:r>
        <w:t xml:space="preserve"> Much </w:t>
      </w:r>
      <w:r w:rsidR="00982F95">
        <w:t xml:space="preserve">of the reasoning in that case was directed to </w:t>
      </w:r>
      <w:r w:rsidR="00E51C98">
        <w:t>that question</w:t>
      </w:r>
      <w:r w:rsidR="00982F95">
        <w:t>.</w:t>
      </w:r>
      <w:r w:rsidR="002579DB">
        <w:t xml:space="preserve"> </w:t>
      </w:r>
    </w:p>
    <w:p w:rsidR="00890B01" w:rsidRPr="00890B01" w:rsidRDefault="004E21F6" w:rsidP="009475C9">
      <w:pPr>
        <w:pStyle w:val="ParaNumbering"/>
      </w:pPr>
      <w:r>
        <w:lastRenderedPageBreak/>
        <w:t>The primary judge analysed</w:t>
      </w:r>
      <w:r w:rsidRPr="00890B01">
        <w:rPr>
          <w:i/>
          <w:iCs/>
        </w:rPr>
        <w:t xml:space="preserve"> Ruatita</w:t>
      </w:r>
      <w:r w:rsidRPr="00890B01">
        <w:rPr>
          <w:iCs/>
        </w:rPr>
        <w:t xml:space="preserve"> at [76]-[78] of her reasons</w:t>
      </w:r>
      <w:r w:rsidR="0012578E">
        <w:rPr>
          <w:iCs/>
        </w:rPr>
        <w:t xml:space="preserve"> for judgment</w:t>
      </w:r>
      <w:r w:rsidRPr="00890B01">
        <w:rPr>
          <w:iCs/>
        </w:rPr>
        <w:t>.</w:t>
      </w:r>
      <w:r w:rsidR="00EF0823" w:rsidRPr="00890B01">
        <w:rPr>
          <w:iCs/>
        </w:rPr>
        <w:t xml:space="preserve"> In that case</w:t>
      </w:r>
      <w:r w:rsidR="008229B6">
        <w:rPr>
          <w:iCs/>
        </w:rPr>
        <w:t>,</w:t>
      </w:r>
      <w:r w:rsidR="00EF0823" w:rsidRPr="00890B01">
        <w:rPr>
          <w:iCs/>
        </w:rPr>
        <w:t xml:space="preserve"> the misleading statement was found in [19] of the</w:t>
      </w:r>
      <w:r w:rsidR="00890B01" w:rsidRPr="00890B01">
        <w:rPr>
          <w:iCs/>
        </w:rPr>
        <w:t xml:space="preserve"> statement of reasons </w:t>
      </w:r>
      <w:r w:rsidR="00EF0823" w:rsidRPr="00890B01">
        <w:rPr>
          <w:iCs/>
        </w:rPr>
        <w:t xml:space="preserve">and was that the applicant had spent more than four and a half years of the time he had been resident in Australia in criminal custody. </w:t>
      </w:r>
      <w:r w:rsidR="007009A1">
        <w:rPr>
          <w:iCs/>
        </w:rPr>
        <w:t xml:space="preserve">First, </w:t>
      </w:r>
      <w:r w:rsidR="007009A1" w:rsidRPr="00890B01">
        <w:rPr>
          <w:iCs/>
        </w:rPr>
        <w:t xml:space="preserve">it </w:t>
      </w:r>
      <w:r w:rsidR="00EF0823" w:rsidRPr="00890B01">
        <w:rPr>
          <w:iCs/>
        </w:rPr>
        <w:t xml:space="preserve">was noted </w:t>
      </w:r>
      <w:r w:rsidR="005C593A" w:rsidRPr="00890B01">
        <w:rPr>
          <w:iCs/>
        </w:rPr>
        <w:t xml:space="preserve">by Flick J </w:t>
      </w:r>
      <w:r w:rsidR="00E51C98" w:rsidRPr="00890B01">
        <w:rPr>
          <w:iCs/>
        </w:rPr>
        <w:t xml:space="preserve">at [27] of the judgment that </w:t>
      </w:r>
      <w:r w:rsidR="00EF0823" w:rsidRPr="00890B01">
        <w:rPr>
          <w:iCs/>
        </w:rPr>
        <w:t xml:space="preserve">either </w:t>
      </w:r>
      <w:r w:rsidR="005C593A" w:rsidRPr="00890B01">
        <w:rPr>
          <w:iCs/>
        </w:rPr>
        <w:t xml:space="preserve">on </w:t>
      </w:r>
      <w:r w:rsidR="00EF0823" w:rsidRPr="00890B01">
        <w:rPr>
          <w:iCs/>
        </w:rPr>
        <w:t xml:space="preserve">the approach advocated on behalf of the applicant or on the approach of counsel for the Minister the period of time so stated was erroneous. </w:t>
      </w:r>
      <w:r w:rsidR="005C593A" w:rsidRPr="00890B01">
        <w:rPr>
          <w:iCs/>
        </w:rPr>
        <w:t xml:space="preserve">At [38], it was expressly noted that counsel for the Minister </w:t>
      </w:r>
      <w:r w:rsidR="00D02222">
        <w:rPr>
          <w:iCs/>
        </w:rPr>
        <w:t>“</w:t>
      </w:r>
      <w:r w:rsidR="005C593A" w:rsidRPr="00890B01">
        <w:rPr>
          <w:iCs/>
        </w:rPr>
        <w:t>correctly accepted that the statement as to the time served in custody was erroneous.</w:t>
      </w:r>
      <w:r w:rsidR="00D02222">
        <w:rPr>
          <w:iCs/>
        </w:rPr>
        <w:t>”</w:t>
      </w:r>
      <w:r w:rsidR="005C593A" w:rsidRPr="00890B01">
        <w:rPr>
          <w:iCs/>
        </w:rPr>
        <w:t xml:space="preserve"> </w:t>
      </w:r>
      <w:r w:rsidR="00EF0823" w:rsidRPr="00890B01">
        <w:rPr>
          <w:iCs/>
        </w:rPr>
        <w:t>It was held</w:t>
      </w:r>
      <w:r w:rsidR="005C593A" w:rsidRPr="00890B01">
        <w:rPr>
          <w:iCs/>
        </w:rPr>
        <w:t>, at [30],</w:t>
      </w:r>
      <w:r w:rsidR="00EF0823" w:rsidRPr="00890B01">
        <w:rPr>
          <w:iCs/>
        </w:rPr>
        <w:t xml:space="preserve"> that the erroneous statement vitiated the decision of the Minister</w:t>
      </w:r>
      <w:r w:rsidR="005C593A" w:rsidRPr="00890B01">
        <w:rPr>
          <w:iCs/>
        </w:rPr>
        <w:t xml:space="preserve">: </w:t>
      </w:r>
      <w:r w:rsidR="00D02222">
        <w:rPr>
          <w:iCs/>
        </w:rPr>
        <w:t>“</w:t>
      </w:r>
      <w:r w:rsidR="005C593A" w:rsidRPr="00890B01">
        <w:rPr>
          <w:iCs/>
        </w:rPr>
        <w:t>t</w:t>
      </w:r>
      <w:r w:rsidR="00EF0823" w:rsidRPr="00890B01">
        <w:rPr>
          <w:iCs/>
        </w:rPr>
        <w:t>he erroneous statement exposes jurisdictional error such that the Minister</w:t>
      </w:r>
      <w:r w:rsidR="00D02222">
        <w:rPr>
          <w:iCs/>
        </w:rPr>
        <w:t>’</w:t>
      </w:r>
      <w:r w:rsidR="00EF0823" w:rsidRPr="00890B01">
        <w:rPr>
          <w:iCs/>
        </w:rPr>
        <w:t>s decision should be quashed and set aside.</w:t>
      </w:r>
      <w:r w:rsidR="00D02222">
        <w:rPr>
          <w:iCs/>
        </w:rPr>
        <w:t>”</w:t>
      </w:r>
      <w:r w:rsidR="005C593A" w:rsidRPr="00890B01">
        <w:rPr>
          <w:iCs/>
        </w:rPr>
        <w:t xml:space="preserve"> Again, there was no question of introducing evidence to contradict the material on which the Minister made his findings. Secondly, the error was as to the length of time the applicant had been in criminal custody. Thirdly, Flick J followed </w:t>
      </w:r>
      <w:r w:rsidR="005C593A" w:rsidRPr="00890B01">
        <w:rPr>
          <w:i/>
          <w:iCs/>
        </w:rPr>
        <w:t>Lu</w:t>
      </w:r>
      <w:r w:rsidR="005C593A" w:rsidRPr="00890B01">
        <w:rPr>
          <w:iCs/>
        </w:rPr>
        <w:t>. Fourthly,</w:t>
      </w:r>
      <w:r w:rsidR="002579DB" w:rsidRPr="00890B01">
        <w:rPr>
          <w:iCs/>
        </w:rPr>
        <w:t xml:space="preserve"> Flick </w:t>
      </w:r>
      <w:r w:rsidR="005C593A" w:rsidRPr="00890B01">
        <w:rPr>
          <w:iCs/>
        </w:rPr>
        <w:t xml:space="preserve">J rejected the submission on behalf of the Minister that the statement as to the time which the applicant had served in custody was not </w:t>
      </w:r>
      <w:r w:rsidR="00D02222">
        <w:rPr>
          <w:iCs/>
        </w:rPr>
        <w:t>“</w:t>
      </w:r>
      <w:r w:rsidR="005C593A" w:rsidRPr="00890B01">
        <w:rPr>
          <w:iCs/>
        </w:rPr>
        <w:t>critical</w:t>
      </w:r>
      <w:r w:rsidR="00D02222">
        <w:rPr>
          <w:iCs/>
        </w:rPr>
        <w:t>”</w:t>
      </w:r>
      <w:r w:rsidR="005C593A" w:rsidRPr="00890B01">
        <w:rPr>
          <w:iCs/>
        </w:rPr>
        <w:t xml:space="preserve"> to the Minister</w:t>
      </w:r>
      <w:r w:rsidR="00D02222">
        <w:rPr>
          <w:iCs/>
        </w:rPr>
        <w:t>’</w:t>
      </w:r>
      <w:r w:rsidR="005C593A" w:rsidRPr="00890B01">
        <w:rPr>
          <w:iCs/>
        </w:rPr>
        <w:t>s reasoning process.</w:t>
      </w:r>
      <w:r w:rsidR="002579DB" w:rsidRPr="00890B01">
        <w:rPr>
          <w:iCs/>
        </w:rPr>
        <w:t xml:space="preserve"> </w:t>
      </w:r>
    </w:p>
    <w:p w:rsidR="005C593A" w:rsidRPr="002579DB" w:rsidRDefault="005C593A" w:rsidP="009475C9">
      <w:pPr>
        <w:pStyle w:val="ParaNumbering"/>
      </w:pPr>
      <w:r>
        <w:t>Neither of these</w:t>
      </w:r>
      <w:r w:rsidR="002579DB">
        <w:t xml:space="preserve"> decisions </w:t>
      </w:r>
      <w:r>
        <w:t>supports</w:t>
      </w:r>
      <w:r w:rsidRPr="00890B01">
        <w:rPr>
          <w:iCs/>
        </w:rPr>
        <w:t xml:space="preserve"> the admissibility of evidence to contradict the material on which the Minister made his findings. </w:t>
      </w:r>
    </w:p>
    <w:p w:rsidR="002579DB" w:rsidRDefault="000A2891" w:rsidP="009475C9">
      <w:pPr>
        <w:pStyle w:val="ParaNumbering"/>
      </w:pPr>
      <w:r>
        <w:t xml:space="preserve">It is not necessary to go further to consider whether either </w:t>
      </w:r>
      <w:r w:rsidR="002579DB">
        <w:t>of these decisions supports the reasoning of the primary judge that the time at which the present appellant ceased trafficking in drugs was a mandatory relevant consideration.</w:t>
      </w:r>
    </w:p>
    <w:p w:rsidR="000A2891" w:rsidRDefault="000A2891" w:rsidP="000A2891">
      <w:pPr>
        <w:pStyle w:val="ParaNumbering"/>
      </w:pPr>
      <w:r>
        <w:t>It may be recalled</w:t>
      </w:r>
      <w:r w:rsidR="0012578E">
        <w:t xml:space="preserve"> from [24] above</w:t>
      </w:r>
      <w:r>
        <w:t xml:space="preserve"> that </w:t>
      </w:r>
      <w:r w:rsidRPr="000A2891">
        <w:t>the respondent submitted</w:t>
      </w:r>
      <w:r>
        <w:t xml:space="preserve"> that this error </w:t>
      </w:r>
      <w:r w:rsidRPr="000A2891">
        <w:t xml:space="preserve">could be characterised as a jurisdictional </w:t>
      </w:r>
      <w:r>
        <w:t>error on three separate grounds:</w:t>
      </w:r>
      <w:r w:rsidRPr="000A2891">
        <w:t xml:space="preserve"> unreasonable (in the sense of no intelligible basis for the finding of a material fact), failing to take a relevant consideration into account and absence of evidence of a material fact.</w:t>
      </w:r>
      <w:r>
        <w:t xml:space="preserve"> As to the first of these grounds, we reject the submission that the Minister had no intelligible basis for making the finding as to the date the respondent ceased drugs trafficking. As to the second of these grounds, we have already explained that invoking a mandatory relevant consideration does not permit</w:t>
      </w:r>
      <w:r w:rsidRPr="000A2891">
        <w:t xml:space="preserve"> the admissibility of evidence to contradict the material on which the Minister made his findings.</w:t>
      </w:r>
      <w:r>
        <w:t xml:space="preserve"> As to the third of these grounds, we reject the submission that there was no evidence or other material before the Minister in respect of his findings.</w:t>
      </w:r>
    </w:p>
    <w:p w:rsidR="000A2891" w:rsidRPr="00A10D4F" w:rsidRDefault="000A2891" w:rsidP="000A2891">
      <w:pPr>
        <w:pStyle w:val="ParaNumbering"/>
      </w:pPr>
      <w:r>
        <w:t>We reject the Minister</w:t>
      </w:r>
      <w:r w:rsidR="00D02222">
        <w:t>’</w:t>
      </w:r>
      <w:r>
        <w:t>s submission that these findings were in any event immaterial: in our opinion</w:t>
      </w:r>
      <w:r w:rsidR="008229B6">
        <w:t>,</w:t>
      </w:r>
      <w:r>
        <w:t xml:space="preserve"> but for those findings it was possible that the Minister could have concluded that the </w:t>
      </w:r>
      <w:r>
        <w:lastRenderedPageBreak/>
        <w:t>likelihood of the respondent re</w:t>
      </w:r>
      <w:r w:rsidR="007009A1">
        <w:t>-</w:t>
      </w:r>
      <w:r>
        <w:t xml:space="preserve">offending was less than </w:t>
      </w:r>
      <w:r w:rsidR="00D02222">
        <w:t>“</w:t>
      </w:r>
      <w:r>
        <w:t>low</w:t>
      </w:r>
      <w:r w:rsidR="00D02222">
        <w:t>”</w:t>
      </w:r>
      <w:r>
        <w:t>, as the Minister concluded at [50] of his statement of reasons.</w:t>
      </w:r>
    </w:p>
    <w:p w:rsidR="000C0107" w:rsidRDefault="0012578E" w:rsidP="00552449">
      <w:pPr>
        <w:pStyle w:val="ParaNumbering"/>
      </w:pPr>
      <w:r>
        <w:t>Turning to the respondent</w:t>
      </w:r>
      <w:r w:rsidR="00D02222">
        <w:t>’</w:t>
      </w:r>
      <w:r>
        <w:t>s notice of contention, i</w:t>
      </w:r>
      <w:r w:rsidR="000C0107">
        <w:t xml:space="preserve">n </w:t>
      </w:r>
      <w:r w:rsidR="00132DFA">
        <w:t>our</w:t>
      </w:r>
      <w:r w:rsidR="000C0107">
        <w:t xml:space="preserve"> opinion</w:t>
      </w:r>
      <w:r>
        <w:t xml:space="preserve"> it has </w:t>
      </w:r>
      <w:r w:rsidR="000C0107">
        <w:t>no substance. As f</w:t>
      </w:r>
      <w:r w:rsidR="003A17DE">
        <w:t>ound by the primary judge, the letter of</w:t>
      </w:r>
      <w:r w:rsidR="000C0107">
        <w:t xml:space="preserve"> 2 March 2015 drew the respondent</w:t>
      </w:r>
      <w:r w:rsidR="00D02222">
        <w:t>’</w:t>
      </w:r>
      <w:r w:rsidR="000C0107">
        <w:t xml:space="preserve">s attention to </w:t>
      </w:r>
      <w:r w:rsidR="00BE4876">
        <w:t xml:space="preserve">Direction No. </w:t>
      </w:r>
      <w:r w:rsidR="000C0107">
        <w:t>65 and enclosed a copy of it. The letter went on to state that if the decision-maker was a delegate</w:t>
      </w:r>
      <w:r w:rsidR="004D71A8">
        <w:t>,</w:t>
      </w:r>
      <w:r w:rsidR="000C0107">
        <w:t xml:space="preserve"> the delegate must follow </w:t>
      </w:r>
      <w:r w:rsidR="00BE4876">
        <w:t xml:space="preserve">Direction No. </w:t>
      </w:r>
      <w:r w:rsidR="000C0107">
        <w:t>65</w:t>
      </w:r>
      <w:r w:rsidR="009475C9">
        <w:t>,</w:t>
      </w:r>
      <w:r w:rsidR="000C0107">
        <w:t xml:space="preserve"> but if the Minister made a revocation decision personally, he or she was not required to give consideration to </w:t>
      </w:r>
      <w:r w:rsidR="00BE4876">
        <w:t xml:space="preserve">Direction No. </w:t>
      </w:r>
      <w:r w:rsidR="000C0107">
        <w:t>65 although it provided a broad indication of the types of issues that he or she may take into account. There is no suggestion that the present respondent asked whether it would be a delegate or the Minister personally making the decision.</w:t>
      </w:r>
    </w:p>
    <w:p w:rsidR="000A2891" w:rsidRDefault="00132DFA" w:rsidP="00C9184B">
      <w:pPr>
        <w:pStyle w:val="ParaNumbering"/>
      </w:pPr>
      <w:r>
        <w:t xml:space="preserve">The respondent, in oral submissions, sought to rely in this respect on the letter from the Department dated 29 June 2015 which gave a postal address at the Department. It was submitted that this led the respondent to think that a delegate would make the decision whether or not to revoke the cancellation of his visa. We reject that submission. It is not supported by a reading of the letter which refers in general terms to </w:t>
      </w:r>
      <w:r w:rsidR="00D02222">
        <w:t>“</w:t>
      </w:r>
      <w:r>
        <w:t>the decision-maker</w:t>
      </w:r>
      <w:r w:rsidR="00D02222">
        <w:t>”</w:t>
      </w:r>
      <w:r>
        <w:t xml:space="preserve"> and is from the same area of the Department, the </w:t>
      </w:r>
      <w:r w:rsidR="00D02222">
        <w:t>“</w:t>
      </w:r>
      <w:r>
        <w:t>National Character Consideration Centre</w:t>
      </w:r>
      <w:r w:rsidR="00D02222">
        <w:t>”</w:t>
      </w:r>
      <w:r>
        <w:t xml:space="preserve">, as the letter dated 2 March 2015 which stated that either a delegate or the Minister personally might make the decision. </w:t>
      </w:r>
      <w:r w:rsidR="000A2891">
        <w:t xml:space="preserve">There was no evidence showing the structure of decision-making as between the Department and the Minister. </w:t>
      </w:r>
    </w:p>
    <w:p w:rsidR="00132DFA" w:rsidRDefault="000A2891" w:rsidP="00C9184B">
      <w:pPr>
        <w:pStyle w:val="ParaNumbering"/>
      </w:pPr>
      <w:r>
        <w:t>In our opinion</w:t>
      </w:r>
      <w:r w:rsidR="0012578E">
        <w:t>,</w:t>
      </w:r>
      <w:r>
        <w:t xml:space="preserve"> in the present case there </w:t>
      </w:r>
      <w:r w:rsidR="00C9184B">
        <w:t>was no unfair change of procedure: compare</w:t>
      </w:r>
      <w:r w:rsidR="00C9184B" w:rsidRPr="00C9184B">
        <w:t xml:space="preserve"> </w:t>
      </w:r>
      <w:r w:rsidR="00C9184B" w:rsidRPr="00C9184B">
        <w:rPr>
          <w:i/>
        </w:rPr>
        <w:t>Minister for Immigration a</w:t>
      </w:r>
      <w:r w:rsidR="00C9184B">
        <w:rPr>
          <w:i/>
        </w:rPr>
        <w:t xml:space="preserve">nd Border Protection v </w:t>
      </w:r>
      <w:r w:rsidR="00C9184B" w:rsidRPr="00C9184B">
        <w:rPr>
          <w:i/>
        </w:rPr>
        <w:t>WZARH</w:t>
      </w:r>
      <w:r w:rsidR="00C9184B" w:rsidRPr="00C9184B">
        <w:t xml:space="preserve"> </w:t>
      </w:r>
      <w:r w:rsidR="00C9184B">
        <w:t>[2015] HCA 40</w:t>
      </w:r>
      <w:r w:rsidR="00C9184B" w:rsidRPr="00C9184B">
        <w:t>; 256 CLR 326</w:t>
      </w:r>
      <w:r w:rsidR="00C9184B">
        <w:t>.</w:t>
      </w:r>
    </w:p>
    <w:p w:rsidR="000C0107" w:rsidRDefault="000C0107" w:rsidP="000C0107">
      <w:pPr>
        <w:pStyle w:val="ParaNumbering"/>
      </w:pPr>
      <w:r>
        <w:t xml:space="preserve">The respondent invokes </w:t>
      </w:r>
      <w:r w:rsidRPr="000C0107">
        <w:rPr>
          <w:i/>
        </w:rPr>
        <w:t>Mahon v Air New Zealand</w:t>
      </w:r>
      <w:r>
        <w:t xml:space="preserve"> </w:t>
      </w:r>
      <w:r w:rsidRPr="000C0107">
        <w:t>[1984] A</w:t>
      </w:r>
      <w:r>
        <w:t xml:space="preserve">C </w:t>
      </w:r>
      <w:r w:rsidRPr="000C0107">
        <w:t>808</w:t>
      </w:r>
      <w:r w:rsidR="00930CD2">
        <w:t>; UKPC 29</w:t>
      </w:r>
      <w:r>
        <w:t xml:space="preserve"> at 821</w:t>
      </w:r>
      <w:r w:rsidR="000262D9">
        <w:t>. The fuller passage</w:t>
      </w:r>
      <w:r w:rsidR="004D71A8">
        <w:t xml:space="preserve"> in the advice of the</w:t>
      </w:r>
      <w:r w:rsidR="00E25896">
        <w:t xml:space="preserve"> Privy </w:t>
      </w:r>
      <w:r w:rsidR="004D71A8">
        <w:t>Council</w:t>
      </w:r>
      <w:r w:rsidR="00E25896">
        <w:t>,</w:t>
      </w:r>
      <w:r w:rsidR="004D71A8">
        <w:t xml:space="preserve"> </w:t>
      </w:r>
      <w:r w:rsidR="00744138">
        <w:t>delivered by Lord Diplock,</w:t>
      </w:r>
      <w:r w:rsidR="000262D9">
        <w:t xml:space="preserve"> is as follows, at 820-821:</w:t>
      </w:r>
    </w:p>
    <w:p w:rsidR="000262D9" w:rsidRPr="000262D9" w:rsidRDefault="000262D9" w:rsidP="00D90544">
      <w:pPr>
        <w:pStyle w:val="Quote1"/>
      </w:pPr>
      <w:r w:rsidRPr="000262D9">
        <w:t>The rules of natural justice that are germane to this appeal can, in their Lordships</w:t>
      </w:r>
      <w:r w:rsidR="00D02222">
        <w:t>’</w:t>
      </w:r>
      <w:r w:rsidRPr="000262D9">
        <w:t xml:space="preserve"> view, be reduced to those two that were referred to by the Court of Appeal of England in </w:t>
      </w:r>
      <w:r w:rsidRPr="000262D9">
        <w:rPr>
          <w:i/>
        </w:rPr>
        <w:t>Reg. v. Deputy Industrial Injuries Commissioner, Ex parte Moore</w:t>
      </w:r>
      <w:r w:rsidRPr="000262D9">
        <w:t xml:space="preserve"> [1965] 1 Q.B. 456, 488, 490, which was dealing with the exercise of an investigative jurisdiction, though one of a different kind from that which was being undertaken by the judge inquiring into the Mt. Erebus disaster. The first rule is that the person making a finding in the exercise of such a jurisdiction must base his decision upon evidence that has some probative value in the sense described below. The second rule is that he must listen fairly to any relevant evidence conflicting with the finding and any rational argument against the finding that a person represented at the inquiry, whose interests (including in that term career or reputation) may be adversely affected by it, may wish to place before him or would have so wished if he had been </w:t>
      </w:r>
      <w:r w:rsidRPr="000262D9">
        <w:lastRenderedPageBreak/>
        <w:t>aware of the risk of the finding being made.</w:t>
      </w:r>
    </w:p>
    <w:p w:rsidR="000262D9" w:rsidRPr="000262D9" w:rsidRDefault="000262D9" w:rsidP="00D90544">
      <w:pPr>
        <w:pStyle w:val="Quote1"/>
      </w:pPr>
      <w:r w:rsidRPr="000262D9">
        <w:t>The technical rules of evidence applicable to civil or criminal litigation form no part of the rules of natural justice. What is required by the first rule is that the decision to make the finding must be based upon some material that tends logically to show the existence of facts consistent with the finding and that the reasoning supportive of the finding, if it be disclosed, is not logically self-contradictory.</w:t>
      </w:r>
    </w:p>
    <w:p w:rsidR="000262D9" w:rsidRPr="000262D9" w:rsidRDefault="000262D9" w:rsidP="00D90544">
      <w:pPr>
        <w:pStyle w:val="Quote1"/>
      </w:pPr>
      <w:r w:rsidRPr="000262D9">
        <w:t>The second rule requires that any person represented at the inquiry who will be adversely affected by the decision to make the finding should not be left in the dark as to the risk of the finding being made and thus deprived of any opportunity to adduce additional material of probative value which, had it been placed before the decision-maker, might have deterred him from making the finding even though it cannot be predicted that it would inevitably have had that result.</w:t>
      </w:r>
    </w:p>
    <w:p w:rsidR="000C0107" w:rsidRDefault="000262D9" w:rsidP="009D7E62">
      <w:pPr>
        <w:pStyle w:val="ParaNumbering"/>
      </w:pPr>
      <w:r>
        <w:t>As may be seen, the Privy Council was addressing itself to the risk of a finding being made</w:t>
      </w:r>
      <w:r w:rsidR="00924C9C">
        <w:t>, principally, in that case, the finding in paragraph 377 of the report</w:t>
      </w:r>
      <w:r w:rsidR="008229B6">
        <w:t xml:space="preserve"> under challenge</w:t>
      </w:r>
      <w:r w:rsidR="00924C9C">
        <w:t xml:space="preserve"> that sections of evidence originated in a pre-determined plan of deception</w:t>
      </w:r>
      <w:r>
        <w:t xml:space="preserve">. The present appeal does not concern such risk. In </w:t>
      </w:r>
      <w:r w:rsidR="00132DFA">
        <w:t>our</w:t>
      </w:r>
      <w:r>
        <w:t xml:space="preserve"> opinion, the</w:t>
      </w:r>
      <w:r w:rsidR="000A2891">
        <w:t xml:space="preserve"> dicta have </w:t>
      </w:r>
      <w:r>
        <w:t>nothing to do with the present case</w:t>
      </w:r>
      <w:r w:rsidR="009D7E62">
        <w:t xml:space="preserve">. The respondent also invoked </w:t>
      </w:r>
      <w:r w:rsidR="009D7E62" w:rsidRPr="009D7E62">
        <w:rPr>
          <w:i/>
        </w:rPr>
        <w:t>SZBEL v Minister for Immigration and Multicultural and Indigenous Affairs</w:t>
      </w:r>
      <w:r w:rsidR="009D7E62" w:rsidRPr="009D7E62">
        <w:t xml:space="preserve"> [2006] HCA 63; 228 CLR 152</w:t>
      </w:r>
      <w:r w:rsidR="009D7E62">
        <w:t>, but that authority concerned a failure on the part of the Tribunal to raise factual issues with the appellant. It also has nothing to do with the present case.</w:t>
      </w:r>
      <w:r w:rsidR="009D7E62" w:rsidRPr="009D7E62">
        <w:t xml:space="preserve"> </w:t>
      </w:r>
      <w:r w:rsidR="009D7E62">
        <w:t xml:space="preserve">The </w:t>
      </w:r>
      <w:r>
        <w:t>respondent</w:t>
      </w:r>
      <w:r w:rsidR="00D02222">
        <w:t>’</w:t>
      </w:r>
      <w:r>
        <w:t xml:space="preserve">s </w:t>
      </w:r>
      <w:r w:rsidR="000C0107">
        <w:t>contention fails.</w:t>
      </w:r>
    </w:p>
    <w:p w:rsidR="00C06FF1" w:rsidRPr="00C06FF1" w:rsidRDefault="00C06FF1" w:rsidP="00D90544">
      <w:pPr>
        <w:pStyle w:val="Heading2"/>
      </w:pPr>
      <w:r>
        <w:t>Conclusion</w:t>
      </w:r>
    </w:p>
    <w:p w:rsidR="00A10D4F" w:rsidRDefault="00C06FF1" w:rsidP="000262D9">
      <w:pPr>
        <w:pStyle w:val="ParaNumbering"/>
      </w:pPr>
      <w:r>
        <w:t xml:space="preserve">In </w:t>
      </w:r>
      <w:r w:rsidR="00132DFA">
        <w:t xml:space="preserve">our </w:t>
      </w:r>
      <w:r>
        <w:t>opinion, the appeal should be allowed with costs. The notice of contention fails.</w:t>
      </w:r>
      <w:r w:rsidR="00A10D4F">
        <w:t xml:space="preserve"> The orders </w:t>
      </w:r>
      <w:r w:rsidR="00132DFA">
        <w:t>should be</w:t>
      </w:r>
      <w:r w:rsidR="00A10D4F">
        <w:t xml:space="preserve">: </w:t>
      </w:r>
    </w:p>
    <w:p w:rsidR="00A10D4F" w:rsidRDefault="003A17DE" w:rsidP="00930CD2">
      <w:pPr>
        <w:pStyle w:val="ListNo2"/>
      </w:pPr>
      <w:r>
        <w:t>The a</w:t>
      </w:r>
      <w:r w:rsidR="00A10D4F">
        <w:t xml:space="preserve">ppeal </w:t>
      </w:r>
      <w:r>
        <w:t xml:space="preserve">be </w:t>
      </w:r>
      <w:r w:rsidR="00A10D4F">
        <w:t xml:space="preserve">allowed. </w:t>
      </w:r>
    </w:p>
    <w:p w:rsidR="00A10D4F" w:rsidRDefault="00A10D4F" w:rsidP="00D90544">
      <w:pPr>
        <w:pStyle w:val="ListNo2"/>
      </w:pPr>
      <w:r>
        <w:t>The orders made by the primary judge on 7 December 2016 be set aside.</w:t>
      </w:r>
    </w:p>
    <w:p w:rsidR="00A10D4F" w:rsidRDefault="00A10D4F" w:rsidP="00D90544">
      <w:pPr>
        <w:pStyle w:val="ListNo2"/>
      </w:pPr>
      <w:r>
        <w:t xml:space="preserve">In lieu of those orders, the application for judicial review be dismissed with costs. </w:t>
      </w:r>
    </w:p>
    <w:p w:rsidR="00C06FF1" w:rsidRDefault="00A10D4F" w:rsidP="00D90544">
      <w:pPr>
        <w:pStyle w:val="ListNo2"/>
      </w:pPr>
      <w:r>
        <w:t>The respondent pay the appellant</w:t>
      </w:r>
      <w:r w:rsidR="00D02222">
        <w:t>’</w:t>
      </w:r>
      <w:r>
        <w:t>s costs of the appeal, as agreed or as assessed.</w:t>
      </w:r>
    </w:p>
    <w:tbl>
      <w:tblPr>
        <w:tblW w:w="0" w:type="auto"/>
        <w:tblLook w:val="04A0" w:firstRow="1" w:lastRow="0" w:firstColumn="1" w:lastColumn="0" w:noHBand="0" w:noVBand="1"/>
      </w:tblPr>
      <w:tblGrid>
        <w:gridCol w:w="3794"/>
      </w:tblGrid>
      <w:tr w:rsidR="00930CD2" w:rsidRPr="00930CD2" w:rsidTr="005D7ED9">
        <w:tc>
          <w:tcPr>
            <w:tcW w:w="3794" w:type="dxa"/>
            <w:shd w:val="clear" w:color="auto" w:fill="auto"/>
          </w:tcPr>
          <w:p w:rsidR="00930CD2" w:rsidRPr="00930CD2" w:rsidRDefault="00930CD2" w:rsidP="00930CD2">
            <w:pPr>
              <w:pStyle w:val="Normal1linespace"/>
            </w:pPr>
            <w:bookmarkStart w:id="22" w:name="Certification"/>
            <w:r w:rsidRPr="00930CD2">
              <w:t xml:space="preserve">I certify that the preceding </w:t>
            </w:r>
            <w:bookmarkStart w:id="23" w:name="NumberWord"/>
            <w:r>
              <w:t>seventy-one</w:t>
            </w:r>
            <w:bookmarkEnd w:id="23"/>
            <w:r w:rsidRPr="00930CD2">
              <w:t xml:space="preserve"> (</w:t>
            </w:r>
            <w:bookmarkStart w:id="24" w:name="NumberNumeral"/>
            <w:r>
              <w:t>71</w:t>
            </w:r>
            <w:bookmarkEnd w:id="24"/>
            <w:r w:rsidRPr="00930CD2">
              <w:t xml:space="preserve">) numbered </w:t>
            </w:r>
            <w:bookmarkStart w:id="25" w:name="CertPara"/>
            <w:r>
              <w:t>paragraphs are</w:t>
            </w:r>
            <w:bookmarkEnd w:id="25"/>
            <w:r w:rsidRPr="00930CD2">
              <w:t xml:space="preserve"> a true copy of the Reasons for Judgment herein of the </w:t>
            </w:r>
            <w:bookmarkStart w:id="26" w:name="Justice"/>
            <w:r>
              <w:t>Court</w:t>
            </w:r>
            <w:bookmarkEnd w:id="26"/>
            <w:r w:rsidRPr="00930CD2">
              <w:t>.</w:t>
            </w:r>
          </w:p>
        </w:tc>
      </w:tr>
    </w:tbl>
    <w:p w:rsidR="00127CF1" w:rsidRDefault="00127CF1" w:rsidP="00930CD2">
      <w:pPr>
        <w:pStyle w:val="BodyText"/>
      </w:pPr>
    </w:p>
    <w:p w:rsidR="00930CD2" w:rsidRDefault="00930CD2" w:rsidP="00930CD2">
      <w:pPr>
        <w:pStyle w:val="BodyText"/>
      </w:pPr>
      <w:bookmarkStart w:id="27" w:name="_GoBack"/>
      <w:bookmarkEnd w:id="27"/>
      <w:r>
        <w:t>Associate:</w:t>
      </w:r>
      <w:r>
        <w:tab/>
      </w:r>
    </w:p>
    <w:p w:rsidR="00930CD2" w:rsidRDefault="00930CD2" w:rsidP="00C02304">
      <w:pPr>
        <w:pStyle w:val="BodyText"/>
        <w:tabs>
          <w:tab w:val="left" w:pos="1134"/>
        </w:tabs>
      </w:pPr>
      <w:r>
        <w:t>Dated:</w:t>
      </w:r>
      <w:r>
        <w:tab/>
      </w:r>
      <w:bookmarkStart w:id="28" w:name="CertifyDated"/>
      <w:r>
        <w:t>7 June 2017</w:t>
      </w:r>
      <w:bookmarkEnd w:id="28"/>
      <w:r>
        <w:t xml:space="preserve"> </w:t>
      </w:r>
      <w:bookmarkEnd w:id="22"/>
    </w:p>
    <w:sectPr w:rsidR="00930CD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22" w:rsidRDefault="00D02222">
      <w:pPr>
        <w:spacing w:line="20" w:lineRule="exact"/>
      </w:pPr>
    </w:p>
    <w:p w:rsidR="00D02222" w:rsidRDefault="00D02222"/>
    <w:p w:rsidR="00D02222" w:rsidRDefault="00D02222"/>
  </w:endnote>
  <w:endnote w:type="continuationSeparator" w:id="0">
    <w:p w:rsidR="00D02222" w:rsidRDefault="00D02222">
      <w:r>
        <w:t xml:space="preserve"> </w:t>
      </w:r>
    </w:p>
    <w:p w:rsidR="00D02222" w:rsidRDefault="00D02222"/>
    <w:p w:rsidR="00D02222" w:rsidRDefault="00D02222"/>
  </w:endnote>
  <w:endnote w:type="continuationNotice" w:id="1">
    <w:p w:rsidR="00D02222" w:rsidRDefault="00D02222">
      <w:r>
        <w:t xml:space="preserve"> </w:t>
      </w:r>
    </w:p>
    <w:p w:rsidR="00D02222" w:rsidRDefault="00D02222"/>
    <w:p w:rsidR="00D02222" w:rsidRDefault="00D0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Pr="00624520" w:rsidRDefault="00D02222"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22" w:rsidRDefault="00D02222"/>
    <w:p w:rsidR="00D02222" w:rsidRDefault="00D02222"/>
    <w:p w:rsidR="00D02222" w:rsidRDefault="00D02222"/>
  </w:footnote>
  <w:footnote w:type="continuationSeparator" w:id="0">
    <w:p w:rsidR="00D02222" w:rsidRDefault="00D02222">
      <w:r>
        <w:continuationSeparator/>
      </w:r>
    </w:p>
    <w:p w:rsidR="00D02222" w:rsidRDefault="00D02222"/>
    <w:p w:rsidR="00D02222" w:rsidRDefault="00D02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pPr>
      <w:tabs>
        <w:tab w:val="center" w:pos="4512"/>
      </w:tabs>
      <w:suppressAutoHyphens/>
    </w:pPr>
    <w:r>
      <w:tab/>
      <w:t xml:space="preserve">- </w:t>
    </w:r>
    <w:r>
      <w:fldChar w:fldCharType="begin"/>
    </w:r>
    <w:r>
      <w:instrText>page \* arabic</w:instrText>
    </w:r>
    <w:r>
      <w:fldChar w:fldCharType="separate"/>
    </w:r>
    <w:r w:rsidR="00127CF1">
      <w:rPr>
        <w:noProof/>
      </w:rPr>
      <w:t>19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22" w:rsidRDefault="00D022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D1D48"/>
    <w:multiLevelType w:val="hybridMultilevel"/>
    <w:tmpl w:val="8C9E007A"/>
    <w:lvl w:ilvl="0" w:tplc="A6F8E6AA">
      <w:start w:val="7"/>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8EE0A90"/>
    <w:multiLevelType w:val="hybridMultilevel"/>
    <w:tmpl w:val="F14473F8"/>
    <w:lvl w:ilvl="0" w:tplc="647AF192">
      <w:start w:val="1"/>
      <w:numFmt w:val="lowerLetter"/>
      <w:lvlText w:val="(%1)"/>
      <w:lvlJc w:val="left"/>
      <w:pPr>
        <w:ind w:hanging="364"/>
      </w:pPr>
      <w:rPr>
        <w:rFonts w:ascii="Times New Roman" w:eastAsia="Times New Roman" w:hAnsi="Times New Roman" w:hint="default"/>
        <w:color w:val="6B6B6B"/>
        <w:w w:val="107"/>
        <w:sz w:val="21"/>
        <w:szCs w:val="21"/>
      </w:rPr>
    </w:lvl>
    <w:lvl w:ilvl="1" w:tplc="13C00422">
      <w:start w:val="1"/>
      <w:numFmt w:val="bullet"/>
      <w:lvlText w:val="•"/>
      <w:lvlJc w:val="left"/>
      <w:rPr>
        <w:rFonts w:hint="default"/>
      </w:rPr>
    </w:lvl>
    <w:lvl w:ilvl="2" w:tplc="D91C7F7C">
      <w:start w:val="1"/>
      <w:numFmt w:val="bullet"/>
      <w:lvlText w:val="•"/>
      <w:lvlJc w:val="left"/>
      <w:rPr>
        <w:rFonts w:hint="default"/>
      </w:rPr>
    </w:lvl>
    <w:lvl w:ilvl="3" w:tplc="304655C4">
      <w:start w:val="1"/>
      <w:numFmt w:val="bullet"/>
      <w:lvlText w:val="•"/>
      <w:lvlJc w:val="left"/>
      <w:rPr>
        <w:rFonts w:hint="default"/>
      </w:rPr>
    </w:lvl>
    <w:lvl w:ilvl="4" w:tplc="CF2A2E42">
      <w:start w:val="1"/>
      <w:numFmt w:val="bullet"/>
      <w:lvlText w:val="•"/>
      <w:lvlJc w:val="left"/>
      <w:rPr>
        <w:rFonts w:hint="default"/>
      </w:rPr>
    </w:lvl>
    <w:lvl w:ilvl="5" w:tplc="01F0BD04">
      <w:start w:val="1"/>
      <w:numFmt w:val="bullet"/>
      <w:lvlText w:val="•"/>
      <w:lvlJc w:val="left"/>
      <w:rPr>
        <w:rFonts w:hint="default"/>
      </w:rPr>
    </w:lvl>
    <w:lvl w:ilvl="6" w:tplc="D24663B6">
      <w:start w:val="1"/>
      <w:numFmt w:val="bullet"/>
      <w:lvlText w:val="•"/>
      <w:lvlJc w:val="left"/>
      <w:rPr>
        <w:rFonts w:hint="default"/>
      </w:rPr>
    </w:lvl>
    <w:lvl w:ilvl="7" w:tplc="AEF6A788">
      <w:start w:val="1"/>
      <w:numFmt w:val="bullet"/>
      <w:lvlText w:val="•"/>
      <w:lvlJc w:val="left"/>
      <w:rPr>
        <w:rFonts w:hint="default"/>
      </w:rPr>
    </w:lvl>
    <w:lvl w:ilvl="8" w:tplc="771AC57A">
      <w:start w:val="1"/>
      <w:numFmt w:val="bullet"/>
      <w:lvlText w:val="•"/>
      <w:lvlJc w:val="left"/>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decimal"/>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293180"/>
    <w:multiLevelType w:val="hybridMultilevel"/>
    <w:tmpl w:val="693C9494"/>
    <w:lvl w:ilvl="0" w:tplc="F992176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AE3DD1"/>
    <w:multiLevelType w:val="singleLevel"/>
    <w:tmpl w:val="457ABBF0"/>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7">
    <w:nsid w:val="2A9437BD"/>
    <w:multiLevelType w:val="hybridMultilevel"/>
    <w:tmpl w:val="77A2F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B2F2DA8"/>
    <w:multiLevelType w:val="hybridMultilevel"/>
    <w:tmpl w:val="6436F5D0"/>
    <w:lvl w:ilvl="0" w:tplc="F8E65516">
      <w:start w:val="1"/>
      <w:numFmt w:val="decimal"/>
      <w:lvlText w:val="%1."/>
      <w:lvlJc w:val="left"/>
      <w:pPr>
        <w:ind w:hanging="677"/>
      </w:pPr>
      <w:rPr>
        <w:rFonts w:ascii="Times New Roman" w:eastAsia="Times New Roman" w:hAnsi="Times New Roman" w:hint="default"/>
        <w:color w:val="595759"/>
        <w:w w:val="106"/>
        <w:sz w:val="21"/>
        <w:szCs w:val="21"/>
      </w:rPr>
    </w:lvl>
    <w:lvl w:ilvl="1" w:tplc="7F94F420">
      <w:start w:val="1"/>
      <w:numFmt w:val="lowerLetter"/>
      <w:lvlText w:val="%2."/>
      <w:lvlJc w:val="left"/>
      <w:pPr>
        <w:ind w:hanging="349"/>
      </w:pPr>
      <w:rPr>
        <w:rFonts w:ascii="Times New Roman" w:eastAsia="Times New Roman" w:hAnsi="Times New Roman" w:hint="default"/>
        <w:color w:val="6B6B6B"/>
        <w:w w:val="107"/>
        <w:sz w:val="21"/>
        <w:szCs w:val="21"/>
      </w:rPr>
    </w:lvl>
    <w:lvl w:ilvl="2" w:tplc="264EF1E0">
      <w:start w:val="1"/>
      <w:numFmt w:val="bullet"/>
      <w:lvlText w:val="•"/>
      <w:lvlJc w:val="left"/>
      <w:rPr>
        <w:rFonts w:hint="default"/>
      </w:rPr>
    </w:lvl>
    <w:lvl w:ilvl="3" w:tplc="A508BF8A">
      <w:start w:val="1"/>
      <w:numFmt w:val="bullet"/>
      <w:lvlText w:val="•"/>
      <w:lvlJc w:val="left"/>
      <w:rPr>
        <w:rFonts w:hint="default"/>
      </w:rPr>
    </w:lvl>
    <w:lvl w:ilvl="4" w:tplc="91587F48">
      <w:start w:val="1"/>
      <w:numFmt w:val="bullet"/>
      <w:lvlText w:val="•"/>
      <w:lvlJc w:val="left"/>
      <w:rPr>
        <w:rFonts w:hint="default"/>
      </w:rPr>
    </w:lvl>
    <w:lvl w:ilvl="5" w:tplc="4A88D6F4">
      <w:start w:val="1"/>
      <w:numFmt w:val="bullet"/>
      <w:lvlText w:val="•"/>
      <w:lvlJc w:val="left"/>
      <w:rPr>
        <w:rFonts w:hint="default"/>
      </w:rPr>
    </w:lvl>
    <w:lvl w:ilvl="6" w:tplc="0F629AFC">
      <w:start w:val="1"/>
      <w:numFmt w:val="bullet"/>
      <w:lvlText w:val="•"/>
      <w:lvlJc w:val="left"/>
      <w:rPr>
        <w:rFonts w:hint="default"/>
      </w:rPr>
    </w:lvl>
    <w:lvl w:ilvl="7" w:tplc="4A4E0CA8">
      <w:start w:val="1"/>
      <w:numFmt w:val="bullet"/>
      <w:lvlText w:val="•"/>
      <w:lvlJc w:val="left"/>
      <w:rPr>
        <w:rFonts w:hint="default"/>
      </w:rPr>
    </w:lvl>
    <w:lvl w:ilvl="8" w:tplc="D5AE077C">
      <w:start w:val="1"/>
      <w:numFmt w:val="bullet"/>
      <w:lvlText w:val="•"/>
      <w:lvlJc w:val="left"/>
      <w:rPr>
        <w:rFonts w:hint="default"/>
      </w:rPr>
    </w:lvl>
  </w:abstractNum>
  <w:abstractNum w:abstractNumId="21">
    <w:nsid w:val="3DB87E5E"/>
    <w:multiLevelType w:val="hybridMultilevel"/>
    <w:tmpl w:val="D6D2C1C4"/>
    <w:lvl w:ilvl="0" w:tplc="EB301C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4BA59E2"/>
    <w:multiLevelType w:val="hybridMultilevel"/>
    <w:tmpl w:val="B0FE80C2"/>
    <w:lvl w:ilvl="0" w:tplc="E728AAC4">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AF31CC4"/>
    <w:multiLevelType w:val="hybridMultilevel"/>
    <w:tmpl w:val="EB5E1D90"/>
    <w:lvl w:ilvl="0" w:tplc="0F184FE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CC16D41"/>
    <w:multiLevelType w:val="hybridMultilevel"/>
    <w:tmpl w:val="2BD020CE"/>
    <w:lvl w:ilvl="0" w:tplc="3B104C78">
      <w:start w:val="1"/>
      <w:numFmt w:val="decimal"/>
      <w:lvlText w:val="%1."/>
      <w:lvlJc w:val="left"/>
      <w:pPr>
        <w:ind w:left="1097" w:hanging="360"/>
      </w:pPr>
      <w:rPr>
        <w:rFonts w:hint="default"/>
        <w:w w:val="105"/>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A4C7F7E"/>
    <w:multiLevelType w:val="hybridMultilevel"/>
    <w:tmpl w:val="7B5875C0"/>
    <w:lvl w:ilvl="0" w:tplc="31FE2B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nsid w:val="7AF729A4"/>
    <w:multiLevelType w:val="hybridMultilevel"/>
    <w:tmpl w:val="4E9AC482"/>
    <w:lvl w:ilvl="0" w:tplc="19682A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4"/>
  </w:num>
  <w:num w:numId="15">
    <w:abstractNumId w:val="25"/>
  </w:num>
  <w:num w:numId="16">
    <w:abstractNumId w:val="32"/>
  </w:num>
  <w:num w:numId="17">
    <w:abstractNumId w:val="14"/>
  </w:num>
  <w:num w:numId="18">
    <w:abstractNumId w:val="29"/>
  </w:num>
  <w:num w:numId="19">
    <w:abstractNumId w:val="11"/>
  </w:num>
  <w:num w:numId="20">
    <w:abstractNumId w:val="19"/>
  </w:num>
  <w:num w:numId="21">
    <w:abstractNumId w:val="23"/>
  </w:num>
  <w:num w:numId="22">
    <w:abstractNumId w:val="18"/>
  </w:num>
  <w:num w:numId="23">
    <w:abstractNumId w:val="18"/>
  </w:num>
  <w:num w:numId="24">
    <w:abstractNumId w:val="17"/>
  </w:num>
  <w:num w:numId="25">
    <w:abstractNumId w:val="13"/>
  </w:num>
  <w:num w:numId="26">
    <w:abstractNumId w:val="20"/>
  </w:num>
  <w:num w:numId="27">
    <w:abstractNumId w:val="21"/>
  </w:num>
  <w:num w:numId="28">
    <w:abstractNumId w:val="31"/>
  </w:num>
  <w:num w:numId="29">
    <w:abstractNumId w:val="22"/>
  </w:num>
  <w:num w:numId="30">
    <w:abstractNumId w:val="15"/>
  </w:num>
  <w:num w:numId="31">
    <w:abstractNumId w:val="26"/>
  </w:num>
  <w:num w:numId="32">
    <w:abstractNumId w:val="28"/>
  </w:num>
  <w:num w:numId="33">
    <w:abstractNumId w:val="30"/>
  </w:num>
  <w:num w:numId="3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INISTER FOR IMMIGRATION AND BORDER PROTECT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24B10955-D79F-4F5B-B21F-3C8322E21DBE}"/>
    <w:docVar w:name="dgnword-eventsink" w:val="223220816"/>
    <w:docVar w:name="dgnword-lastRevisionsView" w:val="0"/>
    <w:docVar w:name="Division" w:val="General Division"/>
    <w:docVar w:name="DocCreated" w:val="True"/>
    <w:docVar w:name="FileNumbers" w:val="QUD 941 of 2016"/>
    <w:docVar w:name="HearingDate" w:val="31 May 2017"/>
    <w:docVar w:name="Initiators" w:val="(and another named in the Schedule)"/>
    <w:docVar w:name="Judgdate" w:val="7 June 2017"/>
    <w:docVar w:name="Judge" w:val="Reeves, Robertson and Rangiah"/>
    <w:docVar w:name="Justices" w:val="Justice"/>
    <w:docVar w:name="lstEntryList" w:val="-1"/>
    <w:docVar w:name="myEntryList" w:val="Counsel for the Appellant=|Solicitor for the Appell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DUSKO TESIC"/>
    <w:docVar w:name="ResState" w:val="Queensland"/>
    <w:docVar w:name="SubArea" w:val="[none]"/>
  </w:docVars>
  <w:rsids>
    <w:rsidRoot w:val="00552449"/>
    <w:rsid w:val="0001469E"/>
    <w:rsid w:val="00015993"/>
    <w:rsid w:val="00022289"/>
    <w:rsid w:val="00022427"/>
    <w:rsid w:val="000262D9"/>
    <w:rsid w:val="00031DD1"/>
    <w:rsid w:val="00032F9F"/>
    <w:rsid w:val="00041C07"/>
    <w:rsid w:val="00045BB7"/>
    <w:rsid w:val="00055719"/>
    <w:rsid w:val="0005641B"/>
    <w:rsid w:val="0007434B"/>
    <w:rsid w:val="00081497"/>
    <w:rsid w:val="000A2891"/>
    <w:rsid w:val="000A2E76"/>
    <w:rsid w:val="000A4579"/>
    <w:rsid w:val="000A4807"/>
    <w:rsid w:val="000A4BE4"/>
    <w:rsid w:val="000A6A85"/>
    <w:rsid w:val="000C0107"/>
    <w:rsid w:val="000C023E"/>
    <w:rsid w:val="000C5195"/>
    <w:rsid w:val="000C62EF"/>
    <w:rsid w:val="000D02A1"/>
    <w:rsid w:val="000D2137"/>
    <w:rsid w:val="000D3FD2"/>
    <w:rsid w:val="000E36D1"/>
    <w:rsid w:val="000E3ED3"/>
    <w:rsid w:val="000E5CC7"/>
    <w:rsid w:val="000E7BAE"/>
    <w:rsid w:val="000F133D"/>
    <w:rsid w:val="0010536B"/>
    <w:rsid w:val="0011145C"/>
    <w:rsid w:val="00111C99"/>
    <w:rsid w:val="001128BD"/>
    <w:rsid w:val="0011419D"/>
    <w:rsid w:val="0012578E"/>
    <w:rsid w:val="00127CF1"/>
    <w:rsid w:val="00132054"/>
    <w:rsid w:val="00132DFA"/>
    <w:rsid w:val="00142F73"/>
    <w:rsid w:val="0014641E"/>
    <w:rsid w:val="0015028E"/>
    <w:rsid w:val="0016659C"/>
    <w:rsid w:val="001727A4"/>
    <w:rsid w:val="0017376C"/>
    <w:rsid w:val="001738AB"/>
    <w:rsid w:val="001752BA"/>
    <w:rsid w:val="00175F3C"/>
    <w:rsid w:val="001765E0"/>
    <w:rsid w:val="00177759"/>
    <w:rsid w:val="00185E6B"/>
    <w:rsid w:val="00187BBC"/>
    <w:rsid w:val="001932F3"/>
    <w:rsid w:val="00195F99"/>
    <w:rsid w:val="001A4309"/>
    <w:rsid w:val="001B1053"/>
    <w:rsid w:val="001B14AC"/>
    <w:rsid w:val="001B7940"/>
    <w:rsid w:val="001C2C93"/>
    <w:rsid w:val="001C37CA"/>
    <w:rsid w:val="001D26ED"/>
    <w:rsid w:val="001D4303"/>
    <w:rsid w:val="001D6746"/>
    <w:rsid w:val="001E3B49"/>
    <w:rsid w:val="001E7388"/>
    <w:rsid w:val="001F13DD"/>
    <w:rsid w:val="001F2DBC"/>
    <w:rsid w:val="0020056E"/>
    <w:rsid w:val="0020262C"/>
    <w:rsid w:val="00214722"/>
    <w:rsid w:val="00224537"/>
    <w:rsid w:val="00235956"/>
    <w:rsid w:val="00247C9A"/>
    <w:rsid w:val="0025160C"/>
    <w:rsid w:val="002535D0"/>
    <w:rsid w:val="002539B3"/>
    <w:rsid w:val="002579DB"/>
    <w:rsid w:val="00257C3E"/>
    <w:rsid w:val="002602C2"/>
    <w:rsid w:val="002631CF"/>
    <w:rsid w:val="00264BA4"/>
    <w:rsid w:val="002666C9"/>
    <w:rsid w:val="00270136"/>
    <w:rsid w:val="00274F5B"/>
    <w:rsid w:val="00280836"/>
    <w:rsid w:val="00282E1A"/>
    <w:rsid w:val="0029113B"/>
    <w:rsid w:val="002934C0"/>
    <w:rsid w:val="002A1B50"/>
    <w:rsid w:val="002B0E91"/>
    <w:rsid w:val="002B65B6"/>
    <w:rsid w:val="002B6779"/>
    <w:rsid w:val="002B6B4A"/>
    <w:rsid w:val="002B71C0"/>
    <w:rsid w:val="002B7A34"/>
    <w:rsid w:val="002C31AD"/>
    <w:rsid w:val="002C7385"/>
    <w:rsid w:val="002D2DBB"/>
    <w:rsid w:val="002D54A6"/>
    <w:rsid w:val="002E6A7A"/>
    <w:rsid w:val="002F1E49"/>
    <w:rsid w:val="002F2CC1"/>
    <w:rsid w:val="002F4E9C"/>
    <w:rsid w:val="0031256C"/>
    <w:rsid w:val="00314D6C"/>
    <w:rsid w:val="00316D2A"/>
    <w:rsid w:val="00322A7C"/>
    <w:rsid w:val="003402D3"/>
    <w:rsid w:val="00342090"/>
    <w:rsid w:val="00343ABC"/>
    <w:rsid w:val="003463FE"/>
    <w:rsid w:val="003554B3"/>
    <w:rsid w:val="00356632"/>
    <w:rsid w:val="003845A9"/>
    <w:rsid w:val="00390883"/>
    <w:rsid w:val="003922F8"/>
    <w:rsid w:val="00395B24"/>
    <w:rsid w:val="00396257"/>
    <w:rsid w:val="003A17DE"/>
    <w:rsid w:val="003A2D38"/>
    <w:rsid w:val="003A7ECC"/>
    <w:rsid w:val="003B07E3"/>
    <w:rsid w:val="003B2C72"/>
    <w:rsid w:val="003C1333"/>
    <w:rsid w:val="003C20FF"/>
    <w:rsid w:val="003D2650"/>
    <w:rsid w:val="003D449E"/>
    <w:rsid w:val="003D560C"/>
    <w:rsid w:val="003E5874"/>
    <w:rsid w:val="003F193E"/>
    <w:rsid w:val="003F34F1"/>
    <w:rsid w:val="00411AE8"/>
    <w:rsid w:val="00413B74"/>
    <w:rsid w:val="00435C5F"/>
    <w:rsid w:val="00441E98"/>
    <w:rsid w:val="004532F7"/>
    <w:rsid w:val="00472027"/>
    <w:rsid w:val="004804CF"/>
    <w:rsid w:val="00484962"/>
    <w:rsid w:val="00484F6D"/>
    <w:rsid w:val="004868D1"/>
    <w:rsid w:val="0049338A"/>
    <w:rsid w:val="0049417F"/>
    <w:rsid w:val="004A1468"/>
    <w:rsid w:val="004B27F2"/>
    <w:rsid w:val="004B3EFA"/>
    <w:rsid w:val="004C2A87"/>
    <w:rsid w:val="004C4ED3"/>
    <w:rsid w:val="004D2EA5"/>
    <w:rsid w:val="004D32A6"/>
    <w:rsid w:val="004D53E5"/>
    <w:rsid w:val="004D71A8"/>
    <w:rsid w:val="004E032C"/>
    <w:rsid w:val="004E21F6"/>
    <w:rsid w:val="00501A12"/>
    <w:rsid w:val="00504BC9"/>
    <w:rsid w:val="0051346D"/>
    <w:rsid w:val="00513EAE"/>
    <w:rsid w:val="00516806"/>
    <w:rsid w:val="00525A49"/>
    <w:rsid w:val="00527FE4"/>
    <w:rsid w:val="00535613"/>
    <w:rsid w:val="005359EB"/>
    <w:rsid w:val="0054254A"/>
    <w:rsid w:val="005466B5"/>
    <w:rsid w:val="00552449"/>
    <w:rsid w:val="005629B3"/>
    <w:rsid w:val="00573AC4"/>
    <w:rsid w:val="005801FC"/>
    <w:rsid w:val="00582026"/>
    <w:rsid w:val="00595016"/>
    <w:rsid w:val="00597AAE"/>
    <w:rsid w:val="005A222C"/>
    <w:rsid w:val="005A4DF8"/>
    <w:rsid w:val="005A6F55"/>
    <w:rsid w:val="005B1426"/>
    <w:rsid w:val="005B647B"/>
    <w:rsid w:val="005C0A8E"/>
    <w:rsid w:val="005C1767"/>
    <w:rsid w:val="005C42EF"/>
    <w:rsid w:val="005C593A"/>
    <w:rsid w:val="005C6C42"/>
    <w:rsid w:val="005E02F5"/>
    <w:rsid w:val="005E0510"/>
    <w:rsid w:val="005E176E"/>
    <w:rsid w:val="005E218E"/>
    <w:rsid w:val="005E35A0"/>
    <w:rsid w:val="005F0D1B"/>
    <w:rsid w:val="005F1865"/>
    <w:rsid w:val="006007BD"/>
    <w:rsid w:val="006013C8"/>
    <w:rsid w:val="0060270D"/>
    <w:rsid w:val="00604611"/>
    <w:rsid w:val="00611586"/>
    <w:rsid w:val="00612050"/>
    <w:rsid w:val="00621887"/>
    <w:rsid w:val="00624520"/>
    <w:rsid w:val="00632BB7"/>
    <w:rsid w:val="00634DDD"/>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20F1"/>
    <w:rsid w:val="006D4C92"/>
    <w:rsid w:val="006D4EB6"/>
    <w:rsid w:val="006E1CB6"/>
    <w:rsid w:val="006E2F4A"/>
    <w:rsid w:val="006E35BF"/>
    <w:rsid w:val="006E7850"/>
    <w:rsid w:val="006E7FE3"/>
    <w:rsid w:val="007009A1"/>
    <w:rsid w:val="007028D9"/>
    <w:rsid w:val="00707218"/>
    <w:rsid w:val="00712B1D"/>
    <w:rsid w:val="00721E96"/>
    <w:rsid w:val="00722EBF"/>
    <w:rsid w:val="007325D9"/>
    <w:rsid w:val="007360CA"/>
    <w:rsid w:val="007408E7"/>
    <w:rsid w:val="007408EF"/>
    <w:rsid w:val="00744138"/>
    <w:rsid w:val="007709B6"/>
    <w:rsid w:val="0078003A"/>
    <w:rsid w:val="00780771"/>
    <w:rsid w:val="00790156"/>
    <w:rsid w:val="007929CF"/>
    <w:rsid w:val="00796A79"/>
    <w:rsid w:val="007A6F28"/>
    <w:rsid w:val="007B03C6"/>
    <w:rsid w:val="007B0DB1"/>
    <w:rsid w:val="007C6DEF"/>
    <w:rsid w:val="007D2EF8"/>
    <w:rsid w:val="007D561F"/>
    <w:rsid w:val="007D7FD2"/>
    <w:rsid w:val="007E13D9"/>
    <w:rsid w:val="007E4DB6"/>
    <w:rsid w:val="007E7CD4"/>
    <w:rsid w:val="00801800"/>
    <w:rsid w:val="00801B5B"/>
    <w:rsid w:val="00804435"/>
    <w:rsid w:val="008052D1"/>
    <w:rsid w:val="008229B6"/>
    <w:rsid w:val="0082579B"/>
    <w:rsid w:val="00825B8B"/>
    <w:rsid w:val="00825E24"/>
    <w:rsid w:val="008276B4"/>
    <w:rsid w:val="00827E6E"/>
    <w:rsid w:val="00831927"/>
    <w:rsid w:val="008347E3"/>
    <w:rsid w:val="00841BD3"/>
    <w:rsid w:val="0084273D"/>
    <w:rsid w:val="00844E3F"/>
    <w:rsid w:val="00845A83"/>
    <w:rsid w:val="008712BB"/>
    <w:rsid w:val="008736E2"/>
    <w:rsid w:val="00890B01"/>
    <w:rsid w:val="008A2484"/>
    <w:rsid w:val="008A2B12"/>
    <w:rsid w:val="008B5254"/>
    <w:rsid w:val="008C26D9"/>
    <w:rsid w:val="008C6D50"/>
    <w:rsid w:val="008C7167"/>
    <w:rsid w:val="008C7503"/>
    <w:rsid w:val="008D1617"/>
    <w:rsid w:val="008E6315"/>
    <w:rsid w:val="008F11E0"/>
    <w:rsid w:val="008F78BC"/>
    <w:rsid w:val="008F7B63"/>
    <w:rsid w:val="008F7D6A"/>
    <w:rsid w:val="009054CB"/>
    <w:rsid w:val="00912F94"/>
    <w:rsid w:val="00924C9C"/>
    <w:rsid w:val="0092590B"/>
    <w:rsid w:val="00925E60"/>
    <w:rsid w:val="009264B3"/>
    <w:rsid w:val="00930CD2"/>
    <w:rsid w:val="00933891"/>
    <w:rsid w:val="00942BA2"/>
    <w:rsid w:val="00944C86"/>
    <w:rsid w:val="009475C9"/>
    <w:rsid w:val="00957DE8"/>
    <w:rsid w:val="00960ECB"/>
    <w:rsid w:val="009615D6"/>
    <w:rsid w:val="00967855"/>
    <w:rsid w:val="00971C03"/>
    <w:rsid w:val="00980736"/>
    <w:rsid w:val="00981A39"/>
    <w:rsid w:val="00982F95"/>
    <w:rsid w:val="00987097"/>
    <w:rsid w:val="009B046C"/>
    <w:rsid w:val="009B13FA"/>
    <w:rsid w:val="009B1E2D"/>
    <w:rsid w:val="009C59FB"/>
    <w:rsid w:val="009C6F3B"/>
    <w:rsid w:val="009D27D2"/>
    <w:rsid w:val="009D7E62"/>
    <w:rsid w:val="009E4FA6"/>
    <w:rsid w:val="009E7C58"/>
    <w:rsid w:val="009E7D93"/>
    <w:rsid w:val="009F5C33"/>
    <w:rsid w:val="00A03EAC"/>
    <w:rsid w:val="00A10D4F"/>
    <w:rsid w:val="00A11CA6"/>
    <w:rsid w:val="00A20C49"/>
    <w:rsid w:val="00A269CA"/>
    <w:rsid w:val="00A359AC"/>
    <w:rsid w:val="00A36406"/>
    <w:rsid w:val="00A41413"/>
    <w:rsid w:val="00A43BB3"/>
    <w:rsid w:val="00A45FB1"/>
    <w:rsid w:val="00A46CCC"/>
    <w:rsid w:val="00A51CFE"/>
    <w:rsid w:val="00A605BA"/>
    <w:rsid w:val="00A76C13"/>
    <w:rsid w:val="00A91E6B"/>
    <w:rsid w:val="00A92E79"/>
    <w:rsid w:val="00A950B6"/>
    <w:rsid w:val="00AB023A"/>
    <w:rsid w:val="00AB41C1"/>
    <w:rsid w:val="00AD12A8"/>
    <w:rsid w:val="00AE0CE3"/>
    <w:rsid w:val="00AF3577"/>
    <w:rsid w:val="00AF35F9"/>
    <w:rsid w:val="00B05C7D"/>
    <w:rsid w:val="00B26245"/>
    <w:rsid w:val="00B346C3"/>
    <w:rsid w:val="00B4471C"/>
    <w:rsid w:val="00B451A6"/>
    <w:rsid w:val="00B52EF6"/>
    <w:rsid w:val="00B65F8B"/>
    <w:rsid w:val="00B722DE"/>
    <w:rsid w:val="00B76C44"/>
    <w:rsid w:val="00B83F87"/>
    <w:rsid w:val="00BA2375"/>
    <w:rsid w:val="00BA2EFA"/>
    <w:rsid w:val="00BA3DBC"/>
    <w:rsid w:val="00BB2DA2"/>
    <w:rsid w:val="00BB56DC"/>
    <w:rsid w:val="00BE183D"/>
    <w:rsid w:val="00BE4876"/>
    <w:rsid w:val="00BF5D7A"/>
    <w:rsid w:val="00C02304"/>
    <w:rsid w:val="00C05D27"/>
    <w:rsid w:val="00C06FF1"/>
    <w:rsid w:val="00C146A8"/>
    <w:rsid w:val="00C36442"/>
    <w:rsid w:val="00C400CE"/>
    <w:rsid w:val="00C410FD"/>
    <w:rsid w:val="00C539FB"/>
    <w:rsid w:val="00C5471E"/>
    <w:rsid w:val="00C71321"/>
    <w:rsid w:val="00C82B32"/>
    <w:rsid w:val="00C9184B"/>
    <w:rsid w:val="00CA246D"/>
    <w:rsid w:val="00CB5636"/>
    <w:rsid w:val="00D02222"/>
    <w:rsid w:val="00D059CA"/>
    <w:rsid w:val="00D10F21"/>
    <w:rsid w:val="00D25888"/>
    <w:rsid w:val="00D30B33"/>
    <w:rsid w:val="00D34040"/>
    <w:rsid w:val="00D34E69"/>
    <w:rsid w:val="00D375EE"/>
    <w:rsid w:val="00D62699"/>
    <w:rsid w:val="00D67589"/>
    <w:rsid w:val="00D77B79"/>
    <w:rsid w:val="00D81775"/>
    <w:rsid w:val="00D82620"/>
    <w:rsid w:val="00D84CB0"/>
    <w:rsid w:val="00D90544"/>
    <w:rsid w:val="00D9725F"/>
    <w:rsid w:val="00DA01B1"/>
    <w:rsid w:val="00DA11A2"/>
    <w:rsid w:val="00DA14ED"/>
    <w:rsid w:val="00DB2EF1"/>
    <w:rsid w:val="00DB2F28"/>
    <w:rsid w:val="00DB3DE1"/>
    <w:rsid w:val="00DB5DA0"/>
    <w:rsid w:val="00DB716C"/>
    <w:rsid w:val="00DC47E2"/>
    <w:rsid w:val="00DC5C85"/>
    <w:rsid w:val="00DD4236"/>
    <w:rsid w:val="00DD44F1"/>
    <w:rsid w:val="00DE3067"/>
    <w:rsid w:val="00DE4EEA"/>
    <w:rsid w:val="00DF5ED6"/>
    <w:rsid w:val="00E027BC"/>
    <w:rsid w:val="00E1428E"/>
    <w:rsid w:val="00E14EA5"/>
    <w:rsid w:val="00E21133"/>
    <w:rsid w:val="00E2327E"/>
    <w:rsid w:val="00E25896"/>
    <w:rsid w:val="00E266EF"/>
    <w:rsid w:val="00E355CB"/>
    <w:rsid w:val="00E37346"/>
    <w:rsid w:val="00E47428"/>
    <w:rsid w:val="00E51C98"/>
    <w:rsid w:val="00E66B9F"/>
    <w:rsid w:val="00E710D6"/>
    <w:rsid w:val="00E76E45"/>
    <w:rsid w:val="00E777C9"/>
    <w:rsid w:val="00E81DA6"/>
    <w:rsid w:val="00E84212"/>
    <w:rsid w:val="00E862BD"/>
    <w:rsid w:val="00E9086C"/>
    <w:rsid w:val="00E91A0F"/>
    <w:rsid w:val="00E94A71"/>
    <w:rsid w:val="00EA03CE"/>
    <w:rsid w:val="00EA23E5"/>
    <w:rsid w:val="00EA4E2E"/>
    <w:rsid w:val="00EA7261"/>
    <w:rsid w:val="00EB2CCB"/>
    <w:rsid w:val="00EC57A7"/>
    <w:rsid w:val="00ED0817"/>
    <w:rsid w:val="00ED7DD9"/>
    <w:rsid w:val="00EF0823"/>
    <w:rsid w:val="00EF3113"/>
    <w:rsid w:val="00EF3F84"/>
    <w:rsid w:val="00F176AC"/>
    <w:rsid w:val="00F24C61"/>
    <w:rsid w:val="00F27714"/>
    <w:rsid w:val="00F32405"/>
    <w:rsid w:val="00F3276E"/>
    <w:rsid w:val="00F334B5"/>
    <w:rsid w:val="00F33D3C"/>
    <w:rsid w:val="00F3722C"/>
    <w:rsid w:val="00F37A91"/>
    <w:rsid w:val="00F45CF5"/>
    <w:rsid w:val="00F47DB0"/>
    <w:rsid w:val="00F50E34"/>
    <w:rsid w:val="00F53EF7"/>
    <w:rsid w:val="00F54BF2"/>
    <w:rsid w:val="00F7479F"/>
    <w:rsid w:val="00F830E6"/>
    <w:rsid w:val="00F83F47"/>
    <w:rsid w:val="00F92355"/>
    <w:rsid w:val="00F93963"/>
    <w:rsid w:val="00F94291"/>
    <w:rsid w:val="00FA0C80"/>
    <w:rsid w:val="00FA318C"/>
    <w:rsid w:val="00FB10CC"/>
    <w:rsid w:val="00FB7982"/>
    <w:rsid w:val="00FC0734"/>
    <w:rsid w:val="00FC0FC5"/>
    <w:rsid w:val="00FC17E9"/>
    <w:rsid w:val="00FC588F"/>
    <w:rsid w:val="00FD00B4"/>
    <w:rsid w:val="00FE1B30"/>
    <w:rsid w:val="00FE7B44"/>
    <w:rsid w:val="00FF4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8B5254"/>
    <w:pPr>
      <w:ind w:left="720"/>
      <w:contextualSpacing/>
    </w:pPr>
  </w:style>
  <w:style w:type="paragraph" w:customStyle="1" w:styleId="Default">
    <w:name w:val="Default"/>
    <w:rsid w:val="000E5CC7"/>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semiHidden/>
    <w:unhideWhenUsed/>
    <w:rsid w:val="00634DDD"/>
    <w:pPr>
      <w:pBdr>
        <w:bottom w:val="single" w:sz="6" w:space="1" w:color="auto"/>
      </w:pBdr>
      <w:spacing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34D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DDD"/>
    <w:pPr>
      <w:pBdr>
        <w:top w:val="single" w:sz="6" w:space="1" w:color="auto"/>
      </w:pBdr>
      <w:spacing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34DDD"/>
    <w:rPr>
      <w:rFonts w:ascii="Arial" w:eastAsia="Times New Roman" w:hAnsi="Arial" w:cs="Arial"/>
      <w:vanish/>
      <w:sz w:val="16"/>
      <w:szCs w:val="16"/>
    </w:rPr>
  </w:style>
  <w:style w:type="paragraph" w:customStyle="1" w:styleId="spacing6">
    <w:name w:val="spacing6"/>
    <w:basedOn w:val="Normal"/>
    <w:rsid w:val="005B647B"/>
    <w:pPr>
      <w:spacing w:line="384" w:lineRule="atLeast"/>
      <w:jc w:val="left"/>
    </w:pPr>
    <w:rPr>
      <w:rFonts w:eastAsia="Times New Roman"/>
      <w:szCs w:val="24"/>
      <w:lang w:eastAsia="en-AU"/>
    </w:rPr>
  </w:style>
  <w:style w:type="character" w:customStyle="1" w:styleId="g">
    <w:name w:val="g"/>
    <w:basedOn w:val="DefaultParagraphFont"/>
    <w:rsid w:val="005B647B"/>
  </w:style>
  <w:style w:type="character" w:customStyle="1" w:styleId="mover">
    <w:name w:val="mover"/>
    <w:basedOn w:val="DefaultParagraphFont"/>
    <w:rsid w:val="005B6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8B5254"/>
    <w:pPr>
      <w:ind w:left="720"/>
      <w:contextualSpacing/>
    </w:pPr>
  </w:style>
  <w:style w:type="paragraph" w:customStyle="1" w:styleId="Default">
    <w:name w:val="Default"/>
    <w:rsid w:val="000E5CC7"/>
    <w:pPr>
      <w:autoSpaceDE w:val="0"/>
      <w:autoSpaceDN w:val="0"/>
      <w:adjustRightInd w:val="0"/>
    </w:pPr>
    <w:rPr>
      <w:color w:val="000000"/>
      <w:sz w:val="24"/>
      <w:szCs w:val="24"/>
    </w:rPr>
  </w:style>
  <w:style w:type="paragraph" w:styleId="z-TopofForm">
    <w:name w:val="HTML Top of Form"/>
    <w:basedOn w:val="Normal"/>
    <w:next w:val="Normal"/>
    <w:link w:val="z-TopofFormChar"/>
    <w:hidden/>
    <w:uiPriority w:val="99"/>
    <w:semiHidden/>
    <w:unhideWhenUsed/>
    <w:rsid w:val="00634DDD"/>
    <w:pPr>
      <w:pBdr>
        <w:bottom w:val="single" w:sz="6" w:space="1" w:color="auto"/>
      </w:pBdr>
      <w:spacing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34D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DDD"/>
    <w:pPr>
      <w:pBdr>
        <w:top w:val="single" w:sz="6" w:space="1" w:color="auto"/>
      </w:pBdr>
      <w:spacing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34DDD"/>
    <w:rPr>
      <w:rFonts w:ascii="Arial" w:eastAsia="Times New Roman" w:hAnsi="Arial" w:cs="Arial"/>
      <w:vanish/>
      <w:sz w:val="16"/>
      <w:szCs w:val="16"/>
    </w:rPr>
  </w:style>
  <w:style w:type="paragraph" w:customStyle="1" w:styleId="spacing6">
    <w:name w:val="spacing6"/>
    <w:basedOn w:val="Normal"/>
    <w:rsid w:val="005B647B"/>
    <w:pPr>
      <w:spacing w:line="384" w:lineRule="atLeast"/>
      <w:jc w:val="left"/>
    </w:pPr>
    <w:rPr>
      <w:rFonts w:eastAsia="Times New Roman"/>
      <w:szCs w:val="24"/>
      <w:lang w:eastAsia="en-AU"/>
    </w:rPr>
  </w:style>
  <w:style w:type="character" w:customStyle="1" w:styleId="g">
    <w:name w:val="g"/>
    <w:basedOn w:val="DefaultParagraphFont"/>
    <w:rsid w:val="005B647B"/>
  </w:style>
  <w:style w:type="character" w:customStyle="1" w:styleId="mover">
    <w:name w:val="mover"/>
    <w:basedOn w:val="DefaultParagraphFont"/>
    <w:rsid w:val="005B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200">
      <w:bodyDiv w:val="1"/>
      <w:marLeft w:val="0"/>
      <w:marRight w:val="0"/>
      <w:marTop w:val="0"/>
      <w:marBottom w:val="0"/>
      <w:divBdr>
        <w:top w:val="none" w:sz="0" w:space="0" w:color="auto"/>
        <w:left w:val="none" w:sz="0" w:space="0" w:color="auto"/>
        <w:bottom w:val="none" w:sz="0" w:space="0" w:color="auto"/>
        <w:right w:val="none" w:sz="0" w:space="0" w:color="auto"/>
      </w:divBdr>
      <w:divsChild>
        <w:div w:id="1930309175">
          <w:marLeft w:val="0"/>
          <w:marRight w:val="0"/>
          <w:marTop w:val="1155"/>
          <w:marBottom w:val="0"/>
          <w:divBdr>
            <w:top w:val="none" w:sz="0" w:space="0" w:color="auto"/>
            <w:left w:val="none" w:sz="0" w:space="0" w:color="auto"/>
            <w:bottom w:val="none" w:sz="0" w:space="0" w:color="auto"/>
            <w:right w:val="none" w:sz="0" w:space="0" w:color="auto"/>
          </w:divBdr>
          <w:divsChild>
            <w:div w:id="1471358771">
              <w:marLeft w:val="0"/>
              <w:marRight w:val="0"/>
              <w:marTop w:val="0"/>
              <w:marBottom w:val="0"/>
              <w:divBdr>
                <w:top w:val="none" w:sz="0" w:space="0" w:color="auto"/>
                <w:left w:val="none" w:sz="0" w:space="0" w:color="auto"/>
                <w:bottom w:val="none" w:sz="0" w:space="0" w:color="auto"/>
                <w:right w:val="none" w:sz="0" w:space="0" w:color="auto"/>
              </w:divBdr>
              <w:divsChild>
                <w:div w:id="257371492">
                  <w:marLeft w:val="0"/>
                  <w:marRight w:val="0"/>
                  <w:marTop w:val="0"/>
                  <w:marBottom w:val="0"/>
                  <w:divBdr>
                    <w:top w:val="none" w:sz="0" w:space="0" w:color="auto"/>
                    <w:left w:val="none" w:sz="0" w:space="0" w:color="auto"/>
                    <w:bottom w:val="none" w:sz="0" w:space="0" w:color="auto"/>
                    <w:right w:val="none" w:sz="0" w:space="0" w:color="auto"/>
                  </w:divBdr>
                  <w:divsChild>
                    <w:div w:id="481850363">
                      <w:marLeft w:val="0"/>
                      <w:marRight w:val="0"/>
                      <w:marTop w:val="0"/>
                      <w:marBottom w:val="0"/>
                      <w:divBdr>
                        <w:top w:val="none" w:sz="0" w:space="0" w:color="auto"/>
                        <w:left w:val="none" w:sz="0" w:space="0" w:color="auto"/>
                        <w:bottom w:val="none" w:sz="0" w:space="0" w:color="auto"/>
                        <w:right w:val="none" w:sz="0" w:space="0" w:color="auto"/>
                      </w:divBdr>
                      <w:divsChild>
                        <w:div w:id="1467553317">
                          <w:marLeft w:val="0"/>
                          <w:marRight w:val="0"/>
                          <w:marTop w:val="0"/>
                          <w:marBottom w:val="0"/>
                          <w:divBdr>
                            <w:top w:val="none" w:sz="0" w:space="0" w:color="auto"/>
                            <w:left w:val="none" w:sz="0" w:space="0" w:color="auto"/>
                            <w:bottom w:val="none" w:sz="0" w:space="0" w:color="auto"/>
                            <w:right w:val="none" w:sz="0" w:space="0" w:color="auto"/>
                          </w:divBdr>
                          <w:divsChild>
                            <w:div w:id="1831480599">
                              <w:marLeft w:val="0"/>
                              <w:marRight w:val="0"/>
                              <w:marTop w:val="0"/>
                              <w:marBottom w:val="300"/>
                              <w:divBdr>
                                <w:top w:val="single" w:sz="6" w:space="0" w:color="E5E5E5"/>
                                <w:left w:val="single" w:sz="6" w:space="0" w:color="E5E5E5"/>
                                <w:bottom w:val="single" w:sz="6" w:space="0" w:color="E5E5E5"/>
                                <w:right w:val="single" w:sz="6" w:space="0" w:color="E5E5E5"/>
                              </w:divBdr>
                              <w:divsChild>
                                <w:div w:id="1555116952">
                                  <w:marLeft w:val="0"/>
                                  <w:marRight w:val="0"/>
                                  <w:marTop w:val="0"/>
                                  <w:marBottom w:val="0"/>
                                  <w:divBdr>
                                    <w:top w:val="none" w:sz="0" w:space="0" w:color="auto"/>
                                    <w:left w:val="none" w:sz="0" w:space="0" w:color="auto"/>
                                    <w:bottom w:val="none" w:sz="0" w:space="0" w:color="auto"/>
                                    <w:right w:val="none" w:sz="0" w:space="0" w:color="auto"/>
                                  </w:divBdr>
                                  <w:divsChild>
                                    <w:div w:id="1488277979">
                                      <w:marLeft w:val="375"/>
                                      <w:marRight w:val="0"/>
                                      <w:marTop w:val="0"/>
                                      <w:marBottom w:val="0"/>
                                      <w:divBdr>
                                        <w:top w:val="none" w:sz="0" w:space="0" w:color="auto"/>
                                        <w:left w:val="none" w:sz="0" w:space="0" w:color="auto"/>
                                        <w:bottom w:val="none" w:sz="0" w:space="0" w:color="auto"/>
                                        <w:right w:val="none" w:sz="0" w:space="0" w:color="auto"/>
                                      </w:divBdr>
                                    </w:div>
                                    <w:div w:id="1339699815">
                                      <w:marLeft w:val="0"/>
                                      <w:marRight w:val="0"/>
                                      <w:marTop w:val="0"/>
                                      <w:marBottom w:val="0"/>
                                      <w:divBdr>
                                        <w:top w:val="none" w:sz="0" w:space="0" w:color="auto"/>
                                        <w:left w:val="none" w:sz="0" w:space="0" w:color="auto"/>
                                        <w:bottom w:val="none" w:sz="0" w:space="0" w:color="auto"/>
                                        <w:right w:val="none" w:sz="0" w:space="0" w:color="auto"/>
                                      </w:divBdr>
                                    </w:div>
                                    <w:div w:id="1531145676">
                                      <w:marLeft w:val="0"/>
                                      <w:marRight w:val="0"/>
                                      <w:marTop w:val="0"/>
                                      <w:marBottom w:val="0"/>
                                      <w:divBdr>
                                        <w:top w:val="none" w:sz="0" w:space="0" w:color="auto"/>
                                        <w:left w:val="none" w:sz="0" w:space="0" w:color="auto"/>
                                        <w:bottom w:val="none" w:sz="0" w:space="0" w:color="auto"/>
                                        <w:right w:val="none" w:sz="0" w:space="0" w:color="auto"/>
                                      </w:divBdr>
                                      <w:divsChild>
                                        <w:div w:id="930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662651">
      <w:bodyDiv w:val="1"/>
      <w:marLeft w:val="0"/>
      <w:marRight w:val="0"/>
      <w:marTop w:val="0"/>
      <w:marBottom w:val="0"/>
      <w:divBdr>
        <w:top w:val="none" w:sz="0" w:space="0" w:color="auto"/>
        <w:left w:val="none" w:sz="0" w:space="0" w:color="auto"/>
        <w:bottom w:val="none" w:sz="0" w:space="0" w:color="auto"/>
        <w:right w:val="none" w:sz="0" w:space="0" w:color="auto"/>
      </w:divBdr>
      <w:divsChild>
        <w:div w:id="418991447">
          <w:marLeft w:val="0"/>
          <w:marRight w:val="0"/>
          <w:marTop w:val="1155"/>
          <w:marBottom w:val="0"/>
          <w:divBdr>
            <w:top w:val="none" w:sz="0" w:space="0" w:color="auto"/>
            <w:left w:val="none" w:sz="0" w:space="0" w:color="auto"/>
            <w:bottom w:val="none" w:sz="0" w:space="0" w:color="auto"/>
            <w:right w:val="none" w:sz="0" w:space="0" w:color="auto"/>
          </w:divBdr>
          <w:divsChild>
            <w:div w:id="956760421">
              <w:marLeft w:val="0"/>
              <w:marRight w:val="0"/>
              <w:marTop w:val="0"/>
              <w:marBottom w:val="0"/>
              <w:divBdr>
                <w:top w:val="none" w:sz="0" w:space="0" w:color="auto"/>
                <w:left w:val="none" w:sz="0" w:space="0" w:color="auto"/>
                <w:bottom w:val="none" w:sz="0" w:space="0" w:color="auto"/>
                <w:right w:val="none" w:sz="0" w:space="0" w:color="auto"/>
              </w:divBdr>
              <w:divsChild>
                <w:div w:id="815414444">
                  <w:marLeft w:val="0"/>
                  <w:marRight w:val="0"/>
                  <w:marTop w:val="0"/>
                  <w:marBottom w:val="0"/>
                  <w:divBdr>
                    <w:top w:val="none" w:sz="0" w:space="0" w:color="auto"/>
                    <w:left w:val="none" w:sz="0" w:space="0" w:color="auto"/>
                    <w:bottom w:val="none" w:sz="0" w:space="0" w:color="auto"/>
                    <w:right w:val="none" w:sz="0" w:space="0" w:color="auto"/>
                  </w:divBdr>
                  <w:divsChild>
                    <w:div w:id="136797665">
                      <w:marLeft w:val="0"/>
                      <w:marRight w:val="0"/>
                      <w:marTop w:val="0"/>
                      <w:marBottom w:val="0"/>
                      <w:divBdr>
                        <w:top w:val="none" w:sz="0" w:space="0" w:color="auto"/>
                        <w:left w:val="none" w:sz="0" w:space="0" w:color="auto"/>
                        <w:bottom w:val="none" w:sz="0" w:space="0" w:color="auto"/>
                        <w:right w:val="none" w:sz="0" w:space="0" w:color="auto"/>
                      </w:divBdr>
                      <w:divsChild>
                        <w:div w:id="568423672">
                          <w:marLeft w:val="0"/>
                          <w:marRight w:val="0"/>
                          <w:marTop w:val="0"/>
                          <w:marBottom w:val="0"/>
                          <w:divBdr>
                            <w:top w:val="none" w:sz="0" w:space="0" w:color="auto"/>
                            <w:left w:val="none" w:sz="0" w:space="0" w:color="auto"/>
                            <w:bottom w:val="none" w:sz="0" w:space="0" w:color="auto"/>
                            <w:right w:val="none" w:sz="0" w:space="0" w:color="auto"/>
                          </w:divBdr>
                          <w:divsChild>
                            <w:div w:id="1821919308">
                              <w:marLeft w:val="0"/>
                              <w:marRight w:val="0"/>
                              <w:marTop w:val="0"/>
                              <w:marBottom w:val="0"/>
                              <w:divBdr>
                                <w:top w:val="none" w:sz="0" w:space="0" w:color="auto"/>
                                <w:left w:val="none" w:sz="0" w:space="0" w:color="auto"/>
                                <w:bottom w:val="none" w:sz="0" w:space="0" w:color="auto"/>
                                <w:right w:val="none" w:sz="0" w:space="0" w:color="auto"/>
                              </w:divBdr>
                              <w:divsChild>
                                <w:div w:id="835919540">
                                  <w:marLeft w:val="0"/>
                                  <w:marRight w:val="0"/>
                                  <w:marTop w:val="0"/>
                                  <w:marBottom w:val="0"/>
                                  <w:divBdr>
                                    <w:top w:val="none" w:sz="0" w:space="0" w:color="auto"/>
                                    <w:left w:val="none" w:sz="0" w:space="0" w:color="auto"/>
                                    <w:bottom w:val="none" w:sz="0" w:space="0" w:color="auto"/>
                                    <w:right w:val="none" w:sz="0" w:space="0" w:color="auto"/>
                                  </w:divBdr>
                                  <w:divsChild>
                                    <w:div w:id="1878004785">
                                      <w:marLeft w:val="0"/>
                                      <w:marRight w:val="0"/>
                                      <w:marTop w:val="0"/>
                                      <w:marBottom w:val="0"/>
                                      <w:divBdr>
                                        <w:top w:val="none" w:sz="0" w:space="0" w:color="auto"/>
                                        <w:left w:val="none" w:sz="0" w:space="0" w:color="auto"/>
                                        <w:bottom w:val="none" w:sz="0" w:space="0" w:color="auto"/>
                                        <w:right w:val="none" w:sz="0" w:space="0" w:color="auto"/>
                                      </w:divBdr>
                                      <w:divsChild>
                                        <w:div w:id="975574362">
                                          <w:marLeft w:val="0"/>
                                          <w:marRight w:val="0"/>
                                          <w:marTop w:val="0"/>
                                          <w:marBottom w:val="0"/>
                                          <w:divBdr>
                                            <w:top w:val="none" w:sz="0" w:space="0" w:color="auto"/>
                                            <w:left w:val="none" w:sz="0" w:space="0" w:color="auto"/>
                                            <w:bottom w:val="none" w:sz="0" w:space="0" w:color="auto"/>
                                            <w:right w:val="none" w:sz="0" w:space="0" w:color="auto"/>
                                          </w:divBdr>
                                        </w:div>
                                        <w:div w:id="4481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31501">
      <w:bodyDiv w:val="1"/>
      <w:marLeft w:val="0"/>
      <w:marRight w:val="0"/>
      <w:marTop w:val="0"/>
      <w:marBottom w:val="0"/>
      <w:divBdr>
        <w:top w:val="none" w:sz="0" w:space="0" w:color="auto"/>
        <w:left w:val="none" w:sz="0" w:space="0" w:color="auto"/>
        <w:bottom w:val="none" w:sz="0" w:space="0" w:color="auto"/>
        <w:right w:val="none" w:sz="0" w:space="0" w:color="auto"/>
      </w:divBdr>
      <w:divsChild>
        <w:div w:id="1306011243">
          <w:marLeft w:val="0"/>
          <w:marRight w:val="0"/>
          <w:marTop w:val="1155"/>
          <w:marBottom w:val="0"/>
          <w:divBdr>
            <w:top w:val="none" w:sz="0" w:space="0" w:color="auto"/>
            <w:left w:val="none" w:sz="0" w:space="0" w:color="auto"/>
            <w:bottom w:val="none" w:sz="0" w:space="0" w:color="auto"/>
            <w:right w:val="none" w:sz="0" w:space="0" w:color="auto"/>
          </w:divBdr>
          <w:divsChild>
            <w:div w:id="1263301452">
              <w:marLeft w:val="0"/>
              <w:marRight w:val="0"/>
              <w:marTop w:val="0"/>
              <w:marBottom w:val="0"/>
              <w:divBdr>
                <w:top w:val="none" w:sz="0" w:space="0" w:color="auto"/>
                <w:left w:val="none" w:sz="0" w:space="0" w:color="auto"/>
                <w:bottom w:val="none" w:sz="0" w:space="0" w:color="auto"/>
                <w:right w:val="none" w:sz="0" w:space="0" w:color="auto"/>
              </w:divBdr>
              <w:divsChild>
                <w:div w:id="1458138555">
                  <w:marLeft w:val="0"/>
                  <w:marRight w:val="0"/>
                  <w:marTop w:val="0"/>
                  <w:marBottom w:val="0"/>
                  <w:divBdr>
                    <w:top w:val="none" w:sz="0" w:space="0" w:color="auto"/>
                    <w:left w:val="none" w:sz="0" w:space="0" w:color="auto"/>
                    <w:bottom w:val="none" w:sz="0" w:space="0" w:color="auto"/>
                    <w:right w:val="none" w:sz="0" w:space="0" w:color="auto"/>
                  </w:divBdr>
                  <w:divsChild>
                    <w:div w:id="345911325">
                      <w:marLeft w:val="0"/>
                      <w:marRight w:val="0"/>
                      <w:marTop w:val="0"/>
                      <w:marBottom w:val="0"/>
                      <w:divBdr>
                        <w:top w:val="none" w:sz="0" w:space="0" w:color="auto"/>
                        <w:left w:val="none" w:sz="0" w:space="0" w:color="auto"/>
                        <w:bottom w:val="none" w:sz="0" w:space="0" w:color="auto"/>
                        <w:right w:val="none" w:sz="0" w:space="0" w:color="auto"/>
                      </w:divBdr>
                      <w:divsChild>
                        <w:div w:id="589393788">
                          <w:marLeft w:val="0"/>
                          <w:marRight w:val="0"/>
                          <w:marTop w:val="0"/>
                          <w:marBottom w:val="0"/>
                          <w:divBdr>
                            <w:top w:val="none" w:sz="0" w:space="0" w:color="auto"/>
                            <w:left w:val="none" w:sz="0" w:space="0" w:color="auto"/>
                            <w:bottom w:val="none" w:sz="0" w:space="0" w:color="auto"/>
                            <w:right w:val="none" w:sz="0" w:space="0" w:color="auto"/>
                          </w:divBdr>
                          <w:divsChild>
                            <w:div w:id="2104572836">
                              <w:marLeft w:val="0"/>
                              <w:marRight w:val="0"/>
                              <w:marTop w:val="0"/>
                              <w:marBottom w:val="0"/>
                              <w:divBdr>
                                <w:top w:val="none" w:sz="0" w:space="0" w:color="auto"/>
                                <w:left w:val="none" w:sz="0" w:space="0" w:color="auto"/>
                                <w:bottom w:val="none" w:sz="0" w:space="0" w:color="auto"/>
                                <w:right w:val="none" w:sz="0" w:space="0" w:color="auto"/>
                              </w:divBdr>
                              <w:divsChild>
                                <w:div w:id="1510409163">
                                  <w:marLeft w:val="0"/>
                                  <w:marRight w:val="0"/>
                                  <w:marTop w:val="0"/>
                                  <w:marBottom w:val="0"/>
                                  <w:divBdr>
                                    <w:top w:val="none" w:sz="0" w:space="0" w:color="auto"/>
                                    <w:left w:val="none" w:sz="0" w:space="0" w:color="auto"/>
                                    <w:bottom w:val="none" w:sz="0" w:space="0" w:color="auto"/>
                                    <w:right w:val="none" w:sz="0" w:space="0" w:color="auto"/>
                                  </w:divBdr>
                                  <w:divsChild>
                                    <w:div w:id="679745710">
                                      <w:marLeft w:val="0"/>
                                      <w:marRight w:val="0"/>
                                      <w:marTop w:val="0"/>
                                      <w:marBottom w:val="0"/>
                                      <w:divBdr>
                                        <w:top w:val="none" w:sz="0" w:space="0" w:color="auto"/>
                                        <w:left w:val="none" w:sz="0" w:space="0" w:color="auto"/>
                                        <w:bottom w:val="none" w:sz="0" w:space="0" w:color="auto"/>
                                        <w:right w:val="none" w:sz="0" w:space="0" w:color="auto"/>
                                      </w:divBdr>
                                      <w:divsChild>
                                        <w:div w:id="1174762919">
                                          <w:marLeft w:val="0"/>
                                          <w:marRight w:val="0"/>
                                          <w:marTop w:val="0"/>
                                          <w:marBottom w:val="0"/>
                                          <w:divBdr>
                                            <w:top w:val="none" w:sz="0" w:space="0" w:color="auto"/>
                                            <w:left w:val="none" w:sz="0" w:space="0" w:color="auto"/>
                                            <w:bottom w:val="none" w:sz="0" w:space="0" w:color="auto"/>
                                            <w:right w:val="none" w:sz="0" w:space="0" w:color="auto"/>
                                          </w:divBdr>
                                          <w:divsChild>
                                            <w:div w:id="1882089791">
                                              <w:marLeft w:val="0"/>
                                              <w:marRight w:val="0"/>
                                              <w:marTop w:val="0"/>
                                              <w:marBottom w:val="0"/>
                                              <w:divBdr>
                                                <w:top w:val="none" w:sz="0" w:space="0" w:color="auto"/>
                                                <w:left w:val="none" w:sz="0" w:space="0" w:color="auto"/>
                                                <w:bottom w:val="none" w:sz="0" w:space="0" w:color="auto"/>
                                                <w:right w:val="none" w:sz="0" w:space="0" w:color="auto"/>
                                              </w:divBdr>
                                              <w:divsChild>
                                                <w:div w:id="1629386363">
                                                  <w:marLeft w:val="0"/>
                                                  <w:marRight w:val="0"/>
                                                  <w:marTop w:val="0"/>
                                                  <w:marBottom w:val="0"/>
                                                  <w:divBdr>
                                                    <w:top w:val="none" w:sz="0" w:space="0" w:color="auto"/>
                                                    <w:left w:val="none" w:sz="0" w:space="0" w:color="auto"/>
                                                    <w:bottom w:val="none" w:sz="0" w:space="0" w:color="auto"/>
                                                    <w:right w:val="none" w:sz="0" w:space="0" w:color="auto"/>
                                                  </w:divBdr>
                                                  <w:divsChild>
                                                    <w:div w:id="205877065">
                                                      <w:marLeft w:val="0"/>
                                                      <w:marRight w:val="0"/>
                                                      <w:marTop w:val="0"/>
                                                      <w:marBottom w:val="0"/>
                                                      <w:divBdr>
                                                        <w:top w:val="none" w:sz="0" w:space="0" w:color="auto"/>
                                                        <w:left w:val="none" w:sz="0" w:space="0" w:color="auto"/>
                                                        <w:bottom w:val="none" w:sz="0" w:space="0" w:color="auto"/>
                                                        <w:right w:val="none" w:sz="0" w:space="0" w:color="auto"/>
                                                      </w:divBdr>
                                                      <w:divsChild>
                                                        <w:div w:id="1153718779">
                                                          <w:marLeft w:val="0"/>
                                                          <w:marRight w:val="0"/>
                                                          <w:marTop w:val="150"/>
                                                          <w:marBottom w:val="0"/>
                                                          <w:divBdr>
                                                            <w:top w:val="none" w:sz="0" w:space="0" w:color="auto"/>
                                                            <w:left w:val="none" w:sz="0" w:space="0" w:color="auto"/>
                                                            <w:bottom w:val="none" w:sz="0" w:space="0" w:color="auto"/>
                                                            <w:right w:val="none" w:sz="0" w:space="0" w:color="auto"/>
                                                          </w:divBdr>
                                                          <w:divsChild>
                                                            <w:div w:id="812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103677">
      <w:bodyDiv w:val="1"/>
      <w:marLeft w:val="0"/>
      <w:marRight w:val="0"/>
      <w:marTop w:val="0"/>
      <w:marBottom w:val="0"/>
      <w:divBdr>
        <w:top w:val="none" w:sz="0" w:space="0" w:color="auto"/>
        <w:left w:val="none" w:sz="0" w:space="0" w:color="auto"/>
        <w:bottom w:val="none" w:sz="0" w:space="0" w:color="auto"/>
        <w:right w:val="none" w:sz="0" w:space="0" w:color="auto"/>
      </w:divBdr>
      <w:divsChild>
        <w:div w:id="802967180">
          <w:marLeft w:val="0"/>
          <w:marRight w:val="0"/>
          <w:marTop w:val="1155"/>
          <w:marBottom w:val="0"/>
          <w:divBdr>
            <w:top w:val="none" w:sz="0" w:space="0" w:color="auto"/>
            <w:left w:val="none" w:sz="0" w:space="0" w:color="auto"/>
            <w:bottom w:val="none" w:sz="0" w:space="0" w:color="auto"/>
            <w:right w:val="none" w:sz="0" w:space="0" w:color="auto"/>
          </w:divBdr>
          <w:divsChild>
            <w:div w:id="1018236743">
              <w:marLeft w:val="0"/>
              <w:marRight w:val="0"/>
              <w:marTop w:val="0"/>
              <w:marBottom w:val="0"/>
              <w:divBdr>
                <w:top w:val="none" w:sz="0" w:space="0" w:color="auto"/>
                <w:left w:val="none" w:sz="0" w:space="0" w:color="auto"/>
                <w:bottom w:val="none" w:sz="0" w:space="0" w:color="auto"/>
                <w:right w:val="none" w:sz="0" w:space="0" w:color="auto"/>
              </w:divBdr>
              <w:divsChild>
                <w:div w:id="1804807640">
                  <w:marLeft w:val="0"/>
                  <w:marRight w:val="0"/>
                  <w:marTop w:val="0"/>
                  <w:marBottom w:val="0"/>
                  <w:divBdr>
                    <w:top w:val="none" w:sz="0" w:space="0" w:color="auto"/>
                    <w:left w:val="none" w:sz="0" w:space="0" w:color="auto"/>
                    <w:bottom w:val="none" w:sz="0" w:space="0" w:color="auto"/>
                    <w:right w:val="none" w:sz="0" w:space="0" w:color="auto"/>
                  </w:divBdr>
                  <w:divsChild>
                    <w:div w:id="909652801">
                      <w:marLeft w:val="0"/>
                      <w:marRight w:val="0"/>
                      <w:marTop w:val="0"/>
                      <w:marBottom w:val="0"/>
                      <w:divBdr>
                        <w:top w:val="none" w:sz="0" w:space="0" w:color="auto"/>
                        <w:left w:val="none" w:sz="0" w:space="0" w:color="auto"/>
                        <w:bottom w:val="none" w:sz="0" w:space="0" w:color="auto"/>
                        <w:right w:val="none" w:sz="0" w:space="0" w:color="auto"/>
                      </w:divBdr>
                      <w:divsChild>
                        <w:div w:id="1495679332">
                          <w:marLeft w:val="0"/>
                          <w:marRight w:val="0"/>
                          <w:marTop w:val="0"/>
                          <w:marBottom w:val="0"/>
                          <w:divBdr>
                            <w:top w:val="none" w:sz="0" w:space="0" w:color="auto"/>
                            <w:left w:val="none" w:sz="0" w:space="0" w:color="auto"/>
                            <w:bottom w:val="none" w:sz="0" w:space="0" w:color="auto"/>
                            <w:right w:val="none" w:sz="0" w:space="0" w:color="auto"/>
                          </w:divBdr>
                          <w:divsChild>
                            <w:div w:id="332147267">
                              <w:marLeft w:val="0"/>
                              <w:marRight w:val="0"/>
                              <w:marTop w:val="0"/>
                              <w:marBottom w:val="0"/>
                              <w:divBdr>
                                <w:top w:val="none" w:sz="0" w:space="0" w:color="auto"/>
                                <w:left w:val="none" w:sz="0" w:space="0" w:color="auto"/>
                                <w:bottom w:val="none" w:sz="0" w:space="0" w:color="auto"/>
                                <w:right w:val="none" w:sz="0" w:space="0" w:color="auto"/>
                              </w:divBdr>
                              <w:divsChild>
                                <w:div w:id="1642347254">
                                  <w:marLeft w:val="0"/>
                                  <w:marRight w:val="0"/>
                                  <w:marTop w:val="0"/>
                                  <w:marBottom w:val="0"/>
                                  <w:divBdr>
                                    <w:top w:val="none" w:sz="0" w:space="0" w:color="auto"/>
                                    <w:left w:val="none" w:sz="0" w:space="0" w:color="auto"/>
                                    <w:bottom w:val="none" w:sz="0" w:space="0" w:color="auto"/>
                                    <w:right w:val="none" w:sz="0" w:space="0" w:color="auto"/>
                                  </w:divBdr>
                                  <w:divsChild>
                                    <w:div w:id="1429695812">
                                      <w:marLeft w:val="0"/>
                                      <w:marRight w:val="0"/>
                                      <w:marTop w:val="0"/>
                                      <w:marBottom w:val="0"/>
                                      <w:divBdr>
                                        <w:top w:val="none" w:sz="0" w:space="0" w:color="auto"/>
                                        <w:left w:val="none" w:sz="0" w:space="0" w:color="auto"/>
                                        <w:bottom w:val="none" w:sz="0" w:space="0" w:color="auto"/>
                                        <w:right w:val="none" w:sz="0" w:space="0" w:color="auto"/>
                                      </w:divBdr>
                                      <w:divsChild>
                                        <w:div w:id="1004552162">
                                          <w:marLeft w:val="0"/>
                                          <w:marRight w:val="0"/>
                                          <w:marTop w:val="0"/>
                                          <w:marBottom w:val="0"/>
                                          <w:divBdr>
                                            <w:top w:val="none" w:sz="0" w:space="0" w:color="auto"/>
                                            <w:left w:val="none" w:sz="0" w:space="0" w:color="auto"/>
                                            <w:bottom w:val="none" w:sz="0" w:space="0" w:color="auto"/>
                                            <w:right w:val="none" w:sz="0" w:space="0" w:color="auto"/>
                                          </w:divBdr>
                                          <w:divsChild>
                                            <w:div w:id="1860317929">
                                              <w:marLeft w:val="0"/>
                                              <w:marRight w:val="0"/>
                                              <w:marTop w:val="0"/>
                                              <w:marBottom w:val="0"/>
                                              <w:divBdr>
                                                <w:top w:val="none" w:sz="0" w:space="0" w:color="auto"/>
                                                <w:left w:val="none" w:sz="0" w:space="0" w:color="auto"/>
                                                <w:bottom w:val="none" w:sz="0" w:space="0" w:color="auto"/>
                                                <w:right w:val="none" w:sz="0" w:space="0" w:color="auto"/>
                                              </w:divBdr>
                                              <w:divsChild>
                                                <w:div w:id="1585533116">
                                                  <w:marLeft w:val="0"/>
                                                  <w:marRight w:val="0"/>
                                                  <w:marTop w:val="0"/>
                                                  <w:marBottom w:val="0"/>
                                                  <w:divBdr>
                                                    <w:top w:val="none" w:sz="0" w:space="0" w:color="auto"/>
                                                    <w:left w:val="none" w:sz="0" w:space="0" w:color="auto"/>
                                                    <w:bottom w:val="none" w:sz="0" w:space="0" w:color="auto"/>
                                                    <w:right w:val="none" w:sz="0" w:space="0" w:color="auto"/>
                                                  </w:divBdr>
                                                  <w:divsChild>
                                                    <w:div w:id="430786924">
                                                      <w:marLeft w:val="0"/>
                                                      <w:marRight w:val="0"/>
                                                      <w:marTop w:val="0"/>
                                                      <w:marBottom w:val="0"/>
                                                      <w:divBdr>
                                                        <w:top w:val="none" w:sz="0" w:space="0" w:color="auto"/>
                                                        <w:left w:val="none" w:sz="0" w:space="0" w:color="auto"/>
                                                        <w:bottom w:val="none" w:sz="0" w:space="0" w:color="auto"/>
                                                        <w:right w:val="none" w:sz="0" w:space="0" w:color="auto"/>
                                                      </w:divBdr>
                                                      <w:divsChild>
                                                        <w:div w:id="827863101">
                                                          <w:marLeft w:val="0"/>
                                                          <w:marRight w:val="0"/>
                                                          <w:marTop w:val="0"/>
                                                          <w:marBottom w:val="0"/>
                                                          <w:divBdr>
                                                            <w:top w:val="none" w:sz="0" w:space="0" w:color="auto"/>
                                                            <w:left w:val="none" w:sz="0" w:space="0" w:color="auto"/>
                                                            <w:bottom w:val="none" w:sz="0" w:space="0" w:color="auto"/>
                                                            <w:right w:val="none" w:sz="0" w:space="0" w:color="auto"/>
                                                          </w:divBdr>
                                                          <w:divsChild>
                                                            <w:div w:id="108671064">
                                                              <w:marLeft w:val="0"/>
                                                              <w:marRight w:val="0"/>
                                                              <w:marTop w:val="150"/>
                                                              <w:marBottom w:val="0"/>
                                                              <w:divBdr>
                                                                <w:top w:val="none" w:sz="0" w:space="0" w:color="auto"/>
                                                                <w:left w:val="none" w:sz="0" w:space="0" w:color="auto"/>
                                                                <w:bottom w:val="none" w:sz="0" w:space="0" w:color="auto"/>
                                                                <w:right w:val="none" w:sz="0" w:space="0" w:color="auto"/>
                                                              </w:divBdr>
                                                              <w:divsChild>
                                                                <w:div w:id="1170604943">
                                                                  <w:marLeft w:val="0"/>
                                                                  <w:marRight w:val="0"/>
                                                                  <w:marTop w:val="0"/>
                                                                  <w:marBottom w:val="0"/>
                                                                  <w:divBdr>
                                                                    <w:top w:val="none" w:sz="0" w:space="0" w:color="auto"/>
                                                                    <w:left w:val="none" w:sz="0" w:space="0" w:color="auto"/>
                                                                    <w:bottom w:val="none" w:sz="0" w:space="0" w:color="auto"/>
                                                                    <w:right w:val="none" w:sz="0" w:space="0" w:color="auto"/>
                                                                  </w:divBdr>
                                                                  <w:divsChild>
                                                                    <w:div w:id="1200781576">
                                                                      <w:marLeft w:val="0"/>
                                                                      <w:marRight w:val="0"/>
                                                                      <w:marTop w:val="0"/>
                                                                      <w:marBottom w:val="0"/>
                                                                      <w:divBdr>
                                                                        <w:top w:val="none" w:sz="0" w:space="0" w:color="auto"/>
                                                                        <w:left w:val="none" w:sz="0" w:space="0" w:color="auto"/>
                                                                        <w:bottom w:val="none" w:sz="0" w:space="0" w:color="auto"/>
                                                                        <w:right w:val="none" w:sz="0" w:space="0" w:color="auto"/>
                                                                      </w:divBdr>
                                                                      <w:divsChild>
                                                                        <w:div w:id="373847654">
                                                                          <w:marLeft w:val="0"/>
                                                                          <w:marRight w:val="0"/>
                                                                          <w:marTop w:val="0"/>
                                                                          <w:marBottom w:val="0"/>
                                                                          <w:divBdr>
                                                                            <w:top w:val="none" w:sz="0" w:space="0" w:color="auto"/>
                                                                            <w:left w:val="none" w:sz="0" w:space="0" w:color="auto"/>
                                                                            <w:bottom w:val="none" w:sz="0" w:space="0" w:color="auto"/>
                                                                            <w:right w:val="none" w:sz="0" w:space="0" w:color="auto"/>
                                                                          </w:divBdr>
                                                                          <w:divsChild>
                                                                            <w:div w:id="1816021819">
                                                                              <w:marLeft w:val="0"/>
                                                                              <w:marRight w:val="0"/>
                                                                              <w:marTop w:val="0"/>
                                                                              <w:marBottom w:val="0"/>
                                                                              <w:divBdr>
                                                                                <w:top w:val="none" w:sz="0" w:space="0" w:color="auto"/>
                                                                                <w:left w:val="none" w:sz="0" w:space="0" w:color="auto"/>
                                                                                <w:bottom w:val="none" w:sz="0" w:space="0" w:color="auto"/>
                                                                                <w:right w:val="none" w:sz="0" w:space="0" w:color="auto"/>
                                                                              </w:divBdr>
                                                                              <w:divsChild>
                                                                                <w:div w:id="1862667398">
                                                                                  <w:marLeft w:val="0"/>
                                                                                  <w:marRight w:val="0"/>
                                                                                  <w:marTop w:val="0"/>
                                                                                  <w:marBottom w:val="0"/>
                                                                                  <w:divBdr>
                                                                                    <w:top w:val="none" w:sz="0" w:space="0" w:color="auto"/>
                                                                                    <w:left w:val="none" w:sz="0" w:space="0" w:color="auto"/>
                                                                                    <w:bottom w:val="none" w:sz="0" w:space="0" w:color="auto"/>
                                                                                    <w:right w:val="none" w:sz="0" w:space="0" w:color="auto"/>
                                                                                  </w:divBdr>
                                                                                  <w:divsChild>
                                                                                    <w:div w:id="23247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3124503">
                                                                              <w:marLeft w:val="0"/>
                                                                              <w:marRight w:val="0"/>
                                                                              <w:marTop w:val="0"/>
                                                                              <w:marBottom w:val="0"/>
                                                                              <w:divBdr>
                                                                                <w:top w:val="none" w:sz="0" w:space="0" w:color="auto"/>
                                                                                <w:left w:val="none" w:sz="0" w:space="0" w:color="auto"/>
                                                                                <w:bottom w:val="none" w:sz="0" w:space="0" w:color="auto"/>
                                                                                <w:right w:val="none" w:sz="0" w:space="0" w:color="auto"/>
                                                                              </w:divBdr>
                                                                              <w:divsChild>
                                                                                <w:div w:id="1143543255">
                                                                                  <w:marLeft w:val="0"/>
                                                                                  <w:marRight w:val="0"/>
                                                                                  <w:marTop w:val="0"/>
                                                                                  <w:marBottom w:val="0"/>
                                                                                  <w:divBdr>
                                                                                    <w:top w:val="none" w:sz="0" w:space="0" w:color="auto"/>
                                                                                    <w:left w:val="none" w:sz="0" w:space="0" w:color="auto"/>
                                                                                    <w:bottom w:val="none" w:sz="0" w:space="0" w:color="auto"/>
                                                                                    <w:right w:val="none" w:sz="0" w:space="0" w:color="auto"/>
                                                                                  </w:divBdr>
                                                                                </w:div>
                                                                                <w:div w:id="1533225927">
                                                                                  <w:marLeft w:val="0"/>
                                                                                  <w:marRight w:val="0"/>
                                                                                  <w:marTop w:val="0"/>
                                                                                  <w:marBottom w:val="0"/>
                                                                                  <w:divBdr>
                                                                                    <w:top w:val="none" w:sz="0" w:space="0" w:color="auto"/>
                                                                                    <w:left w:val="none" w:sz="0" w:space="0" w:color="auto"/>
                                                                                    <w:bottom w:val="none" w:sz="0" w:space="0" w:color="auto"/>
                                                                                    <w:right w:val="none" w:sz="0" w:space="0" w:color="auto"/>
                                                                                  </w:divBdr>
                                                                                </w:div>
                                                                              </w:divsChild>
                                                                            </w:div>
                                                                            <w:div w:id="1569807630">
                                                                              <w:marLeft w:val="0"/>
                                                                              <w:marRight w:val="0"/>
                                                                              <w:marTop w:val="0"/>
                                                                              <w:marBottom w:val="0"/>
                                                                              <w:divBdr>
                                                                                <w:top w:val="none" w:sz="0" w:space="0" w:color="auto"/>
                                                                                <w:left w:val="none" w:sz="0" w:space="0" w:color="auto"/>
                                                                                <w:bottom w:val="none" w:sz="0" w:space="0" w:color="auto"/>
                                                                                <w:right w:val="none" w:sz="0" w:space="0" w:color="auto"/>
                                                                              </w:divBdr>
                                                                              <w:divsChild>
                                                                                <w:div w:id="40861161">
                                                                                  <w:marLeft w:val="0"/>
                                                                                  <w:marRight w:val="0"/>
                                                                                  <w:marTop w:val="0"/>
                                                                                  <w:marBottom w:val="0"/>
                                                                                  <w:divBdr>
                                                                                    <w:top w:val="none" w:sz="0" w:space="0" w:color="auto"/>
                                                                                    <w:left w:val="none" w:sz="0" w:space="0" w:color="auto"/>
                                                                                    <w:bottom w:val="none" w:sz="0" w:space="0" w:color="auto"/>
                                                                                    <w:right w:val="none" w:sz="0" w:space="0" w:color="auto"/>
                                                                                  </w:divBdr>
                                                                                </w:div>
                                                                                <w:div w:id="18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A3DE-FE77-44CE-83B9-177B76D4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23</Pages>
  <Words>9171</Words>
  <Characters>46224</Characters>
  <Application>Microsoft Office Word</Application>
  <DocSecurity>0</DocSecurity>
  <Lines>856</Lines>
  <Paragraphs>270</Paragraphs>
  <ScaleCrop>false</ScaleCrop>
  <HeadingPairs>
    <vt:vector size="2" baseType="variant">
      <vt:variant>
        <vt:lpstr>Title</vt:lpstr>
      </vt:variant>
      <vt:variant>
        <vt:i4>1</vt:i4>
      </vt:variant>
    </vt:vector>
  </HeadingPairs>
  <TitlesOfParts>
    <vt:vector size="1" baseType="lpstr">
      <vt:lpstr>Minister for Immigration and Border Protection v Tesic [2017] FCAFC 93</vt:lpstr>
    </vt:vector>
  </TitlesOfParts>
  <Company>Federal Court of Australia</Company>
  <LinksUpToDate>false</LinksUpToDate>
  <CharactersWithSpaces>55125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and Border Protection v Tesic [2017] FCAFC 93</dc:title>
  <dc:creator>Jennifer Farrell</dc:creator>
  <cp:lastModifiedBy>Anna Masters</cp:lastModifiedBy>
  <cp:revision>3</cp:revision>
  <cp:lastPrinted>2017-06-07T00:36:00Z</cp:lastPrinted>
  <dcterms:created xsi:type="dcterms:W3CDTF">2017-06-07T04:49:00Z</dcterms:created>
  <dcterms:modified xsi:type="dcterms:W3CDTF">2017-06-07T04:49:00Z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ROBERTSON AND RANGIAH JJ</vt:lpwstr>
  </property>
  <property fmtid="{D5CDD505-2E9C-101B-9397-08002B2CF9AE}" pid="4" name="Judgment_dated" linkTarget="Judgment_dated">
    <vt:lpwstr>7 JUNE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