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D4182">
      <w:pPr>
        <w:pStyle w:val="MediaNeutralStyle"/>
      </w:pPr>
      <w:bookmarkStart w:id="0" w:name="MNC"/>
      <w:proofErr w:type="spellStart"/>
      <w:r>
        <w:t>Barevadiya</w:t>
      </w:r>
      <w:proofErr w:type="spellEnd"/>
      <w:r>
        <w:t xml:space="preserve"> v Minister for Immigration and Border Protection [2015] </w:t>
      </w:r>
      <w:proofErr w:type="spellStart"/>
      <w:r>
        <w:t>FCA</w:t>
      </w:r>
      <w:proofErr w:type="spellEnd"/>
      <w:r w:rsidR="0042523E">
        <w:t xml:space="preserve"> 972</w:t>
      </w:r>
      <w:r>
        <w:t xml:space="preserve"> </w:t>
      </w:r>
      <w:bookmarkEnd w:id="0"/>
      <w:r w:rsidR="0042523E">
        <w:t xml:space="preserve"> </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7D4182">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D4182" w:rsidP="0042523E">
            <w:pPr>
              <w:pStyle w:val="Normal1linespace"/>
              <w:widowControl w:val="0"/>
              <w:jc w:val="left"/>
            </w:pPr>
            <w:proofErr w:type="spellStart"/>
            <w:r>
              <w:t>Barevadiya</w:t>
            </w:r>
            <w:proofErr w:type="spellEnd"/>
            <w:r>
              <w:t xml:space="preserve"> v Minister for Immigration and Border Protection [2015] </w:t>
            </w:r>
            <w:proofErr w:type="spellStart"/>
            <w:r>
              <w:t>FCA</w:t>
            </w:r>
            <w:proofErr w:type="spellEnd"/>
            <w:r>
              <w:t xml:space="preserve"> </w:t>
            </w:r>
            <w:r w:rsidR="0042523E">
              <w:t>972</w:t>
            </w:r>
          </w:p>
        </w:tc>
      </w:tr>
      <w:tr w:rsidR="00395B24" w:rsidTr="007D418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D4182">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7D4182">
            <w:pPr>
              <w:pStyle w:val="Normal1linespace"/>
              <w:widowControl w:val="0"/>
              <w:jc w:val="left"/>
            </w:pPr>
            <w:proofErr w:type="spellStart"/>
            <w:r>
              <w:t>Barevadiya</w:t>
            </w:r>
            <w:proofErr w:type="spellEnd"/>
            <w:r>
              <w:t xml:space="preserve"> &amp; </w:t>
            </w:r>
            <w:proofErr w:type="spellStart"/>
            <w:r>
              <w:t>Anor</w:t>
            </w:r>
            <w:proofErr w:type="spellEnd"/>
            <w:r>
              <w:t xml:space="preserve"> v Minister for Immigration &amp; </w:t>
            </w:r>
            <w:proofErr w:type="spellStart"/>
            <w:r>
              <w:t>Anor</w:t>
            </w:r>
            <w:proofErr w:type="spellEnd"/>
            <w:r w:rsidR="00F02A23">
              <w:t xml:space="preserve"> [2015] </w:t>
            </w:r>
            <w:proofErr w:type="spellStart"/>
            <w:r w:rsidR="00F02A23">
              <w:t>FCCA</w:t>
            </w:r>
            <w:proofErr w:type="spellEnd"/>
            <w:r w:rsidR="00F02A23">
              <w:t xml:space="preserve"> 832</w:t>
            </w:r>
          </w:p>
        </w:tc>
      </w:tr>
      <w:tr w:rsidR="00395B24" w:rsidTr="007D418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D4182">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34324A">
            <w:pPr>
              <w:pStyle w:val="Normal1linespace"/>
              <w:widowControl w:val="0"/>
              <w:jc w:val="left"/>
              <w:rPr>
                <w:b/>
              </w:rPr>
            </w:pPr>
            <w:bookmarkStart w:id="1" w:name="JudgmentFP"/>
            <w:proofErr w:type="spellStart"/>
            <w:r>
              <w:rPr>
                <w:b/>
              </w:rPr>
              <w:t>MINESHKUMAR</w:t>
            </w:r>
            <w:proofErr w:type="spellEnd"/>
            <w:r>
              <w:rPr>
                <w:b/>
              </w:rPr>
              <w:t xml:space="preserve"> </w:t>
            </w:r>
            <w:proofErr w:type="spellStart"/>
            <w:r>
              <w:rPr>
                <w:b/>
              </w:rPr>
              <w:t>PRAVINBHAI</w:t>
            </w:r>
            <w:proofErr w:type="spellEnd"/>
            <w:r>
              <w:rPr>
                <w:b/>
              </w:rPr>
              <w:t xml:space="preserve"> </w:t>
            </w:r>
            <w:proofErr w:type="spellStart"/>
            <w:r>
              <w:rPr>
                <w:b/>
              </w:rPr>
              <w:t>BAREVADIYA</w:t>
            </w:r>
            <w:proofErr w:type="spellEnd"/>
            <w:r>
              <w:rPr>
                <w:b/>
              </w:rPr>
              <w:t xml:space="preserve"> and </w:t>
            </w:r>
            <w:proofErr w:type="spellStart"/>
            <w:r>
              <w:rPr>
                <w:b/>
              </w:rPr>
              <w:t>JIGNASABEN</w:t>
            </w:r>
            <w:proofErr w:type="spellEnd"/>
            <w:r>
              <w:rPr>
                <w:b/>
              </w:rPr>
              <w:t xml:space="preserve"> </w:t>
            </w:r>
            <w:proofErr w:type="spellStart"/>
            <w:r>
              <w:rPr>
                <w:b/>
              </w:rPr>
              <w:t>MINESHKUMAR</w:t>
            </w:r>
            <w:proofErr w:type="spellEnd"/>
            <w:r>
              <w:rPr>
                <w:b/>
              </w:rPr>
              <w:t xml:space="preserve"> </w:t>
            </w:r>
            <w:proofErr w:type="spellStart"/>
            <w:r>
              <w:rPr>
                <w:b/>
              </w:rPr>
              <w:t>BAREVADIYA</w:t>
            </w:r>
            <w:proofErr w:type="spellEnd"/>
            <w:r>
              <w:rPr>
                <w:b/>
              </w:rPr>
              <w:t xml:space="preserve"> v MINISTER FOR IMMIGRATION AND BORDER PROTECTION and MIGRATION REVIEW TRIBUNAL</w:t>
            </w:r>
            <w:bookmarkEnd w:id="1"/>
          </w:p>
        </w:tc>
      </w:tr>
      <w:tr w:rsidR="00395B24" w:rsidTr="007D418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D4182">
        <w:tc>
          <w:tcPr>
            <w:tcW w:w="3085" w:type="dxa"/>
            <w:shd w:val="clear" w:color="auto" w:fill="auto"/>
          </w:tcPr>
          <w:p w:rsidR="00395B24" w:rsidRDefault="007D4182">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34324A">
              <w:rPr>
                <w:szCs w:val="24"/>
              </w:rPr>
              <w:t>VID 187 of 2015</w:t>
            </w:r>
            <w:r>
              <w:rPr>
                <w:szCs w:val="24"/>
              </w:rPr>
              <w:fldChar w:fldCharType="end"/>
            </w:r>
          </w:p>
        </w:tc>
      </w:tr>
      <w:tr w:rsidR="00395B24" w:rsidTr="007D418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D4182">
        <w:tc>
          <w:tcPr>
            <w:tcW w:w="3085" w:type="dxa"/>
            <w:shd w:val="clear" w:color="auto" w:fill="auto"/>
          </w:tcPr>
          <w:p w:rsidR="00395B24" w:rsidRDefault="007D4182">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34324A">
              <w:rPr>
                <w:b/>
              </w:rPr>
              <w:fldChar w:fldCharType="begin" w:fldLock="1"/>
            </w:r>
            <w:r w:rsidRPr="0034324A">
              <w:rPr>
                <w:b/>
              </w:rPr>
              <w:instrText xml:space="preserve"> REF  Judge  \* MERGEFORMAT </w:instrText>
            </w:r>
            <w:r w:rsidRPr="0034324A">
              <w:rPr>
                <w:b/>
              </w:rPr>
              <w:fldChar w:fldCharType="separate"/>
            </w:r>
            <w:r w:rsidR="0034324A" w:rsidRPr="0034324A">
              <w:rPr>
                <w:b/>
                <w:caps/>
                <w:szCs w:val="24"/>
              </w:rPr>
              <w:t>NORTH J</w:t>
            </w:r>
            <w:r w:rsidRPr="0034324A">
              <w:rPr>
                <w:b/>
              </w:rPr>
              <w:fldChar w:fldCharType="end"/>
            </w:r>
          </w:p>
        </w:tc>
      </w:tr>
      <w:tr w:rsidR="00395B24" w:rsidTr="007D418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D4182">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34324A">
            <w:pPr>
              <w:pStyle w:val="Normal1linespace"/>
              <w:widowControl w:val="0"/>
              <w:jc w:val="left"/>
            </w:pPr>
            <w:bookmarkStart w:id="2" w:name="JudgmentDate"/>
            <w:r>
              <w:t>11 August 2015</w:t>
            </w:r>
            <w:bookmarkEnd w:id="2"/>
          </w:p>
        </w:tc>
      </w:tr>
      <w:tr w:rsidR="00395B24" w:rsidTr="007D418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D4182">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154E7C" w:rsidRDefault="00154E7C">
            <w:pPr>
              <w:pStyle w:val="Normal1linespace"/>
              <w:widowControl w:val="0"/>
              <w:jc w:val="left"/>
            </w:pPr>
            <w:bookmarkStart w:id="3" w:name="Legislation"/>
            <w:r w:rsidRPr="00154E7C">
              <w:rPr>
                <w:i/>
              </w:rPr>
              <w:t>Migration Act 1958</w:t>
            </w:r>
            <w:r>
              <w:t xml:space="preserve"> (</w:t>
            </w:r>
            <w:proofErr w:type="spellStart"/>
            <w:r>
              <w:t>Cth</w:t>
            </w:r>
            <w:proofErr w:type="spellEnd"/>
            <w:r>
              <w:t>)</w:t>
            </w:r>
            <w:r w:rsidR="00EB6315">
              <w:t>, s</w:t>
            </w:r>
            <w:r>
              <w:t xml:space="preserve"> </w:t>
            </w:r>
            <w:proofErr w:type="spellStart"/>
            <w:r w:rsidR="00EB6315" w:rsidRPr="00EB6315">
              <w:t>359A</w:t>
            </w:r>
            <w:proofErr w:type="spellEnd"/>
            <w:r w:rsidR="00EB6315" w:rsidRPr="00EB6315">
              <w:t>(4)(b)</w:t>
            </w:r>
          </w:p>
          <w:p w:rsidR="00395B24" w:rsidRDefault="00154E7C" w:rsidP="000D6DE8">
            <w:pPr>
              <w:pStyle w:val="Normal1linespace"/>
              <w:widowControl w:val="0"/>
              <w:jc w:val="left"/>
            </w:pPr>
            <w:r w:rsidRPr="00154E7C">
              <w:rPr>
                <w:i/>
              </w:rPr>
              <w:t>Migration Regulations 1994</w:t>
            </w:r>
            <w:r>
              <w:t xml:space="preserve"> (Cth)</w:t>
            </w:r>
            <w:r w:rsidR="00334CDD">
              <w:t>, Schedule 2, c</w:t>
            </w:r>
            <w:r w:rsidR="00334CDD" w:rsidRPr="00334CDD">
              <w:t>l 572.223</w:t>
            </w:r>
            <w:r w:rsidR="00334CDD">
              <w:t xml:space="preserve">; </w:t>
            </w:r>
            <w:r w:rsidR="00334CDD" w:rsidRPr="00334CDD">
              <w:t>Schedu</w:t>
            </w:r>
            <w:r w:rsidR="00334CDD">
              <w:t xml:space="preserve">le </w:t>
            </w:r>
            <w:proofErr w:type="spellStart"/>
            <w:r w:rsidR="00334CDD">
              <w:t>5A</w:t>
            </w:r>
            <w:proofErr w:type="spellEnd"/>
            <w:r w:rsidR="00334CDD">
              <w:t xml:space="preserve">, cl </w:t>
            </w:r>
            <w:proofErr w:type="spellStart"/>
            <w:r w:rsidR="00334CDD">
              <w:t>5A405</w:t>
            </w:r>
            <w:proofErr w:type="spellEnd"/>
            <w:r w:rsidR="002C7385">
              <w:t xml:space="preserve"> </w:t>
            </w:r>
            <w:bookmarkEnd w:id="3"/>
          </w:p>
        </w:tc>
      </w:tr>
      <w:tr w:rsidR="007D4182" w:rsidRPr="007D4182" w:rsidTr="007D4182">
        <w:tc>
          <w:tcPr>
            <w:tcW w:w="3085" w:type="dxa"/>
            <w:shd w:val="clear" w:color="auto" w:fill="auto"/>
          </w:tcPr>
          <w:p w:rsidR="007D4182" w:rsidRPr="007D4182" w:rsidRDefault="007D4182" w:rsidP="007D4182">
            <w:pPr>
              <w:pStyle w:val="Normal1linespace"/>
              <w:jc w:val="left"/>
            </w:pPr>
          </w:p>
        </w:tc>
        <w:tc>
          <w:tcPr>
            <w:tcW w:w="5989" w:type="dxa"/>
            <w:shd w:val="clear" w:color="auto" w:fill="auto"/>
          </w:tcPr>
          <w:p w:rsidR="007D4182" w:rsidRPr="007D4182" w:rsidRDefault="007D4182" w:rsidP="007D4182">
            <w:pPr>
              <w:pStyle w:val="Normal1linespace"/>
              <w:jc w:val="left"/>
            </w:pPr>
          </w:p>
        </w:tc>
      </w:tr>
      <w:tr w:rsidR="007D4182" w:rsidRPr="007D4182" w:rsidTr="007D4182">
        <w:tc>
          <w:tcPr>
            <w:tcW w:w="3085" w:type="dxa"/>
            <w:shd w:val="clear" w:color="auto" w:fill="auto"/>
          </w:tcPr>
          <w:p w:rsidR="007D4182" w:rsidRPr="007D4182" w:rsidRDefault="007D4182" w:rsidP="007D4182">
            <w:pPr>
              <w:pStyle w:val="Normal1linespace"/>
              <w:jc w:val="left"/>
            </w:pPr>
            <w:bookmarkStart w:id="4" w:name="CounselDate" w:colFirst="0" w:colLast="2"/>
            <w:r w:rsidRPr="007D4182">
              <w:t>Date of hearing:</w:t>
            </w:r>
          </w:p>
        </w:tc>
        <w:tc>
          <w:tcPr>
            <w:tcW w:w="5989" w:type="dxa"/>
            <w:shd w:val="clear" w:color="auto" w:fill="auto"/>
          </w:tcPr>
          <w:p w:rsidR="007D4182" w:rsidRPr="007D4182" w:rsidRDefault="007D4182" w:rsidP="007D4182">
            <w:pPr>
              <w:pStyle w:val="Normal1linespace"/>
              <w:jc w:val="left"/>
            </w:pPr>
            <w:bookmarkStart w:id="5" w:name="HearingDate"/>
            <w:r>
              <w:t>11 August 2015</w:t>
            </w:r>
            <w:bookmarkEnd w:id="5"/>
          </w:p>
        </w:tc>
      </w:tr>
      <w:bookmarkEnd w:id="4"/>
      <w:tr w:rsidR="007D4182" w:rsidTr="007D4182">
        <w:tc>
          <w:tcPr>
            <w:tcW w:w="3085" w:type="dxa"/>
            <w:shd w:val="clear" w:color="auto" w:fill="auto"/>
          </w:tcPr>
          <w:p w:rsidR="007D4182" w:rsidRDefault="007D4182" w:rsidP="007D4182">
            <w:pPr>
              <w:pStyle w:val="Normal1linespace"/>
              <w:widowControl w:val="0"/>
              <w:jc w:val="left"/>
            </w:pPr>
          </w:p>
        </w:tc>
        <w:tc>
          <w:tcPr>
            <w:tcW w:w="5989" w:type="dxa"/>
            <w:shd w:val="clear" w:color="auto" w:fill="auto"/>
          </w:tcPr>
          <w:p w:rsidR="007D4182" w:rsidRDefault="007D4182" w:rsidP="007D4182">
            <w:pPr>
              <w:pStyle w:val="Normal1linespace"/>
              <w:widowControl w:val="0"/>
              <w:jc w:val="left"/>
            </w:pPr>
          </w:p>
        </w:tc>
      </w:tr>
      <w:tr w:rsidR="007D4182" w:rsidTr="007D4182">
        <w:tc>
          <w:tcPr>
            <w:tcW w:w="3085" w:type="dxa"/>
            <w:shd w:val="clear" w:color="auto" w:fill="auto"/>
          </w:tcPr>
          <w:p w:rsidR="007D4182" w:rsidRDefault="007D4182" w:rsidP="007D4182">
            <w:pPr>
              <w:pStyle w:val="Normal1linespace"/>
              <w:widowControl w:val="0"/>
              <w:jc w:val="left"/>
            </w:pPr>
            <w:r>
              <w:t>Place:</w:t>
            </w:r>
          </w:p>
        </w:tc>
        <w:tc>
          <w:tcPr>
            <w:tcW w:w="5989" w:type="dxa"/>
            <w:shd w:val="clear" w:color="auto" w:fill="auto"/>
          </w:tcPr>
          <w:p w:rsidR="007D4182" w:rsidRDefault="005E6116" w:rsidP="007D4182">
            <w:pPr>
              <w:pStyle w:val="Normal1linespace"/>
              <w:widowControl w:val="0"/>
              <w:jc w:val="left"/>
            </w:pPr>
            <w:fldSimple w:instr=" DOCVARIABLE  Place_SentenceCase  \* MERGEFORMAT ">
              <w:r w:rsidR="007D4182">
                <w:t>Melbourne</w:t>
              </w:r>
            </w:fldSimple>
          </w:p>
        </w:tc>
      </w:tr>
      <w:tr w:rsidR="007D4182" w:rsidTr="007D4182">
        <w:tc>
          <w:tcPr>
            <w:tcW w:w="3085" w:type="dxa"/>
            <w:shd w:val="clear" w:color="auto" w:fill="auto"/>
          </w:tcPr>
          <w:p w:rsidR="007D4182" w:rsidRDefault="007D4182" w:rsidP="007D4182">
            <w:pPr>
              <w:pStyle w:val="Normal1linespace"/>
              <w:widowControl w:val="0"/>
              <w:jc w:val="left"/>
            </w:pPr>
          </w:p>
        </w:tc>
        <w:tc>
          <w:tcPr>
            <w:tcW w:w="5989" w:type="dxa"/>
            <w:shd w:val="clear" w:color="auto" w:fill="auto"/>
          </w:tcPr>
          <w:p w:rsidR="007D4182" w:rsidRDefault="007D4182" w:rsidP="007D4182">
            <w:pPr>
              <w:pStyle w:val="Normal1linespace"/>
              <w:widowControl w:val="0"/>
              <w:jc w:val="left"/>
            </w:pPr>
          </w:p>
        </w:tc>
      </w:tr>
      <w:tr w:rsidR="007D4182" w:rsidTr="007D4182">
        <w:tc>
          <w:tcPr>
            <w:tcW w:w="3085" w:type="dxa"/>
            <w:shd w:val="clear" w:color="auto" w:fill="auto"/>
          </w:tcPr>
          <w:p w:rsidR="007D4182" w:rsidRDefault="007D4182" w:rsidP="007D4182">
            <w:pPr>
              <w:pStyle w:val="Normal1linespace"/>
              <w:widowControl w:val="0"/>
              <w:jc w:val="left"/>
            </w:pPr>
            <w:r>
              <w:t>Division:</w:t>
            </w:r>
          </w:p>
        </w:tc>
        <w:tc>
          <w:tcPr>
            <w:tcW w:w="5989" w:type="dxa"/>
            <w:shd w:val="clear" w:color="auto" w:fill="auto"/>
          </w:tcPr>
          <w:p w:rsidR="007D4182" w:rsidRPr="00C67B37" w:rsidRDefault="007D4182" w:rsidP="007D4182">
            <w:pPr>
              <w:pStyle w:val="Normal1linespace"/>
              <w:widowControl w:val="0"/>
              <w:jc w:val="left"/>
              <w:rPr>
                <w:caps/>
              </w:rPr>
            </w:pPr>
            <w:r>
              <w:rPr>
                <w:caps/>
              </w:rPr>
              <w:fldChar w:fldCharType="begin"/>
            </w:r>
            <w:r>
              <w:rPr>
                <w:caps/>
              </w:rPr>
              <w:instrText xml:space="preserve"> REF  Division </w:instrText>
            </w:r>
            <w:r>
              <w:rPr>
                <w:caps/>
              </w:rPr>
              <w:fldChar w:fldCharType="separate"/>
            </w:r>
            <w:r w:rsidR="00E80076">
              <w:rPr>
                <w:caps/>
                <w:szCs w:val="24"/>
              </w:rPr>
              <w:t>GENERAL DIVISION</w:t>
            </w:r>
            <w:r>
              <w:rPr>
                <w:caps/>
              </w:rPr>
              <w:fldChar w:fldCharType="end"/>
            </w:r>
          </w:p>
        </w:tc>
      </w:tr>
      <w:tr w:rsidR="007D4182" w:rsidTr="007D4182">
        <w:tc>
          <w:tcPr>
            <w:tcW w:w="3085" w:type="dxa"/>
            <w:shd w:val="clear" w:color="auto" w:fill="auto"/>
          </w:tcPr>
          <w:p w:rsidR="007D4182" w:rsidRDefault="007D4182" w:rsidP="007D4182">
            <w:pPr>
              <w:pStyle w:val="Normal1linespace"/>
              <w:widowControl w:val="0"/>
              <w:jc w:val="left"/>
            </w:pPr>
          </w:p>
        </w:tc>
        <w:tc>
          <w:tcPr>
            <w:tcW w:w="5989" w:type="dxa"/>
            <w:shd w:val="clear" w:color="auto" w:fill="auto"/>
          </w:tcPr>
          <w:p w:rsidR="007D4182" w:rsidRDefault="007D4182" w:rsidP="007D4182">
            <w:pPr>
              <w:pStyle w:val="Normal1linespace"/>
              <w:widowControl w:val="0"/>
              <w:jc w:val="left"/>
              <w:rPr>
                <w:b/>
              </w:rPr>
            </w:pPr>
          </w:p>
        </w:tc>
      </w:tr>
      <w:tr w:rsidR="007D4182" w:rsidTr="007D4182">
        <w:tc>
          <w:tcPr>
            <w:tcW w:w="3085" w:type="dxa"/>
            <w:shd w:val="clear" w:color="auto" w:fill="auto"/>
          </w:tcPr>
          <w:p w:rsidR="007D4182" w:rsidRPr="00E07972" w:rsidRDefault="007D4182" w:rsidP="007D4182">
            <w:pPr>
              <w:pStyle w:val="Normal1linespace"/>
              <w:widowControl w:val="0"/>
              <w:jc w:val="left"/>
            </w:pPr>
            <w:r w:rsidRPr="00E07972">
              <w:t>Category:</w:t>
            </w:r>
          </w:p>
        </w:tc>
        <w:tc>
          <w:tcPr>
            <w:tcW w:w="5989" w:type="dxa"/>
            <w:shd w:val="clear" w:color="auto" w:fill="auto"/>
          </w:tcPr>
          <w:p w:rsidR="007D4182" w:rsidRPr="00E07972" w:rsidRDefault="007D4182" w:rsidP="00F54735">
            <w:pPr>
              <w:pStyle w:val="Normal1linespace"/>
              <w:widowControl w:val="0"/>
              <w:jc w:val="left"/>
            </w:pPr>
            <w:r w:rsidRPr="00E07972">
              <w:t>No Catchwords</w:t>
            </w:r>
          </w:p>
        </w:tc>
      </w:tr>
      <w:tr w:rsidR="007D4182" w:rsidTr="007D4182">
        <w:tc>
          <w:tcPr>
            <w:tcW w:w="3085" w:type="dxa"/>
            <w:shd w:val="clear" w:color="auto" w:fill="auto"/>
          </w:tcPr>
          <w:p w:rsidR="007D4182" w:rsidRDefault="007D4182" w:rsidP="007D4182">
            <w:pPr>
              <w:pStyle w:val="Normal1linespace"/>
              <w:widowControl w:val="0"/>
              <w:jc w:val="left"/>
            </w:pPr>
          </w:p>
        </w:tc>
        <w:tc>
          <w:tcPr>
            <w:tcW w:w="5989" w:type="dxa"/>
            <w:shd w:val="clear" w:color="auto" w:fill="auto"/>
          </w:tcPr>
          <w:p w:rsidR="007D4182" w:rsidRDefault="007D4182" w:rsidP="007D4182">
            <w:pPr>
              <w:pStyle w:val="Normal1linespace"/>
              <w:widowControl w:val="0"/>
              <w:jc w:val="left"/>
            </w:pPr>
          </w:p>
        </w:tc>
      </w:tr>
      <w:tr w:rsidR="007D4182" w:rsidTr="007D4182">
        <w:tc>
          <w:tcPr>
            <w:tcW w:w="3085" w:type="dxa"/>
            <w:shd w:val="clear" w:color="auto" w:fill="auto"/>
          </w:tcPr>
          <w:p w:rsidR="007D4182" w:rsidRPr="00E07972" w:rsidRDefault="007D4182" w:rsidP="007D4182">
            <w:pPr>
              <w:pStyle w:val="Normal1linespace"/>
              <w:widowControl w:val="0"/>
              <w:jc w:val="left"/>
            </w:pPr>
            <w:r w:rsidRPr="00E07972">
              <w:t>Number of paragraphs:</w:t>
            </w:r>
          </w:p>
        </w:tc>
        <w:tc>
          <w:tcPr>
            <w:tcW w:w="5989" w:type="dxa"/>
            <w:shd w:val="clear" w:color="auto" w:fill="auto"/>
          </w:tcPr>
          <w:p w:rsidR="007D4182" w:rsidRPr="00E07972" w:rsidRDefault="007D4182" w:rsidP="007D4182">
            <w:pPr>
              <w:pStyle w:val="Normal1linespace"/>
              <w:widowControl w:val="0"/>
              <w:jc w:val="left"/>
            </w:pPr>
            <w:bookmarkStart w:id="6" w:name="PlaceCategoryParagraphs"/>
            <w:r w:rsidRPr="00E07972">
              <w:t>1</w:t>
            </w:r>
            <w:r w:rsidR="00DD2836" w:rsidRPr="00E07972">
              <w:t>9</w:t>
            </w:r>
            <w:bookmarkEnd w:id="6"/>
          </w:p>
        </w:tc>
      </w:tr>
      <w:tr w:rsidR="007D4182" w:rsidTr="007D4182">
        <w:tc>
          <w:tcPr>
            <w:tcW w:w="3085" w:type="dxa"/>
            <w:shd w:val="clear" w:color="auto" w:fill="auto"/>
          </w:tcPr>
          <w:p w:rsidR="007D4182" w:rsidRPr="00E07972" w:rsidRDefault="007D4182" w:rsidP="007D4182">
            <w:pPr>
              <w:pStyle w:val="Normal1linespace"/>
              <w:widowControl w:val="0"/>
              <w:jc w:val="left"/>
            </w:pPr>
          </w:p>
        </w:tc>
        <w:tc>
          <w:tcPr>
            <w:tcW w:w="5989" w:type="dxa"/>
            <w:shd w:val="clear" w:color="auto" w:fill="auto"/>
          </w:tcPr>
          <w:p w:rsidR="007D4182" w:rsidRPr="00E07972" w:rsidRDefault="007D4182" w:rsidP="007D4182">
            <w:pPr>
              <w:pStyle w:val="Normal1linespace"/>
              <w:widowControl w:val="0"/>
              <w:jc w:val="left"/>
            </w:pPr>
          </w:p>
        </w:tc>
      </w:tr>
      <w:tr w:rsidR="007D4182" w:rsidTr="007D4182">
        <w:tc>
          <w:tcPr>
            <w:tcW w:w="3085" w:type="dxa"/>
            <w:shd w:val="clear" w:color="auto" w:fill="auto"/>
          </w:tcPr>
          <w:p w:rsidR="007D4182" w:rsidRDefault="007D4182" w:rsidP="007D4182">
            <w:pPr>
              <w:pStyle w:val="Normal1linespace"/>
              <w:widowControl w:val="0"/>
              <w:jc w:val="left"/>
            </w:pPr>
            <w:bookmarkStart w:id="7" w:name="Counsel" w:colFirst="0" w:colLast="2"/>
            <w:r>
              <w:t>Counsel for the Appellants:</w:t>
            </w:r>
          </w:p>
        </w:tc>
        <w:tc>
          <w:tcPr>
            <w:tcW w:w="5989" w:type="dxa"/>
            <w:shd w:val="clear" w:color="auto" w:fill="auto"/>
          </w:tcPr>
          <w:p w:rsidR="007D4182" w:rsidRDefault="007D4182" w:rsidP="007D4182">
            <w:pPr>
              <w:pStyle w:val="Normal1linespace"/>
              <w:widowControl w:val="0"/>
              <w:jc w:val="left"/>
            </w:pPr>
            <w:bookmarkStart w:id="8" w:name="AppCounsel"/>
            <w:bookmarkEnd w:id="8"/>
            <w:r>
              <w:t xml:space="preserve">The </w:t>
            </w:r>
            <w:r w:rsidR="002677AE">
              <w:t xml:space="preserve">first </w:t>
            </w:r>
            <w:r>
              <w:t>appellant appeared in person.</w:t>
            </w:r>
          </w:p>
        </w:tc>
      </w:tr>
      <w:tr w:rsidR="007D4182" w:rsidTr="007D4182">
        <w:tc>
          <w:tcPr>
            <w:tcW w:w="3085" w:type="dxa"/>
            <w:shd w:val="clear" w:color="auto" w:fill="auto"/>
          </w:tcPr>
          <w:p w:rsidR="007D4182" w:rsidRDefault="007D4182" w:rsidP="007D4182">
            <w:pPr>
              <w:pStyle w:val="Normal1linespace"/>
              <w:widowControl w:val="0"/>
              <w:jc w:val="left"/>
            </w:pPr>
          </w:p>
        </w:tc>
        <w:tc>
          <w:tcPr>
            <w:tcW w:w="5989" w:type="dxa"/>
            <w:shd w:val="clear" w:color="auto" w:fill="auto"/>
          </w:tcPr>
          <w:p w:rsidR="007D4182" w:rsidRDefault="007D4182" w:rsidP="007D4182">
            <w:pPr>
              <w:pStyle w:val="Normal1linespace"/>
              <w:widowControl w:val="0"/>
              <w:jc w:val="left"/>
            </w:pPr>
          </w:p>
        </w:tc>
      </w:tr>
      <w:tr w:rsidR="007D4182" w:rsidTr="007D4182">
        <w:tc>
          <w:tcPr>
            <w:tcW w:w="3085" w:type="dxa"/>
            <w:shd w:val="clear" w:color="auto" w:fill="auto"/>
          </w:tcPr>
          <w:p w:rsidR="007D4182" w:rsidRDefault="007D4182" w:rsidP="007D4182">
            <w:pPr>
              <w:pStyle w:val="Normal1linespace"/>
              <w:widowControl w:val="0"/>
              <w:jc w:val="left"/>
            </w:pPr>
            <w:r>
              <w:t>Solicitor for the Respondents:</w:t>
            </w:r>
          </w:p>
        </w:tc>
        <w:tc>
          <w:tcPr>
            <w:tcW w:w="5989" w:type="dxa"/>
            <w:shd w:val="clear" w:color="auto" w:fill="auto"/>
          </w:tcPr>
          <w:p w:rsidR="007D4182" w:rsidRDefault="007D4182" w:rsidP="007D4182">
            <w:pPr>
              <w:pStyle w:val="Normal1linespace"/>
              <w:widowControl w:val="0"/>
              <w:jc w:val="left"/>
            </w:pPr>
            <w:r>
              <w:t>Mr D Brown from Australian Government Solicitor</w:t>
            </w: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34324A">
            <w:pPr>
              <w:pStyle w:val="NormalHeadings"/>
              <w:spacing w:after="120"/>
              <w:jc w:val="left"/>
              <w:rPr>
                <w:caps/>
                <w:szCs w:val="24"/>
              </w:rPr>
            </w:pPr>
            <w:bookmarkStart w:id="9" w:name="State"/>
            <w:r>
              <w:rPr>
                <w:caps/>
                <w:szCs w:val="24"/>
              </w:rPr>
              <w:t>VICTORIA</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34324A">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34324A">
            <w:pPr>
              <w:pStyle w:val="NormalHeadings"/>
              <w:tabs>
                <w:tab w:val="right" w:pos="3609"/>
              </w:tabs>
              <w:jc w:val="right"/>
              <w:rPr>
                <w:szCs w:val="24"/>
              </w:rPr>
            </w:pPr>
            <w:bookmarkStart w:id="11" w:name="Num"/>
            <w:r>
              <w:rPr>
                <w:szCs w:val="24"/>
              </w:rPr>
              <w:t>VID 187 of 2015</w:t>
            </w:r>
            <w:bookmarkEnd w:id="11"/>
          </w:p>
        </w:tc>
      </w:tr>
    </w:tbl>
    <w:p w:rsidR="00395B24" w:rsidRDefault="00395B24">
      <w:pPr>
        <w:pStyle w:val="AppealTable"/>
      </w:pPr>
    </w:p>
    <w:tbl>
      <w:tblPr>
        <w:tblW w:w="0" w:type="auto"/>
        <w:tblLook w:val="01E0" w:firstRow="1" w:lastRow="1" w:firstColumn="1" w:lastColumn="1" w:noHBand="0" w:noVBand="0"/>
      </w:tblPr>
      <w:tblGrid>
        <w:gridCol w:w="9243"/>
      </w:tblGrid>
      <w:tr w:rsidR="0034324A" w:rsidRPr="0034324A">
        <w:tc>
          <w:tcPr>
            <w:tcW w:w="9243" w:type="dxa"/>
            <w:shd w:val="clear" w:color="auto" w:fill="auto"/>
          </w:tcPr>
          <w:p w:rsidR="0034324A" w:rsidRPr="0034324A" w:rsidRDefault="0034324A">
            <w:pPr>
              <w:pStyle w:val="AppealTable"/>
              <w:widowControl w:val="0"/>
              <w:spacing w:line="360" w:lineRule="auto"/>
              <w:jc w:val="both"/>
              <w:rPr>
                <w:caps w:val="0"/>
                <w:sz w:val="24"/>
                <w:szCs w:val="20"/>
                <w:lang w:eastAsia="en-AU"/>
              </w:rPr>
            </w:pPr>
            <w:bookmarkStart w:id="12" w:name="Appeal"/>
            <w:bookmarkStart w:id="13" w:name="AppealTable"/>
            <w:r w:rsidRPr="0034324A">
              <w:rPr>
                <w:caps w:val="0"/>
                <w:sz w:val="24"/>
                <w:szCs w:val="20"/>
                <w:lang w:eastAsia="en-AU"/>
              </w:rPr>
              <w:t>ON APPEAL FROM THE FEDERAL CIRCUIT COURT OF AUSTRALIA</w:t>
            </w:r>
            <w:bookmarkEnd w:id="12"/>
          </w:p>
        </w:tc>
      </w:tr>
      <w:bookmarkEnd w:id="13"/>
    </w:tbl>
    <w:p w:rsidR="0034324A" w:rsidRDefault="0034324A">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34324A" w:rsidRDefault="0034324A">
            <w:pPr>
              <w:pStyle w:val="NormalHeadings"/>
              <w:jc w:val="left"/>
              <w:rPr>
                <w:szCs w:val="24"/>
              </w:rPr>
            </w:pPr>
            <w:bookmarkStart w:id="15" w:name="Applicant"/>
            <w:proofErr w:type="spellStart"/>
            <w:r>
              <w:rPr>
                <w:szCs w:val="24"/>
              </w:rPr>
              <w:t>MINESHKUMAR</w:t>
            </w:r>
            <w:proofErr w:type="spellEnd"/>
            <w:r>
              <w:rPr>
                <w:szCs w:val="24"/>
              </w:rPr>
              <w:t xml:space="preserve"> </w:t>
            </w:r>
            <w:proofErr w:type="spellStart"/>
            <w:r>
              <w:rPr>
                <w:szCs w:val="24"/>
              </w:rPr>
              <w:t>PRAVINBHAI</w:t>
            </w:r>
            <w:proofErr w:type="spellEnd"/>
            <w:r>
              <w:rPr>
                <w:szCs w:val="24"/>
              </w:rPr>
              <w:t xml:space="preserve"> </w:t>
            </w:r>
            <w:proofErr w:type="spellStart"/>
            <w:r>
              <w:rPr>
                <w:szCs w:val="24"/>
              </w:rPr>
              <w:t>BAREVADIYA</w:t>
            </w:r>
            <w:proofErr w:type="spellEnd"/>
          </w:p>
          <w:p w:rsidR="0034324A" w:rsidRDefault="0034324A">
            <w:pPr>
              <w:pStyle w:val="NormalHeadings"/>
              <w:jc w:val="left"/>
              <w:rPr>
                <w:szCs w:val="24"/>
              </w:rPr>
            </w:pPr>
            <w:r>
              <w:rPr>
                <w:szCs w:val="24"/>
              </w:rPr>
              <w:t>First Appellant</w:t>
            </w:r>
          </w:p>
          <w:p w:rsidR="0034324A" w:rsidRDefault="0034324A">
            <w:pPr>
              <w:pStyle w:val="NormalHeadings"/>
              <w:jc w:val="left"/>
              <w:rPr>
                <w:szCs w:val="24"/>
              </w:rPr>
            </w:pPr>
          </w:p>
          <w:p w:rsidR="0034324A" w:rsidRDefault="0034324A">
            <w:pPr>
              <w:pStyle w:val="NormalHeadings"/>
              <w:jc w:val="left"/>
              <w:rPr>
                <w:szCs w:val="24"/>
              </w:rPr>
            </w:pPr>
            <w:proofErr w:type="spellStart"/>
            <w:r>
              <w:rPr>
                <w:szCs w:val="24"/>
              </w:rPr>
              <w:t>JIGNASABEN</w:t>
            </w:r>
            <w:proofErr w:type="spellEnd"/>
            <w:r>
              <w:rPr>
                <w:szCs w:val="24"/>
              </w:rPr>
              <w:t xml:space="preserve"> </w:t>
            </w:r>
            <w:proofErr w:type="spellStart"/>
            <w:r>
              <w:rPr>
                <w:szCs w:val="24"/>
              </w:rPr>
              <w:t>MINESHKUMAR</w:t>
            </w:r>
            <w:proofErr w:type="spellEnd"/>
            <w:r>
              <w:rPr>
                <w:szCs w:val="24"/>
              </w:rPr>
              <w:t xml:space="preserve"> </w:t>
            </w:r>
            <w:proofErr w:type="spellStart"/>
            <w:r>
              <w:rPr>
                <w:szCs w:val="24"/>
              </w:rPr>
              <w:t>BAREVADIYA</w:t>
            </w:r>
            <w:proofErr w:type="spellEnd"/>
          </w:p>
          <w:p w:rsidR="0034324A" w:rsidRDefault="0034324A">
            <w:pPr>
              <w:pStyle w:val="NormalHeadings"/>
              <w:jc w:val="left"/>
              <w:rPr>
                <w:szCs w:val="24"/>
              </w:rPr>
            </w:pPr>
            <w:r>
              <w:rPr>
                <w:szCs w:val="24"/>
              </w:rPr>
              <w:t>Second Appellant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4324A" w:rsidRDefault="0034324A">
            <w:pPr>
              <w:pStyle w:val="NormalHeadings"/>
              <w:jc w:val="left"/>
              <w:rPr>
                <w:szCs w:val="24"/>
              </w:rPr>
            </w:pPr>
            <w:bookmarkStart w:id="16" w:name="Respondent"/>
            <w:r>
              <w:rPr>
                <w:szCs w:val="24"/>
              </w:rPr>
              <w:t>MINISTER FOR IMMIGRATION AND BORDER PROTECTION</w:t>
            </w:r>
          </w:p>
          <w:p w:rsidR="0034324A" w:rsidRDefault="0034324A">
            <w:pPr>
              <w:pStyle w:val="NormalHeadings"/>
              <w:jc w:val="left"/>
              <w:rPr>
                <w:szCs w:val="24"/>
              </w:rPr>
            </w:pPr>
            <w:r>
              <w:rPr>
                <w:szCs w:val="24"/>
              </w:rPr>
              <w:t>First Respondent</w:t>
            </w:r>
          </w:p>
          <w:p w:rsidR="0034324A" w:rsidRDefault="0034324A">
            <w:pPr>
              <w:pStyle w:val="NormalHeadings"/>
              <w:jc w:val="left"/>
              <w:rPr>
                <w:szCs w:val="24"/>
              </w:rPr>
            </w:pPr>
          </w:p>
          <w:p w:rsidR="0034324A" w:rsidRDefault="0034324A">
            <w:pPr>
              <w:pStyle w:val="NormalHeadings"/>
              <w:jc w:val="left"/>
              <w:rPr>
                <w:szCs w:val="24"/>
              </w:rPr>
            </w:pPr>
            <w:r>
              <w:rPr>
                <w:szCs w:val="24"/>
              </w:rPr>
              <w:t>MIGRATION REVIEW TRIBUNAL</w:t>
            </w:r>
          </w:p>
          <w:p w:rsidR="0034324A" w:rsidRDefault="0034324A">
            <w:pPr>
              <w:pStyle w:val="NormalHeadings"/>
              <w:jc w:val="left"/>
              <w:rPr>
                <w:szCs w:val="24"/>
              </w:rPr>
            </w:pPr>
            <w:r>
              <w:rPr>
                <w:szCs w:val="24"/>
              </w:rPr>
              <w:t>Second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34324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D4182">
            <w:pPr>
              <w:pStyle w:val="NormalHeadings"/>
              <w:jc w:val="left"/>
              <w:rPr>
                <w:caps/>
                <w:szCs w:val="24"/>
              </w:rPr>
            </w:pPr>
            <w:bookmarkStart w:id="18" w:name="Judge"/>
            <w:r>
              <w:rPr>
                <w:caps/>
                <w:szCs w:val="24"/>
              </w:rPr>
              <w:t>NORTH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4324A">
            <w:pPr>
              <w:pStyle w:val="NormalHeadings"/>
              <w:jc w:val="left"/>
              <w:rPr>
                <w:caps/>
                <w:szCs w:val="24"/>
              </w:rPr>
            </w:pPr>
            <w:bookmarkStart w:id="19" w:name="Judgment_Dated"/>
            <w:r>
              <w:rPr>
                <w:caps/>
                <w:szCs w:val="24"/>
              </w:rPr>
              <w:t>11 AUGUST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34324A">
            <w:pPr>
              <w:pStyle w:val="NormalHeadings"/>
              <w:jc w:val="left"/>
              <w:rPr>
                <w:caps/>
                <w:szCs w:val="24"/>
              </w:rPr>
            </w:pPr>
            <w:bookmarkStart w:id="20" w:name="Place"/>
            <w:r>
              <w:rPr>
                <w:caps/>
                <w:szCs w:val="24"/>
              </w:rPr>
              <w:t>MELBOURNE</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7D4182" w:rsidRDefault="007D4182" w:rsidP="007D4182">
      <w:pPr>
        <w:pStyle w:val="Order1"/>
      </w:pPr>
      <w:bookmarkStart w:id="21" w:name="Order_Start_Text"/>
      <w:bookmarkEnd w:id="21"/>
      <w:r>
        <w:t>The appeal is dismissed.</w:t>
      </w:r>
    </w:p>
    <w:p w:rsidR="007D4182" w:rsidRPr="00624520" w:rsidRDefault="007D4182" w:rsidP="007D4182">
      <w:pPr>
        <w:pStyle w:val="Order1"/>
      </w:pPr>
      <w:r>
        <w:t>The appellants to pay the costs of the first respondent, fixed in the sum of $2500.</w:t>
      </w:r>
    </w:p>
    <w:p w:rsidR="00395B24" w:rsidRDefault="00395B24" w:rsidP="007D4182">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34324A">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4324A">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34324A" w:rsidRPr="0034324A">
              <w:rPr>
                <w:caps/>
                <w:szCs w:val="24"/>
              </w:rPr>
              <w:t>VID</w:t>
            </w:r>
            <w:r w:rsidR="0034324A">
              <w:rPr>
                <w:szCs w:val="24"/>
              </w:rPr>
              <w:t xml:space="preserve"> 187 of 2015</w:t>
            </w:r>
            <w:r>
              <w:rPr>
                <w:caps/>
                <w:szCs w:val="24"/>
              </w:rPr>
              <w:fldChar w:fldCharType="end"/>
            </w:r>
          </w:p>
        </w:tc>
      </w:tr>
    </w:tbl>
    <w:p w:rsidR="0034324A"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4324A" w:rsidRPr="0034324A">
        <w:tc>
          <w:tcPr>
            <w:tcW w:w="9243" w:type="dxa"/>
            <w:shd w:val="clear" w:color="auto" w:fill="auto"/>
          </w:tcPr>
          <w:p w:rsidR="0034324A" w:rsidRPr="0034324A" w:rsidRDefault="0034324A">
            <w:pPr>
              <w:pStyle w:val="AppealTable"/>
              <w:widowControl w:val="0"/>
              <w:spacing w:line="360" w:lineRule="auto"/>
              <w:jc w:val="both"/>
              <w:rPr>
                <w:caps w:val="0"/>
                <w:sz w:val="24"/>
                <w:szCs w:val="20"/>
                <w:lang w:eastAsia="en-AU"/>
              </w:rPr>
            </w:pPr>
            <w:r w:rsidRPr="0034324A">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34324A"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34324A" w:rsidRPr="0034324A">
              <w:rPr>
                <w:caps/>
                <w:szCs w:val="24"/>
              </w:rPr>
              <w:t>MINESHKUMAR</w:t>
            </w:r>
            <w:proofErr w:type="spellEnd"/>
            <w:r w:rsidR="0034324A">
              <w:rPr>
                <w:szCs w:val="24"/>
              </w:rPr>
              <w:t xml:space="preserve"> </w:t>
            </w:r>
            <w:proofErr w:type="spellStart"/>
            <w:r w:rsidR="0034324A">
              <w:rPr>
                <w:szCs w:val="24"/>
              </w:rPr>
              <w:t>PRAVINBHAI</w:t>
            </w:r>
            <w:proofErr w:type="spellEnd"/>
            <w:r w:rsidR="0034324A">
              <w:rPr>
                <w:szCs w:val="24"/>
              </w:rPr>
              <w:t xml:space="preserve"> </w:t>
            </w:r>
            <w:proofErr w:type="spellStart"/>
            <w:r w:rsidR="0034324A">
              <w:rPr>
                <w:szCs w:val="24"/>
              </w:rPr>
              <w:t>BAREVADIYA</w:t>
            </w:r>
            <w:proofErr w:type="spellEnd"/>
          </w:p>
          <w:p w:rsidR="0034324A" w:rsidRDefault="0034324A">
            <w:pPr>
              <w:pStyle w:val="NormalHeadings"/>
              <w:jc w:val="left"/>
              <w:rPr>
                <w:szCs w:val="24"/>
              </w:rPr>
            </w:pPr>
            <w:r>
              <w:rPr>
                <w:szCs w:val="24"/>
              </w:rPr>
              <w:t>First Appellant</w:t>
            </w:r>
          </w:p>
          <w:p w:rsidR="0034324A" w:rsidRDefault="0034324A">
            <w:pPr>
              <w:pStyle w:val="NormalHeadings"/>
              <w:jc w:val="left"/>
              <w:rPr>
                <w:szCs w:val="24"/>
              </w:rPr>
            </w:pPr>
          </w:p>
          <w:p w:rsidR="0034324A" w:rsidRDefault="0034324A">
            <w:pPr>
              <w:pStyle w:val="NormalHeadings"/>
              <w:jc w:val="left"/>
              <w:rPr>
                <w:szCs w:val="24"/>
              </w:rPr>
            </w:pPr>
            <w:proofErr w:type="spellStart"/>
            <w:r>
              <w:rPr>
                <w:szCs w:val="24"/>
              </w:rPr>
              <w:t>JIGNASABEN</w:t>
            </w:r>
            <w:proofErr w:type="spellEnd"/>
            <w:r>
              <w:rPr>
                <w:szCs w:val="24"/>
              </w:rPr>
              <w:t xml:space="preserve"> </w:t>
            </w:r>
            <w:proofErr w:type="spellStart"/>
            <w:r>
              <w:rPr>
                <w:szCs w:val="24"/>
              </w:rPr>
              <w:t>MINESHKUMAR</w:t>
            </w:r>
            <w:proofErr w:type="spellEnd"/>
            <w:r>
              <w:rPr>
                <w:szCs w:val="24"/>
              </w:rPr>
              <w:t xml:space="preserve"> </w:t>
            </w:r>
            <w:proofErr w:type="spellStart"/>
            <w:r>
              <w:rPr>
                <w:szCs w:val="24"/>
              </w:rPr>
              <w:t>BAREVADIYA</w:t>
            </w:r>
            <w:proofErr w:type="spellEnd"/>
          </w:p>
          <w:p w:rsidR="0034324A" w:rsidRDefault="0034324A">
            <w:pPr>
              <w:pStyle w:val="NormalHeadings"/>
              <w:jc w:val="left"/>
              <w:rPr>
                <w:szCs w:val="24"/>
              </w:rPr>
            </w:pPr>
            <w:r>
              <w:rPr>
                <w:szCs w:val="24"/>
              </w:rPr>
              <w:t>Second 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4324A"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34324A" w:rsidRPr="0034324A">
              <w:rPr>
                <w:caps/>
                <w:szCs w:val="24"/>
              </w:rPr>
              <w:t>MINISTER</w:t>
            </w:r>
            <w:r w:rsidR="0034324A">
              <w:rPr>
                <w:szCs w:val="24"/>
              </w:rPr>
              <w:t xml:space="preserve"> FOR IMMIGRATION AND BORDER PROTECTION</w:t>
            </w:r>
          </w:p>
          <w:p w:rsidR="0034324A" w:rsidRDefault="0034324A">
            <w:pPr>
              <w:pStyle w:val="NormalHeadings"/>
              <w:jc w:val="left"/>
              <w:rPr>
                <w:szCs w:val="24"/>
              </w:rPr>
            </w:pPr>
            <w:r>
              <w:rPr>
                <w:szCs w:val="24"/>
              </w:rPr>
              <w:t>First Respondent</w:t>
            </w:r>
          </w:p>
          <w:p w:rsidR="0034324A" w:rsidRDefault="0034324A">
            <w:pPr>
              <w:pStyle w:val="NormalHeadings"/>
              <w:jc w:val="left"/>
              <w:rPr>
                <w:szCs w:val="24"/>
              </w:rPr>
            </w:pPr>
          </w:p>
          <w:p w:rsidR="0034324A" w:rsidRDefault="0034324A">
            <w:pPr>
              <w:pStyle w:val="NormalHeadings"/>
              <w:jc w:val="left"/>
              <w:rPr>
                <w:szCs w:val="24"/>
              </w:rPr>
            </w:pPr>
            <w:r>
              <w:rPr>
                <w:szCs w:val="24"/>
              </w:rPr>
              <w:t>MIGRATION REVIEW TRIBUNAL</w:t>
            </w:r>
          </w:p>
          <w:p w:rsidR="0034324A" w:rsidRDefault="0034324A">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34324A">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34324A">
              <w:rPr>
                <w:caps/>
                <w:szCs w:val="24"/>
              </w:rPr>
              <w:t>NORTH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34324A">
              <w:rPr>
                <w:caps/>
                <w:szCs w:val="24"/>
              </w:rPr>
              <w:t>11 AUGUST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34324A">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EF55E3" w:rsidRPr="007B410C" w:rsidRDefault="004C69A5" w:rsidP="004C69A5">
      <w:pPr>
        <w:pStyle w:val="ParaNumbering"/>
      </w:pPr>
      <w:r>
        <w:t xml:space="preserve">Before the Court is an appeal </w:t>
      </w:r>
      <w:r w:rsidR="00081030">
        <w:t xml:space="preserve">by </w:t>
      </w:r>
      <w:proofErr w:type="spellStart"/>
      <w:r w:rsidR="00081030">
        <w:t>Mineshkumar</w:t>
      </w:r>
      <w:proofErr w:type="spellEnd"/>
      <w:r w:rsidR="00081030">
        <w:t xml:space="preserve"> </w:t>
      </w:r>
      <w:proofErr w:type="spellStart"/>
      <w:r w:rsidR="00081030">
        <w:t>Pravinbhai</w:t>
      </w:r>
      <w:proofErr w:type="spellEnd"/>
      <w:r w:rsidR="00081030">
        <w:t xml:space="preserve"> </w:t>
      </w:r>
      <w:proofErr w:type="spellStart"/>
      <w:r w:rsidR="00081030">
        <w:t>Barevadiya</w:t>
      </w:r>
      <w:proofErr w:type="spellEnd"/>
      <w:r w:rsidR="00FD24C3">
        <w:t>,</w:t>
      </w:r>
      <w:r w:rsidR="00081030">
        <w:t xml:space="preserve"> the first appellant</w:t>
      </w:r>
      <w:r w:rsidR="00FD24C3">
        <w:t>,</w:t>
      </w:r>
      <w:r w:rsidR="00081030">
        <w:t xml:space="preserve"> and </w:t>
      </w:r>
      <w:proofErr w:type="spellStart"/>
      <w:r w:rsidR="00081030" w:rsidRPr="007B410C">
        <w:t>Jignasaben</w:t>
      </w:r>
      <w:proofErr w:type="spellEnd"/>
      <w:r w:rsidR="00081030" w:rsidRPr="007B410C">
        <w:t xml:space="preserve"> </w:t>
      </w:r>
      <w:proofErr w:type="spellStart"/>
      <w:r w:rsidR="00081030" w:rsidRPr="007B410C">
        <w:t>Mineshkumar</w:t>
      </w:r>
      <w:proofErr w:type="spellEnd"/>
      <w:r w:rsidR="00081030" w:rsidRPr="007B410C">
        <w:t xml:space="preserve"> </w:t>
      </w:r>
      <w:proofErr w:type="spellStart"/>
      <w:r w:rsidR="00081030" w:rsidRPr="007B410C">
        <w:t>Barevadiya</w:t>
      </w:r>
      <w:proofErr w:type="spellEnd"/>
      <w:r w:rsidR="00D043B3">
        <w:t>,</w:t>
      </w:r>
      <w:r w:rsidR="00081030" w:rsidRPr="007B410C">
        <w:t xml:space="preserve"> the second appellant</w:t>
      </w:r>
      <w:r w:rsidR="00D043B3">
        <w:t>,</w:t>
      </w:r>
      <w:r w:rsidR="00081030" w:rsidRPr="007B410C">
        <w:t xml:space="preserve"> </w:t>
      </w:r>
      <w:r w:rsidRPr="007B410C">
        <w:t>from orders made by the Federal Circuit Court on 25 March 2015.  The Federal Circuit Court dismissed an application for judicial review of a decision of the Migration Review Tribunal made on 9 April 2014.  The Tribunal affirmed the decision of the delegate</w:t>
      </w:r>
      <w:r w:rsidR="00081030" w:rsidRPr="007B410C">
        <w:t xml:space="preserve"> of the Minister for Immigration and Border Protection </w:t>
      </w:r>
      <w:r w:rsidRPr="007B410C">
        <w:t>not to grant the appellants</w:t>
      </w:r>
      <w:r w:rsidR="00081030" w:rsidRPr="007B410C">
        <w:t>’</w:t>
      </w:r>
      <w:r w:rsidR="002D23F8" w:rsidRPr="007B410C">
        <w:t xml:space="preserve"> Student (Temporary) (Class </w:t>
      </w:r>
      <w:proofErr w:type="spellStart"/>
      <w:r w:rsidR="002D23F8" w:rsidRPr="007B410C">
        <w:t>TU</w:t>
      </w:r>
      <w:proofErr w:type="spellEnd"/>
      <w:r w:rsidR="002D23F8" w:rsidRPr="007B410C">
        <w:t>) visas</w:t>
      </w:r>
      <w:r w:rsidRPr="007B410C">
        <w:t xml:space="preserve">.  </w:t>
      </w:r>
    </w:p>
    <w:p w:rsidR="00D043B3" w:rsidRDefault="004C69A5" w:rsidP="007A2948">
      <w:pPr>
        <w:pStyle w:val="ParaNumbering"/>
      </w:pPr>
      <w:r w:rsidRPr="007B410C">
        <w:t>The appellants are husband and wife</w:t>
      </w:r>
      <w:r w:rsidR="00D043B3">
        <w:t>.</w:t>
      </w:r>
      <w:r w:rsidRPr="007B410C">
        <w:t xml:space="preserve"> </w:t>
      </w:r>
      <w:r w:rsidR="00D043B3">
        <w:t>T</w:t>
      </w:r>
      <w:r w:rsidRPr="007B410C">
        <w:t xml:space="preserve">he primary application was made by the first appellant.  He lodged an application for a visa on </w:t>
      </w:r>
      <w:r w:rsidRPr="007A2948">
        <w:t>9 July 2013</w:t>
      </w:r>
      <w:r w:rsidRPr="007B410C">
        <w:t xml:space="preserve">. </w:t>
      </w:r>
      <w:r w:rsidR="00167874" w:rsidRPr="007B410C">
        <w:t>On 10</w:t>
      </w:r>
      <w:r w:rsidR="00167874">
        <w:t xml:space="preserve"> July 2013, the Department of Immigration and Citizenship sent an email to the appellants’ migration agent detailing informat</w:t>
      </w:r>
      <w:r w:rsidR="00E10664">
        <w:t>ion required in support of the</w:t>
      </w:r>
      <w:r w:rsidR="00167874">
        <w:t xml:space="preserve"> visa application, including evidence of financial capacity</w:t>
      </w:r>
      <w:r w:rsidR="00E10664">
        <w:t xml:space="preserve"> as required by</w:t>
      </w:r>
      <w:r>
        <w:t xml:space="preserve"> </w:t>
      </w:r>
      <w:r w:rsidR="00E10664">
        <w:t>t</w:t>
      </w:r>
      <w:r w:rsidRPr="00D63430">
        <w:t xml:space="preserve">he </w:t>
      </w:r>
      <w:r w:rsidR="005F3C51" w:rsidRPr="00A171F6">
        <w:rPr>
          <w:i/>
        </w:rPr>
        <w:t>Migration Regulations 1994</w:t>
      </w:r>
      <w:r w:rsidR="005F3C51" w:rsidRPr="00D63430">
        <w:t xml:space="preserve"> (Cth)</w:t>
      </w:r>
      <w:r w:rsidR="00E10664">
        <w:t>.</w:t>
      </w:r>
      <w:r w:rsidR="005F3C51" w:rsidRPr="00D63430">
        <w:t xml:space="preserve"> </w:t>
      </w:r>
    </w:p>
    <w:p w:rsidR="00B30BA6" w:rsidRDefault="00E10664" w:rsidP="007A2948">
      <w:pPr>
        <w:pStyle w:val="ParaNumbering"/>
      </w:pPr>
      <w:r>
        <w:lastRenderedPageBreak/>
        <w:t xml:space="preserve">The regulations </w:t>
      </w:r>
      <w:r w:rsidR="004C69A5" w:rsidRPr="00D63430">
        <w:t>required him to demonstrate that he had funds from an acceptabl</w:t>
      </w:r>
      <w:r w:rsidR="00B30BA6" w:rsidRPr="00D63430">
        <w:t>e source, being a money deposit</w:t>
      </w:r>
      <w:r w:rsidR="00D63430" w:rsidRPr="00D63430">
        <w:t xml:space="preserve"> </w:t>
      </w:r>
      <w:r w:rsidR="00B30BA6" w:rsidRPr="00D63430">
        <w:t>h</w:t>
      </w:r>
      <w:r w:rsidR="004C69A5" w:rsidRPr="00D63430">
        <w:t>eld for at least the three months immediately before the date of the application</w:t>
      </w:r>
      <w:r w:rsidR="0089489E">
        <w:t xml:space="preserve">. </w:t>
      </w:r>
      <w:r w:rsidR="00DC3690">
        <w:t xml:space="preserve">The relevant requirements of the regulations were: </w:t>
      </w:r>
      <w:r w:rsidR="00D63430">
        <w:t xml:space="preserve"> </w:t>
      </w:r>
    </w:p>
    <w:p w:rsidR="00D63430" w:rsidRPr="00A171F6" w:rsidRDefault="00263F03" w:rsidP="00A171F6">
      <w:pPr>
        <w:pStyle w:val="Quote1"/>
        <w:rPr>
          <w:b/>
        </w:rPr>
      </w:pPr>
      <w:r>
        <w:rPr>
          <w:b/>
        </w:rPr>
        <w:t xml:space="preserve">Schedule 2 – </w:t>
      </w:r>
      <w:r w:rsidR="007B02D8" w:rsidRPr="00A171F6">
        <w:rPr>
          <w:b/>
        </w:rPr>
        <w:t>Clause 572.223</w:t>
      </w:r>
    </w:p>
    <w:p w:rsidR="007B02D8" w:rsidRPr="007A2948" w:rsidRDefault="007B02D8" w:rsidP="00A171F6">
      <w:pPr>
        <w:pStyle w:val="Quote1"/>
      </w:pPr>
    </w:p>
    <w:p w:rsidR="007B02D8" w:rsidRDefault="00A171F6" w:rsidP="00A171F6">
      <w:pPr>
        <w:pStyle w:val="Quote1"/>
        <w:numPr>
          <w:ilvl w:val="0"/>
          <w:numId w:val="27"/>
        </w:numPr>
      </w:pPr>
      <w:r w:rsidRPr="00735B3B">
        <w:t xml:space="preserve">The Minister is satisfied that the applicant is a </w:t>
      </w:r>
      <w:r w:rsidRPr="00FC42D3">
        <w:t>genuine applicant for entry</w:t>
      </w:r>
      <w:r>
        <w:t xml:space="preserve"> and stay as a student because: </w:t>
      </w:r>
    </w:p>
    <w:p w:rsidR="00A171F6" w:rsidRDefault="00A171F6" w:rsidP="00040703">
      <w:pPr>
        <w:pStyle w:val="Quote2"/>
        <w:numPr>
          <w:ilvl w:val="1"/>
          <w:numId w:val="27"/>
        </w:numPr>
      </w:pPr>
      <w:r>
        <w:t>the Minister is satisfied that the applicant intends genuinely to stay in Australia temporarily, having regard to:</w:t>
      </w:r>
    </w:p>
    <w:p w:rsidR="00A171F6" w:rsidRDefault="00A171F6" w:rsidP="00040703">
      <w:pPr>
        <w:pStyle w:val="Quote3"/>
        <w:numPr>
          <w:ilvl w:val="2"/>
          <w:numId w:val="27"/>
        </w:numPr>
      </w:pPr>
      <w:r>
        <w:t xml:space="preserve">the applicant’s circumstances; and </w:t>
      </w:r>
    </w:p>
    <w:p w:rsidR="00A171F6" w:rsidRDefault="00A171F6" w:rsidP="00040703">
      <w:pPr>
        <w:pStyle w:val="Quote3"/>
        <w:numPr>
          <w:ilvl w:val="2"/>
          <w:numId w:val="27"/>
        </w:numPr>
      </w:pPr>
      <w:r>
        <w:t xml:space="preserve">the applicant’s immigration history; and </w:t>
      </w:r>
    </w:p>
    <w:p w:rsidR="00A171F6" w:rsidRDefault="00A171F6" w:rsidP="00040703">
      <w:pPr>
        <w:pStyle w:val="Quote3"/>
        <w:numPr>
          <w:ilvl w:val="2"/>
          <w:numId w:val="27"/>
        </w:numPr>
      </w:pPr>
      <w:r>
        <w:t>if the applicant is a minor – the intentions of a parent, legal guardian or spouse of the applicant; and</w:t>
      </w:r>
    </w:p>
    <w:p w:rsidR="00A171F6" w:rsidRDefault="00A171F6" w:rsidP="00040703">
      <w:pPr>
        <w:pStyle w:val="Quote3"/>
        <w:numPr>
          <w:ilvl w:val="2"/>
          <w:numId w:val="27"/>
        </w:numPr>
      </w:pPr>
      <w:r>
        <w:t xml:space="preserve">any other relevant matter; </w:t>
      </w:r>
    </w:p>
    <w:p w:rsidR="00A171F6" w:rsidRPr="00040703" w:rsidRDefault="00481DC8" w:rsidP="00040703">
      <w:pPr>
        <w:pStyle w:val="Quote2"/>
        <w:numPr>
          <w:ilvl w:val="1"/>
          <w:numId w:val="27"/>
        </w:numPr>
        <w:rPr>
          <w:b/>
        </w:rPr>
      </w:pPr>
      <w:proofErr w:type="gramStart"/>
      <w:r w:rsidRPr="00040703">
        <w:rPr>
          <w:b/>
        </w:rPr>
        <w:t>the</w:t>
      </w:r>
      <w:proofErr w:type="gramEnd"/>
      <w:r w:rsidRPr="00040703">
        <w:rPr>
          <w:b/>
        </w:rPr>
        <w:t xml:space="preserve"> applicant meets the requirements of subclause (2). </w:t>
      </w:r>
    </w:p>
    <w:p w:rsidR="00481DC8" w:rsidRDefault="00481DC8" w:rsidP="007A2948">
      <w:pPr>
        <w:pStyle w:val="Quote1"/>
        <w:ind w:left="1817"/>
      </w:pPr>
    </w:p>
    <w:p w:rsidR="00AA2CDC" w:rsidRDefault="00E255DF" w:rsidP="007A2948">
      <w:pPr>
        <w:pStyle w:val="Quote1"/>
        <w:numPr>
          <w:ilvl w:val="0"/>
          <w:numId w:val="27"/>
        </w:numPr>
      </w:pPr>
      <w:r>
        <w:t>An applicant meets the requirements of this subclause</w:t>
      </w:r>
      <w:r w:rsidR="00375023">
        <w:t xml:space="preserve"> </w:t>
      </w:r>
      <w:r w:rsidR="00AA2CDC">
        <w:t>if:</w:t>
      </w:r>
    </w:p>
    <w:p w:rsidR="00AA2CDC" w:rsidRDefault="00AA2CDC" w:rsidP="00040703">
      <w:pPr>
        <w:pStyle w:val="Quote2"/>
        <w:numPr>
          <w:ilvl w:val="1"/>
          <w:numId w:val="27"/>
        </w:numPr>
      </w:pPr>
      <w:r>
        <w:t xml:space="preserve">the applicant gives the Minister evidence in accordance with the requirements mentioned in Schedule </w:t>
      </w:r>
      <w:proofErr w:type="spellStart"/>
      <w:r>
        <w:t>5A</w:t>
      </w:r>
      <w:proofErr w:type="spellEnd"/>
      <w:r>
        <w:t xml:space="preserve"> for the highest assessment level for the applicant; and </w:t>
      </w:r>
    </w:p>
    <w:p w:rsidR="00AA2CDC" w:rsidRDefault="00AA2CDC" w:rsidP="00040703">
      <w:pPr>
        <w:pStyle w:val="Quote2"/>
        <w:numPr>
          <w:ilvl w:val="1"/>
          <w:numId w:val="27"/>
        </w:numPr>
      </w:pPr>
      <w:r>
        <w:t xml:space="preserve">the Minister is satisfied that the applicant is a genuine applicant for entry and stay as a student, having regard to: </w:t>
      </w:r>
    </w:p>
    <w:p w:rsidR="00AA2CDC" w:rsidRDefault="00AA2CDC" w:rsidP="00040703">
      <w:pPr>
        <w:pStyle w:val="Quote3"/>
        <w:numPr>
          <w:ilvl w:val="2"/>
          <w:numId w:val="27"/>
        </w:numPr>
      </w:pPr>
      <w:r>
        <w:t xml:space="preserve">the stated intention of the applicant to comply with any conditions subject to which the visa is granted and </w:t>
      </w:r>
    </w:p>
    <w:p w:rsidR="00AA2CDC" w:rsidRDefault="00AA2CDC" w:rsidP="00040703">
      <w:pPr>
        <w:pStyle w:val="Quote3"/>
        <w:numPr>
          <w:ilvl w:val="2"/>
          <w:numId w:val="27"/>
        </w:numPr>
      </w:pPr>
      <w:r>
        <w:t xml:space="preserve">any other relevant matter; and </w:t>
      </w:r>
    </w:p>
    <w:p w:rsidR="00481DC8" w:rsidRPr="00040703" w:rsidRDefault="00AA2CDC" w:rsidP="00040703">
      <w:pPr>
        <w:pStyle w:val="Quote2"/>
        <w:numPr>
          <w:ilvl w:val="1"/>
          <w:numId w:val="27"/>
        </w:numPr>
        <w:rPr>
          <w:b/>
        </w:rPr>
      </w:pPr>
      <w:r w:rsidRPr="00040703">
        <w:rPr>
          <w:b/>
        </w:rPr>
        <w:t xml:space="preserve">the Minister is satisfied that, while the applicant holds the visa, the applicant will have access to the funds demonstrated or declared in accordance with the requirements in Schedule </w:t>
      </w:r>
      <w:proofErr w:type="spellStart"/>
      <w:r w:rsidRPr="00040703">
        <w:rPr>
          <w:b/>
        </w:rPr>
        <w:t>5A</w:t>
      </w:r>
      <w:proofErr w:type="spellEnd"/>
      <w:r w:rsidRPr="00040703">
        <w:rPr>
          <w:b/>
        </w:rPr>
        <w:t xml:space="preserve"> relating to the applicant’s financial capacity. </w:t>
      </w:r>
      <w:r w:rsidR="00E255DF" w:rsidRPr="00040703">
        <w:rPr>
          <w:b/>
        </w:rPr>
        <w:t xml:space="preserve"> </w:t>
      </w:r>
    </w:p>
    <w:p w:rsidR="00A171F6" w:rsidRDefault="00A171F6" w:rsidP="007A2948">
      <w:pPr>
        <w:pStyle w:val="Quote1"/>
        <w:ind w:left="2357"/>
      </w:pPr>
    </w:p>
    <w:p w:rsidR="007B02D8" w:rsidRPr="00A171F6" w:rsidRDefault="00263F03" w:rsidP="00A2011F">
      <w:pPr>
        <w:pStyle w:val="Quote1"/>
        <w:ind w:left="0" w:firstLine="720"/>
        <w:rPr>
          <w:b/>
        </w:rPr>
      </w:pPr>
      <w:r w:rsidRPr="00E07972">
        <w:rPr>
          <w:b/>
        </w:rPr>
        <w:t xml:space="preserve">Schedule </w:t>
      </w:r>
      <w:proofErr w:type="spellStart"/>
      <w:r w:rsidRPr="00E07972">
        <w:rPr>
          <w:b/>
        </w:rPr>
        <w:t>5A</w:t>
      </w:r>
      <w:proofErr w:type="spellEnd"/>
      <w:r w:rsidRPr="00E07972">
        <w:rPr>
          <w:b/>
        </w:rPr>
        <w:t xml:space="preserve"> – </w:t>
      </w:r>
      <w:r w:rsidR="007B02D8" w:rsidRPr="00E07972">
        <w:rPr>
          <w:b/>
        </w:rPr>
        <w:t xml:space="preserve">Clause </w:t>
      </w:r>
      <w:proofErr w:type="spellStart"/>
      <w:r w:rsidR="007B02D8" w:rsidRPr="00E07972">
        <w:rPr>
          <w:b/>
        </w:rPr>
        <w:t>5A405</w:t>
      </w:r>
      <w:proofErr w:type="spellEnd"/>
      <w:r w:rsidR="007B02D8" w:rsidRPr="00E07972">
        <w:rPr>
          <w:b/>
        </w:rPr>
        <w:t xml:space="preserve"> Financial Capacity</w:t>
      </w:r>
      <w:r>
        <w:rPr>
          <w:b/>
        </w:rPr>
        <w:t xml:space="preserve"> </w:t>
      </w:r>
    </w:p>
    <w:p w:rsidR="007B02D8" w:rsidRDefault="007B02D8" w:rsidP="00A171F6">
      <w:pPr>
        <w:pStyle w:val="Quote1"/>
      </w:pPr>
    </w:p>
    <w:p w:rsidR="007B02D8" w:rsidRDefault="00856913" w:rsidP="007A2948">
      <w:pPr>
        <w:pStyle w:val="Quote1"/>
        <w:numPr>
          <w:ilvl w:val="0"/>
          <w:numId w:val="28"/>
        </w:numPr>
      </w:pPr>
      <w:r>
        <w:t>The applicant must give, in accordance with this clause:</w:t>
      </w:r>
    </w:p>
    <w:p w:rsidR="00856913" w:rsidRDefault="00856913" w:rsidP="00040703">
      <w:pPr>
        <w:pStyle w:val="Quote2"/>
        <w:numPr>
          <w:ilvl w:val="0"/>
          <w:numId w:val="38"/>
        </w:numPr>
      </w:pPr>
      <w:r>
        <w:t xml:space="preserve">evidence that the applicant has funds from </w:t>
      </w:r>
      <w:r w:rsidRPr="00040703">
        <w:rPr>
          <w:b/>
        </w:rPr>
        <w:t>an acceptable source</w:t>
      </w:r>
      <w:r>
        <w:t xml:space="preserve"> that are sufficient to meet the following expenses for the first 24 months: </w:t>
      </w:r>
    </w:p>
    <w:p w:rsidR="00856913" w:rsidRDefault="00856913" w:rsidP="00040703">
      <w:pPr>
        <w:pStyle w:val="Quote3"/>
        <w:numPr>
          <w:ilvl w:val="2"/>
          <w:numId w:val="27"/>
        </w:numPr>
      </w:pPr>
      <w:r>
        <w:t>course fees;</w:t>
      </w:r>
    </w:p>
    <w:p w:rsidR="00856913" w:rsidRDefault="00856913" w:rsidP="00040703">
      <w:pPr>
        <w:pStyle w:val="Quote3"/>
        <w:numPr>
          <w:ilvl w:val="2"/>
          <w:numId w:val="27"/>
        </w:numPr>
      </w:pPr>
      <w:r>
        <w:t>living costs;</w:t>
      </w:r>
    </w:p>
    <w:p w:rsidR="00856913" w:rsidRDefault="00856913" w:rsidP="00040703">
      <w:pPr>
        <w:pStyle w:val="Quote3"/>
        <w:numPr>
          <w:ilvl w:val="2"/>
          <w:numId w:val="27"/>
        </w:numPr>
      </w:pPr>
      <w:r>
        <w:t xml:space="preserve">school costs; and </w:t>
      </w:r>
    </w:p>
    <w:p w:rsidR="00856913" w:rsidRDefault="00856913" w:rsidP="00040703">
      <w:pPr>
        <w:pStyle w:val="Quote2"/>
        <w:numPr>
          <w:ilvl w:val="0"/>
          <w:numId w:val="39"/>
        </w:numPr>
      </w:pPr>
      <w:r>
        <w:t xml:space="preserve">a declaration by the applicant stating that he or she has access to funds from </w:t>
      </w:r>
      <w:r w:rsidRPr="00040703">
        <w:t>an acceptable source</w:t>
      </w:r>
      <w:r>
        <w:t xml:space="preserve"> that are sufficient to meet course </w:t>
      </w:r>
      <w:r w:rsidR="00110321">
        <w:t xml:space="preserve">fees, living costs and school costs for the remainder of the applicant’s proposed stay in Australia after the first 24 months; and </w:t>
      </w:r>
    </w:p>
    <w:p w:rsidR="00856913" w:rsidRDefault="00110321" w:rsidP="00040703">
      <w:pPr>
        <w:pStyle w:val="Quote2"/>
        <w:numPr>
          <w:ilvl w:val="0"/>
          <w:numId w:val="40"/>
        </w:numPr>
      </w:pPr>
      <w:r>
        <w:t xml:space="preserve">evidence that the applicant has funds from </w:t>
      </w:r>
      <w:r w:rsidRPr="00040703">
        <w:t>an acceptable source</w:t>
      </w:r>
      <w:r>
        <w:t xml:space="preserve"> that are sufficient to meet travel costs; and </w:t>
      </w:r>
    </w:p>
    <w:p w:rsidR="00110321" w:rsidRDefault="00110321" w:rsidP="00040703">
      <w:pPr>
        <w:pStyle w:val="Quote2"/>
        <w:numPr>
          <w:ilvl w:val="0"/>
          <w:numId w:val="40"/>
        </w:numPr>
      </w:pPr>
      <w:proofErr w:type="gramStart"/>
      <w:r>
        <w:t>evidence</w:t>
      </w:r>
      <w:proofErr w:type="gramEnd"/>
      <w:r>
        <w:t xml:space="preserve"> that the regular income of any individual (including the applicant) providing funds to the applicant was sufficient to accumulate the level of funding being provided by that individual. </w:t>
      </w:r>
    </w:p>
    <w:p w:rsidR="00110321" w:rsidRDefault="00110321" w:rsidP="00775530">
      <w:pPr>
        <w:pStyle w:val="Quote1"/>
        <w:ind w:left="1817"/>
      </w:pPr>
    </w:p>
    <w:p w:rsidR="00110321" w:rsidRDefault="00110321" w:rsidP="00775530">
      <w:pPr>
        <w:pStyle w:val="Quote1"/>
        <w:numPr>
          <w:ilvl w:val="0"/>
          <w:numId w:val="28"/>
        </w:numPr>
      </w:pPr>
      <w:r>
        <w:t xml:space="preserve">In this clause: </w:t>
      </w:r>
    </w:p>
    <w:p w:rsidR="00110321" w:rsidRDefault="00110321" w:rsidP="00775530">
      <w:pPr>
        <w:pStyle w:val="Quote1"/>
        <w:ind w:left="1097"/>
      </w:pPr>
    </w:p>
    <w:p w:rsidR="00110321" w:rsidRPr="00775530" w:rsidRDefault="00110321" w:rsidP="00775530">
      <w:pPr>
        <w:pStyle w:val="Quote1"/>
        <w:ind w:left="1097"/>
        <w:rPr>
          <w:b/>
          <w:i/>
        </w:rPr>
      </w:pPr>
      <w:proofErr w:type="gramStart"/>
      <w:r w:rsidRPr="00775530">
        <w:rPr>
          <w:b/>
          <w:i/>
        </w:rPr>
        <w:t>acceptable</w:t>
      </w:r>
      <w:proofErr w:type="gramEnd"/>
      <w:r w:rsidRPr="00775530">
        <w:rPr>
          <w:b/>
          <w:i/>
        </w:rPr>
        <w:t xml:space="preserve"> individual </w:t>
      </w:r>
    </w:p>
    <w:p w:rsidR="00110321" w:rsidRDefault="00110321" w:rsidP="00775530">
      <w:pPr>
        <w:pStyle w:val="Quote1"/>
        <w:ind w:left="1097"/>
      </w:pPr>
      <w:proofErr w:type="gramStart"/>
      <w:r>
        <w:t>means</w:t>
      </w:r>
      <w:proofErr w:type="gramEnd"/>
      <w:r>
        <w:t xml:space="preserve"> one or more of the following: </w:t>
      </w:r>
    </w:p>
    <w:p w:rsidR="00110321" w:rsidRDefault="00110321" w:rsidP="00040703">
      <w:pPr>
        <w:pStyle w:val="Quote2"/>
        <w:numPr>
          <w:ilvl w:val="0"/>
          <w:numId w:val="41"/>
        </w:numPr>
      </w:pPr>
      <w:r>
        <w:lastRenderedPageBreak/>
        <w:t xml:space="preserve">the applicant; </w:t>
      </w:r>
    </w:p>
    <w:p w:rsidR="00110321" w:rsidRDefault="00110321" w:rsidP="00040703">
      <w:pPr>
        <w:pStyle w:val="Quote2"/>
        <w:numPr>
          <w:ilvl w:val="0"/>
          <w:numId w:val="41"/>
        </w:numPr>
      </w:pPr>
      <w:r>
        <w:t xml:space="preserve">the applicant’s spouse or de facto partner; </w:t>
      </w:r>
    </w:p>
    <w:p w:rsidR="00110321" w:rsidRDefault="00A8293B" w:rsidP="00040703">
      <w:pPr>
        <w:pStyle w:val="Quote2"/>
        <w:numPr>
          <w:ilvl w:val="0"/>
          <w:numId w:val="41"/>
        </w:numPr>
      </w:pPr>
      <w:r>
        <w:t>the applicant’s parents;</w:t>
      </w:r>
    </w:p>
    <w:p w:rsidR="00A8293B" w:rsidRDefault="00A8293B" w:rsidP="00040703">
      <w:pPr>
        <w:pStyle w:val="Quote2"/>
        <w:numPr>
          <w:ilvl w:val="0"/>
          <w:numId w:val="41"/>
        </w:numPr>
      </w:pPr>
      <w:r>
        <w:t xml:space="preserve">the applicant’s grandparents; </w:t>
      </w:r>
    </w:p>
    <w:p w:rsidR="00A8293B" w:rsidRDefault="00A8293B" w:rsidP="00040703">
      <w:pPr>
        <w:pStyle w:val="Quote2"/>
        <w:numPr>
          <w:ilvl w:val="0"/>
          <w:numId w:val="41"/>
        </w:numPr>
      </w:pPr>
      <w:r>
        <w:t>the applicant’s brothers and sisters;</w:t>
      </w:r>
    </w:p>
    <w:p w:rsidR="00A8293B" w:rsidRDefault="00A8293B" w:rsidP="00775530">
      <w:pPr>
        <w:pStyle w:val="Quote1"/>
        <w:ind w:left="1457"/>
      </w:pPr>
    </w:p>
    <w:p w:rsidR="00A8293B" w:rsidRDefault="00A8293B" w:rsidP="00775530">
      <w:pPr>
        <w:pStyle w:val="Quote1"/>
        <w:ind w:left="1457"/>
      </w:pPr>
      <w:r>
        <w:t>……</w:t>
      </w:r>
      <w:r>
        <w:br/>
      </w:r>
    </w:p>
    <w:p w:rsidR="00A8293B" w:rsidRPr="00775530" w:rsidRDefault="00A8293B" w:rsidP="00775530">
      <w:pPr>
        <w:pStyle w:val="Quote1"/>
        <w:ind w:left="1457"/>
        <w:rPr>
          <w:b/>
          <w:i/>
        </w:rPr>
      </w:pPr>
      <w:proofErr w:type="gramStart"/>
      <w:r w:rsidRPr="00775530">
        <w:rPr>
          <w:b/>
          <w:i/>
        </w:rPr>
        <w:t>funds</w:t>
      </w:r>
      <w:proofErr w:type="gramEnd"/>
      <w:r w:rsidRPr="00775530">
        <w:rPr>
          <w:b/>
          <w:i/>
        </w:rPr>
        <w:t xml:space="preserve"> from an acceptable source </w:t>
      </w:r>
    </w:p>
    <w:p w:rsidR="00A8293B" w:rsidRDefault="00A8293B" w:rsidP="00775530">
      <w:pPr>
        <w:pStyle w:val="Quote1"/>
        <w:ind w:left="1457"/>
      </w:pPr>
      <w:proofErr w:type="gramStart"/>
      <w:r>
        <w:t>means</w:t>
      </w:r>
      <w:proofErr w:type="gramEnd"/>
      <w:r>
        <w:t xml:space="preserve"> one or more of the following: </w:t>
      </w:r>
    </w:p>
    <w:p w:rsidR="00735B3B" w:rsidRDefault="00735B3B" w:rsidP="00735B3B">
      <w:pPr>
        <w:pStyle w:val="Quote1"/>
        <w:ind w:left="1457"/>
      </w:pPr>
    </w:p>
    <w:p w:rsidR="00735B3B" w:rsidRPr="00040703" w:rsidRDefault="00040703" w:rsidP="00040703">
      <w:pPr>
        <w:pStyle w:val="Quote2"/>
        <w:rPr>
          <w:b/>
        </w:rPr>
      </w:pPr>
      <w:proofErr w:type="gramStart"/>
      <w:r w:rsidRPr="00040703">
        <w:rPr>
          <w:b/>
        </w:rPr>
        <w:t>aa</w:t>
      </w:r>
      <w:proofErr w:type="gramEnd"/>
      <w:r w:rsidRPr="00040703">
        <w:rPr>
          <w:b/>
        </w:rPr>
        <w:t xml:space="preserve">. </w:t>
      </w:r>
      <w:r w:rsidR="00735B3B" w:rsidRPr="00040703">
        <w:rPr>
          <w:b/>
        </w:rPr>
        <w:t>……</w:t>
      </w:r>
      <w:proofErr w:type="gramStart"/>
      <w:r w:rsidR="00735B3B" w:rsidRPr="00040703">
        <w:rPr>
          <w:b/>
        </w:rPr>
        <w:t>a money</w:t>
      </w:r>
      <w:proofErr w:type="gramEnd"/>
      <w:r w:rsidR="00735B3B" w:rsidRPr="00040703">
        <w:rPr>
          <w:b/>
        </w:rPr>
        <w:t xml:space="preserve"> deposit that an acceptable individual has held for at least the 3 months immediately before the date of the application… </w:t>
      </w:r>
    </w:p>
    <w:p w:rsidR="00E913A6" w:rsidRDefault="00E913A6" w:rsidP="00E913A6">
      <w:pPr>
        <w:pStyle w:val="Quote1"/>
        <w:ind w:left="1457"/>
      </w:pPr>
    </w:p>
    <w:p w:rsidR="00293CAA" w:rsidRDefault="00293CAA" w:rsidP="00B5449F">
      <w:pPr>
        <w:pStyle w:val="Quote1"/>
        <w:ind w:firstLine="703"/>
      </w:pPr>
      <w:r>
        <w:t>[</w:t>
      </w:r>
      <w:r w:rsidR="00B5449F">
        <w:t>E</w:t>
      </w:r>
      <w:r>
        <w:t>mphasis added</w:t>
      </w:r>
      <w:r w:rsidR="00B5449F">
        <w:t>.</w:t>
      </w:r>
      <w:r>
        <w:t xml:space="preserve">] </w:t>
      </w:r>
    </w:p>
    <w:p w:rsidR="0001569C" w:rsidRDefault="0001569C" w:rsidP="004C69A5">
      <w:pPr>
        <w:pStyle w:val="ParaNumbering"/>
      </w:pPr>
      <w:r>
        <w:t xml:space="preserve">The </w:t>
      </w:r>
      <w:r w:rsidR="00F85F91">
        <w:t xml:space="preserve">department gave the </w:t>
      </w:r>
      <w:r w:rsidR="00F93613">
        <w:t xml:space="preserve">first appellant </w:t>
      </w:r>
      <w:r>
        <w:t>28 days</w:t>
      </w:r>
      <w:r w:rsidR="00F85F91">
        <w:t xml:space="preserve"> to provide the information</w:t>
      </w:r>
      <w:r>
        <w:t>. On 6 August 2013, the first appellant provided the following documents via email to the department, as set out in the d</w:t>
      </w:r>
      <w:r w:rsidR="008D1BD6">
        <w:t>elegate</w:t>
      </w:r>
      <w:r>
        <w:t>’s decision:</w:t>
      </w:r>
    </w:p>
    <w:p w:rsidR="0001569C" w:rsidRDefault="000F4363" w:rsidP="000F4363">
      <w:pPr>
        <w:pStyle w:val="Quote1Bullet"/>
      </w:pPr>
      <w:r>
        <w:t xml:space="preserve">Two bank statements from AXIS. One contained no evidence of the account holder and the other dated 31 December 2010 showing a balance of 33,860.00 </w:t>
      </w:r>
      <w:proofErr w:type="spellStart"/>
      <w:r>
        <w:t>INR</w:t>
      </w:r>
      <w:proofErr w:type="spellEnd"/>
      <w:r>
        <w:t xml:space="preserve"> </w:t>
      </w:r>
    </w:p>
    <w:p w:rsidR="000F4363" w:rsidRDefault="000F4363" w:rsidP="000F4363">
      <w:pPr>
        <w:pStyle w:val="Quote1Bullet"/>
      </w:pPr>
      <w:r>
        <w:t xml:space="preserve">A bank statement from his father, with a last entry date of </w:t>
      </w:r>
      <w:r w:rsidR="000276C4">
        <w:t xml:space="preserve">24 February 2011 showing a balance of 17,5163.00 </w:t>
      </w:r>
      <w:proofErr w:type="spellStart"/>
      <w:r w:rsidR="000276C4">
        <w:t>INR</w:t>
      </w:r>
      <w:proofErr w:type="spellEnd"/>
      <w:r w:rsidR="000276C4">
        <w:t xml:space="preserve"> </w:t>
      </w:r>
    </w:p>
    <w:p w:rsidR="000276C4" w:rsidRDefault="000276C4" w:rsidP="000F4363">
      <w:pPr>
        <w:pStyle w:val="Quote1Bullet"/>
      </w:pPr>
      <w:r>
        <w:t xml:space="preserve">A passbook from Bank of India, with a last entry date of 30 March 2010 showing a balance of 61,9750.00 </w:t>
      </w:r>
      <w:proofErr w:type="spellStart"/>
      <w:r>
        <w:t>INR</w:t>
      </w:r>
      <w:proofErr w:type="spellEnd"/>
      <w:r>
        <w:t xml:space="preserve"> </w:t>
      </w:r>
    </w:p>
    <w:p w:rsidR="000276C4" w:rsidRDefault="000276C4" w:rsidP="000F4363">
      <w:pPr>
        <w:pStyle w:val="Quote1Bullet"/>
      </w:pPr>
      <w:r>
        <w:t xml:space="preserve">A bank statement dated 19 January 2013 showing a balance of 24,7973.29 </w:t>
      </w:r>
      <w:proofErr w:type="spellStart"/>
      <w:r>
        <w:t>INR</w:t>
      </w:r>
      <w:proofErr w:type="spellEnd"/>
      <w:r>
        <w:t xml:space="preserve"> </w:t>
      </w:r>
    </w:p>
    <w:p w:rsidR="000276C4" w:rsidRDefault="000276C4" w:rsidP="000F4363">
      <w:pPr>
        <w:pStyle w:val="Quote1Bullet"/>
      </w:pPr>
      <w:r>
        <w:t xml:space="preserve">Passbook of Mr </w:t>
      </w:r>
      <w:proofErr w:type="spellStart"/>
      <w:r>
        <w:t>Barevadiya’s</w:t>
      </w:r>
      <w:proofErr w:type="spellEnd"/>
      <w:r>
        <w:t xml:space="preserve"> spouse Ms </w:t>
      </w:r>
      <w:proofErr w:type="spellStart"/>
      <w:r>
        <w:t>Jignasaben</w:t>
      </w:r>
      <w:proofErr w:type="spellEnd"/>
      <w:r>
        <w:t xml:space="preserve"> </w:t>
      </w:r>
      <w:proofErr w:type="spellStart"/>
      <w:r>
        <w:t>Mineshkumar</w:t>
      </w:r>
      <w:proofErr w:type="spellEnd"/>
      <w:r>
        <w:t xml:space="preserve"> </w:t>
      </w:r>
      <w:proofErr w:type="spellStart"/>
      <w:r>
        <w:t>Barevadiya</w:t>
      </w:r>
      <w:proofErr w:type="spellEnd"/>
      <w:r>
        <w:t xml:space="preserve">, dated 2 December 2011 showing a balance of 69,099.00 </w:t>
      </w:r>
      <w:proofErr w:type="spellStart"/>
      <w:r>
        <w:t>INR</w:t>
      </w:r>
      <w:proofErr w:type="spellEnd"/>
      <w:r>
        <w:t xml:space="preserve"> </w:t>
      </w:r>
    </w:p>
    <w:p w:rsidR="0001569C" w:rsidRDefault="000276C4" w:rsidP="000276C4">
      <w:pPr>
        <w:pStyle w:val="Quote1Bullet"/>
      </w:pPr>
      <w:r>
        <w:t xml:space="preserve">A deposit receipt dated 26 December 2008 showing funds of 42,800.00 </w:t>
      </w:r>
      <w:proofErr w:type="spellStart"/>
      <w:r>
        <w:t>INR</w:t>
      </w:r>
      <w:proofErr w:type="spellEnd"/>
      <w:r>
        <w:t xml:space="preserve"> </w:t>
      </w:r>
    </w:p>
    <w:p w:rsidR="000276C4" w:rsidRDefault="000276C4" w:rsidP="000276C4">
      <w:pPr>
        <w:pStyle w:val="Quote1Bullet"/>
        <w:numPr>
          <w:ilvl w:val="0"/>
          <w:numId w:val="0"/>
        </w:numPr>
        <w:ind w:left="1440"/>
      </w:pPr>
    </w:p>
    <w:p w:rsidR="005B05D1" w:rsidRDefault="004D150C" w:rsidP="00040703">
      <w:pPr>
        <w:pStyle w:val="NoNum"/>
      </w:pPr>
      <w:r>
        <w:t xml:space="preserve">On 25 October 2013, the delegate determined that the documents provided were insufficient to satisfy the financial capacity requirements under the regulations, and refused the appellants’ visa applications.  </w:t>
      </w:r>
    </w:p>
    <w:p w:rsidR="00A84FFF" w:rsidRDefault="00A84FFF" w:rsidP="00E07972">
      <w:pPr>
        <w:pStyle w:val="ParaNumbering"/>
      </w:pPr>
      <w:r>
        <w:t>Although not explicitly set out in the delegate’s decision, it is clear that none of the documents provided</w:t>
      </w:r>
      <w:r w:rsidR="00792B31">
        <w:t xml:space="preserve"> to the delegate</w:t>
      </w:r>
      <w:r>
        <w:t xml:space="preserve"> related to the relevant period of time. </w:t>
      </w:r>
    </w:p>
    <w:p w:rsidR="004D150C" w:rsidRDefault="004D150C" w:rsidP="00197066">
      <w:pPr>
        <w:pStyle w:val="ParaNumbering"/>
      </w:pPr>
      <w:r>
        <w:t xml:space="preserve">On 14 November 2013, the appellants applied to the Tribunal for review of the delegate’s decision. </w:t>
      </w:r>
      <w:r w:rsidR="003076A2">
        <w:t xml:space="preserve">The </w:t>
      </w:r>
      <w:r w:rsidR="005F2FAF">
        <w:t xml:space="preserve">first </w:t>
      </w:r>
      <w:r w:rsidR="003076A2">
        <w:t xml:space="preserve">appellant provided a statement to the Tribunal on 29 January 2014 </w:t>
      </w:r>
      <w:r w:rsidR="003B5141">
        <w:t>in which he wrote</w:t>
      </w:r>
      <w:r w:rsidR="003076A2">
        <w:t>, “The reason my student visa was refused the case officer couldn’t understand the financial documents.”</w:t>
      </w:r>
    </w:p>
    <w:p w:rsidR="008774B5" w:rsidRDefault="004C69A5" w:rsidP="004C69A5">
      <w:pPr>
        <w:pStyle w:val="ParaNumbering"/>
      </w:pPr>
      <w:r>
        <w:lastRenderedPageBreak/>
        <w:t xml:space="preserve">It is not in contention that the amount </w:t>
      </w:r>
      <w:r w:rsidRPr="007B410C">
        <w:t xml:space="preserve">required </w:t>
      </w:r>
      <w:r w:rsidR="0014010C">
        <w:t xml:space="preserve">under the regulations </w:t>
      </w:r>
      <w:r w:rsidRPr="007B410C">
        <w:t xml:space="preserve">was </w:t>
      </w:r>
      <w:proofErr w:type="spellStart"/>
      <w:r w:rsidRPr="007B410C">
        <w:t>A</w:t>
      </w:r>
      <w:r w:rsidR="005D5FDD" w:rsidRPr="007B410C">
        <w:t>UD</w:t>
      </w:r>
      <w:proofErr w:type="spellEnd"/>
      <w:r w:rsidR="005D5FDD" w:rsidRPr="007B410C">
        <w:t xml:space="preserve"> </w:t>
      </w:r>
      <w:r w:rsidRPr="007B410C">
        <w:t>31,265.  The appellants</w:t>
      </w:r>
      <w:r>
        <w:t xml:space="preserve"> relied on </w:t>
      </w:r>
      <w:r w:rsidR="00C66485">
        <w:t xml:space="preserve">a number of </w:t>
      </w:r>
      <w:r>
        <w:t xml:space="preserve">sources </w:t>
      </w:r>
      <w:r w:rsidR="008C3A1D">
        <w:t xml:space="preserve">for evidence of </w:t>
      </w:r>
      <w:r>
        <w:t>this amount</w:t>
      </w:r>
      <w:r w:rsidR="00C66485">
        <w:t xml:space="preserve"> and provided a financial matrix to the </w:t>
      </w:r>
      <w:r>
        <w:t xml:space="preserve">Tribunal </w:t>
      </w:r>
      <w:r w:rsidR="008C3A1D">
        <w:t xml:space="preserve">which set out </w:t>
      </w:r>
      <w:r w:rsidR="0014010C">
        <w:t xml:space="preserve">the sources on which they relied </w:t>
      </w:r>
      <w:r>
        <w:t>as follows</w:t>
      </w:r>
      <w:r w:rsidR="008774B5">
        <w:t>:</w:t>
      </w:r>
      <w:r>
        <w:t xml:space="preserve"> </w:t>
      </w:r>
    </w:p>
    <w:tbl>
      <w:tblPr>
        <w:tblStyle w:val="TableGrid"/>
        <w:tblW w:w="0" w:type="auto"/>
        <w:tblLayout w:type="fixed"/>
        <w:tblLook w:val="04A0" w:firstRow="1" w:lastRow="0" w:firstColumn="1" w:lastColumn="0" w:noHBand="0" w:noVBand="1"/>
      </w:tblPr>
      <w:tblGrid>
        <w:gridCol w:w="654"/>
        <w:gridCol w:w="1531"/>
        <w:gridCol w:w="1042"/>
        <w:gridCol w:w="1701"/>
        <w:gridCol w:w="1511"/>
        <w:gridCol w:w="1182"/>
        <w:gridCol w:w="1622"/>
      </w:tblGrid>
      <w:tr w:rsidR="00ED75C8" w:rsidTr="00BD7924">
        <w:tc>
          <w:tcPr>
            <w:tcW w:w="654" w:type="dxa"/>
          </w:tcPr>
          <w:p w:rsidR="0095660C" w:rsidRPr="0095660C" w:rsidRDefault="0095660C" w:rsidP="008774B5">
            <w:pPr>
              <w:pStyle w:val="ParaNumbering"/>
              <w:numPr>
                <w:ilvl w:val="0"/>
                <w:numId w:val="0"/>
              </w:numPr>
              <w:rPr>
                <w:b/>
                <w:sz w:val="18"/>
              </w:rPr>
            </w:pPr>
            <w:r w:rsidRPr="0095660C">
              <w:rPr>
                <w:b/>
                <w:sz w:val="18"/>
              </w:rPr>
              <w:t>S No.</w:t>
            </w:r>
          </w:p>
        </w:tc>
        <w:tc>
          <w:tcPr>
            <w:tcW w:w="1531" w:type="dxa"/>
          </w:tcPr>
          <w:p w:rsidR="0095660C" w:rsidRPr="0095660C" w:rsidRDefault="00414819" w:rsidP="008774B5">
            <w:pPr>
              <w:pStyle w:val="ParaNumbering"/>
              <w:numPr>
                <w:ilvl w:val="0"/>
                <w:numId w:val="0"/>
              </w:numPr>
              <w:rPr>
                <w:b/>
                <w:sz w:val="18"/>
              </w:rPr>
            </w:pPr>
            <w:r>
              <w:rPr>
                <w:b/>
                <w:sz w:val="18"/>
              </w:rPr>
              <w:t>DOCUMENT</w:t>
            </w:r>
          </w:p>
        </w:tc>
        <w:tc>
          <w:tcPr>
            <w:tcW w:w="1042" w:type="dxa"/>
          </w:tcPr>
          <w:p w:rsidR="0095660C" w:rsidRPr="0095660C" w:rsidRDefault="0095660C" w:rsidP="008774B5">
            <w:pPr>
              <w:pStyle w:val="ParaNumbering"/>
              <w:numPr>
                <w:ilvl w:val="0"/>
                <w:numId w:val="0"/>
              </w:numPr>
              <w:rPr>
                <w:b/>
                <w:sz w:val="18"/>
              </w:rPr>
            </w:pPr>
            <w:proofErr w:type="spellStart"/>
            <w:r w:rsidRPr="0095660C">
              <w:rPr>
                <w:b/>
                <w:sz w:val="18"/>
              </w:rPr>
              <w:t>ACC</w:t>
            </w:r>
            <w:proofErr w:type="spellEnd"/>
            <w:r w:rsidRPr="0095660C">
              <w:rPr>
                <w:b/>
                <w:sz w:val="18"/>
              </w:rPr>
              <w:t xml:space="preserve"> NO </w:t>
            </w:r>
          </w:p>
        </w:tc>
        <w:tc>
          <w:tcPr>
            <w:tcW w:w="1701" w:type="dxa"/>
          </w:tcPr>
          <w:p w:rsidR="0095660C" w:rsidRPr="0095660C" w:rsidRDefault="0095660C" w:rsidP="004533CB">
            <w:pPr>
              <w:pStyle w:val="ParaNumbering"/>
              <w:numPr>
                <w:ilvl w:val="0"/>
                <w:numId w:val="0"/>
              </w:numPr>
              <w:jc w:val="left"/>
              <w:rPr>
                <w:b/>
                <w:sz w:val="18"/>
              </w:rPr>
            </w:pPr>
            <w:r w:rsidRPr="0095660C">
              <w:rPr>
                <w:b/>
                <w:sz w:val="18"/>
              </w:rPr>
              <w:t>NAME OF INSTITUTION</w:t>
            </w:r>
          </w:p>
        </w:tc>
        <w:tc>
          <w:tcPr>
            <w:tcW w:w="1511" w:type="dxa"/>
          </w:tcPr>
          <w:p w:rsidR="0095660C" w:rsidRPr="0095660C" w:rsidRDefault="0095660C" w:rsidP="008774B5">
            <w:pPr>
              <w:pStyle w:val="ParaNumbering"/>
              <w:numPr>
                <w:ilvl w:val="0"/>
                <w:numId w:val="0"/>
              </w:numPr>
              <w:rPr>
                <w:b/>
                <w:sz w:val="18"/>
              </w:rPr>
            </w:pPr>
            <w:r w:rsidRPr="0095660C">
              <w:rPr>
                <w:b/>
                <w:sz w:val="18"/>
              </w:rPr>
              <w:t xml:space="preserve">NAME OF THE SPONSOR </w:t>
            </w:r>
          </w:p>
        </w:tc>
        <w:tc>
          <w:tcPr>
            <w:tcW w:w="1182" w:type="dxa"/>
          </w:tcPr>
          <w:p w:rsidR="0095660C" w:rsidRPr="0095660C" w:rsidRDefault="0095660C" w:rsidP="008774B5">
            <w:pPr>
              <w:pStyle w:val="ParaNumbering"/>
              <w:numPr>
                <w:ilvl w:val="0"/>
                <w:numId w:val="0"/>
              </w:numPr>
              <w:rPr>
                <w:b/>
                <w:sz w:val="18"/>
              </w:rPr>
            </w:pPr>
            <w:r w:rsidRPr="0095660C">
              <w:rPr>
                <w:b/>
                <w:sz w:val="18"/>
              </w:rPr>
              <w:t xml:space="preserve">RELATION </w:t>
            </w:r>
          </w:p>
        </w:tc>
        <w:tc>
          <w:tcPr>
            <w:tcW w:w="1622" w:type="dxa"/>
          </w:tcPr>
          <w:p w:rsidR="0095660C" w:rsidRPr="0095660C" w:rsidRDefault="0095660C" w:rsidP="008774B5">
            <w:pPr>
              <w:pStyle w:val="ParaNumbering"/>
              <w:numPr>
                <w:ilvl w:val="0"/>
                <w:numId w:val="0"/>
              </w:numPr>
              <w:rPr>
                <w:b/>
                <w:sz w:val="18"/>
              </w:rPr>
            </w:pPr>
            <w:proofErr w:type="spellStart"/>
            <w:r w:rsidRPr="0095660C">
              <w:rPr>
                <w:b/>
                <w:sz w:val="18"/>
              </w:rPr>
              <w:t>AUD</w:t>
            </w:r>
            <w:proofErr w:type="spellEnd"/>
            <w:r w:rsidRPr="0095660C">
              <w:rPr>
                <w:b/>
                <w:sz w:val="18"/>
              </w:rPr>
              <w:t>$</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1</w:t>
            </w:r>
          </w:p>
        </w:tc>
        <w:tc>
          <w:tcPr>
            <w:tcW w:w="1531" w:type="dxa"/>
          </w:tcPr>
          <w:p w:rsidR="0095660C" w:rsidRPr="0099320E" w:rsidRDefault="00414819" w:rsidP="008774B5">
            <w:pPr>
              <w:pStyle w:val="ParaNumbering"/>
              <w:numPr>
                <w:ilvl w:val="0"/>
                <w:numId w:val="0"/>
              </w:numPr>
              <w:rPr>
                <w:sz w:val="18"/>
              </w:rPr>
            </w:pPr>
            <w:r w:rsidRPr="0099320E">
              <w:rPr>
                <w:sz w:val="18"/>
              </w:rPr>
              <w:t>FIXED DEPOSIT</w:t>
            </w:r>
          </w:p>
        </w:tc>
        <w:tc>
          <w:tcPr>
            <w:tcW w:w="1042" w:type="dxa"/>
          </w:tcPr>
          <w:p w:rsidR="0095660C" w:rsidRPr="0099320E" w:rsidRDefault="004533CB" w:rsidP="008774B5">
            <w:pPr>
              <w:pStyle w:val="ParaNumbering"/>
              <w:numPr>
                <w:ilvl w:val="0"/>
                <w:numId w:val="0"/>
              </w:numPr>
              <w:rPr>
                <w:sz w:val="18"/>
              </w:rPr>
            </w:pPr>
            <w:r w:rsidRPr="0099320E">
              <w:rPr>
                <w:sz w:val="18"/>
              </w:rPr>
              <w:t>**9539</w:t>
            </w:r>
          </w:p>
        </w:tc>
        <w:tc>
          <w:tcPr>
            <w:tcW w:w="1701" w:type="dxa"/>
          </w:tcPr>
          <w:p w:rsidR="0095660C" w:rsidRPr="0099320E" w:rsidRDefault="004533CB" w:rsidP="004533CB">
            <w:pPr>
              <w:pStyle w:val="ParaNumbering"/>
              <w:numPr>
                <w:ilvl w:val="0"/>
                <w:numId w:val="0"/>
              </w:numPr>
              <w:jc w:val="left"/>
              <w:rPr>
                <w:sz w:val="18"/>
              </w:rPr>
            </w:pPr>
            <w:r w:rsidRPr="0099320E">
              <w:rPr>
                <w:sz w:val="18"/>
              </w:rPr>
              <w:t>BANK OF MAHARASHTRA</w:t>
            </w:r>
          </w:p>
        </w:tc>
        <w:tc>
          <w:tcPr>
            <w:tcW w:w="1511" w:type="dxa"/>
          </w:tcPr>
          <w:p w:rsidR="0095660C" w:rsidRPr="0099320E" w:rsidRDefault="00E361B8" w:rsidP="008774B5">
            <w:pPr>
              <w:pStyle w:val="ParaNumbering"/>
              <w:numPr>
                <w:ilvl w:val="0"/>
                <w:numId w:val="0"/>
              </w:numPr>
              <w:rPr>
                <w:sz w:val="18"/>
              </w:rPr>
            </w:pPr>
            <w:proofErr w:type="spellStart"/>
            <w:r w:rsidRPr="0099320E">
              <w:rPr>
                <w:sz w:val="18"/>
              </w:rPr>
              <w:t>PRAVINBHAI</w:t>
            </w:r>
            <w:proofErr w:type="spellEnd"/>
            <w:r w:rsidRPr="0099320E">
              <w:rPr>
                <w:sz w:val="18"/>
              </w:rPr>
              <w:t xml:space="preserve"> J </w:t>
            </w:r>
            <w:proofErr w:type="spellStart"/>
            <w:r w:rsidRPr="0099320E">
              <w:rPr>
                <w:sz w:val="18"/>
              </w:rPr>
              <w:t>BAREVADIYA</w:t>
            </w:r>
            <w:proofErr w:type="spellEnd"/>
          </w:p>
        </w:tc>
        <w:tc>
          <w:tcPr>
            <w:tcW w:w="1182" w:type="dxa"/>
          </w:tcPr>
          <w:p w:rsidR="0095660C" w:rsidRPr="0099320E" w:rsidRDefault="00D804BD" w:rsidP="008774B5">
            <w:pPr>
              <w:pStyle w:val="ParaNumbering"/>
              <w:numPr>
                <w:ilvl w:val="0"/>
                <w:numId w:val="0"/>
              </w:numPr>
              <w:rPr>
                <w:sz w:val="18"/>
              </w:rPr>
            </w:pPr>
            <w:r w:rsidRPr="0099320E">
              <w:rPr>
                <w:sz w:val="18"/>
              </w:rPr>
              <w:t xml:space="preserve">FATHER </w:t>
            </w:r>
          </w:p>
        </w:tc>
        <w:tc>
          <w:tcPr>
            <w:tcW w:w="1622" w:type="dxa"/>
          </w:tcPr>
          <w:p w:rsidR="0095660C" w:rsidRPr="0099320E" w:rsidRDefault="00BD7924" w:rsidP="008774B5">
            <w:pPr>
              <w:pStyle w:val="ParaNumbering"/>
              <w:numPr>
                <w:ilvl w:val="0"/>
                <w:numId w:val="0"/>
              </w:numPr>
              <w:rPr>
                <w:sz w:val="18"/>
              </w:rPr>
            </w:pPr>
            <w:r w:rsidRPr="0099320E">
              <w:rPr>
                <w:sz w:val="18"/>
              </w:rPr>
              <w:t>1</w:t>
            </w:r>
            <w:r w:rsidR="00C148A7" w:rsidRPr="0099320E">
              <w:rPr>
                <w:sz w:val="18"/>
              </w:rPr>
              <w:t>,88,572</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2</w:t>
            </w:r>
          </w:p>
        </w:tc>
        <w:tc>
          <w:tcPr>
            <w:tcW w:w="1531" w:type="dxa"/>
          </w:tcPr>
          <w:p w:rsidR="0095660C" w:rsidRPr="0099320E" w:rsidRDefault="00414819" w:rsidP="008774B5">
            <w:pPr>
              <w:pStyle w:val="ParaNumbering"/>
              <w:numPr>
                <w:ilvl w:val="0"/>
                <w:numId w:val="0"/>
              </w:numPr>
              <w:rPr>
                <w:sz w:val="18"/>
              </w:rPr>
            </w:pPr>
            <w:r w:rsidRPr="0099320E">
              <w:rPr>
                <w:sz w:val="18"/>
              </w:rPr>
              <w:t>FIXED DEPOSIT</w:t>
            </w:r>
          </w:p>
        </w:tc>
        <w:tc>
          <w:tcPr>
            <w:tcW w:w="1042" w:type="dxa"/>
          </w:tcPr>
          <w:p w:rsidR="0095660C" w:rsidRPr="0099320E" w:rsidRDefault="004533CB" w:rsidP="008774B5">
            <w:pPr>
              <w:pStyle w:val="ParaNumbering"/>
              <w:numPr>
                <w:ilvl w:val="0"/>
                <w:numId w:val="0"/>
              </w:numPr>
              <w:rPr>
                <w:sz w:val="18"/>
              </w:rPr>
            </w:pPr>
            <w:r w:rsidRPr="0099320E">
              <w:rPr>
                <w:sz w:val="18"/>
              </w:rPr>
              <w:t>**9710</w:t>
            </w:r>
          </w:p>
        </w:tc>
        <w:tc>
          <w:tcPr>
            <w:tcW w:w="1701" w:type="dxa"/>
          </w:tcPr>
          <w:p w:rsidR="0095660C" w:rsidRPr="0099320E" w:rsidRDefault="004533CB" w:rsidP="004533CB">
            <w:pPr>
              <w:pStyle w:val="ParaNumbering"/>
              <w:numPr>
                <w:ilvl w:val="0"/>
                <w:numId w:val="0"/>
              </w:numPr>
              <w:jc w:val="left"/>
              <w:rPr>
                <w:sz w:val="18"/>
              </w:rPr>
            </w:pPr>
            <w:r w:rsidRPr="0099320E">
              <w:rPr>
                <w:sz w:val="18"/>
              </w:rPr>
              <w:t>BANK OF MAHARASHTRA</w:t>
            </w:r>
          </w:p>
        </w:tc>
        <w:tc>
          <w:tcPr>
            <w:tcW w:w="1511" w:type="dxa"/>
          </w:tcPr>
          <w:p w:rsidR="0095660C" w:rsidRPr="0099320E" w:rsidRDefault="00E361B8" w:rsidP="008774B5">
            <w:pPr>
              <w:pStyle w:val="ParaNumbering"/>
              <w:numPr>
                <w:ilvl w:val="0"/>
                <w:numId w:val="0"/>
              </w:numPr>
              <w:rPr>
                <w:sz w:val="18"/>
              </w:rPr>
            </w:pPr>
            <w:proofErr w:type="spellStart"/>
            <w:r w:rsidRPr="0099320E">
              <w:rPr>
                <w:sz w:val="18"/>
              </w:rPr>
              <w:t>PRAVINBHAI</w:t>
            </w:r>
            <w:proofErr w:type="spellEnd"/>
            <w:r w:rsidRPr="0099320E">
              <w:rPr>
                <w:sz w:val="18"/>
              </w:rPr>
              <w:t xml:space="preserve"> J </w:t>
            </w:r>
            <w:proofErr w:type="spellStart"/>
            <w:r w:rsidRPr="0099320E">
              <w:rPr>
                <w:sz w:val="18"/>
              </w:rPr>
              <w:t>BAREVADIYA</w:t>
            </w:r>
            <w:proofErr w:type="spellEnd"/>
          </w:p>
        </w:tc>
        <w:tc>
          <w:tcPr>
            <w:tcW w:w="1182" w:type="dxa"/>
          </w:tcPr>
          <w:p w:rsidR="0095660C" w:rsidRPr="0099320E" w:rsidRDefault="00D804BD" w:rsidP="008774B5">
            <w:pPr>
              <w:pStyle w:val="ParaNumbering"/>
              <w:numPr>
                <w:ilvl w:val="0"/>
                <w:numId w:val="0"/>
              </w:numPr>
              <w:rPr>
                <w:sz w:val="18"/>
              </w:rPr>
            </w:pPr>
            <w:r w:rsidRPr="0099320E">
              <w:rPr>
                <w:sz w:val="18"/>
              </w:rPr>
              <w:t>FATHER</w:t>
            </w:r>
          </w:p>
        </w:tc>
        <w:tc>
          <w:tcPr>
            <w:tcW w:w="1622" w:type="dxa"/>
          </w:tcPr>
          <w:p w:rsidR="0095660C" w:rsidRPr="0099320E" w:rsidRDefault="00C148A7" w:rsidP="008774B5">
            <w:pPr>
              <w:pStyle w:val="ParaNumbering"/>
              <w:numPr>
                <w:ilvl w:val="0"/>
                <w:numId w:val="0"/>
              </w:numPr>
              <w:rPr>
                <w:sz w:val="18"/>
              </w:rPr>
            </w:pPr>
            <w:r w:rsidRPr="0099320E">
              <w:rPr>
                <w:sz w:val="18"/>
              </w:rPr>
              <w:t>1,88,848</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3</w:t>
            </w:r>
          </w:p>
        </w:tc>
        <w:tc>
          <w:tcPr>
            <w:tcW w:w="1531" w:type="dxa"/>
          </w:tcPr>
          <w:p w:rsidR="0095660C" w:rsidRPr="0099320E" w:rsidRDefault="00414819" w:rsidP="008774B5">
            <w:pPr>
              <w:pStyle w:val="ParaNumbering"/>
              <w:numPr>
                <w:ilvl w:val="0"/>
                <w:numId w:val="0"/>
              </w:numPr>
              <w:rPr>
                <w:sz w:val="18"/>
              </w:rPr>
            </w:pPr>
            <w:r w:rsidRPr="0099320E">
              <w:rPr>
                <w:sz w:val="18"/>
              </w:rPr>
              <w:t xml:space="preserve">FIXED DEPOSIT </w:t>
            </w:r>
          </w:p>
        </w:tc>
        <w:tc>
          <w:tcPr>
            <w:tcW w:w="1042" w:type="dxa"/>
          </w:tcPr>
          <w:p w:rsidR="0095660C" w:rsidRPr="0099320E" w:rsidRDefault="004533CB" w:rsidP="008774B5">
            <w:pPr>
              <w:pStyle w:val="ParaNumbering"/>
              <w:numPr>
                <w:ilvl w:val="0"/>
                <w:numId w:val="0"/>
              </w:numPr>
              <w:rPr>
                <w:sz w:val="18"/>
              </w:rPr>
            </w:pPr>
            <w:r w:rsidRPr="0099320E">
              <w:rPr>
                <w:sz w:val="18"/>
              </w:rPr>
              <w:t>**3724</w:t>
            </w:r>
          </w:p>
        </w:tc>
        <w:tc>
          <w:tcPr>
            <w:tcW w:w="1701" w:type="dxa"/>
          </w:tcPr>
          <w:p w:rsidR="0095660C" w:rsidRPr="0099320E" w:rsidRDefault="004533CB" w:rsidP="004533CB">
            <w:pPr>
              <w:pStyle w:val="ParaNumbering"/>
              <w:numPr>
                <w:ilvl w:val="0"/>
                <w:numId w:val="0"/>
              </w:numPr>
              <w:jc w:val="left"/>
              <w:rPr>
                <w:sz w:val="18"/>
              </w:rPr>
            </w:pPr>
            <w:r w:rsidRPr="0099320E">
              <w:rPr>
                <w:sz w:val="18"/>
              </w:rPr>
              <w:t>BANK OF MAHARASHTRA</w:t>
            </w:r>
          </w:p>
        </w:tc>
        <w:tc>
          <w:tcPr>
            <w:tcW w:w="1511" w:type="dxa"/>
          </w:tcPr>
          <w:p w:rsidR="0095660C" w:rsidRPr="0099320E" w:rsidRDefault="00E361B8" w:rsidP="008774B5">
            <w:pPr>
              <w:pStyle w:val="ParaNumbering"/>
              <w:numPr>
                <w:ilvl w:val="0"/>
                <w:numId w:val="0"/>
              </w:numPr>
              <w:rPr>
                <w:sz w:val="18"/>
              </w:rPr>
            </w:pPr>
            <w:proofErr w:type="spellStart"/>
            <w:r w:rsidRPr="0099320E">
              <w:rPr>
                <w:sz w:val="18"/>
              </w:rPr>
              <w:t>JADVJIBHAI</w:t>
            </w:r>
            <w:proofErr w:type="spellEnd"/>
            <w:r w:rsidRPr="0099320E">
              <w:rPr>
                <w:sz w:val="18"/>
              </w:rPr>
              <w:t xml:space="preserve"> T </w:t>
            </w:r>
            <w:proofErr w:type="spellStart"/>
            <w:r w:rsidRPr="0099320E">
              <w:rPr>
                <w:sz w:val="18"/>
              </w:rPr>
              <w:t>BAREVADIYA</w:t>
            </w:r>
            <w:proofErr w:type="spellEnd"/>
            <w:r w:rsidRPr="0099320E">
              <w:rPr>
                <w:sz w:val="18"/>
              </w:rPr>
              <w:t xml:space="preserve"> </w:t>
            </w:r>
          </w:p>
        </w:tc>
        <w:tc>
          <w:tcPr>
            <w:tcW w:w="1182" w:type="dxa"/>
          </w:tcPr>
          <w:p w:rsidR="0095660C" w:rsidRPr="0099320E" w:rsidRDefault="00D804BD" w:rsidP="008774B5">
            <w:pPr>
              <w:pStyle w:val="ParaNumbering"/>
              <w:numPr>
                <w:ilvl w:val="0"/>
                <w:numId w:val="0"/>
              </w:numPr>
              <w:rPr>
                <w:sz w:val="18"/>
              </w:rPr>
            </w:pPr>
            <w:r w:rsidRPr="0099320E">
              <w:rPr>
                <w:sz w:val="18"/>
              </w:rPr>
              <w:t>GRAND</w:t>
            </w:r>
            <w:r w:rsidR="00BD7924" w:rsidRPr="0099320E">
              <w:rPr>
                <w:sz w:val="18"/>
              </w:rPr>
              <w:t xml:space="preserve">- </w:t>
            </w:r>
            <w:r w:rsidRPr="0099320E">
              <w:rPr>
                <w:sz w:val="18"/>
              </w:rPr>
              <w:t>FATHER</w:t>
            </w:r>
          </w:p>
        </w:tc>
        <w:tc>
          <w:tcPr>
            <w:tcW w:w="1622" w:type="dxa"/>
          </w:tcPr>
          <w:p w:rsidR="0095660C" w:rsidRPr="0099320E" w:rsidRDefault="00C148A7" w:rsidP="008774B5">
            <w:pPr>
              <w:pStyle w:val="ParaNumbering"/>
              <w:numPr>
                <w:ilvl w:val="0"/>
                <w:numId w:val="0"/>
              </w:numPr>
              <w:rPr>
                <w:sz w:val="18"/>
              </w:rPr>
            </w:pPr>
            <w:r w:rsidRPr="0099320E">
              <w:rPr>
                <w:sz w:val="18"/>
              </w:rPr>
              <w:t xml:space="preserve">3,89,519 </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4</w:t>
            </w:r>
          </w:p>
        </w:tc>
        <w:tc>
          <w:tcPr>
            <w:tcW w:w="1531" w:type="dxa"/>
          </w:tcPr>
          <w:p w:rsidR="0095660C" w:rsidRPr="0099320E" w:rsidRDefault="00414819" w:rsidP="008774B5">
            <w:pPr>
              <w:pStyle w:val="ParaNumbering"/>
              <w:numPr>
                <w:ilvl w:val="0"/>
                <w:numId w:val="0"/>
              </w:numPr>
              <w:rPr>
                <w:sz w:val="18"/>
              </w:rPr>
            </w:pPr>
            <w:r w:rsidRPr="0099320E">
              <w:rPr>
                <w:sz w:val="18"/>
              </w:rPr>
              <w:t>FIXED DEPOSIT</w:t>
            </w:r>
          </w:p>
        </w:tc>
        <w:tc>
          <w:tcPr>
            <w:tcW w:w="1042" w:type="dxa"/>
          </w:tcPr>
          <w:p w:rsidR="0095660C" w:rsidRPr="0099320E" w:rsidRDefault="004533CB" w:rsidP="008774B5">
            <w:pPr>
              <w:pStyle w:val="ParaNumbering"/>
              <w:numPr>
                <w:ilvl w:val="0"/>
                <w:numId w:val="0"/>
              </w:numPr>
              <w:rPr>
                <w:sz w:val="18"/>
              </w:rPr>
            </w:pPr>
            <w:r w:rsidRPr="0099320E">
              <w:rPr>
                <w:sz w:val="18"/>
              </w:rPr>
              <w:t>**3791</w:t>
            </w:r>
          </w:p>
        </w:tc>
        <w:tc>
          <w:tcPr>
            <w:tcW w:w="1701" w:type="dxa"/>
          </w:tcPr>
          <w:p w:rsidR="0095660C" w:rsidRPr="0099320E" w:rsidRDefault="004533CB" w:rsidP="004533CB">
            <w:pPr>
              <w:pStyle w:val="ParaNumbering"/>
              <w:numPr>
                <w:ilvl w:val="0"/>
                <w:numId w:val="0"/>
              </w:numPr>
              <w:jc w:val="left"/>
              <w:rPr>
                <w:sz w:val="18"/>
              </w:rPr>
            </w:pPr>
            <w:r w:rsidRPr="0099320E">
              <w:rPr>
                <w:sz w:val="18"/>
              </w:rPr>
              <w:t>BANK OF MAHARASHTRA</w:t>
            </w:r>
          </w:p>
        </w:tc>
        <w:tc>
          <w:tcPr>
            <w:tcW w:w="1511" w:type="dxa"/>
          </w:tcPr>
          <w:p w:rsidR="0095660C" w:rsidRPr="0099320E" w:rsidRDefault="00E361B8" w:rsidP="008774B5">
            <w:pPr>
              <w:pStyle w:val="ParaNumbering"/>
              <w:numPr>
                <w:ilvl w:val="0"/>
                <w:numId w:val="0"/>
              </w:numPr>
              <w:rPr>
                <w:sz w:val="18"/>
              </w:rPr>
            </w:pPr>
            <w:proofErr w:type="spellStart"/>
            <w:r w:rsidRPr="0099320E">
              <w:rPr>
                <w:sz w:val="18"/>
              </w:rPr>
              <w:t>JADVJIBHAI</w:t>
            </w:r>
            <w:proofErr w:type="spellEnd"/>
            <w:r w:rsidRPr="0099320E">
              <w:rPr>
                <w:sz w:val="18"/>
              </w:rPr>
              <w:t xml:space="preserve"> T </w:t>
            </w:r>
            <w:proofErr w:type="spellStart"/>
            <w:r w:rsidRPr="0099320E">
              <w:rPr>
                <w:sz w:val="18"/>
              </w:rPr>
              <w:t>BAREVADIYA</w:t>
            </w:r>
            <w:proofErr w:type="spellEnd"/>
          </w:p>
        </w:tc>
        <w:tc>
          <w:tcPr>
            <w:tcW w:w="1182" w:type="dxa"/>
          </w:tcPr>
          <w:p w:rsidR="0095660C" w:rsidRPr="0099320E" w:rsidRDefault="00D804BD" w:rsidP="008774B5">
            <w:pPr>
              <w:pStyle w:val="ParaNumbering"/>
              <w:numPr>
                <w:ilvl w:val="0"/>
                <w:numId w:val="0"/>
              </w:numPr>
              <w:rPr>
                <w:sz w:val="18"/>
              </w:rPr>
            </w:pPr>
            <w:r w:rsidRPr="0099320E">
              <w:rPr>
                <w:sz w:val="18"/>
              </w:rPr>
              <w:t>GRAND</w:t>
            </w:r>
            <w:r w:rsidR="00BD7924" w:rsidRPr="0099320E">
              <w:rPr>
                <w:sz w:val="18"/>
              </w:rPr>
              <w:t xml:space="preserve">- </w:t>
            </w:r>
            <w:r w:rsidRPr="0099320E">
              <w:rPr>
                <w:sz w:val="18"/>
              </w:rPr>
              <w:t>FATHER</w:t>
            </w:r>
          </w:p>
        </w:tc>
        <w:tc>
          <w:tcPr>
            <w:tcW w:w="1622" w:type="dxa"/>
          </w:tcPr>
          <w:p w:rsidR="0095660C" w:rsidRPr="0099320E" w:rsidRDefault="00C148A7" w:rsidP="008774B5">
            <w:pPr>
              <w:pStyle w:val="ParaNumbering"/>
              <w:numPr>
                <w:ilvl w:val="0"/>
                <w:numId w:val="0"/>
              </w:numPr>
              <w:rPr>
                <w:sz w:val="18"/>
              </w:rPr>
            </w:pPr>
            <w:r w:rsidRPr="0099320E">
              <w:rPr>
                <w:sz w:val="18"/>
              </w:rPr>
              <w:t>5,85,852</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5</w:t>
            </w:r>
          </w:p>
        </w:tc>
        <w:tc>
          <w:tcPr>
            <w:tcW w:w="1531" w:type="dxa"/>
          </w:tcPr>
          <w:p w:rsidR="0095660C" w:rsidRPr="00A347BA" w:rsidRDefault="00414819" w:rsidP="008774B5">
            <w:pPr>
              <w:pStyle w:val="ParaNumbering"/>
              <w:numPr>
                <w:ilvl w:val="0"/>
                <w:numId w:val="0"/>
              </w:numPr>
              <w:rPr>
                <w:sz w:val="18"/>
              </w:rPr>
            </w:pPr>
            <w:r w:rsidRPr="003C3297">
              <w:rPr>
                <w:sz w:val="18"/>
              </w:rPr>
              <w:t xml:space="preserve">PROVIDENT FUND </w:t>
            </w:r>
          </w:p>
        </w:tc>
        <w:tc>
          <w:tcPr>
            <w:tcW w:w="1042" w:type="dxa"/>
          </w:tcPr>
          <w:p w:rsidR="0095660C" w:rsidRPr="00A347BA" w:rsidRDefault="0095660C" w:rsidP="008774B5">
            <w:pPr>
              <w:pStyle w:val="ParaNumbering"/>
              <w:numPr>
                <w:ilvl w:val="0"/>
                <w:numId w:val="0"/>
              </w:numPr>
              <w:rPr>
                <w:sz w:val="18"/>
              </w:rPr>
            </w:pPr>
          </w:p>
        </w:tc>
        <w:tc>
          <w:tcPr>
            <w:tcW w:w="1701" w:type="dxa"/>
          </w:tcPr>
          <w:p w:rsidR="0095660C" w:rsidRPr="00A347BA" w:rsidRDefault="0095660C" w:rsidP="004533CB">
            <w:pPr>
              <w:pStyle w:val="ParaNumbering"/>
              <w:numPr>
                <w:ilvl w:val="0"/>
                <w:numId w:val="0"/>
              </w:numPr>
              <w:jc w:val="left"/>
              <w:rPr>
                <w:sz w:val="18"/>
              </w:rPr>
            </w:pPr>
          </w:p>
        </w:tc>
        <w:tc>
          <w:tcPr>
            <w:tcW w:w="1511" w:type="dxa"/>
          </w:tcPr>
          <w:p w:rsidR="0095660C" w:rsidRPr="00A347BA" w:rsidRDefault="00E361B8" w:rsidP="008774B5">
            <w:pPr>
              <w:pStyle w:val="ParaNumbering"/>
              <w:numPr>
                <w:ilvl w:val="0"/>
                <w:numId w:val="0"/>
              </w:numPr>
              <w:rPr>
                <w:sz w:val="18"/>
              </w:rPr>
            </w:pPr>
            <w:proofErr w:type="spellStart"/>
            <w:r w:rsidRPr="00A347BA">
              <w:rPr>
                <w:sz w:val="18"/>
              </w:rPr>
              <w:t>PRAVINBHAI</w:t>
            </w:r>
            <w:proofErr w:type="spellEnd"/>
            <w:r w:rsidRPr="00A347BA">
              <w:rPr>
                <w:sz w:val="18"/>
              </w:rPr>
              <w:t xml:space="preserve"> J </w:t>
            </w:r>
            <w:proofErr w:type="spellStart"/>
            <w:r w:rsidRPr="00A347BA">
              <w:rPr>
                <w:sz w:val="18"/>
              </w:rPr>
              <w:t>BAREVADIYA</w:t>
            </w:r>
            <w:proofErr w:type="spellEnd"/>
          </w:p>
        </w:tc>
        <w:tc>
          <w:tcPr>
            <w:tcW w:w="1182" w:type="dxa"/>
          </w:tcPr>
          <w:p w:rsidR="0095660C" w:rsidRPr="00A347BA" w:rsidRDefault="00D804BD" w:rsidP="008774B5">
            <w:pPr>
              <w:pStyle w:val="ParaNumbering"/>
              <w:numPr>
                <w:ilvl w:val="0"/>
                <w:numId w:val="0"/>
              </w:numPr>
              <w:rPr>
                <w:sz w:val="18"/>
              </w:rPr>
            </w:pPr>
            <w:r w:rsidRPr="00A347BA">
              <w:rPr>
                <w:sz w:val="18"/>
              </w:rPr>
              <w:t>FATHER</w:t>
            </w:r>
          </w:p>
        </w:tc>
        <w:tc>
          <w:tcPr>
            <w:tcW w:w="1622" w:type="dxa"/>
          </w:tcPr>
          <w:p w:rsidR="0095660C" w:rsidRPr="00A347BA" w:rsidRDefault="00C148A7" w:rsidP="008774B5">
            <w:pPr>
              <w:pStyle w:val="ParaNumbering"/>
              <w:numPr>
                <w:ilvl w:val="0"/>
                <w:numId w:val="0"/>
              </w:numPr>
              <w:rPr>
                <w:sz w:val="18"/>
              </w:rPr>
            </w:pPr>
            <w:r w:rsidRPr="00A347BA">
              <w:rPr>
                <w:sz w:val="18"/>
              </w:rPr>
              <w:t>7,85,535</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6</w:t>
            </w:r>
          </w:p>
        </w:tc>
        <w:tc>
          <w:tcPr>
            <w:tcW w:w="1531" w:type="dxa"/>
          </w:tcPr>
          <w:p w:rsidR="0095660C" w:rsidRPr="0099320E" w:rsidRDefault="00414819" w:rsidP="008774B5">
            <w:pPr>
              <w:pStyle w:val="ParaNumbering"/>
              <w:numPr>
                <w:ilvl w:val="0"/>
                <w:numId w:val="0"/>
              </w:numPr>
              <w:rPr>
                <w:sz w:val="18"/>
              </w:rPr>
            </w:pPr>
            <w:r w:rsidRPr="0099320E">
              <w:rPr>
                <w:sz w:val="18"/>
              </w:rPr>
              <w:t>SAVINGS</w:t>
            </w:r>
          </w:p>
        </w:tc>
        <w:tc>
          <w:tcPr>
            <w:tcW w:w="1042" w:type="dxa"/>
          </w:tcPr>
          <w:p w:rsidR="0095660C" w:rsidRPr="0099320E" w:rsidRDefault="004533CB" w:rsidP="008774B5">
            <w:pPr>
              <w:pStyle w:val="ParaNumbering"/>
              <w:numPr>
                <w:ilvl w:val="0"/>
                <w:numId w:val="0"/>
              </w:numPr>
              <w:rPr>
                <w:sz w:val="18"/>
              </w:rPr>
            </w:pPr>
            <w:r w:rsidRPr="0099320E">
              <w:rPr>
                <w:sz w:val="18"/>
              </w:rPr>
              <w:t>**2522</w:t>
            </w:r>
          </w:p>
        </w:tc>
        <w:tc>
          <w:tcPr>
            <w:tcW w:w="1701" w:type="dxa"/>
          </w:tcPr>
          <w:p w:rsidR="0095660C" w:rsidRPr="0099320E" w:rsidRDefault="004533CB" w:rsidP="004533CB">
            <w:pPr>
              <w:pStyle w:val="ParaNumbering"/>
              <w:numPr>
                <w:ilvl w:val="0"/>
                <w:numId w:val="0"/>
              </w:numPr>
              <w:jc w:val="left"/>
              <w:rPr>
                <w:sz w:val="18"/>
              </w:rPr>
            </w:pPr>
            <w:r w:rsidRPr="0099320E">
              <w:rPr>
                <w:sz w:val="18"/>
              </w:rPr>
              <w:t xml:space="preserve">AXIS BANK </w:t>
            </w:r>
          </w:p>
        </w:tc>
        <w:tc>
          <w:tcPr>
            <w:tcW w:w="1511" w:type="dxa"/>
          </w:tcPr>
          <w:p w:rsidR="0095660C" w:rsidRPr="0099320E" w:rsidRDefault="00E361B8" w:rsidP="008774B5">
            <w:pPr>
              <w:pStyle w:val="ParaNumbering"/>
              <w:numPr>
                <w:ilvl w:val="0"/>
                <w:numId w:val="0"/>
              </w:numPr>
              <w:rPr>
                <w:sz w:val="18"/>
              </w:rPr>
            </w:pPr>
            <w:proofErr w:type="spellStart"/>
            <w:r w:rsidRPr="0099320E">
              <w:rPr>
                <w:sz w:val="18"/>
              </w:rPr>
              <w:t>PRAVINBHAI</w:t>
            </w:r>
            <w:proofErr w:type="spellEnd"/>
            <w:r w:rsidRPr="0099320E">
              <w:rPr>
                <w:sz w:val="18"/>
              </w:rPr>
              <w:t xml:space="preserve"> J </w:t>
            </w:r>
            <w:proofErr w:type="spellStart"/>
            <w:r w:rsidRPr="0099320E">
              <w:rPr>
                <w:sz w:val="18"/>
              </w:rPr>
              <w:t>BAREVADIYA</w:t>
            </w:r>
            <w:proofErr w:type="spellEnd"/>
          </w:p>
        </w:tc>
        <w:tc>
          <w:tcPr>
            <w:tcW w:w="1182" w:type="dxa"/>
          </w:tcPr>
          <w:p w:rsidR="0095660C" w:rsidRPr="0099320E" w:rsidRDefault="00D804BD" w:rsidP="008774B5">
            <w:pPr>
              <w:pStyle w:val="ParaNumbering"/>
              <w:numPr>
                <w:ilvl w:val="0"/>
                <w:numId w:val="0"/>
              </w:numPr>
              <w:rPr>
                <w:sz w:val="18"/>
              </w:rPr>
            </w:pPr>
            <w:r w:rsidRPr="0099320E">
              <w:rPr>
                <w:sz w:val="18"/>
              </w:rPr>
              <w:t>FATHER</w:t>
            </w:r>
          </w:p>
        </w:tc>
        <w:tc>
          <w:tcPr>
            <w:tcW w:w="1622" w:type="dxa"/>
          </w:tcPr>
          <w:p w:rsidR="0095660C" w:rsidRPr="0099320E" w:rsidRDefault="00C148A7" w:rsidP="008774B5">
            <w:pPr>
              <w:pStyle w:val="ParaNumbering"/>
              <w:numPr>
                <w:ilvl w:val="0"/>
                <w:numId w:val="0"/>
              </w:numPr>
              <w:rPr>
                <w:sz w:val="18"/>
              </w:rPr>
            </w:pPr>
            <w:r w:rsidRPr="0099320E">
              <w:rPr>
                <w:sz w:val="18"/>
              </w:rPr>
              <w:t>7,56,831</w:t>
            </w:r>
          </w:p>
        </w:tc>
      </w:tr>
      <w:tr w:rsidR="00ED75C8" w:rsidTr="00BD7924">
        <w:tc>
          <w:tcPr>
            <w:tcW w:w="654" w:type="dxa"/>
          </w:tcPr>
          <w:p w:rsidR="0095660C" w:rsidRPr="009950A8" w:rsidRDefault="002F0073" w:rsidP="008774B5">
            <w:pPr>
              <w:pStyle w:val="ParaNumbering"/>
              <w:numPr>
                <w:ilvl w:val="0"/>
                <w:numId w:val="0"/>
              </w:numPr>
              <w:rPr>
                <w:sz w:val="18"/>
              </w:rPr>
            </w:pPr>
            <w:r w:rsidRPr="009950A8">
              <w:rPr>
                <w:sz w:val="18"/>
              </w:rPr>
              <w:t>7</w:t>
            </w:r>
          </w:p>
        </w:tc>
        <w:tc>
          <w:tcPr>
            <w:tcW w:w="1531" w:type="dxa"/>
          </w:tcPr>
          <w:p w:rsidR="0095660C" w:rsidRPr="0099320E" w:rsidRDefault="00414819" w:rsidP="008774B5">
            <w:pPr>
              <w:pStyle w:val="ParaNumbering"/>
              <w:numPr>
                <w:ilvl w:val="0"/>
                <w:numId w:val="0"/>
              </w:numPr>
              <w:rPr>
                <w:sz w:val="18"/>
              </w:rPr>
            </w:pPr>
            <w:proofErr w:type="spellStart"/>
            <w:r w:rsidRPr="0099320E">
              <w:rPr>
                <w:sz w:val="18"/>
              </w:rPr>
              <w:t>PPF</w:t>
            </w:r>
            <w:proofErr w:type="spellEnd"/>
          </w:p>
        </w:tc>
        <w:tc>
          <w:tcPr>
            <w:tcW w:w="1042" w:type="dxa"/>
          </w:tcPr>
          <w:p w:rsidR="0095660C" w:rsidRPr="0099320E" w:rsidRDefault="004533CB" w:rsidP="008774B5">
            <w:pPr>
              <w:pStyle w:val="ParaNumbering"/>
              <w:numPr>
                <w:ilvl w:val="0"/>
                <w:numId w:val="0"/>
              </w:numPr>
              <w:rPr>
                <w:sz w:val="18"/>
              </w:rPr>
            </w:pPr>
            <w:r w:rsidRPr="0099320E">
              <w:rPr>
                <w:sz w:val="18"/>
              </w:rPr>
              <w:t>**109</w:t>
            </w:r>
          </w:p>
        </w:tc>
        <w:tc>
          <w:tcPr>
            <w:tcW w:w="1701" w:type="dxa"/>
          </w:tcPr>
          <w:p w:rsidR="0095660C" w:rsidRPr="0099320E" w:rsidRDefault="004533CB" w:rsidP="004533CB">
            <w:pPr>
              <w:pStyle w:val="ParaNumbering"/>
              <w:numPr>
                <w:ilvl w:val="0"/>
                <w:numId w:val="0"/>
              </w:numPr>
              <w:jc w:val="left"/>
              <w:rPr>
                <w:sz w:val="18"/>
              </w:rPr>
            </w:pPr>
            <w:r w:rsidRPr="0099320E">
              <w:rPr>
                <w:sz w:val="18"/>
              </w:rPr>
              <w:t xml:space="preserve">BANK OF INDIA </w:t>
            </w:r>
          </w:p>
        </w:tc>
        <w:tc>
          <w:tcPr>
            <w:tcW w:w="1511" w:type="dxa"/>
          </w:tcPr>
          <w:p w:rsidR="0095660C" w:rsidRPr="0099320E" w:rsidRDefault="00E361B8" w:rsidP="008774B5">
            <w:pPr>
              <w:pStyle w:val="ParaNumbering"/>
              <w:numPr>
                <w:ilvl w:val="0"/>
                <w:numId w:val="0"/>
              </w:numPr>
              <w:rPr>
                <w:sz w:val="18"/>
              </w:rPr>
            </w:pPr>
            <w:proofErr w:type="spellStart"/>
            <w:r w:rsidRPr="0099320E">
              <w:rPr>
                <w:sz w:val="18"/>
              </w:rPr>
              <w:t>PRAVINBHAI</w:t>
            </w:r>
            <w:proofErr w:type="spellEnd"/>
            <w:r w:rsidRPr="0099320E">
              <w:rPr>
                <w:sz w:val="18"/>
              </w:rPr>
              <w:t xml:space="preserve"> J </w:t>
            </w:r>
            <w:proofErr w:type="spellStart"/>
            <w:r w:rsidRPr="0099320E">
              <w:rPr>
                <w:sz w:val="18"/>
              </w:rPr>
              <w:t>BAREVADIYA</w:t>
            </w:r>
            <w:proofErr w:type="spellEnd"/>
          </w:p>
        </w:tc>
        <w:tc>
          <w:tcPr>
            <w:tcW w:w="1182" w:type="dxa"/>
          </w:tcPr>
          <w:p w:rsidR="0095660C" w:rsidRPr="0099320E" w:rsidRDefault="00D804BD" w:rsidP="008774B5">
            <w:pPr>
              <w:pStyle w:val="ParaNumbering"/>
              <w:numPr>
                <w:ilvl w:val="0"/>
                <w:numId w:val="0"/>
              </w:numPr>
              <w:rPr>
                <w:sz w:val="18"/>
              </w:rPr>
            </w:pPr>
            <w:r w:rsidRPr="0099320E">
              <w:rPr>
                <w:sz w:val="18"/>
              </w:rPr>
              <w:t>FATHER</w:t>
            </w:r>
          </w:p>
        </w:tc>
        <w:tc>
          <w:tcPr>
            <w:tcW w:w="1622" w:type="dxa"/>
          </w:tcPr>
          <w:p w:rsidR="0095660C" w:rsidRPr="0099320E" w:rsidRDefault="00C148A7" w:rsidP="008774B5">
            <w:pPr>
              <w:pStyle w:val="ParaNumbering"/>
              <w:numPr>
                <w:ilvl w:val="0"/>
                <w:numId w:val="0"/>
              </w:numPr>
              <w:rPr>
                <w:sz w:val="18"/>
              </w:rPr>
            </w:pPr>
            <w:r w:rsidRPr="0099320E">
              <w:rPr>
                <w:sz w:val="18"/>
              </w:rPr>
              <w:t>7,88,535</w:t>
            </w:r>
          </w:p>
        </w:tc>
      </w:tr>
      <w:tr w:rsidR="002F0073" w:rsidTr="00BD7924">
        <w:tc>
          <w:tcPr>
            <w:tcW w:w="654" w:type="dxa"/>
          </w:tcPr>
          <w:p w:rsidR="002F0073" w:rsidRPr="00414819" w:rsidRDefault="002F0073" w:rsidP="008774B5">
            <w:pPr>
              <w:pStyle w:val="ParaNumbering"/>
              <w:numPr>
                <w:ilvl w:val="0"/>
                <w:numId w:val="0"/>
              </w:numPr>
              <w:rPr>
                <w:sz w:val="18"/>
              </w:rPr>
            </w:pPr>
            <w:r w:rsidRPr="00414819">
              <w:rPr>
                <w:sz w:val="18"/>
              </w:rPr>
              <w:t>8</w:t>
            </w:r>
          </w:p>
        </w:tc>
        <w:tc>
          <w:tcPr>
            <w:tcW w:w="1531" w:type="dxa"/>
          </w:tcPr>
          <w:p w:rsidR="002F0073" w:rsidRPr="00414819" w:rsidRDefault="00414819" w:rsidP="008774B5">
            <w:pPr>
              <w:pStyle w:val="ParaNumbering"/>
              <w:numPr>
                <w:ilvl w:val="0"/>
                <w:numId w:val="0"/>
              </w:numPr>
              <w:rPr>
                <w:sz w:val="18"/>
              </w:rPr>
            </w:pPr>
            <w:r>
              <w:rPr>
                <w:sz w:val="18"/>
              </w:rPr>
              <w:t xml:space="preserve">SAVINGS </w:t>
            </w:r>
          </w:p>
        </w:tc>
        <w:tc>
          <w:tcPr>
            <w:tcW w:w="1042" w:type="dxa"/>
          </w:tcPr>
          <w:p w:rsidR="002F0073" w:rsidRPr="00414819" w:rsidRDefault="004533CB" w:rsidP="008774B5">
            <w:pPr>
              <w:pStyle w:val="ParaNumbering"/>
              <w:numPr>
                <w:ilvl w:val="0"/>
                <w:numId w:val="0"/>
              </w:numPr>
              <w:rPr>
                <w:sz w:val="18"/>
              </w:rPr>
            </w:pPr>
            <w:r>
              <w:rPr>
                <w:sz w:val="18"/>
              </w:rPr>
              <w:t>**7457</w:t>
            </w:r>
          </w:p>
        </w:tc>
        <w:tc>
          <w:tcPr>
            <w:tcW w:w="1701" w:type="dxa"/>
          </w:tcPr>
          <w:p w:rsidR="002F0073" w:rsidRPr="00414819" w:rsidRDefault="004533CB" w:rsidP="004533CB">
            <w:pPr>
              <w:pStyle w:val="ParaNumbering"/>
              <w:numPr>
                <w:ilvl w:val="0"/>
                <w:numId w:val="0"/>
              </w:numPr>
              <w:jc w:val="left"/>
              <w:rPr>
                <w:sz w:val="18"/>
              </w:rPr>
            </w:pPr>
            <w:r>
              <w:rPr>
                <w:sz w:val="18"/>
              </w:rPr>
              <w:t xml:space="preserve">STATE BANK OF INDIA </w:t>
            </w:r>
          </w:p>
        </w:tc>
        <w:tc>
          <w:tcPr>
            <w:tcW w:w="1511" w:type="dxa"/>
          </w:tcPr>
          <w:p w:rsidR="002F0073" w:rsidRPr="00414819" w:rsidRDefault="00E361B8" w:rsidP="008774B5">
            <w:pPr>
              <w:pStyle w:val="ParaNumbering"/>
              <w:numPr>
                <w:ilvl w:val="0"/>
                <w:numId w:val="0"/>
              </w:numPr>
              <w:rPr>
                <w:sz w:val="18"/>
              </w:rPr>
            </w:pPr>
            <w:proofErr w:type="spellStart"/>
            <w:r>
              <w:rPr>
                <w:sz w:val="18"/>
              </w:rPr>
              <w:t>PRAVINBHAI</w:t>
            </w:r>
            <w:proofErr w:type="spellEnd"/>
            <w:r>
              <w:rPr>
                <w:sz w:val="18"/>
              </w:rPr>
              <w:t xml:space="preserve"> J </w:t>
            </w:r>
            <w:proofErr w:type="spellStart"/>
            <w:r>
              <w:rPr>
                <w:sz w:val="18"/>
              </w:rPr>
              <w:t>BAREVADIYA</w:t>
            </w:r>
            <w:proofErr w:type="spellEnd"/>
          </w:p>
        </w:tc>
        <w:tc>
          <w:tcPr>
            <w:tcW w:w="1182" w:type="dxa"/>
            <w:tcBorders>
              <w:bottom w:val="single" w:sz="4" w:space="0" w:color="auto"/>
            </w:tcBorders>
          </w:tcPr>
          <w:p w:rsidR="002F0073" w:rsidRPr="00414819" w:rsidRDefault="00D804BD" w:rsidP="008774B5">
            <w:pPr>
              <w:pStyle w:val="ParaNumbering"/>
              <w:numPr>
                <w:ilvl w:val="0"/>
                <w:numId w:val="0"/>
              </w:numPr>
              <w:rPr>
                <w:sz w:val="18"/>
              </w:rPr>
            </w:pPr>
            <w:r>
              <w:rPr>
                <w:sz w:val="18"/>
              </w:rPr>
              <w:t>FATHER</w:t>
            </w:r>
          </w:p>
        </w:tc>
        <w:tc>
          <w:tcPr>
            <w:tcW w:w="1622" w:type="dxa"/>
          </w:tcPr>
          <w:p w:rsidR="002F0073" w:rsidRPr="00414819" w:rsidRDefault="00C148A7" w:rsidP="008774B5">
            <w:pPr>
              <w:pStyle w:val="ParaNumbering"/>
              <w:numPr>
                <w:ilvl w:val="0"/>
                <w:numId w:val="0"/>
              </w:numPr>
              <w:rPr>
                <w:sz w:val="18"/>
              </w:rPr>
            </w:pPr>
            <w:r>
              <w:rPr>
                <w:sz w:val="18"/>
              </w:rPr>
              <w:t xml:space="preserve">2,53,462 </w:t>
            </w:r>
          </w:p>
        </w:tc>
      </w:tr>
      <w:tr w:rsidR="00BD7924" w:rsidTr="00BD7924">
        <w:trPr>
          <w:trHeight w:val="401"/>
        </w:trPr>
        <w:tc>
          <w:tcPr>
            <w:tcW w:w="654" w:type="dxa"/>
          </w:tcPr>
          <w:p w:rsidR="00BD7924" w:rsidRPr="00414819" w:rsidRDefault="00BD7924" w:rsidP="008774B5">
            <w:pPr>
              <w:pStyle w:val="ParaNumbering"/>
              <w:numPr>
                <w:ilvl w:val="0"/>
                <w:numId w:val="0"/>
              </w:numPr>
              <w:rPr>
                <w:sz w:val="18"/>
              </w:rPr>
            </w:pPr>
          </w:p>
        </w:tc>
        <w:tc>
          <w:tcPr>
            <w:tcW w:w="1531" w:type="dxa"/>
          </w:tcPr>
          <w:p w:rsidR="00BD7924" w:rsidRDefault="00BD7924" w:rsidP="008774B5">
            <w:pPr>
              <w:pStyle w:val="ParaNumbering"/>
              <w:numPr>
                <w:ilvl w:val="0"/>
                <w:numId w:val="0"/>
              </w:numPr>
              <w:rPr>
                <w:sz w:val="18"/>
              </w:rPr>
            </w:pPr>
          </w:p>
        </w:tc>
        <w:tc>
          <w:tcPr>
            <w:tcW w:w="1042" w:type="dxa"/>
          </w:tcPr>
          <w:p w:rsidR="00BD7924" w:rsidRPr="00414819" w:rsidRDefault="00BD7924" w:rsidP="008774B5">
            <w:pPr>
              <w:pStyle w:val="ParaNumbering"/>
              <w:numPr>
                <w:ilvl w:val="0"/>
                <w:numId w:val="0"/>
              </w:numPr>
              <w:rPr>
                <w:sz w:val="18"/>
              </w:rPr>
            </w:pPr>
          </w:p>
        </w:tc>
        <w:tc>
          <w:tcPr>
            <w:tcW w:w="1701" w:type="dxa"/>
          </w:tcPr>
          <w:p w:rsidR="00BD7924" w:rsidRPr="00414819" w:rsidRDefault="00BD7924" w:rsidP="004533CB">
            <w:pPr>
              <w:pStyle w:val="ParaNumbering"/>
              <w:numPr>
                <w:ilvl w:val="0"/>
                <w:numId w:val="0"/>
              </w:numPr>
              <w:jc w:val="left"/>
              <w:rPr>
                <w:sz w:val="18"/>
              </w:rPr>
            </w:pPr>
          </w:p>
        </w:tc>
        <w:tc>
          <w:tcPr>
            <w:tcW w:w="1511" w:type="dxa"/>
            <w:tcBorders>
              <w:right w:val="single" w:sz="4" w:space="0" w:color="auto"/>
            </w:tcBorders>
          </w:tcPr>
          <w:p w:rsidR="00BD7924" w:rsidRPr="00414819" w:rsidRDefault="00BD7924" w:rsidP="008774B5">
            <w:pPr>
              <w:pStyle w:val="ParaNumbering"/>
              <w:numPr>
                <w:ilvl w:val="0"/>
                <w:numId w:val="0"/>
              </w:numPr>
              <w:rPr>
                <w:sz w:val="18"/>
              </w:rPr>
            </w:pPr>
          </w:p>
        </w:tc>
        <w:tc>
          <w:tcPr>
            <w:tcW w:w="1182" w:type="dxa"/>
            <w:tcBorders>
              <w:top w:val="single" w:sz="4" w:space="0" w:color="auto"/>
              <w:left w:val="single" w:sz="4" w:space="0" w:color="auto"/>
              <w:bottom w:val="nil"/>
              <w:right w:val="single" w:sz="4" w:space="0" w:color="auto"/>
            </w:tcBorders>
          </w:tcPr>
          <w:p w:rsidR="00BD7924" w:rsidRPr="00D804BD" w:rsidRDefault="00BD7924" w:rsidP="008774B5">
            <w:pPr>
              <w:pStyle w:val="ParaNumbering"/>
              <w:numPr>
                <w:ilvl w:val="0"/>
                <w:numId w:val="0"/>
              </w:numPr>
              <w:rPr>
                <w:b/>
                <w:sz w:val="18"/>
              </w:rPr>
            </w:pPr>
          </w:p>
        </w:tc>
        <w:tc>
          <w:tcPr>
            <w:tcW w:w="1622" w:type="dxa"/>
            <w:tcBorders>
              <w:left w:val="single" w:sz="4" w:space="0" w:color="auto"/>
            </w:tcBorders>
          </w:tcPr>
          <w:p w:rsidR="00BD7924" w:rsidRDefault="00BD7924" w:rsidP="008774B5">
            <w:pPr>
              <w:pStyle w:val="ParaNumbering"/>
              <w:numPr>
                <w:ilvl w:val="0"/>
                <w:numId w:val="0"/>
              </w:numPr>
              <w:rPr>
                <w:sz w:val="18"/>
              </w:rPr>
            </w:pPr>
            <w:proofErr w:type="spellStart"/>
            <w:r>
              <w:rPr>
                <w:sz w:val="18"/>
              </w:rPr>
              <w:t>INR</w:t>
            </w:r>
            <w:proofErr w:type="spellEnd"/>
            <w:r>
              <w:rPr>
                <w:sz w:val="18"/>
              </w:rPr>
              <w:t xml:space="preserve"> 39,37,154</w:t>
            </w:r>
          </w:p>
        </w:tc>
      </w:tr>
      <w:tr w:rsidR="00D804BD" w:rsidTr="00BD7924">
        <w:tc>
          <w:tcPr>
            <w:tcW w:w="654" w:type="dxa"/>
          </w:tcPr>
          <w:p w:rsidR="00D804BD" w:rsidRPr="00414819" w:rsidRDefault="00D804BD" w:rsidP="008774B5">
            <w:pPr>
              <w:pStyle w:val="ParaNumbering"/>
              <w:numPr>
                <w:ilvl w:val="0"/>
                <w:numId w:val="0"/>
              </w:numPr>
              <w:rPr>
                <w:sz w:val="18"/>
              </w:rPr>
            </w:pPr>
          </w:p>
        </w:tc>
        <w:tc>
          <w:tcPr>
            <w:tcW w:w="1531" w:type="dxa"/>
          </w:tcPr>
          <w:p w:rsidR="00D804BD" w:rsidRDefault="00D804BD" w:rsidP="008774B5">
            <w:pPr>
              <w:pStyle w:val="ParaNumbering"/>
              <w:numPr>
                <w:ilvl w:val="0"/>
                <w:numId w:val="0"/>
              </w:numPr>
              <w:rPr>
                <w:sz w:val="18"/>
              </w:rPr>
            </w:pPr>
          </w:p>
        </w:tc>
        <w:tc>
          <w:tcPr>
            <w:tcW w:w="1042" w:type="dxa"/>
          </w:tcPr>
          <w:p w:rsidR="00D804BD" w:rsidRPr="00414819" w:rsidRDefault="00D804BD" w:rsidP="008774B5">
            <w:pPr>
              <w:pStyle w:val="ParaNumbering"/>
              <w:numPr>
                <w:ilvl w:val="0"/>
                <w:numId w:val="0"/>
              </w:numPr>
              <w:rPr>
                <w:sz w:val="18"/>
              </w:rPr>
            </w:pPr>
          </w:p>
        </w:tc>
        <w:tc>
          <w:tcPr>
            <w:tcW w:w="1701" w:type="dxa"/>
          </w:tcPr>
          <w:p w:rsidR="00D804BD" w:rsidRPr="00414819" w:rsidRDefault="00D804BD" w:rsidP="004533CB">
            <w:pPr>
              <w:pStyle w:val="ParaNumbering"/>
              <w:numPr>
                <w:ilvl w:val="0"/>
                <w:numId w:val="0"/>
              </w:numPr>
              <w:jc w:val="left"/>
              <w:rPr>
                <w:sz w:val="18"/>
              </w:rPr>
            </w:pPr>
          </w:p>
        </w:tc>
        <w:tc>
          <w:tcPr>
            <w:tcW w:w="1511" w:type="dxa"/>
            <w:tcBorders>
              <w:right w:val="single" w:sz="4" w:space="0" w:color="auto"/>
            </w:tcBorders>
          </w:tcPr>
          <w:p w:rsidR="00D804BD" w:rsidRPr="00414819" w:rsidRDefault="00D804BD" w:rsidP="008774B5">
            <w:pPr>
              <w:pStyle w:val="ParaNumbering"/>
              <w:numPr>
                <w:ilvl w:val="0"/>
                <w:numId w:val="0"/>
              </w:numPr>
              <w:rPr>
                <w:sz w:val="18"/>
              </w:rPr>
            </w:pPr>
          </w:p>
        </w:tc>
        <w:tc>
          <w:tcPr>
            <w:tcW w:w="1182" w:type="dxa"/>
            <w:tcBorders>
              <w:top w:val="nil"/>
              <w:left w:val="single" w:sz="4" w:space="0" w:color="auto"/>
              <w:bottom w:val="single" w:sz="4" w:space="0" w:color="auto"/>
              <w:right w:val="single" w:sz="4" w:space="0" w:color="auto"/>
            </w:tcBorders>
          </w:tcPr>
          <w:p w:rsidR="00D804BD" w:rsidRPr="00D804BD" w:rsidRDefault="00D804BD" w:rsidP="008774B5">
            <w:pPr>
              <w:pStyle w:val="ParaNumbering"/>
              <w:numPr>
                <w:ilvl w:val="0"/>
                <w:numId w:val="0"/>
              </w:numPr>
              <w:rPr>
                <w:b/>
                <w:sz w:val="18"/>
              </w:rPr>
            </w:pPr>
            <w:r w:rsidRPr="00D804BD">
              <w:rPr>
                <w:b/>
                <w:sz w:val="18"/>
              </w:rPr>
              <w:t xml:space="preserve">TOTAL AMOUNT </w:t>
            </w:r>
          </w:p>
        </w:tc>
        <w:tc>
          <w:tcPr>
            <w:tcW w:w="1622" w:type="dxa"/>
            <w:tcBorders>
              <w:left w:val="single" w:sz="4" w:space="0" w:color="auto"/>
            </w:tcBorders>
          </w:tcPr>
          <w:p w:rsidR="00D804BD" w:rsidRPr="00414819" w:rsidRDefault="00BD7924" w:rsidP="008774B5">
            <w:pPr>
              <w:pStyle w:val="ParaNumbering"/>
              <w:numPr>
                <w:ilvl w:val="0"/>
                <w:numId w:val="0"/>
              </w:numPr>
              <w:rPr>
                <w:sz w:val="18"/>
              </w:rPr>
            </w:pPr>
            <w:proofErr w:type="spellStart"/>
            <w:r>
              <w:rPr>
                <w:sz w:val="18"/>
              </w:rPr>
              <w:t>AUD</w:t>
            </w:r>
            <w:proofErr w:type="spellEnd"/>
            <w:r>
              <w:rPr>
                <w:sz w:val="18"/>
              </w:rPr>
              <w:t xml:space="preserve"> </w:t>
            </w:r>
            <w:r w:rsidR="00D804BD">
              <w:rPr>
                <w:sz w:val="18"/>
              </w:rPr>
              <w:t>$70,306</w:t>
            </w:r>
          </w:p>
        </w:tc>
      </w:tr>
    </w:tbl>
    <w:p w:rsidR="008774B5" w:rsidRDefault="008774B5" w:rsidP="008774B5">
      <w:pPr>
        <w:pStyle w:val="ParaNumbering"/>
        <w:numPr>
          <w:ilvl w:val="0"/>
          <w:numId w:val="0"/>
        </w:numPr>
      </w:pPr>
    </w:p>
    <w:p w:rsidR="00FC42D3" w:rsidRDefault="004C69A5" w:rsidP="00FC42D3">
      <w:pPr>
        <w:pStyle w:val="ParaNumbering"/>
        <w:tabs>
          <w:tab w:val="clear" w:pos="720"/>
        </w:tabs>
      </w:pPr>
      <w:r>
        <w:t xml:space="preserve">The Tribunal set out </w:t>
      </w:r>
      <w:r w:rsidR="00FC42D3">
        <w:t xml:space="preserve">at [12] </w:t>
      </w:r>
      <w:r>
        <w:t xml:space="preserve">the financial evidence </w:t>
      </w:r>
      <w:r w:rsidR="00517E32">
        <w:t xml:space="preserve">that </w:t>
      </w:r>
      <w:r>
        <w:t>was before it</w:t>
      </w:r>
      <w:r w:rsidR="00FC42D3">
        <w:t xml:space="preserve">: </w:t>
      </w:r>
    </w:p>
    <w:p w:rsidR="00CC49DD" w:rsidRDefault="00CC49DD" w:rsidP="00FC42D3">
      <w:pPr>
        <w:pStyle w:val="Quote1"/>
      </w:pPr>
      <w:r>
        <w:t xml:space="preserve">A submission to the Tribunal prior to the hearing included financial evidence in the form of: </w:t>
      </w:r>
    </w:p>
    <w:p w:rsidR="00CC49DD" w:rsidRDefault="00CC49DD" w:rsidP="00775530">
      <w:pPr>
        <w:pStyle w:val="Quote1"/>
      </w:pPr>
    </w:p>
    <w:p w:rsidR="00CC49DD" w:rsidRDefault="00CC49DD" w:rsidP="00775530">
      <w:pPr>
        <w:pStyle w:val="Quote1Bullet"/>
      </w:pPr>
      <w:r>
        <w:t>an affidavit of support from the applicant’s father</w:t>
      </w:r>
    </w:p>
    <w:p w:rsidR="00CC49DD" w:rsidRDefault="00CC49DD" w:rsidP="00775530">
      <w:pPr>
        <w:pStyle w:val="Quote1Bullet"/>
      </w:pPr>
      <w:r>
        <w:t>a copy of the applicant’s fathers income tax return for the period 2013-2014</w:t>
      </w:r>
    </w:p>
    <w:p w:rsidR="00CC49DD" w:rsidRPr="009950A8" w:rsidRDefault="00CC49DD" w:rsidP="00775530">
      <w:pPr>
        <w:pStyle w:val="Quote1Bullet"/>
      </w:pPr>
      <w:r>
        <w:t xml:space="preserve">A copy of a bank statement with the </w:t>
      </w:r>
      <w:proofErr w:type="spellStart"/>
      <w:r>
        <w:t>Maha</w:t>
      </w:r>
      <w:proofErr w:type="spellEnd"/>
      <w:r>
        <w:t xml:space="preserve"> Bank for the period 30/12/2012 to 29/12/13.</w:t>
      </w:r>
      <w:r w:rsidR="00371478">
        <w:t xml:space="preserve"> In this statement for the relevant period the minimum balance was </w:t>
      </w:r>
      <w:proofErr w:type="spellStart"/>
      <w:r w:rsidR="00371478" w:rsidRPr="009950A8">
        <w:t>Rs.246</w:t>
      </w:r>
      <w:proofErr w:type="gramStart"/>
      <w:r w:rsidR="00371478" w:rsidRPr="009950A8">
        <w:t>,810</w:t>
      </w:r>
      <w:proofErr w:type="spellEnd"/>
      <w:proofErr w:type="gramEnd"/>
      <w:r w:rsidR="00371478" w:rsidRPr="009950A8">
        <w:t xml:space="preserve"> ($4400). </w:t>
      </w:r>
    </w:p>
    <w:p w:rsidR="00CC49DD" w:rsidRPr="009950A8" w:rsidRDefault="00371478" w:rsidP="00775530">
      <w:pPr>
        <w:pStyle w:val="Quote1Bullet"/>
      </w:pPr>
      <w:r w:rsidRPr="009950A8">
        <w:t xml:space="preserve">A bank statement from the Axis Bank for the period 01-07-2013 to 31-12-2013. </w:t>
      </w:r>
    </w:p>
    <w:p w:rsidR="00371478" w:rsidRPr="009950A8" w:rsidRDefault="00371478" w:rsidP="00775530">
      <w:pPr>
        <w:pStyle w:val="Quote1Bullet"/>
      </w:pPr>
      <w:r w:rsidRPr="009950A8">
        <w:t xml:space="preserve">A handwritten document on Bank of India letterhead stating the applicant’s father had a matured Public Provident Fund Account with a balance of </w:t>
      </w:r>
      <w:proofErr w:type="spellStart"/>
      <w:r w:rsidRPr="009950A8">
        <w:t>Rs.788</w:t>
      </w:r>
      <w:proofErr w:type="gramStart"/>
      <w:r w:rsidRPr="009950A8">
        <w:t>,535</w:t>
      </w:r>
      <w:proofErr w:type="spellEnd"/>
      <w:proofErr w:type="gramEnd"/>
      <w:r w:rsidRPr="009950A8">
        <w:t>.</w:t>
      </w:r>
    </w:p>
    <w:p w:rsidR="00371478" w:rsidRPr="009950A8" w:rsidRDefault="00371478" w:rsidP="00775530">
      <w:pPr>
        <w:pStyle w:val="Quote1Bullet"/>
      </w:pPr>
      <w:r w:rsidRPr="009950A8">
        <w:t xml:space="preserve">Evidence of four fixed deposits all issued on 13 November 2013. </w:t>
      </w:r>
    </w:p>
    <w:p w:rsidR="00371478" w:rsidRDefault="00371478" w:rsidP="00775530">
      <w:pPr>
        <w:pStyle w:val="Quote1Bullet"/>
        <w:numPr>
          <w:ilvl w:val="0"/>
          <w:numId w:val="0"/>
        </w:numPr>
        <w:ind w:left="1440"/>
      </w:pPr>
    </w:p>
    <w:p w:rsidR="00B373D6" w:rsidRDefault="00EE0C2D" w:rsidP="00040703">
      <w:pPr>
        <w:pStyle w:val="NoNum"/>
      </w:pPr>
      <w:r>
        <w:t xml:space="preserve">The </w:t>
      </w:r>
      <w:proofErr w:type="spellStart"/>
      <w:r>
        <w:t>Maha</w:t>
      </w:r>
      <w:proofErr w:type="spellEnd"/>
      <w:r>
        <w:t xml:space="preserve"> Bank statement provided by the </w:t>
      </w:r>
      <w:r w:rsidR="00FD2C86">
        <w:t xml:space="preserve">first </w:t>
      </w:r>
      <w:r>
        <w:t xml:space="preserve">appellant to the Tribunal was not listed in the financial matrix document. </w:t>
      </w:r>
      <w:r w:rsidR="009B3CDD">
        <w:t>Item 8 in the matrix was not supported by any documentary evidence</w:t>
      </w:r>
      <w:r>
        <w:t>, and was not referred to in the Tribunal’s decision. Item 5 in the matrix</w:t>
      </w:r>
      <w:r w:rsidR="00675E71">
        <w:t>, the provident fund statement,</w:t>
      </w:r>
      <w:r>
        <w:t xml:space="preserve"> was not referred to in the Tribunal’s decision. </w:t>
      </w:r>
      <w:r w:rsidR="0013117A" w:rsidRPr="009B6CCE">
        <w:t xml:space="preserve">The statement </w:t>
      </w:r>
      <w:r w:rsidR="004C69A5" w:rsidRPr="009B6CCE">
        <w:t>showed a credit balance as at March 2013 of 900,820</w:t>
      </w:r>
      <w:r w:rsidR="00FD0AC8" w:rsidRPr="009B6CCE">
        <w:t xml:space="preserve"> Indian Rupees (</w:t>
      </w:r>
      <w:proofErr w:type="spellStart"/>
      <w:r w:rsidR="00FD0AC8" w:rsidRPr="009B6CCE">
        <w:t>INR</w:t>
      </w:r>
      <w:proofErr w:type="spellEnd"/>
      <w:r w:rsidR="00FD0AC8" w:rsidRPr="009B6CCE">
        <w:t>)</w:t>
      </w:r>
      <w:r w:rsidR="004C69A5" w:rsidRPr="009B6CCE">
        <w:t xml:space="preserve">, </w:t>
      </w:r>
      <w:r w:rsidR="0013117A" w:rsidRPr="009B6CCE">
        <w:t xml:space="preserve">which was </w:t>
      </w:r>
      <w:r w:rsidR="004C69A5" w:rsidRPr="009B6CCE">
        <w:t xml:space="preserve">different to the amount recorded in the matrix but nonetheless apparently a reference to the same document. </w:t>
      </w:r>
    </w:p>
    <w:p w:rsidR="003B02B9" w:rsidRDefault="00402D87" w:rsidP="00B373D6">
      <w:pPr>
        <w:pStyle w:val="ParaNumbering"/>
      </w:pPr>
      <w:r w:rsidRPr="007B410C">
        <w:t>T</w:t>
      </w:r>
      <w:r w:rsidR="004C69A5" w:rsidRPr="007B410C">
        <w:t xml:space="preserve">he first appellant was required </w:t>
      </w:r>
      <w:r w:rsidR="00D45FCC" w:rsidRPr="007B410C">
        <w:t xml:space="preserve">by the regulations </w:t>
      </w:r>
      <w:r w:rsidR="004C69A5" w:rsidRPr="007B410C">
        <w:t xml:space="preserve">to provide evidence of a money deposit held from 10 April </w:t>
      </w:r>
      <w:r w:rsidR="007F455C" w:rsidRPr="007B410C">
        <w:t xml:space="preserve">2013 </w:t>
      </w:r>
      <w:r w:rsidR="004C69A5" w:rsidRPr="007B410C">
        <w:t xml:space="preserve">to 9 July 2013. The Tribunal observed that the only document which addressed that period was the statement </w:t>
      </w:r>
      <w:r w:rsidR="00074001">
        <w:t>from</w:t>
      </w:r>
      <w:r w:rsidR="004C69A5" w:rsidRPr="007B410C">
        <w:t xml:space="preserve"> the </w:t>
      </w:r>
      <w:proofErr w:type="spellStart"/>
      <w:r w:rsidR="004C69A5" w:rsidRPr="007B410C">
        <w:t>Maha</w:t>
      </w:r>
      <w:proofErr w:type="spellEnd"/>
      <w:r w:rsidR="004C69A5" w:rsidRPr="007B410C">
        <w:t xml:space="preserve"> Bank, which covered the period from December 2012 to December 2013 and showed a </w:t>
      </w:r>
      <w:r w:rsidR="00CC0AF4">
        <w:t xml:space="preserve">minimum </w:t>
      </w:r>
      <w:r w:rsidR="004C69A5" w:rsidRPr="007B410C">
        <w:t xml:space="preserve">balance </w:t>
      </w:r>
      <w:r w:rsidR="00CC0AF4">
        <w:t xml:space="preserve">at March 2013 </w:t>
      </w:r>
      <w:r w:rsidR="004C69A5" w:rsidRPr="007B410C">
        <w:t xml:space="preserve">of </w:t>
      </w:r>
      <w:proofErr w:type="spellStart"/>
      <w:r w:rsidR="0044628B" w:rsidRPr="007B410C">
        <w:t>INR</w:t>
      </w:r>
      <w:proofErr w:type="spellEnd"/>
      <w:r w:rsidR="0044628B" w:rsidRPr="007B410C">
        <w:t xml:space="preserve"> </w:t>
      </w:r>
      <w:r w:rsidR="004C69A5" w:rsidRPr="007B410C">
        <w:t xml:space="preserve">246,810, amounting </w:t>
      </w:r>
      <w:r w:rsidR="00FD0AC8" w:rsidRPr="007B410C">
        <w:t xml:space="preserve">to approximately </w:t>
      </w:r>
      <w:proofErr w:type="spellStart"/>
      <w:r w:rsidR="004C69A5" w:rsidRPr="007B410C">
        <w:t>A</w:t>
      </w:r>
      <w:r w:rsidR="007A2608" w:rsidRPr="007B410C">
        <w:t>UD</w:t>
      </w:r>
      <w:proofErr w:type="spellEnd"/>
      <w:r w:rsidR="007A2608" w:rsidRPr="007B410C">
        <w:t xml:space="preserve"> </w:t>
      </w:r>
      <w:r w:rsidR="004C69A5" w:rsidRPr="007B410C">
        <w:t xml:space="preserve">4400.  The </w:t>
      </w:r>
      <w:r w:rsidR="007D4182" w:rsidRPr="007B410C">
        <w:t>T</w:t>
      </w:r>
      <w:r w:rsidR="004C69A5" w:rsidRPr="007B410C">
        <w:t>ribunal then referred to the bank statement from Axis Bank</w:t>
      </w:r>
      <w:r w:rsidR="00DC51AE" w:rsidRPr="007B410C">
        <w:t xml:space="preserve">, </w:t>
      </w:r>
      <w:r w:rsidR="004C69A5" w:rsidRPr="007B410C">
        <w:t>show</w:t>
      </w:r>
      <w:r w:rsidR="00DC51AE" w:rsidRPr="007B410C">
        <w:t>ing</w:t>
      </w:r>
      <w:r w:rsidR="004C69A5" w:rsidRPr="007B410C">
        <w:t xml:space="preserve"> monthly deposits of the first appellant’s father’s salary and </w:t>
      </w:r>
      <w:r w:rsidR="00DC51AE" w:rsidRPr="007B410C">
        <w:t>indicating</w:t>
      </w:r>
      <w:r w:rsidR="004C69A5" w:rsidRPr="007B410C">
        <w:t xml:space="preserve"> an opening balance of </w:t>
      </w:r>
      <w:proofErr w:type="spellStart"/>
      <w:r w:rsidR="00DC51AE" w:rsidRPr="007B410C">
        <w:t>INR</w:t>
      </w:r>
      <w:proofErr w:type="spellEnd"/>
      <w:r w:rsidR="00DC51AE" w:rsidRPr="007B410C">
        <w:t xml:space="preserve"> </w:t>
      </w:r>
      <w:r w:rsidR="004C69A5" w:rsidRPr="007B410C">
        <w:t>584,423.19</w:t>
      </w:r>
      <w:r w:rsidR="007477C5" w:rsidRPr="007B410C">
        <w:t xml:space="preserve"> </w:t>
      </w:r>
      <w:r w:rsidR="004C69A5" w:rsidRPr="007B410C">
        <w:t>on 1 July</w:t>
      </w:r>
      <w:r w:rsidR="007A2608" w:rsidRPr="007B410C">
        <w:t xml:space="preserve"> 2013</w:t>
      </w:r>
      <w:r w:rsidR="004C69A5" w:rsidRPr="007B410C">
        <w:t>.</w:t>
      </w:r>
      <w:r w:rsidR="005A1635" w:rsidRPr="007B410C">
        <w:t xml:space="preserve"> </w:t>
      </w:r>
      <w:r w:rsidR="009A5A66" w:rsidRPr="007B410C">
        <w:t>Although</w:t>
      </w:r>
      <w:r w:rsidR="004C69A5" w:rsidRPr="007B410C">
        <w:t xml:space="preserve"> the first appellant claim</w:t>
      </w:r>
      <w:r w:rsidR="0053507B">
        <w:t>ed</w:t>
      </w:r>
      <w:r w:rsidR="004C69A5" w:rsidRPr="007B410C">
        <w:t xml:space="preserve"> that this balance indicated that there had been adequate funds</w:t>
      </w:r>
      <w:r w:rsidR="004C69A5">
        <w:t xml:space="preserve"> in the account for the prior three months</w:t>
      </w:r>
      <w:r w:rsidR="009A5A66">
        <w:t>,</w:t>
      </w:r>
      <w:r w:rsidR="004C69A5">
        <w:t xml:space="preserve"> the </w:t>
      </w:r>
      <w:r w:rsidR="007D4182">
        <w:t>T</w:t>
      </w:r>
      <w:r w:rsidR="004C69A5">
        <w:t xml:space="preserve">ribunal found that this deposit did not establish evidence of funds held in the required period.  </w:t>
      </w:r>
    </w:p>
    <w:p w:rsidR="00F16C2B" w:rsidRDefault="004C69A5" w:rsidP="004C69A5">
      <w:pPr>
        <w:pStyle w:val="ParaNumbering"/>
      </w:pPr>
      <w:r>
        <w:t xml:space="preserve">It is evident from the reasoning of the </w:t>
      </w:r>
      <w:r w:rsidR="007D4182">
        <w:t>T</w:t>
      </w:r>
      <w:r>
        <w:t xml:space="preserve">ribunal that it did not deal in detail with the other financial records for the reason that they did not </w:t>
      </w:r>
      <w:r w:rsidR="00616617">
        <w:t xml:space="preserve">relate </w:t>
      </w:r>
      <w:r>
        <w:t xml:space="preserve">to the necessary period of time.  </w:t>
      </w:r>
      <w:r w:rsidR="004D50D1">
        <w:t>F</w:t>
      </w:r>
      <w:r>
        <w:t xml:space="preserve">or example, the four fixed deposits commenced in November 2013 and therefore said nothing about the balance in the relevant period.  </w:t>
      </w:r>
    </w:p>
    <w:p w:rsidR="00F6479A" w:rsidRDefault="004C69A5" w:rsidP="00366239">
      <w:pPr>
        <w:pStyle w:val="ParaNumbering"/>
        <w:tabs>
          <w:tab w:val="clear" w:pos="720"/>
        </w:tabs>
      </w:pPr>
      <w:r>
        <w:t xml:space="preserve">The first appellant told the </w:t>
      </w:r>
      <w:r w:rsidR="007D4182">
        <w:t>T</w:t>
      </w:r>
      <w:r>
        <w:t>ribunal that he could provide copies of bank statements going back seven years, if req</w:t>
      </w:r>
      <w:r w:rsidR="007D4182">
        <w:t>uired.  The hearing before the T</w:t>
      </w:r>
      <w:r>
        <w:t xml:space="preserve">ribunal was held on 30 January 2014 </w:t>
      </w:r>
      <w:r>
        <w:lastRenderedPageBreak/>
        <w:t xml:space="preserve">and the decision was made on 9 April 2014.  The first appellant provided no additional evidence in the interim. </w:t>
      </w:r>
      <w:r w:rsidR="00F6479A">
        <w:t xml:space="preserve">The Tribunal therefore determined: </w:t>
      </w:r>
    </w:p>
    <w:p w:rsidR="00F6479A" w:rsidRDefault="00F6479A" w:rsidP="00401BE5">
      <w:pPr>
        <w:pStyle w:val="Quote1"/>
        <w:numPr>
          <w:ilvl w:val="0"/>
          <w:numId w:val="34"/>
        </w:numPr>
      </w:pPr>
      <w:r>
        <w:t xml:space="preserve">……the applicant has not given evidence in accordance with the applicable Schedule </w:t>
      </w:r>
      <w:proofErr w:type="spellStart"/>
      <w:r>
        <w:t>5A</w:t>
      </w:r>
      <w:proofErr w:type="spellEnd"/>
      <w:r>
        <w:t xml:space="preserve"> requirements and therefore does not satisfy cl. 572.223(2</w:t>
      </w:r>
      <w:proofErr w:type="gramStart"/>
      <w:r>
        <w:t>)(</w:t>
      </w:r>
      <w:proofErr w:type="gramEnd"/>
      <w:r>
        <w:t xml:space="preserve">a). </w:t>
      </w:r>
    </w:p>
    <w:p w:rsidR="00F6479A" w:rsidRDefault="00F6479A" w:rsidP="00401BE5">
      <w:pPr>
        <w:pStyle w:val="Quote1"/>
        <w:ind w:left="1097"/>
      </w:pPr>
    </w:p>
    <w:p w:rsidR="00F6479A" w:rsidRDefault="00F6479A" w:rsidP="00401BE5">
      <w:pPr>
        <w:pStyle w:val="Quote1"/>
        <w:numPr>
          <w:ilvl w:val="0"/>
          <w:numId w:val="34"/>
        </w:numPr>
      </w:pPr>
      <w:r>
        <w:t>For these reasons, the Tribunal finds that criteria for the grant of a Subclass 572 visa are not met. As there is no evidence the applicant is eligible to be granted a student visa of another subclass, the decision under review must be affirmed.</w:t>
      </w:r>
    </w:p>
    <w:p w:rsidR="00F6479A" w:rsidRDefault="00F6479A" w:rsidP="00B871BA"/>
    <w:p w:rsidR="00F6479A" w:rsidRDefault="00F6479A" w:rsidP="00401BE5">
      <w:pPr>
        <w:pStyle w:val="Quote1"/>
        <w:numPr>
          <w:ilvl w:val="0"/>
          <w:numId w:val="34"/>
        </w:numPr>
      </w:pPr>
      <w:r>
        <w:t xml:space="preserve">As the primary applicant is not eligible for the grant of a visa, it follows that the application for Mrs </w:t>
      </w:r>
      <w:proofErr w:type="spellStart"/>
      <w:r>
        <w:t>Jignasaben</w:t>
      </w:r>
      <w:proofErr w:type="spellEnd"/>
      <w:r>
        <w:t xml:space="preserve"> </w:t>
      </w:r>
      <w:proofErr w:type="spellStart"/>
      <w:r>
        <w:t>Mineshkumar</w:t>
      </w:r>
      <w:proofErr w:type="spellEnd"/>
      <w:r>
        <w:t xml:space="preserve"> </w:t>
      </w:r>
      <w:proofErr w:type="spellStart"/>
      <w:r>
        <w:t>Barevadiya</w:t>
      </w:r>
      <w:proofErr w:type="spellEnd"/>
      <w:r>
        <w:t xml:space="preserve"> as secondary applicant must also fail. </w:t>
      </w:r>
    </w:p>
    <w:p w:rsidR="00F6479A" w:rsidRDefault="00F6479A" w:rsidP="00401BE5">
      <w:pPr>
        <w:pStyle w:val="ListParagraph"/>
      </w:pPr>
    </w:p>
    <w:p w:rsidR="00F6479A" w:rsidRDefault="00F6479A" w:rsidP="00401BE5">
      <w:pPr>
        <w:pStyle w:val="Quote1"/>
        <w:numPr>
          <w:ilvl w:val="0"/>
          <w:numId w:val="34"/>
        </w:numPr>
      </w:pPr>
      <w:r>
        <w:t xml:space="preserve">The Tribunal affirms the decisions not to grant the visa applicants Student (Temporary) (Class </w:t>
      </w:r>
      <w:proofErr w:type="spellStart"/>
      <w:r>
        <w:t>TU</w:t>
      </w:r>
      <w:proofErr w:type="spellEnd"/>
      <w:r>
        <w:t xml:space="preserve">) visas. </w:t>
      </w:r>
    </w:p>
    <w:p w:rsidR="007D4182" w:rsidRDefault="007D4182" w:rsidP="00401BE5">
      <w:pPr>
        <w:pStyle w:val="Quote1"/>
        <w:ind w:left="0"/>
      </w:pPr>
    </w:p>
    <w:p w:rsidR="007D4182" w:rsidRDefault="004C69A5" w:rsidP="0099320E">
      <w:pPr>
        <w:pStyle w:val="ParaNumbering"/>
      </w:pPr>
      <w:r>
        <w:t xml:space="preserve">The ground of challenge before the Federal Circuit Court was that the </w:t>
      </w:r>
      <w:r w:rsidR="007D4182">
        <w:t>T</w:t>
      </w:r>
      <w:r>
        <w:t xml:space="preserve">ribunal did not look at the financial documentary evidence. </w:t>
      </w:r>
      <w:r w:rsidR="00DE7F69">
        <w:t>The first appellant’s application for judicial review state</w:t>
      </w:r>
      <w:r w:rsidR="00094302">
        <w:t>d</w:t>
      </w:r>
      <w:r w:rsidR="00DE7F69">
        <w:t xml:space="preserve">, “I think the </w:t>
      </w:r>
      <w:proofErr w:type="spellStart"/>
      <w:r w:rsidR="00DE7F69">
        <w:t>MRT</w:t>
      </w:r>
      <w:proofErr w:type="spellEnd"/>
      <w:r w:rsidR="00DE7F69">
        <w:t xml:space="preserve"> and the Department of Immigration did not look at my financial document evidence at the time of application.”</w:t>
      </w:r>
      <w:r>
        <w:t xml:space="preserve"> </w:t>
      </w:r>
      <w:r w:rsidR="003C3297">
        <w:t xml:space="preserve">The </w:t>
      </w:r>
      <w:r w:rsidR="002677AE">
        <w:t xml:space="preserve">first </w:t>
      </w:r>
      <w:r w:rsidR="003C3297">
        <w:t>appellant identified two categories of financial documents that he says the Tribunal failed to take into account in making its decision</w:t>
      </w:r>
      <w:r w:rsidR="00F72F6C">
        <w:t>, being the Bank of India public provident f</w:t>
      </w:r>
      <w:r w:rsidR="00164184">
        <w:t xml:space="preserve">und in his father’s name (item 7) and the four fixed-term deposits under his grandfather’s name (items 1 to 4).  </w:t>
      </w:r>
      <w:r w:rsidR="00906C8C">
        <w:t xml:space="preserve">The Federal Circuit Court considered the documents and </w:t>
      </w:r>
      <w:r>
        <w:t xml:space="preserve">determined that </w:t>
      </w:r>
      <w:r w:rsidR="00906C8C">
        <w:t xml:space="preserve">they </w:t>
      </w:r>
      <w:r w:rsidR="003C58AA">
        <w:t>did not provide evidence of deposits held within the requisite period of time</w:t>
      </w:r>
      <w:r>
        <w:t xml:space="preserve">.  The </w:t>
      </w:r>
      <w:r w:rsidR="007D4182">
        <w:t>T</w:t>
      </w:r>
      <w:r>
        <w:t xml:space="preserve">ribunal </w:t>
      </w:r>
      <w:r w:rsidR="0025442B">
        <w:t xml:space="preserve">had </w:t>
      </w:r>
      <w:r>
        <w:t xml:space="preserve">therefore correctly put these matters out of consideration because they did not support the requirements of the regulations. </w:t>
      </w:r>
      <w:r w:rsidR="00937796" w:rsidRPr="00937796">
        <w:t xml:space="preserve">It had assessed the material before it and the decision it made was open to it.  </w:t>
      </w:r>
      <w:r w:rsidR="00E23C51">
        <w:t xml:space="preserve">The Federal Circuit Court held that the Tribunal had not made any jurisdictional error, and dismissed the application for judicial review.  </w:t>
      </w:r>
    </w:p>
    <w:p w:rsidR="00235BBE" w:rsidRDefault="004C69A5" w:rsidP="00BB0CC7">
      <w:pPr>
        <w:pStyle w:val="ParaNumbering"/>
      </w:pPr>
      <w:r w:rsidRPr="007D4182">
        <w:t>A notice of appeal was filed,</w:t>
      </w:r>
      <w:r w:rsidR="00235BBE">
        <w:t xml:space="preserve"> setting out the grounds of appeal as follows: </w:t>
      </w:r>
      <w:r w:rsidRPr="007D4182">
        <w:t xml:space="preserve"> </w:t>
      </w:r>
    </w:p>
    <w:p w:rsidR="00235BBE" w:rsidRDefault="00235BBE" w:rsidP="001E7A9C">
      <w:pPr>
        <w:pStyle w:val="Quote1"/>
        <w:numPr>
          <w:ilvl w:val="0"/>
          <w:numId w:val="24"/>
        </w:numPr>
      </w:pPr>
      <w:r>
        <w:t xml:space="preserve">The FM failed to find that the tribunal’s decision was in breach of s </w:t>
      </w:r>
      <w:proofErr w:type="spellStart"/>
      <w:r>
        <w:t>424A</w:t>
      </w:r>
      <w:proofErr w:type="spellEnd"/>
      <w:r>
        <w:t xml:space="preserve"> of the Migration Act 1958 (Cth) and therefore fall under jurisdictional error.</w:t>
      </w:r>
    </w:p>
    <w:p w:rsidR="00235BBE" w:rsidRDefault="00235BBE" w:rsidP="00040703">
      <w:pPr>
        <w:pStyle w:val="Quote2"/>
        <w:numPr>
          <w:ilvl w:val="1"/>
          <w:numId w:val="24"/>
        </w:numPr>
      </w:pPr>
      <w:r>
        <w:t xml:space="preserve">There was certain adverse information used by the Tribunal to affirm the decision under review and the Tribunal did not disclose </w:t>
      </w:r>
      <w:r w:rsidR="001E7A9C">
        <w:t xml:space="preserve">the information in accordance with s </w:t>
      </w:r>
      <w:proofErr w:type="spellStart"/>
      <w:r w:rsidR="001E7A9C">
        <w:t>424A</w:t>
      </w:r>
      <w:proofErr w:type="spellEnd"/>
    </w:p>
    <w:p w:rsidR="00C66FC3" w:rsidRDefault="00C66FC3" w:rsidP="00C66FC3">
      <w:pPr>
        <w:pStyle w:val="Quote1"/>
        <w:ind w:left="2522"/>
      </w:pPr>
    </w:p>
    <w:p w:rsidR="001E7A9C" w:rsidRDefault="00C66FC3" w:rsidP="001E7A9C">
      <w:pPr>
        <w:pStyle w:val="Quote1"/>
        <w:numPr>
          <w:ilvl w:val="0"/>
          <w:numId w:val="24"/>
        </w:numPr>
      </w:pPr>
      <w:r>
        <w:t>I arrive in Australia in February 2006 on student visa. Science</w:t>
      </w:r>
      <w:r w:rsidR="004D489F">
        <w:t xml:space="preserve"> [sic]</w:t>
      </w:r>
      <w:r>
        <w:t xml:space="preserve"> then I has applied for extension of my visa several time with my father’s and grandfather’s finance and same bank documents. Previously immigration </w:t>
      </w:r>
      <w:r>
        <w:lastRenderedPageBreak/>
        <w:t xml:space="preserve">department never found problem with my finance I think department and </w:t>
      </w:r>
      <w:proofErr w:type="spellStart"/>
      <w:r>
        <w:t>MRT</w:t>
      </w:r>
      <w:proofErr w:type="spellEnd"/>
      <w:r>
        <w:t xml:space="preserve"> tribunal misunderstood my document. </w:t>
      </w:r>
    </w:p>
    <w:p w:rsidR="000A3909" w:rsidRPr="000A3909" w:rsidRDefault="004D489F" w:rsidP="00E07972">
      <w:pPr>
        <w:pStyle w:val="ParaNumbering"/>
      </w:pPr>
      <w:r>
        <w:t>Ground 1 relies on</w:t>
      </w:r>
      <w:r w:rsidR="00E973C9">
        <w:t xml:space="preserve"> </w:t>
      </w:r>
      <w:r>
        <w:t xml:space="preserve">s </w:t>
      </w:r>
      <w:proofErr w:type="spellStart"/>
      <w:r w:rsidR="00E973C9">
        <w:t>424A</w:t>
      </w:r>
      <w:proofErr w:type="spellEnd"/>
      <w:r w:rsidR="00E973C9">
        <w:t xml:space="preserve"> </w:t>
      </w:r>
      <w:r w:rsidR="00235BBE">
        <w:t xml:space="preserve">of the </w:t>
      </w:r>
      <w:r w:rsidR="00235BBE" w:rsidRPr="00235BBE">
        <w:rPr>
          <w:i/>
        </w:rPr>
        <w:t>Migration Act 1958</w:t>
      </w:r>
      <w:r w:rsidR="00235BBE">
        <w:t xml:space="preserve"> (Cth) (the Act) </w:t>
      </w:r>
      <w:r>
        <w:t xml:space="preserve">which </w:t>
      </w:r>
      <w:r w:rsidR="00E973C9">
        <w:t>applies to Part 7 Reviewable Decisions</w:t>
      </w:r>
      <w:r w:rsidR="00BB0CC7">
        <w:t xml:space="preserve">, which are decisions that </w:t>
      </w:r>
      <w:r w:rsidR="00BB0CC7" w:rsidRPr="00BB0CC7">
        <w:t>relate to the grant or cancellation of protection visas</w:t>
      </w:r>
      <w:r>
        <w:t>:</w:t>
      </w:r>
      <w:r w:rsidR="00E973C9">
        <w:t xml:space="preserve"> </w:t>
      </w:r>
      <w:bookmarkStart w:id="23" w:name="Volume_2__Toc425251695"/>
      <w:bookmarkEnd w:id="23"/>
    </w:p>
    <w:p w:rsidR="000A3909" w:rsidRPr="000A3909" w:rsidRDefault="000A3909" w:rsidP="00CD0931">
      <w:pPr>
        <w:pStyle w:val="Quote1"/>
      </w:pPr>
      <w:r w:rsidRPr="000A3909">
        <w:t xml:space="preserve">(1) </w:t>
      </w:r>
      <w:r w:rsidR="00E973C9" w:rsidRPr="000A3909">
        <w:t>Subject to subsections (</w:t>
      </w:r>
      <w:proofErr w:type="spellStart"/>
      <w:r w:rsidR="00E973C9" w:rsidRPr="000A3909">
        <w:t>2A</w:t>
      </w:r>
      <w:proofErr w:type="spellEnd"/>
      <w:r w:rsidR="00E973C9" w:rsidRPr="000A3909">
        <w:t>) and (3), the Tribunal must:</w:t>
      </w:r>
    </w:p>
    <w:p w:rsidR="000A3909" w:rsidRDefault="000A3909" w:rsidP="000A3909">
      <w:pPr>
        <w:pStyle w:val="Quote1"/>
      </w:pPr>
    </w:p>
    <w:p w:rsidR="000A3909" w:rsidRPr="000A3909" w:rsidRDefault="00E973C9" w:rsidP="000A3909">
      <w:pPr>
        <w:pStyle w:val="Quote1"/>
      </w:pPr>
      <w:r w:rsidRPr="000A3909">
        <w:t>(a)  give to the applicant, in the way that the Tribunal considers appropriate in the circumstances, clear particulars of any information that the Tribunal considers would be the reason, or a part of the reason, for affirming the decision that is under review; and</w:t>
      </w:r>
    </w:p>
    <w:p w:rsidR="00E973C9" w:rsidRPr="000A3909" w:rsidRDefault="00E973C9" w:rsidP="00CD0931">
      <w:pPr>
        <w:pStyle w:val="Quote1"/>
      </w:pPr>
      <w:r w:rsidRPr="000A3909">
        <w:t xml:space="preserve">(b)  </w:t>
      </w:r>
      <w:proofErr w:type="gramStart"/>
      <w:r w:rsidRPr="000A3909">
        <w:t>ensure</w:t>
      </w:r>
      <w:proofErr w:type="gramEnd"/>
      <w:r w:rsidRPr="000A3909">
        <w:t>, as far as is reasonably practicable, that the applicant understands why it is relevant to the review, and the consequences of it being relied on in affirming the decision that is under review; and</w:t>
      </w:r>
    </w:p>
    <w:p w:rsidR="00E973C9" w:rsidRPr="000A3909" w:rsidRDefault="00E973C9" w:rsidP="0035012F">
      <w:pPr>
        <w:pStyle w:val="Quote1"/>
      </w:pPr>
      <w:r w:rsidRPr="000A3909">
        <w:t xml:space="preserve">(c)  </w:t>
      </w:r>
      <w:proofErr w:type="gramStart"/>
      <w:r w:rsidRPr="000A3909">
        <w:t>invite</w:t>
      </w:r>
      <w:proofErr w:type="gramEnd"/>
      <w:r w:rsidRPr="000A3909">
        <w:t xml:space="preserve"> the applicant to comment on or respond to it.</w:t>
      </w:r>
    </w:p>
    <w:p w:rsidR="00EA46C0" w:rsidRDefault="003602AF" w:rsidP="00040703">
      <w:pPr>
        <w:pStyle w:val="NoNum"/>
      </w:pPr>
      <w:r w:rsidRPr="00E07972">
        <w:t xml:space="preserve">This ground </w:t>
      </w:r>
      <w:r w:rsidR="004C69A5" w:rsidRPr="003602AF">
        <w:t>was not</w:t>
      </w:r>
      <w:r w:rsidR="00E973C9" w:rsidRPr="003602AF">
        <w:t xml:space="preserve"> available in the circumstances</w:t>
      </w:r>
      <w:r w:rsidR="007B28C4" w:rsidRPr="003602AF">
        <w:t xml:space="preserve"> as the visa in question was not a protection visa</w:t>
      </w:r>
      <w:r w:rsidR="00E973C9" w:rsidRPr="003602AF">
        <w:t>.</w:t>
      </w:r>
      <w:r w:rsidRPr="003602AF">
        <w:t xml:space="preserve"> In any event, the ground was not pressed.</w:t>
      </w:r>
      <w:r>
        <w:t xml:space="preserve"> </w:t>
      </w:r>
      <w:r w:rsidR="004C69A5" w:rsidRPr="007D4182">
        <w:t xml:space="preserve"> </w:t>
      </w:r>
    </w:p>
    <w:p w:rsidR="000A3909" w:rsidRDefault="00E973C9" w:rsidP="00EA46C0">
      <w:pPr>
        <w:pStyle w:val="ParaNumbering"/>
      </w:pPr>
      <w:r>
        <w:t xml:space="preserve">Section </w:t>
      </w:r>
      <w:proofErr w:type="spellStart"/>
      <w:r>
        <w:t>359A</w:t>
      </w:r>
      <w:proofErr w:type="spellEnd"/>
      <w:r>
        <w:t xml:space="preserve"> of the Act</w:t>
      </w:r>
      <w:r w:rsidR="00EA46C0">
        <w:t xml:space="preserve"> appl</w:t>
      </w:r>
      <w:r w:rsidR="000A3909">
        <w:t>i</w:t>
      </w:r>
      <w:r w:rsidR="00EA46C0">
        <w:t>es to Part 5 Reviewable Decisions, which are decisions that relate to the grant or cancellation of vi</w:t>
      </w:r>
      <w:r w:rsidR="000A3909">
        <w:t xml:space="preserve">sas other than protection visas. </w:t>
      </w:r>
      <w:r w:rsidR="003A0661">
        <w:t>That</w:t>
      </w:r>
      <w:r w:rsidR="000A3909">
        <w:t xml:space="preserve"> section</w:t>
      </w:r>
      <w:r w:rsidR="004C1708">
        <w:t xml:space="preserve"> relevantly</w:t>
      </w:r>
      <w:r w:rsidR="000A3909">
        <w:t xml:space="preserve"> provides: </w:t>
      </w:r>
    </w:p>
    <w:p w:rsidR="000A3909" w:rsidRPr="000A3909" w:rsidRDefault="000A3909" w:rsidP="000A3909">
      <w:pPr>
        <w:pStyle w:val="Quote1"/>
        <w:rPr>
          <w:b/>
        </w:rPr>
      </w:pPr>
      <w:r>
        <w:t xml:space="preserve"> </w:t>
      </w:r>
      <w:r w:rsidR="004C69A5" w:rsidRPr="007D4182">
        <w:t xml:space="preserve"> </w:t>
      </w:r>
      <w:bookmarkStart w:id="24" w:name="Volume_2__Toc425251632"/>
      <w:bookmarkEnd w:id="24"/>
      <w:proofErr w:type="spellStart"/>
      <w:r w:rsidRPr="000A3909">
        <w:rPr>
          <w:b/>
        </w:rPr>
        <w:t>359A</w:t>
      </w:r>
      <w:proofErr w:type="spellEnd"/>
      <w:proofErr w:type="gramStart"/>
      <w:r w:rsidRPr="000A3909">
        <w:rPr>
          <w:b/>
        </w:rPr>
        <w:t>  Information</w:t>
      </w:r>
      <w:proofErr w:type="gramEnd"/>
      <w:r w:rsidRPr="000A3909">
        <w:rPr>
          <w:b/>
        </w:rPr>
        <w:t xml:space="preserve"> and invitation given in writing by Tribunal</w:t>
      </w:r>
    </w:p>
    <w:p w:rsidR="000A3909" w:rsidRDefault="000A3909" w:rsidP="000A3909">
      <w:pPr>
        <w:pStyle w:val="Quote1"/>
      </w:pPr>
    </w:p>
    <w:p w:rsidR="000A3909" w:rsidRPr="000A3909" w:rsidRDefault="000A3909" w:rsidP="000A3909">
      <w:pPr>
        <w:pStyle w:val="Quote1"/>
      </w:pPr>
      <w:r w:rsidRPr="000A3909">
        <w:t>(1)  Subject to subsections (2) and (3), the Tribunal must:</w:t>
      </w:r>
    </w:p>
    <w:p w:rsidR="000A3909" w:rsidRDefault="000A3909" w:rsidP="000A3909">
      <w:pPr>
        <w:pStyle w:val="Quote1"/>
      </w:pPr>
    </w:p>
    <w:p w:rsidR="000A3909" w:rsidRPr="000A3909" w:rsidRDefault="000A3909" w:rsidP="000A3909">
      <w:pPr>
        <w:pStyle w:val="Quote1"/>
      </w:pPr>
      <w:r w:rsidRPr="000A3909">
        <w:t>(a)  give to the applicant, in the way that the Tribunal considers appropriate in the circumstances, clear particulars of any information that the Tribunal considers would be the reason, or a part of the reason, for affirming the decision that is under review; and</w:t>
      </w:r>
    </w:p>
    <w:p w:rsidR="000A3909" w:rsidRPr="000A3909" w:rsidRDefault="000A3909" w:rsidP="000A3909">
      <w:pPr>
        <w:pStyle w:val="Quote1"/>
      </w:pPr>
      <w:r w:rsidRPr="000A3909">
        <w:t xml:space="preserve">(b)  </w:t>
      </w:r>
      <w:proofErr w:type="gramStart"/>
      <w:r w:rsidRPr="000A3909">
        <w:t>ensure</w:t>
      </w:r>
      <w:proofErr w:type="gramEnd"/>
      <w:r w:rsidRPr="000A3909">
        <w:t>, as far as is reasonably practicable, that the applicant understands why it is relevant to the review, and the consequences of it being relied on in affirming the decision that is under review; and</w:t>
      </w:r>
    </w:p>
    <w:p w:rsidR="000A3909" w:rsidRPr="000A3909" w:rsidRDefault="000A3909" w:rsidP="000A3909">
      <w:pPr>
        <w:pStyle w:val="Quote1"/>
      </w:pPr>
      <w:r w:rsidRPr="000A3909">
        <w:t xml:space="preserve">(c)  </w:t>
      </w:r>
      <w:proofErr w:type="gramStart"/>
      <w:r w:rsidRPr="000A3909">
        <w:t>invite</w:t>
      </w:r>
      <w:proofErr w:type="gramEnd"/>
      <w:r w:rsidRPr="000A3909">
        <w:t xml:space="preserve"> the applicant to comment on or respond to it.</w:t>
      </w:r>
    </w:p>
    <w:p w:rsidR="000A3909" w:rsidRDefault="000A3909" w:rsidP="000A3909">
      <w:pPr>
        <w:pStyle w:val="Quote1"/>
      </w:pPr>
    </w:p>
    <w:p w:rsidR="000A3909" w:rsidRDefault="005E3446" w:rsidP="002079CC">
      <w:pPr>
        <w:pStyle w:val="Quote1"/>
        <w:ind w:left="0" w:firstLine="720"/>
      </w:pPr>
      <w:r>
        <w:t>……</w:t>
      </w:r>
    </w:p>
    <w:p w:rsidR="000A3909" w:rsidRDefault="000A3909" w:rsidP="002079CC">
      <w:pPr>
        <w:pStyle w:val="Quote1"/>
        <w:ind w:left="0" w:firstLine="720"/>
      </w:pPr>
    </w:p>
    <w:p w:rsidR="000A3909" w:rsidRPr="000A3909" w:rsidRDefault="000A3909" w:rsidP="000A3909">
      <w:pPr>
        <w:pStyle w:val="Quote1"/>
      </w:pPr>
      <w:r w:rsidRPr="000A3909">
        <w:t>(4)  This section does not apply to information:</w:t>
      </w:r>
    </w:p>
    <w:p w:rsidR="000A3909" w:rsidRPr="000A3909" w:rsidRDefault="000A3909" w:rsidP="000A3909">
      <w:pPr>
        <w:pStyle w:val="Quote1"/>
      </w:pPr>
      <w:r w:rsidRPr="000A3909">
        <w:t>(</w:t>
      </w:r>
      <w:proofErr w:type="gramStart"/>
      <w:r w:rsidRPr="000A3909">
        <w:t>a</w:t>
      </w:r>
      <w:proofErr w:type="gramEnd"/>
      <w:r w:rsidRPr="000A3909">
        <w:t>)  that is not specifically about the applicant or another person and is just about a class of persons of which the applicant or other person is a member; or</w:t>
      </w:r>
    </w:p>
    <w:p w:rsidR="000A3909" w:rsidRPr="000A3909" w:rsidRDefault="000A3909" w:rsidP="000A3909">
      <w:pPr>
        <w:pStyle w:val="Quote1"/>
      </w:pPr>
      <w:r w:rsidRPr="000A3909">
        <w:t xml:space="preserve">(b)  </w:t>
      </w:r>
      <w:proofErr w:type="gramStart"/>
      <w:r w:rsidRPr="000A3909">
        <w:t>that</w:t>
      </w:r>
      <w:proofErr w:type="gramEnd"/>
      <w:r w:rsidRPr="000A3909">
        <w:t xml:space="preserve"> the applicant gave for the purpose of the application for review; or</w:t>
      </w:r>
    </w:p>
    <w:p w:rsidR="000A3909" w:rsidRPr="000A3909" w:rsidRDefault="000A3909" w:rsidP="000A3909">
      <w:pPr>
        <w:pStyle w:val="Quote1"/>
      </w:pPr>
      <w:r w:rsidRPr="000A3909">
        <w:t>(</w:t>
      </w:r>
      <w:proofErr w:type="spellStart"/>
      <w:proofErr w:type="gramStart"/>
      <w:r w:rsidRPr="000A3909">
        <w:t>ba</w:t>
      </w:r>
      <w:proofErr w:type="spellEnd"/>
      <w:proofErr w:type="gramEnd"/>
      <w:r w:rsidRPr="000A3909">
        <w:t>)  that the applicant gave during the process that led to the decision that is under review, other than such information that was provided orally by the applicant to the Department; or</w:t>
      </w:r>
    </w:p>
    <w:p w:rsidR="00235BBE" w:rsidRDefault="000A3909" w:rsidP="0035012F">
      <w:pPr>
        <w:pStyle w:val="Quote1"/>
      </w:pPr>
      <w:r w:rsidRPr="000A3909">
        <w:t>(</w:t>
      </w:r>
      <w:proofErr w:type="gramStart"/>
      <w:r w:rsidRPr="000A3909">
        <w:t>c</w:t>
      </w:r>
      <w:proofErr w:type="gramEnd"/>
      <w:r w:rsidRPr="000A3909">
        <w:t>)  that is non</w:t>
      </w:r>
      <w:r w:rsidRPr="000A3909">
        <w:noBreakHyphen/>
      </w:r>
      <w:proofErr w:type="spellStart"/>
      <w:r w:rsidRPr="000A3909">
        <w:t>disclosable</w:t>
      </w:r>
      <w:proofErr w:type="spellEnd"/>
      <w:r w:rsidRPr="000A3909">
        <w:t xml:space="preserve"> information.</w:t>
      </w:r>
    </w:p>
    <w:p w:rsidR="003836B9" w:rsidRDefault="003836B9" w:rsidP="003836B9">
      <w:pPr>
        <w:pStyle w:val="Quote1"/>
        <w:ind w:left="0"/>
      </w:pPr>
    </w:p>
    <w:p w:rsidR="007D4182" w:rsidRDefault="00EA46C0" w:rsidP="00040703">
      <w:pPr>
        <w:pStyle w:val="NoNum"/>
      </w:pPr>
      <w:r>
        <w:lastRenderedPageBreak/>
        <w:t xml:space="preserve">Section </w:t>
      </w:r>
      <w:proofErr w:type="spellStart"/>
      <w:r>
        <w:t>359A</w:t>
      </w:r>
      <w:proofErr w:type="spellEnd"/>
      <w:r>
        <w:t xml:space="preserve"> </w:t>
      </w:r>
      <w:r w:rsidR="00E973C9">
        <w:t xml:space="preserve">did apply in the </w:t>
      </w:r>
      <w:r>
        <w:t>circumstances</w:t>
      </w:r>
      <w:r w:rsidR="004D489F">
        <w:t>.</w:t>
      </w:r>
      <w:r w:rsidR="004C69A5" w:rsidRPr="007D4182">
        <w:t xml:space="preserve"> </w:t>
      </w:r>
      <w:r w:rsidR="004D489F">
        <w:t>H</w:t>
      </w:r>
      <w:r w:rsidR="004C69A5" w:rsidRPr="007D4182">
        <w:t xml:space="preserve">owever, </w:t>
      </w:r>
      <w:r w:rsidR="004D489F">
        <w:t>there was no</w:t>
      </w:r>
      <w:r w:rsidR="004C69A5" w:rsidRPr="007D4182">
        <w:t xml:space="preserve"> breach of this section</w:t>
      </w:r>
      <w:r w:rsidR="004D489F">
        <w:t>, because</w:t>
      </w:r>
      <w:r w:rsidR="004C69A5" w:rsidRPr="007D4182">
        <w:t xml:space="preserve"> </w:t>
      </w:r>
      <w:r w:rsidR="004D489F">
        <w:t>t</w:t>
      </w:r>
      <w:r w:rsidR="004C69A5" w:rsidRPr="007D4182">
        <w:t xml:space="preserve">he material relied on by the </w:t>
      </w:r>
      <w:r w:rsidR="007D4182" w:rsidRPr="007D4182">
        <w:t>T</w:t>
      </w:r>
      <w:r w:rsidR="004C69A5" w:rsidRPr="007D4182">
        <w:t xml:space="preserve">ribunal was material supplied by the appellants and hence within the exception </w:t>
      </w:r>
      <w:r w:rsidR="00AF3070">
        <w:t>in</w:t>
      </w:r>
      <w:r w:rsidR="00AF3070" w:rsidRPr="007D4182">
        <w:t xml:space="preserve"> </w:t>
      </w:r>
      <w:r w:rsidR="007D4182" w:rsidRPr="007D4182">
        <w:t>s </w:t>
      </w:r>
      <w:proofErr w:type="spellStart"/>
      <w:proofErr w:type="gramStart"/>
      <w:r w:rsidR="004C69A5" w:rsidRPr="007D4182">
        <w:t>359A</w:t>
      </w:r>
      <w:proofErr w:type="spellEnd"/>
      <w:r w:rsidR="004C69A5" w:rsidRPr="007D4182">
        <w:t>(</w:t>
      </w:r>
      <w:proofErr w:type="gramEnd"/>
      <w:r w:rsidR="004C69A5" w:rsidRPr="007D4182">
        <w:t>4)(b)</w:t>
      </w:r>
      <w:r w:rsidR="007D4182" w:rsidRPr="007D4182">
        <w:t xml:space="preserve"> of the Act</w:t>
      </w:r>
      <w:r w:rsidR="004C69A5" w:rsidRPr="007D4182">
        <w:t xml:space="preserve">.  </w:t>
      </w:r>
    </w:p>
    <w:p w:rsidR="001C1956" w:rsidRDefault="00235BBE" w:rsidP="001C1956">
      <w:pPr>
        <w:pStyle w:val="ParaNumbering"/>
      </w:pPr>
      <w:r w:rsidRPr="007D4182">
        <w:t xml:space="preserve">The first appellant appeared at the hearing of the appeal. </w:t>
      </w:r>
      <w:r w:rsidR="00407271">
        <w:t>He argued that the Tribunal did not understand his financial documents.</w:t>
      </w:r>
      <w:r w:rsidRPr="007D4182">
        <w:t xml:space="preserve"> </w:t>
      </w:r>
      <w:r w:rsidR="001C1956" w:rsidRPr="007B410C">
        <w:t>It does appear that the Tribunal failed to have regard to the provident fund statement</w:t>
      </w:r>
      <w:r w:rsidR="001C1956">
        <w:t xml:space="preserve"> (item 5)</w:t>
      </w:r>
      <w:r w:rsidR="001C1956" w:rsidRPr="007B410C">
        <w:t xml:space="preserve"> submitted to the delegate and amounting to </w:t>
      </w:r>
      <w:proofErr w:type="spellStart"/>
      <w:r w:rsidR="001C1956" w:rsidRPr="007B410C">
        <w:t>INR</w:t>
      </w:r>
      <w:proofErr w:type="spellEnd"/>
      <w:r w:rsidR="001C1956" w:rsidRPr="007B410C">
        <w:t xml:space="preserve"> 900,820.  However, nothing turns on that omission because even </w:t>
      </w:r>
      <w:r w:rsidR="001C1956">
        <w:t>if</w:t>
      </w:r>
      <w:r w:rsidR="001C1956" w:rsidRPr="007B410C">
        <w:t xml:space="preserve"> the Tribunal </w:t>
      </w:r>
      <w:r w:rsidR="001C1956">
        <w:t xml:space="preserve">had </w:t>
      </w:r>
      <w:r w:rsidR="001C1956" w:rsidRPr="007B410C">
        <w:t xml:space="preserve">taken it into account, it would not have contributed sufficient funds to bring the deposit to the required amount.  It would have contributed </w:t>
      </w:r>
      <w:r w:rsidR="00734E5B" w:rsidRPr="007B410C">
        <w:t>a</w:t>
      </w:r>
      <w:r w:rsidR="00734E5B">
        <w:t>pproximately</w:t>
      </w:r>
      <w:r w:rsidR="00734E5B" w:rsidRPr="007B410C">
        <w:t xml:space="preserve"> </w:t>
      </w:r>
      <w:proofErr w:type="spellStart"/>
      <w:r w:rsidR="001C1956" w:rsidRPr="007B410C">
        <w:t>AUD</w:t>
      </w:r>
      <w:proofErr w:type="spellEnd"/>
      <w:r w:rsidR="001C1956" w:rsidRPr="007B410C">
        <w:t xml:space="preserve"> 15,000 to the </w:t>
      </w:r>
      <w:proofErr w:type="spellStart"/>
      <w:r w:rsidR="001C1956" w:rsidRPr="007B410C">
        <w:t>AUD</w:t>
      </w:r>
      <w:proofErr w:type="spellEnd"/>
      <w:r w:rsidR="001C1956" w:rsidRPr="007B410C">
        <w:t xml:space="preserve"> 4,400 in the savings account. These combined figures amount to less than the required </w:t>
      </w:r>
      <w:proofErr w:type="spellStart"/>
      <w:r w:rsidR="001C1956" w:rsidRPr="007B410C">
        <w:t>AUD</w:t>
      </w:r>
      <w:proofErr w:type="spellEnd"/>
      <w:r w:rsidR="001C1956" w:rsidRPr="007B410C">
        <w:t xml:space="preserve"> 31,265. Furthermore,</w:t>
      </w:r>
      <w:r w:rsidR="001C1956">
        <w:t xml:space="preserve"> the provident fund statement provides evidence of the balance as at March 2013, which is prior to the required dates.  </w:t>
      </w:r>
    </w:p>
    <w:p w:rsidR="00323F68" w:rsidRDefault="005A32A6" w:rsidP="00CD0931">
      <w:pPr>
        <w:pStyle w:val="ParaNumbering"/>
      </w:pPr>
      <w:r>
        <w:t>The first appellant</w:t>
      </w:r>
      <w:r w:rsidR="00293DB2">
        <w:t xml:space="preserve"> </w:t>
      </w:r>
      <w:r w:rsidR="004C69A5">
        <w:t xml:space="preserve">told the </w:t>
      </w:r>
      <w:r w:rsidR="00CF68A4">
        <w:t>C</w:t>
      </w:r>
      <w:r w:rsidR="004C69A5">
        <w:t>ourt that the provident fund statement</w:t>
      </w:r>
      <w:r>
        <w:t>,</w:t>
      </w:r>
      <w:r w:rsidR="00CD299B">
        <w:t xml:space="preserve"> </w:t>
      </w:r>
      <w:r w:rsidR="004C69A5">
        <w:t xml:space="preserve">as at 30 March 2013, related to the end of the </w:t>
      </w:r>
      <w:r w:rsidR="00D723B3">
        <w:t xml:space="preserve">Indian </w:t>
      </w:r>
      <w:r w:rsidR="004C69A5">
        <w:t xml:space="preserve">financial year.  He said that his father </w:t>
      </w:r>
      <w:r w:rsidR="00293DB2">
        <w:t xml:space="preserve">was </w:t>
      </w:r>
      <w:r w:rsidR="004C69A5">
        <w:t>retired at that time and that the provident fund amount w</w:t>
      </w:r>
      <w:r w:rsidR="00D723B3">
        <w:t>as</w:t>
      </w:r>
      <w:r w:rsidR="004C69A5">
        <w:t xml:space="preserve"> to be transferred to the personal account of his father thereafter.  He said that he </w:t>
      </w:r>
      <w:r w:rsidR="00293DB2">
        <w:t xml:space="preserve">had </w:t>
      </w:r>
      <w:r w:rsidR="004C69A5">
        <w:t xml:space="preserve">told the </w:t>
      </w:r>
      <w:r w:rsidR="00293DB2">
        <w:t xml:space="preserve">Tribunal </w:t>
      </w:r>
      <w:r w:rsidR="004C69A5">
        <w:t xml:space="preserve">these things.  </w:t>
      </w:r>
      <w:r w:rsidR="001F386C">
        <w:t xml:space="preserve">The </w:t>
      </w:r>
      <w:r w:rsidR="002677AE">
        <w:t xml:space="preserve">first </w:t>
      </w:r>
      <w:r w:rsidR="001F386C">
        <w:t xml:space="preserve">appellant did not, however, </w:t>
      </w:r>
      <w:r w:rsidR="004C69A5">
        <w:t xml:space="preserve">provide to the </w:t>
      </w:r>
      <w:r w:rsidR="007D4182">
        <w:t>T</w:t>
      </w:r>
      <w:r w:rsidR="004C69A5">
        <w:t xml:space="preserve">ribunal, </w:t>
      </w:r>
      <w:r w:rsidR="00293DB2">
        <w:t xml:space="preserve">in the period of over two months </w:t>
      </w:r>
      <w:r w:rsidR="004C69A5">
        <w:t>between the hearing</w:t>
      </w:r>
      <w:r w:rsidR="007D4182">
        <w:t xml:space="preserve"> and the date of the decision, </w:t>
      </w:r>
      <w:r w:rsidR="004C69A5">
        <w:t xml:space="preserve">documents supporting the transfer of funds into his father’s account.  He explained that the reason he did not </w:t>
      </w:r>
      <w:r w:rsidR="00293DB2">
        <w:t>provide any further documents</w:t>
      </w:r>
      <w:r w:rsidR="004C69A5">
        <w:t xml:space="preserve"> was </w:t>
      </w:r>
      <w:r w:rsidR="00293DB2">
        <w:t xml:space="preserve">because </w:t>
      </w:r>
      <w:r w:rsidR="004C69A5">
        <w:t>he was experiencing some difficulties in his personal life. The second appellant, his wife, was not well and his parents had come to Australia</w:t>
      </w:r>
      <w:r w:rsidR="00185FE3">
        <w:t xml:space="preserve"> from India</w:t>
      </w:r>
      <w:r w:rsidR="004C69A5">
        <w:t xml:space="preserve"> in order to help her.  </w:t>
      </w:r>
      <w:r w:rsidR="00BF33D3">
        <w:t>He submitted that it was</w:t>
      </w:r>
      <w:r w:rsidR="004C69A5">
        <w:t xml:space="preserve"> not possible to obtain the </w:t>
      </w:r>
      <w:r w:rsidR="00BF33D3">
        <w:t xml:space="preserve">relevant </w:t>
      </w:r>
      <w:r w:rsidR="004C69A5">
        <w:t xml:space="preserve">documents </w:t>
      </w:r>
      <w:r w:rsidR="00185FE3">
        <w:t xml:space="preserve">from India </w:t>
      </w:r>
      <w:r w:rsidR="00BF33D3">
        <w:t xml:space="preserve">during </w:t>
      </w:r>
      <w:r w:rsidR="004C69A5">
        <w:t xml:space="preserve">that time.  </w:t>
      </w:r>
    </w:p>
    <w:p w:rsidR="007D4182" w:rsidRDefault="004C69A5" w:rsidP="00323F68">
      <w:pPr>
        <w:pStyle w:val="ParaNumbering"/>
      </w:pPr>
      <w:r>
        <w:t>The first appellant</w:t>
      </w:r>
      <w:r w:rsidR="00185FE3">
        <w:t xml:space="preserve"> </w:t>
      </w:r>
      <w:r>
        <w:t xml:space="preserve">did not rely on these matters before the Federal Circuit Court.  Rather, he relied on what he said was the failure of the </w:t>
      </w:r>
      <w:r w:rsidR="007D4182">
        <w:t>T</w:t>
      </w:r>
      <w:r>
        <w:t xml:space="preserve">ribunal to take into </w:t>
      </w:r>
      <w:proofErr w:type="gramStart"/>
      <w:r>
        <w:t>account</w:t>
      </w:r>
      <w:proofErr w:type="gramEnd"/>
      <w:r>
        <w:t xml:space="preserve"> the documents </w:t>
      </w:r>
      <w:r w:rsidR="00BF33D3">
        <w:t xml:space="preserve">that </w:t>
      </w:r>
      <w:r w:rsidR="00323F68">
        <w:t>were before it.</w:t>
      </w:r>
      <w:r>
        <w:t xml:space="preserve"> </w:t>
      </w:r>
      <w:r w:rsidR="00AF29C1">
        <w:t xml:space="preserve">The </w:t>
      </w:r>
      <w:proofErr w:type="gramStart"/>
      <w:r w:rsidR="00AF29C1">
        <w:t>transcript of the proceedings before the Tribunal are</w:t>
      </w:r>
      <w:proofErr w:type="gramEnd"/>
      <w:r w:rsidR="00AF29C1">
        <w:t xml:space="preserve"> not before this Court.  </w:t>
      </w:r>
      <w:r>
        <w:t xml:space="preserve">It is therefore not possible to say whether the first appellant explained to the </w:t>
      </w:r>
      <w:r w:rsidR="007D4182">
        <w:t>T</w:t>
      </w:r>
      <w:r>
        <w:t>ribunal the matters put before th</w:t>
      </w:r>
      <w:r w:rsidR="007A3860">
        <w:t>is</w:t>
      </w:r>
      <w:r>
        <w:t xml:space="preserve"> </w:t>
      </w:r>
      <w:r w:rsidR="007D4182">
        <w:t>C</w:t>
      </w:r>
      <w:r>
        <w:t xml:space="preserve">ourt.  The difficulty for the first appellant is that even if one were to accept that he did put the matter to the </w:t>
      </w:r>
      <w:r w:rsidR="007D4182">
        <w:t>T</w:t>
      </w:r>
      <w:r>
        <w:t>ribunal and that he could have produced documents showing that the provident fund account was transferred to his father’s personal account</w:t>
      </w:r>
      <w:r w:rsidR="0062319E">
        <w:t xml:space="preserve">, </w:t>
      </w:r>
      <w:r w:rsidR="00305BCB">
        <w:t xml:space="preserve">the total </w:t>
      </w:r>
      <w:r w:rsidR="00137529">
        <w:t xml:space="preserve">deposits in the relevant period </w:t>
      </w:r>
      <w:r w:rsidR="00305BCB">
        <w:t xml:space="preserve">would </w:t>
      </w:r>
      <w:r w:rsidR="00A951ED">
        <w:t xml:space="preserve">be </w:t>
      </w:r>
      <w:r>
        <w:t xml:space="preserve">insufficient </w:t>
      </w:r>
      <w:r w:rsidR="00782C17">
        <w:t>meet the</w:t>
      </w:r>
      <w:r w:rsidR="00F06F80">
        <w:t xml:space="preserve"> financial capacity</w:t>
      </w:r>
      <w:r w:rsidR="00782C17">
        <w:t xml:space="preserve"> requirements </w:t>
      </w:r>
      <w:r>
        <w:t xml:space="preserve">under the regulations.  </w:t>
      </w:r>
      <w:r w:rsidR="00865DBA">
        <w:t xml:space="preserve"> </w:t>
      </w:r>
    </w:p>
    <w:p w:rsidR="004C69A5" w:rsidRDefault="004C69A5" w:rsidP="0082763F">
      <w:pPr>
        <w:pStyle w:val="ParaNumbering"/>
      </w:pPr>
      <w:r>
        <w:lastRenderedPageBreak/>
        <w:t xml:space="preserve">In any event, what the first appellant said he told the </w:t>
      </w:r>
      <w:r w:rsidR="007D4182">
        <w:t>T</w:t>
      </w:r>
      <w:r>
        <w:t xml:space="preserve">ribunal and the reason he did not follow up by providing relevant documents, </w:t>
      </w:r>
      <w:r w:rsidR="00D11D3B">
        <w:t>ultimately does</w:t>
      </w:r>
      <w:r>
        <w:t xml:space="preserve"> not go to the question</w:t>
      </w:r>
      <w:r w:rsidR="00D11D3B">
        <w:t xml:space="preserve"> of</w:t>
      </w:r>
      <w:r>
        <w:t xml:space="preserve"> whether the </w:t>
      </w:r>
      <w:r w:rsidR="007D4182">
        <w:t>T</w:t>
      </w:r>
      <w:r>
        <w:t xml:space="preserve">ribunal made an error of the necessary kind.  The </w:t>
      </w:r>
      <w:r w:rsidR="00897773">
        <w:t>T</w:t>
      </w:r>
      <w:r>
        <w:t xml:space="preserve">ribunal </w:t>
      </w:r>
      <w:r w:rsidR="0082763F">
        <w:t xml:space="preserve">found </w:t>
      </w:r>
      <w:r w:rsidR="00D11D3B">
        <w:t>that</w:t>
      </w:r>
      <w:r>
        <w:t xml:space="preserve"> there was a deposit in the savings account of around </w:t>
      </w:r>
      <w:proofErr w:type="spellStart"/>
      <w:r w:rsidR="00D11D3B">
        <w:t>AUD</w:t>
      </w:r>
      <w:proofErr w:type="spellEnd"/>
      <w:r w:rsidR="00D11D3B">
        <w:t xml:space="preserve"> </w:t>
      </w:r>
      <w:r>
        <w:t>4400 in the relevant period</w:t>
      </w:r>
      <w:r w:rsidR="00897773">
        <w:t xml:space="preserve">. </w:t>
      </w:r>
      <w:r w:rsidR="0082763F">
        <w:t xml:space="preserve">The evidence before the Tribunal did not </w:t>
      </w:r>
      <w:r w:rsidR="00854BAA">
        <w:t>support a finding</w:t>
      </w:r>
      <w:r w:rsidR="0082763F" w:rsidRPr="0082763F">
        <w:t xml:space="preserve"> that</w:t>
      </w:r>
      <w:r w:rsidR="0082763F">
        <w:t xml:space="preserve"> the first appellant</w:t>
      </w:r>
      <w:r w:rsidR="0082763F" w:rsidRPr="0082763F">
        <w:t xml:space="preserve"> had funds from an acceptable source, being a money deposit </w:t>
      </w:r>
      <w:r w:rsidR="0082763F">
        <w:t xml:space="preserve">of </w:t>
      </w:r>
      <w:proofErr w:type="spellStart"/>
      <w:r w:rsidR="0082763F" w:rsidRPr="0082763F">
        <w:t>AUD</w:t>
      </w:r>
      <w:proofErr w:type="spellEnd"/>
      <w:r w:rsidR="0082763F" w:rsidRPr="0082763F">
        <w:t xml:space="preserve"> 31,265</w:t>
      </w:r>
      <w:r w:rsidR="0082763F">
        <w:t xml:space="preserve">, </w:t>
      </w:r>
      <w:r w:rsidR="0082763F" w:rsidRPr="0082763F">
        <w:t>held for at least the three months immediately before the date of the application</w:t>
      </w:r>
      <w:r w:rsidR="0082763F">
        <w:t xml:space="preserve">. The </w:t>
      </w:r>
      <w:r>
        <w:t xml:space="preserve">first </w:t>
      </w:r>
      <w:r w:rsidR="00897773">
        <w:t xml:space="preserve">appellant </w:t>
      </w:r>
      <w:r>
        <w:t xml:space="preserve">has not demonstrated that the </w:t>
      </w:r>
      <w:r w:rsidR="007D4182">
        <w:t>T</w:t>
      </w:r>
      <w:r>
        <w:t xml:space="preserve">ribunal made any error, let alone a jurisdictional error, in concluding that the financial requirements of the regulations had not been met.  </w:t>
      </w:r>
      <w:r w:rsidR="00185FE3">
        <w:t xml:space="preserve">The first appellant said that he could obtain relevant documents within two days of the date of this </w:t>
      </w:r>
      <w:r w:rsidR="001E4B0A">
        <w:t>hearing</w:t>
      </w:r>
      <w:r w:rsidR="00A951ED">
        <w:t>.</w:t>
      </w:r>
      <w:r w:rsidR="00E851B0">
        <w:t xml:space="preserve"> </w:t>
      </w:r>
      <w:r w:rsidR="00A951ED">
        <w:t>H</w:t>
      </w:r>
      <w:r w:rsidR="00E851B0">
        <w:t xml:space="preserve">owever, it is not the role of this Court to </w:t>
      </w:r>
      <w:r w:rsidR="0069740B">
        <w:t xml:space="preserve">assess </w:t>
      </w:r>
      <w:r w:rsidR="00E851B0">
        <w:t>new evidence</w:t>
      </w:r>
      <w:r w:rsidR="00450F63">
        <w:t xml:space="preserve"> on appeal</w:t>
      </w:r>
      <w:r w:rsidR="00A951ED">
        <w:t xml:space="preserve"> where the evidence was not produced to the Tribunal</w:t>
      </w:r>
      <w:r w:rsidR="00185FE3">
        <w:t xml:space="preserve">.  </w:t>
      </w:r>
      <w:r>
        <w:t xml:space="preserve">Consequently, the appeal must be dismissed.  </w:t>
      </w:r>
    </w:p>
    <w:p w:rsidR="007D4182" w:rsidRDefault="007D4182" w:rsidP="005E36B5">
      <w:pPr>
        <w:pStyle w:val="BodyText"/>
      </w:pPr>
      <w:bookmarkStart w:id="25" w:name="Certification"/>
    </w:p>
    <w:tbl>
      <w:tblPr>
        <w:tblW w:w="0" w:type="auto"/>
        <w:tblLook w:val="04A0" w:firstRow="1" w:lastRow="0" w:firstColumn="1" w:lastColumn="0" w:noHBand="0" w:noVBand="1"/>
      </w:tblPr>
      <w:tblGrid>
        <w:gridCol w:w="3794"/>
      </w:tblGrid>
      <w:tr w:rsidR="007D4182" w:rsidRPr="00232200">
        <w:tc>
          <w:tcPr>
            <w:tcW w:w="3794" w:type="dxa"/>
            <w:shd w:val="clear" w:color="auto" w:fill="auto"/>
          </w:tcPr>
          <w:p w:rsidR="007D4182" w:rsidRPr="00232200" w:rsidRDefault="007D4182" w:rsidP="007D4182">
            <w:pPr>
              <w:pStyle w:val="Normal1linespace"/>
            </w:pPr>
            <w:r w:rsidRPr="00232200">
              <w:t xml:space="preserve">I certify that the preceding </w:t>
            </w:r>
            <w:bookmarkStart w:id="26" w:name="NumberWord"/>
            <w:r w:rsidR="00DD2836" w:rsidRPr="00232200">
              <w:t>nine</w:t>
            </w:r>
            <w:r w:rsidRPr="00232200">
              <w:t>teen</w:t>
            </w:r>
            <w:bookmarkEnd w:id="26"/>
            <w:r w:rsidRPr="00232200">
              <w:t xml:space="preserve"> (</w:t>
            </w:r>
            <w:bookmarkStart w:id="27" w:name="NumberNumeral"/>
            <w:r w:rsidRPr="00232200">
              <w:t>1</w:t>
            </w:r>
            <w:r w:rsidR="00DD2836" w:rsidRPr="00232200">
              <w:t>9</w:t>
            </w:r>
            <w:bookmarkEnd w:id="27"/>
            <w:r w:rsidRPr="00232200">
              <w:t xml:space="preserve">) numbered </w:t>
            </w:r>
            <w:bookmarkStart w:id="28" w:name="CertPara"/>
            <w:r w:rsidRPr="00232200">
              <w:t>paragraphs are</w:t>
            </w:r>
            <w:bookmarkEnd w:id="28"/>
            <w:r w:rsidRPr="00232200">
              <w:t xml:space="preserve"> a true copy of the Reasons for Judgment herein of the Honourable </w:t>
            </w:r>
            <w:bookmarkStart w:id="29" w:name="Justice"/>
            <w:r w:rsidRPr="00232200">
              <w:t>Justice North</w:t>
            </w:r>
            <w:bookmarkEnd w:id="29"/>
            <w:r w:rsidRPr="00232200">
              <w:t>.</w:t>
            </w:r>
          </w:p>
        </w:tc>
      </w:tr>
    </w:tbl>
    <w:p w:rsidR="007D4182" w:rsidRPr="00232200" w:rsidRDefault="007D4182" w:rsidP="005E36B5">
      <w:pPr>
        <w:pStyle w:val="BodyText"/>
      </w:pPr>
    </w:p>
    <w:p w:rsidR="007D4182" w:rsidRDefault="007D4182" w:rsidP="005E36B5">
      <w:pPr>
        <w:pStyle w:val="BodyText"/>
      </w:pPr>
      <w:r w:rsidRPr="00232200">
        <w:t>Associate:</w:t>
      </w:r>
    </w:p>
    <w:p w:rsidR="007D4182" w:rsidRDefault="007D4182" w:rsidP="005E36B5">
      <w:pPr>
        <w:pStyle w:val="BodyText"/>
        <w:tabs>
          <w:tab w:val="left" w:pos="1134"/>
        </w:tabs>
      </w:pPr>
      <w:r w:rsidRPr="00232200">
        <w:t>Dated:</w:t>
      </w:r>
      <w:r w:rsidRPr="00232200">
        <w:tab/>
      </w:r>
      <w:bookmarkStart w:id="30" w:name="CertifyDated"/>
      <w:r w:rsidR="00DD2836" w:rsidRPr="00232200">
        <w:t>1 September</w:t>
      </w:r>
      <w:r w:rsidRPr="00232200">
        <w:t xml:space="preserve"> 2015</w:t>
      </w:r>
      <w:bookmarkEnd w:id="30"/>
    </w:p>
    <w:p w:rsidR="007D4182" w:rsidRDefault="007D4182" w:rsidP="005E36B5">
      <w:pPr>
        <w:pStyle w:val="BodyText"/>
      </w:pPr>
    </w:p>
    <w:p w:rsidR="007D4182" w:rsidRPr="007D4182" w:rsidRDefault="007D4182" w:rsidP="007D4182">
      <w:pPr>
        <w:pStyle w:val="ParaNumbering"/>
        <w:numPr>
          <w:ilvl w:val="0"/>
          <w:numId w:val="0"/>
        </w:numPr>
        <w:rPr>
          <w:highlight w:val="yellow"/>
        </w:rPr>
      </w:pPr>
      <w:bookmarkStart w:id="31" w:name="_GoBack"/>
      <w:bookmarkEnd w:id="25"/>
      <w:bookmarkEnd w:id="31"/>
    </w:p>
    <w:sectPr w:rsidR="007D4182" w:rsidRPr="007D4182">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B5" w:rsidRDefault="005E36B5">
      <w:pPr>
        <w:spacing w:line="20" w:lineRule="exact"/>
      </w:pPr>
    </w:p>
    <w:p w:rsidR="005E36B5" w:rsidRDefault="005E36B5"/>
    <w:p w:rsidR="005E36B5" w:rsidRDefault="005E36B5"/>
  </w:endnote>
  <w:endnote w:type="continuationSeparator" w:id="0">
    <w:p w:rsidR="005E36B5" w:rsidRDefault="005E36B5">
      <w:r>
        <w:t xml:space="preserve"> </w:t>
      </w:r>
    </w:p>
    <w:p w:rsidR="005E36B5" w:rsidRDefault="005E36B5"/>
    <w:p w:rsidR="005E36B5" w:rsidRDefault="005E36B5"/>
  </w:endnote>
  <w:endnote w:type="continuationNotice" w:id="1">
    <w:p w:rsidR="005E36B5" w:rsidRDefault="005E36B5">
      <w:r>
        <w:t xml:space="preserve"> </w:t>
      </w:r>
    </w:p>
    <w:p w:rsidR="005E36B5" w:rsidRDefault="005E36B5"/>
    <w:p w:rsidR="005E36B5" w:rsidRDefault="005E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Pr="00624520" w:rsidRDefault="005E36B5" w:rsidP="007B5E12">
    <w:pPr>
      <w:pStyle w:val="Footer"/>
      <w:tabs>
        <w:tab w:val="center" w:pos="4513"/>
        <w:tab w:val="right" w:pos="9027"/>
      </w:tabs>
      <w:jc w:val="left"/>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B5" w:rsidRDefault="005E36B5"/>
    <w:p w:rsidR="005E36B5" w:rsidRDefault="005E36B5"/>
    <w:p w:rsidR="005E36B5" w:rsidRDefault="005E36B5"/>
  </w:footnote>
  <w:footnote w:type="continuationSeparator" w:id="0">
    <w:p w:rsidR="005E36B5" w:rsidRDefault="005E36B5">
      <w:r>
        <w:continuationSeparator/>
      </w:r>
    </w:p>
    <w:p w:rsidR="005E36B5" w:rsidRDefault="005E36B5"/>
    <w:p w:rsidR="005E36B5" w:rsidRDefault="005E3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pPr>
      <w:tabs>
        <w:tab w:val="center" w:pos="4512"/>
      </w:tabs>
      <w:suppressAutoHyphens/>
    </w:pPr>
    <w:r>
      <w:tab/>
      <w:t xml:space="preserve">- </w:t>
    </w:r>
    <w:r>
      <w:fldChar w:fldCharType="begin"/>
    </w:r>
    <w:r>
      <w:instrText>page \* arabic</w:instrText>
    </w:r>
    <w:r>
      <w:fldChar w:fldCharType="separate"/>
    </w:r>
    <w:r w:rsidR="002B72B2">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B5" w:rsidRDefault="005E36B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F4D75"/>
    <w:multiLevelType w:val="hybridMultilevel"/>
    <w:tmpl w:val="D1425036"/>
    <w:lvl w:ilvl="0" w:tplc="58B0B77E">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A951BB6"/>
    <w:multiLevelType w:val="hybridMultilevel"/>
    <w:tmpl w:val="87067A72"/>
    <w:lvl w:ilvl="0" w:tplc="A71A44A0">
      <w:start w:val="2"/>
      <w:numFmt w:val="lowerLetter"/>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4004A85"/>
    <w:multiLevelType w:val="hybridMultilevel"/>
    <w:tmpl w:val="39967B5C"/>
    <w:lvl w:ilvl="0" w:tplc="76C49C14">
      <w:start w:val="22"/>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301C33"/>
    <w:multiLevelType w:val="hybridMultilevel"/>
    <w:tmpl w:val="F5CAF110"/>
    <w:lvl w:ilvl="0" w:tplc="3E3263F0">
      <w:start w:val="2"/>
      <w:numFmt w:val="lowerLetter"/>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BEC4565"/>
    <w:multiLevelType w:val="hybridMultilevel"/>
    <w:tmpl w:val="03E268CC"/>
    <w:lvl w:ilvl="0" w:tplc="F2CC0438">
      <w:start w:val="27"/>
      <w:numFmt w:val="lowerLetter"/>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281F50"/>
    <w:multiLevelType w:val="hybridMultilevel"/>
    <w:tmpl w:val="D9983686"/>
    <w:lvl w:ilvl="0" w:tplc="4BBC008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3324385E"/>
    <w:multiLevelType w:val="hybridMultilevel"/>
    <w:tmpl w:val="5D5C12F8"/>
    <w:lvl w:ilvl="0" w:tplc="0C090019">
      <w:start w:val="1"/>
      <w:numFmt w:val="lowerLetter"/>
      <w:lvlText w:val="%1."/>
      <w:lvlJc w:val="left"/>
      <w:pPr>
        <w:ind w:left="1817" w:hanging="360"/>
      </w:pPr>
    </w:lvl>
    <w:lvl w:ilvl="1" w:tplc="0C090019">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2">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nsid w:val="478B5C47"/>
    <w:multiLevelType w:val="hybridMultilevel"/>
    <w:tmpl w:val="AB02F620"/>
    <w:lvl w:ilvl="0" w:tplc="FDC4D0B0">
      <w:start w:val="27"/>
      <w:numFmt w:val="lowerLetter"/>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FA6573A"/>
    <w:multiLevelType w:val="hybridMultilevel"/>
    <w:tmpl w:val="09F07694"/>
    <w:lvl w:ilvl="0" w:tplc="9B62A44C">
      <w:start w:val="27"/>
      <w:numFmt w:val="lowerLetter"/>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383085"/>
    <w:multiLevelType w:val="hybridMultilevel"/>
    <w:tmpl w:val="32D09CCE"/>
    <w:lvl w:ilvl="0" w:tplc="0C090019">
      <w:start w:val="1"/>
      <w:numFmt w:val="lowerLetter"/>
      <w:lvlText w:val="%1."/>
      <w:lvlJc w:val="left"/>
      <w:pPr>
        <w:ind w:left="1817" w:hanging="360"/>
      </w:p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9">
    <w:nsid w:val="5A884BEC"/>
    <w:multiLevelType w:val="hybridMultilevel"/>
    <w:tmpl w:val="32D09CCE"/>
    <w:lvl w:ilvl="0" w:tplc="0C090019">
      <w:start w:val="1"/>
      <w:numFmt w:val="lowerLetter"/>
      <w:lvlText w:val="%1."/>
      <w:lvlJc w:val="left"/>
      <w:pPr>
        <w:ind w:left="1817" w:hanging="360"/>
      </w:p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30">
    <w:nsid w:val="5BFB07BE"/>
    <w:multiLevelType w:val="hybridMultilevel"/>
    <w:tmpl w:val="AB30C498"/>
    <w:lvl w:ilvl="0" w:tplc="C9229A0C">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B6B6D628">
      <w:start w:val="1"/>
      <w:numFmt w:val="decimal"/>
      <w:lvlText w:val="%4."/>
      <w:lvlJc w:val="left"/>
      <w:pPr>
        <w:ind w:left="3257" w:hanging="360"/>
      </w:pPr>
      <w:rPr>
        <w:rFonts w:hint="default"/>
      </w:r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nsid w:val="62760172"/>
    <w:multiLevelType w:val="hybridMultilevel"/>
    <w:tmpl w:val="E482D2C6"/>
    <w:lvl w:ilvl="0" w:tplc="423C4524">
      <w:start w:val="1"/>
      <w:numFmt w:val="decimal"/>
      <w:lvlText w:val="(%1)"/>
      <w:lvlJc w:val="left"/>
      <w:pPr>
        <w:ind w:left="1817" w:hanging="360"/>
      </w:pPr>
      <w:rPr>
        <w:rFonts w:hint="default"/>
      </w:r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3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nsid w:val="7EDE5085"/>
    <w:multiLevelType w:val="hybridMultilevel"/>
    <w:tmpl w:val="5874BF48"/>
    <w:lvl w:ilvl="0" w:tplc="71E4A2B4">
      <w:start w:val="1"/>
      <w:numFmt w:val="decimal"/>
      <w:lvlText w:val="%1."/>
      <w:lvlJc w:val="left"/>
      <w:pPr>
        <w:ind w:left="1802" w:hanging="360"/>
      </w:pPr>
      <w:rPr>
        <w:rFonts w:hint="default"/>
      </w:rPr>
    </w:lvl>
    <w:lvl w:ilvl="1" w:tplc="0C090019">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5"/>
  </w:num>
  <w:num w:numId="15">
    <w:abstractNumId w:val="26"/>
  </w:num>
  <w:num w:numId="16">
    <w:abstractNumId w:val="34"/>
  </w:num>
  <w:num w:numId="17">
    <w:abstractNumId w:val="14"/>
  </w:num>
  <w:num w:numId="18">
    <w:abstractNumId w:val="33"/>
  </w:num>
  <w:num w:numId="19">
    <w:abstractNumId w:val="12"/>
  </w:num>
  <w:num w:numId="20">
    <w:abstractNumId w:val="22"/>
  </w:num>
  <w:num w:numId="21">
    <w:abstractNumId w:val="24"/>
  </w:num>
  <w:num w:numId="22">
    <w:abstractNumId w:val="18"/>
  </w:num>
  <w:num w:numId="23">
    <w:abstractNumId w:val="18"/>
  </w:num>
  <w:num w:numId="24">
    <w:abstractNumId w:val="35"/>
  </w:num>
  <w:num w:numId="25">
    <w:abstractNumId w:val="17"/>
  </w:num>
  <w:num w:numId="26">
    <w:abstractNumId w:val="20"/>
  </w:num>
  <w:num w:numId="27">
    <w:abstractNumId w:val="30"/>
  </w:num>
  <w:num w:numId="28">
    <w:abstractNumId w:val="10"/>
  </w:num>
  <w:num w:numId="29">
    <w:abstractNumId w:val="19"/>
  </w:num>
  <w:num w:numId="30">
    <w:abstractNumId w:val="11"/>
  </w:num>
  <w:num w:numId="31">
    <w:abstractNumId w:val="31"/>
  </w:num>
  <w:num w:numId="32">
    <w:abstractNumId w:val="21"/>
  </w:num>
  <w:num w:numId="33">
    <w:abstractNumId w:val="27"/>
  </w:num>
  <w:num w:numId="34">
    <w:abstractNumId w:val="15"/>
  </w:num>
  <w:num w:numId="35">
    <w:abstractNumId w:val="17"/>
  </w:num>
  <w:num w:numId="36">
    <w:abstractNumId w:val="17"/>
  </w:num>
  <w:num w:numId="37">
    <w:abstractNumId w:val="17"/>
  </w:num>
  <w:num w:numId="38">
    <w:abstractNumId w:val="28"/>
  </w:num>
  <w:num w:numId="39">
    <w:abstractNumId w:val="23"/>
  </w:num>
  <w:num w:numId="40">
    <w:abstractNumId w:val="16"/>
  </w:num>
  <w:num w:numId="4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Mineshkumar Pravinbhai Barevadiya|Jignasaben Mineshkumar Barevadiya"/>
    <w:docVar w:name="CounselParties" w:val="Respondent"/>
    <w:docVar w:name="CounselType" w:val="Solicitor for the "/>
    <w:docVar w:name="Division" w:val="GENERAL DIVISION"/>
    <w:docVar w:name="DocCreated" w:val="True"/>
    <w:docVar w:name="FileNumbers" w:val="VID 187 of 2015"/>
    <w:docVar w:name="FullCourt" w:val="False"/>
    <w:docVar w:name="HearingDate" w:val="11 August 2015"/>
    <w:docVar w:name="Judgdate" w:val="11 August 2015"/>
    <w:docVar w:name="Judge" w:val="North"/>
    <w:docVar w:name="JudgePlace" w:val="MELBOURNE"/>
    <w:docVar w:name="lstEntryList" w:val="-1"/>
    <w:docVar w:name="myEntryList" w:val="Counsel for the Appellants=The appellant appeared in person.|Solicitor for the Respondents=Mr D Brown from Australian Government Solicitor"/>
    <w:docVar w:name="NSD" w:val="NSD VID 187 of 2015"/>
    <w:docVar w:name="NumApps" w:val="2"/>
    <w:docVar w:name="NumApps_" w:val="2"/>
    <w:docVar w:name="NumJudges" w:val="Single Judge"/>
    <w:docVar w:name="Parties" w:val="Respondent"/>
    <w:docVar w:name="Place_SentenceCase" w:val="Melbourne"/>
    <w:docVar w:name="Respondent" w:val="Minister for Immigration and Border Protection|Migration Review Tribunal"/>
    <w:docVar w:name="ResState" w:val="VICTORIA"/>
    <w:docVar w:name="Single" w:val="True"/>
  </w:docVars>
  <w:rsids>
    <w:rsidRoot w:val="0034324A"/>
    <w:rsid w:val="000123E8"/>
    <w:rsid w:val="0001569C"/>
    <w:rsid w:val="000276C4"/>
    <w:rsid w:val="00030EB2"/>
    <w:rsid w:val="00040703"/>
    <w:rsid w:val="00054537"/>
    <w:rsid w:val="00074001"/>
    <w:rsid w:val="00077744"/>
    <w:rsid w:val="00081030"/>
    <w:rsid w:val="00094302"/>
    <w:rsid w:val="000A3909"/>
    <w:rsid w:val="000A39DC"/>
    <w:rsid w:val="000A738B"/>
    <w:rsid w:val="000B19D8"/>
    <w:rsid w:val="000B7976"/>
    <w:rsid w:val="000C33EE"/>
    <w:rsid w:val="000C7E80"/>
    <w:rsid w:val="000D2137"/>
    <w:rsid w:val="000D6DE8"/>
    <w:rsid w:val="000E14AD"/>
    <w:rsid w:val="000E204E"/>
    <w:rsid w:val="000E3176"/>
    <w:rsid w:val="000F4363"/>
    <w:rsid w:val="000F5AA7"/>
    <w:rsid w:val="000F6B45"/>
    <w:rsid w:val="00110321"/>
    <w:rsid w:val="001128BD"/>
    <w:rsid w:val="001227DB"/>
    <w:rsid w:val="0012354D"/>
    <w:rsid w:val="001266B0"/>
    <w:rsid w:val="0013117A"/>
    <w:rsid w:val="00136E29"/>
    <w:rsid w:val="00137529"/>
    <w:rsid w:val="0014010C"/>
    <w:rsid w:val="00145B1D"/>
    <w:rsid w:val="00147FE9"/>
    <w:rsid w:val="00154E7C"/>
    <w:rsid w:val="00156B0D"/>
    <w:rsid w:val="00162329"/>
    <w:rsid w:val="00164120"/>
    <w:rsid w:val="00164184"/>
    <w:rsid w:val="0016712C"/>
    <w:rsid w:val="00167874"/>
    <w:rsid w:val="001727A4"/>
    <w:rsid w:val="001738AB"/>
    <w:rsid w:val="00185FE3"/>
    <w:rsid w:val="00187BBC"/>
    <w:rsid w:val="00197066"/>
    <w:rsid w:val="001B14AC"/>
    <w:rsid w:val="001B7940"/>
    <w:rsid w:val="001C1956"/>
    <w:rsid w:val="001E128A"/>
    <w:rsid w:val="001E3B49"/>
    <w:rsid w:val="001E4B0A"/>
    <w:rsid w:val="001E7388"/>
    <w:rsid w:val="001E7A9C"/>
    <w:rsid w:val="001F386C"/>
    <w:rsid w:val="001F4FD1"/>
    <w:rsid w:val="002079CC"/>
    <w:rsid w:val="00216BF2"/>
    <w:rsid w:val="00223D81"/>
    <w:rsid w:val="00230291"/>
    <w:rsid w:val="00232200"/>
    <w:rsid w:val="00235BBE"/>
    <w:rsid w:val="00237360"/>
    <w:rsid w:val="002443E2"/>
    <w:rsid w:val="002535D0"/>
    <w:rsid w:val="0025442B"/>
    <w:rsid w:val="00257BCE"/>
    <w:rsid w:val="002602C2"/>
    <w:rsid w:val="00263F03"/>
    <w:rsid w:val="002677AE"/>
    <w:rsid w:val="00270D62"/>
    <w:rsid w:val="00274F5B"/>
    <w:rsid w:val="00280836"/>
    <w:rsid w:val="00281223"/>
    <w:rsid w:val="0028247C"/>
    <w:rsid w:val="00283813"/>
    <w:rsid w:val="00293CAA"/>
    <w:rsid w:val="00293DB2"/>
    <w:rsid w:val="002A1B50"/>
    <w:rsid w:val="002A3D4B"/>
    <w:rsid w:val="002A57AA"/>
    <w:rsid w:val="002A5CFA"/>
    <w:rsid w:val="002B0E91"/>
    <w:rsid w:val="002B45E9"/>
    <w:rsid w:val="002B72B2"/>
    <w:rsid w:val="002C31AD"/>
    <w:rsid w:val="002C7385"/>
    <w:rsid w:val="002C77C0"/>
    <w:rsid w:val="002C7DA3"/>
    <w:rsid w:val="002D1CE4"/>
    <w:rsid w:val="002D23F8"/>
    <w:rsid w:val="002E66A9"/>
    <w:rsid w:val="002F0073"/>
    <w:rsid w:val="002F1E49"/>
    <w:rsid w:val="002F4E9C"/>
    <w:rsid w:val="002F73A4"/>
    <w:rsid w:val="003027FB"/>
    <w:rsid w:val="00305BCB"/>
    <w:rsid w:val="003076A2"/>
    <w:rsid w:val="00321BD7"/>
    <w:rsid w:val="00323F68"/>
    <w:rsid w:val="00331DB0"/>
    <w:rsid w:val="00334CDD"/>
    <w:rsid w:val="003403DD"/>
    <w:rsid w:val="0034324A"/>
    <w:rsid w:val="003463FE"/>
    <w:rsid w:val="00346E2A"/>
    <w:rsid w:val="0035012F"/>
    <w:rsid w:val="00353233"/>
    <w:rsid w:val="0035326A"/>
    <w:rsid w:val="00354BF5"/>
    <w:rsid w:val="00356632"/>
    <w:rsid w:val="003602AF"/>
    <w:rsid w:val="00366239"/>
    <w:rsid w:val="00370BE5"/>
    <w:rsid w:val="00371478"/>
    <w:rsid w:val="00375023"/>
    <w:rsid w:val="00382CE6"/>
    <w:rsid w:val="003836B9"/>
    <w:rsid w:val="003845A9"/>
    <w:rsid w:val="00390883"/>
    <w:rsid w:val="00395B24"/>
    <w:rsid w:val="00395FAA"/>
    <w:rsid w:val="00396A88"/>
    <w:rsid w:val="003A0661"/>
    <w:rsid w:val="003A2D38"/>
    <w:rsid w:val="003A4B1F"/>
    <w:rsid w:val="003B02B9"/>
    <w:rsid w:val="003B2C72"/>
    <w:rsid w:val="003B5141"/>
    <w:rsid w:val="003C20FF"/>
    <w:rsid w:val="003C3297"/>
    <w:rsid w:val="003C5391"/>
    <w:rsid w:val="003C58AA"/>
    <w:rsid w:val="003F193E"/>
    <w:rsid w:val="003F6BFE"/>
    <w:rsid w:val="00401BE5"/>
    <w:rsid w:val="00402D87"/>
    <w:rsid w:val="00407271"/>
    <w:rsid w:val="00414747"/>
    <w:rsid w:val="00414819"/>
    <w:rsid w:val="0042523E"/>
    <w:rsid w:val="00431E1C"/>
    <w:rsid w:val="0044628B"/>
    <w:rsid w:val="00450F63"/>
    <w:rsid w:val="004533CB"/>
    <w:rsid w:val="00461723"/>
    <w:rsid w:val="00472027"/>
    <w:rsid w:val="00481DC8"/>
    <w:rsid w:val="004849F6"/>
    <w:rsid w:val="00484AAB"/>
    <w:rsid w:val="004924A0"/>
    <w:rsid w:val="0049417F"/>
    <w:rsid w:val="00496671"/>
    <w:rsid w:val="004A6880"/>
    <w:rsid w:val="004C1708"/>
    <w:rsid w:val="004C3950"/>
    <w:rsid w:val="004C69A5"/>
    <w:rsid w:val="004D093A"/>
    <w:rsid w:val="004D150C"/>
    <w:rsid w:val="004D23BD"/>
    <w:rsid w:val="004D489F"/>
    <w:rsid w:val="004D50D1"/>
    <w:rsid w:val="004D53E5"/>
    <w:rsid w:val="004D5842"/>
    <w:rsid w:val="0051346D"/>
    <w:rsid w:val="00513EAE"/>
    <w:rsid w:val="00516734"/>
    <w:rsid w:val="0051747F"/>
    <w:rsid w:val="00517E32"/>
    <w:rsid w:val="00521AEF"/>
    <w:rsid w:val="0053507B"/>
    <w:rsid w:val="005359EB"/>
    <w:rsid w:val="00536DD8"/>
    <w:rsid w:val="0054254A"/>
    <w:rsid w:val="005466B5"/>
    <w:rsid w:val="00563E73"/>
    <w:rsid w:val="00565529"/>
    <w:rsid w:val="00584876"/>
    <w:rsid w:val="00585116"/>
    <w:rsid w:val="005A1635"/>
    <w:rsid w:val="005A2359"/>
    <w:rsid w:val="005A32A6"/>
    <w:rsid w:val="005A4DF8"/>
    <w:rsid w:val="005B05D1"/>
    <w:rsid w:val="005B3855"/>
    <w:rsid w:val="005C1767"/>
    <w:rsid w:val="005C2064"/>
    <w:rsid w:val="005C42EF"/>
    <w:rsid w:val="005C46AB"/>
    <w:rsid w:val="005D2FED"/>
    <w:rsid w:val="005D58C6"/>
    <w:rsid w:val="005D5FDD"/>
    <w:rsid w:val="005D6F9F"/>
    <w:rsid w:val="005E02F5"/>
    <w:rsid w:val="005E176E"/>
    <w:rsid w:val="005E3446"/>
    <w:rsid w:val="005E35A0"/>
    <w:rsid w:val="005E36B5"/>
    <w:rsid w:val="005E6116"/>
    <w:rsid w:val="005F2FAF"/>
    <w:rsid w:val="005F3C51"/>
    <w:rsid w:val="00616617"/>
    <w:rsid w:val="0062319E"/>
    <w:rsid w:val="00624520"/>
    <w:rsid w:val="00625672"/>
    <w:rsid w:val="006311A3"/>
    <w:rsid w:val="00636871"/>
    <w:rsid w:val="00643DE0"/>
    <w:rsid w:val="00644E85"/>
    <w:rsid w:val="006452EA"/>
    <w:rsid w:val="00645613"/>
    <w:rsid w:val="00662BB0"/>
    <w:rsid w:val="00673FDB"/>
    <w:rsid w:val="00675E71"/>
    <w:rsid w:val="00675EFE"/>
    <w:rsid w:val="00677392"/>
    <w:rsid w:val="0069740B"/>
    <w:rsid w:val="006A5695"/>
    <w:rsid w:val="006B3904"/>
    <w:rsid w:val="006B5B7D"/>
    <w:rsid w:val="006D0ECF"/>
    <w:rsid w:val="006E17F6"/>
    <w:rsid w:val="006E373A"/>
    <w:rsid w:val="006E395D"/>
    <w:rsid w:val="006F65FE"/>
    <w:rsid w:val="0070190D"/>
    <w:rsid w:val="00707218"/>
    <w:rsid w:val="00712B1D"/>
    <w:rsid w:val="0071319C"/>
    <w:rsid w:val="00716B2D"/>
    <w:rsid w:val="00722812"/>
    <w:rsid w:val="00731151"/>
    <w:rsid w:val="007325D9"/>
    <w:rsid w:val="00734E5B"/>
    <w:rsid w:val="00735B3B"/>
    <w:rsid w:val="007474FC"/>
    <w:rsid w:val="007477C5"/>
    <w:rsid w:val="00756394"/>
    <w:rsid w:val="00775530"/>
    <w:rsid w:val="0078000E"/>
    <w:rsid w:val="00782C17"/>
    <w:rsid w:val="00792347"/>
    <w:rsid w:val="007929CF"/>
    <w:rsid w:val="00792B31"/>
    <w:rsid w:val="007944E8"/>
    <w:rsid w:val="007A2608"/>
    <w:rsid w:val="007A2948"/>
    <w:rsid w:val="007A3860"/>
    <w:rsid w:val="007B02D8"/>
    <w:rsid w:val="007B03EA"/>
    <w:rsid w:val="007B28C4"/>
    <w:rsid w:val="007B410C"/>
    <w:rsid w:val="007B5E12"/>
    <w:rsid w:val="007B65F5"/>
    <w:rsid w:val="007D4182"/>
    <w:rsid w:val="007D43D0"/>
    <w:rsid w:val="007D561F"/>
    <w:rsid w:val="007E4FE7"/>
    <w:rsid w:val="007F455C"/>
    <w:rsid w:val="00805EA7"/>
    <w:rsid w:val="0082763F"/>
    <w:rsid w:val="00831927"/>
    <w:rsid w:val="0084273D"/>
    <w:rsid w:val="00845A83"/>
    <w:rsid w:val="0084656D"/>
    <w:rsid w:val="00846A0C"/>
    <w:rsid w:val="00850D28"/>
    <w:rsid w:val="008518E0"/>
    <w:rsid w:val="00854BAA"/>
    <w:rsid w:val="00855C57"/>
    <w:rsid w:val="00856913"/>
    <w:rsid w:val="00861480"/>
    <w:rsid w:val="00865DBA"/>
    <w:rsid w:val="00866D11"/>
    <w:rsid w:val="008774B5"/>
    <w:rsid w:val="0088037B"/>
    <w:rsid w:val="008808BA"/>
    <w:rsid w:val="00882F43"/>
    <w:rsid w:val="0089489E"/>
    <w:rsid w:val="00896740"/>
    <w:rsid w:val="00897773"/>
    <w:rsid w:val="008A2888"/>
    <w:rsid w:val="008C3A1D"/>
    <w:rsid w:val="008C6D50"/>
    <w:rsid w:val="008D1BD6"/>
    <w:rsid w:val="008D2F01"/>
    <w:rsid w:val="008E3624"/>
    <w:rsid w:val="008E6315"/>
    <w:rsid w:val="009054CB"/>
    <w:rsid w:val="00906C8C"/>
    <w:rsid w:val="00934958"/>
    <w:rsid w:val="00937796"/>
    <w:rsid w:val="00952892"/>
    <w:rsid w:val="0095660C"/>
    <w:rsid w:val="00960883"/>
    <w:rsid w:val="00961162"/>
    <w:rsid w:val="00967855"/>
    <w:rsid w:val="00973BA6"/>
    <w:rsid w:val="009779EB"/>
    <w:rsid w:val="00980736"/>
    <w:rsid w:val="00982BB7"/>
    <w:rsid w:val="0099320E"/>
    <w:rsid w:val="009950A8"/>
    <w:rsid w:val="009A03C4"/>
    <w:rsid w:val="009A3632"/>
    <w:rsid w:val="009A4F36"/>
    <w:rsid w:val="009A5A66"/>
    <w:rsid w:val="009B13FA"/>
    <w:rsid w:val="009B1E2D"/>
    <w:rsid w:val="009B3CDD"/>
    <w:rsid w:val="009B6CCE"/>
    <w:rsid w:val="009D5F4A"/>
    <w:rsid w:val="009D6F08"/>
    <w:rsid w:val="009E4FA6"/>
    <w:rsid w:val="009E7D93"/>
    <w:rsid w:val="00A03EAC"/>
    <w:rsid w:val="00A11CA6"/>
    <w:rsid w:val="00A12B52"/>
    <w:rsid w:val="00A171F6"/>
    <w:rsid w:val="00A2011F"/>
    <w:rsid w:val="00A20C49"/>
    <w:rsid w:val="00A2780A"/>
    <w:rsid w:val="00A347BA"/>
    <w:rsid w:val="00A359AC"/>
    <w:rsid w:val="00A66492"/>
    <w:rsid w:val="00A756C1"/>
    <w:rsid w:val="00A82823"/>
    <w:rsid w:val="00A8293B"/>
    <w:rsid w:val="00A84FFF"/>
    <w:rsid w:val="00A8587D"/>
    <w:rsid w:val="00A85F3B"/>
    <w:rsid w:val="00A950B6"/>
    <w:rsid w:val="00A951ED"/>
    <w:rsid w:val="00AA2CDC"/>
    <w:rsid w:val="00AA6F7F"/>
    <w:rsid w:val="00AA77CD"/>
    <w:rsid w:val="00AB41C1"/>
    <w:rsid w:val="00AC31D1"/>
    <w:rsid w:val="00AC5DFC"/>
    <w:rsid w:val="00AD7E00"/>
    <w:rsid w:val="00AE4512"/>
    <w:rsid w:val="00AF29C1"/>
    <w:rsid w:val="00AF3070"/>
    <w:rsid w:val="00AF558B"/>
    <w:rsid w:val="00B051DD"/>
    <w:rsid w:val="00B107A2"/>
    <w:rsid w:val="00B13102"/>
    <w:rsid w:val="00B16A6D"/>
    <w:rsid w:val="00B273C8"/>
    <w:rsid w:val="00B30BA6"/>
    <w:rsid w:val="00B373D6"/>
    <w:rsid w:val="00B406AB"/>
    <w:rsid w:val="00B51429"/>
    <w:rsid w:val="00B5449F"/>
    <w:rsid w:val="00B728AF"/>
    <w:rsid w:val="00B800E2"/>
    <w:rsid w:val="00B806DB"/>
    <w:rsid w:val="00B871BA"/>
    <w:rsid w:val="00B9423E"/>
    <w:rsid w:val="00B973AE"/>
    <w:rsid w:val="00BA1C13"/>
    <w:rsid w:val="00BA3DBC"/>
    <w:rsid w:val="00BA5672"/>
    <w:rsid w:val="00BA7CF4"/>
    <w:rsid w:val="00BB0CC7"/>
    <w:rsid w:val="00BB2DA2"/>
    <w:rsid w:val="00BB56DC"/>
    <w:rsid w:val="00BC189C"/>
    <w:rsid w:val="00BD7924"/>
    <w:rsid w:val="00BE3A60"/>
    <w:rsid w:val="00BF33D3"/>
    <w:rsid w:val="00BF78BB"/>
    <w:rsid w:val="00C148A7"/>
    <w:rsid w:val="00C21EF5"/>
    <w:rsid w:val="00C36442"/>
    <w:rsid w:val="00C4304E"/>
    <w:rsid w:val="00C53742"/>
    <w:rsid w:val="00C53F50"/>
    <w:rsid w:val="00C6044E"/>
    <w:rsid w:val="00C66485"/>
    <w:rsid w:val="00C66FC3"/>
    <w:rsid w:val="00C71C8D"/>
    <w:rsid w:val="00C75D8B"/>
    <w:rsid w:val="00C82FE2"/>
    <w:rsid w:val="00C843B0"/>
    <w:rsid w:val="00CA5103"/>
    <w:rsid w:val="00CA6A58"/>
    <w:rsid w:val="00CB0E5C"/>
    <w:rsid w:val="00CC0AF4"/>
    <w:rsid w:val="00CC49DD"/>
    <w:rsid w:val="00CD0931"/>
    <w:rsid w:val="00CD299B"/>
    <w:rsid w:val="00CF642A"/>
    <w:rsid w:val="00CF68A4"/>
    <w:rsid w:val="00D02F8E"/>
    <w:rsid w:val="00D043B3"/>
    <w:rsid w:val="00D10F21"/>
    <w:rsid w:val="00D11D3B"/>
    <w:rsid w:val="00D375EE"/>
    <w:rsid w:val="00D44029"/>
    <w:rsid w:val="00D45FCC"/>
    <w:rsid w:val="00D53CCB"/>
    <w:rsid w:val="00D63430"/>
    <w:rsid w:val="00D7045F"/>
    <w:rsid w:val="00D723B3"/>
    <w:rsid w:val="00D804BD"/>
    <w:rsid w:val="00D9725F"/>
    <w:rsid w:val="00DA14ED"/>
    <w:rsid w:val="00DB3DE1"/>
    <w:rsid w:val="00DB716C"/>
    <w:rsid w:val="00DC3690"/>
    <w:rsid w:val="00DC51AE"/>
    <w:rsid w:val="00DC62D7"/>
    <w:rsid w:val="00DD2836"/>
    <w:rsid w:val="00DD3A80"/>
    <w:rsid w:val="00DD4236"/>
    <w:rsid w:val="00DE7F69"/>
    <w:rsid w:val="00E027BC"/>
    <w:rsid w:val="00E07972"/>
    <w:rsid w:val="00E10664"/>
    <w:rsid w:val="00E14EA5"/>
    <w:rsid w:val="00E23C51"/>
    <w:rsid w:val="00E255DF"/>
    <w:rsid w:val="00E336AE"/>
    <w:rsid w:val="00E34332"/>
    <w:rsid w:val="00E361B8"/>
    <w:rsid w:val="00E403B6"/>
    <w:rsid w:val="00E41A59"/>
    <w:rsid w:val="00E42CA4"/>
    <w:rsid w:val="00E51934"/>
    <w:rsid w:val="00E54D4D"/>
    <w:rsid w:val="00E749CE"/>
    <w:rsid w:val="00E76E45"/>
    <w:rsid w:val="00E77D33"/>
    <w:rsid w:val="00E80076"/>
    <w:rsid w:val="00E80B7A"/>
    <w:rsid w:val="00E851B0"/>
    <w:rsid w:val="00E913A6"/>
    <w:rsid w:val="00E973C9"/>
    <w:rsid w:val="00EA46C0"/>
    <w:rsid w:val="00EA4E2E"/>
    <w:rsid w:val="00EB2CCB"/>
    <w:rsid w:val="00EB5AB4"/>
    <w:rsid w:val="00EB6315"/>
    <w:rsid w:val="00EB6706"/>
    <w:rsid w:val="00EC4B67"/>
    <w:rsid w:val="00ED75C8"/>
    <w:rsid w:val="00ED7DD9"/>
    <w:rsid w:val="00EE0C2D"/>
    <w:rsid w:val="00EE2294"/>
    <w:rsid w:val="00EF2A62"/>
    <w:rsid w:val="00EF3113"/>
    <w:rsid w:val="00EF3F84"/>
    <w:rsid w:val="00EF55E3"/>
    <w:rsid w:val="00EF58DD"/>
    <w:rsid w:val="00F02A23"/>
    <w:rsid w:val="00F06F80"/>
    <w:rsid w:val="00F120CD"/>
    <w:rsid w:val="00F16C2B"/>
    <w:rsid w:val="00F176AC"/>
    <w:rsid w:val="00F27714"/>
    <w:rsid w:val="00F34CBD"/>
    <w:rsid w:val="00F43B57"/>
    <w:rsid w:val="00F50E34"/>
    <w:rsid w:val="00F54735"/>
    <w:rsid w:val="00F6479A"/>
    <w:rsid w:val="00F66EBA"/>
    <w:rsid w:val="00F66F1B"/>
    <w:rsid w:val="00F72B24"/>
    <w:rsid w:val="00F72F6C"/>
    <w:rsid w:val="00F83729"/>
    <w:rsid w:val="00F83A08"/>
    <w:rsid w:val="00F85F91"/>
    <w:rsid w:val="00F90BB7"/>
    <w:rsid w:val="00F93613"/>
    <w:rsid w:val="00FA4A7D"/>
    <w:rsid w:val="00FA5D36"/>
    <w:rsid w:val="00FC42D3"/>
    <w:rsid w:val="00FC588F"/>
    <w:rsid w:val="00FD0AC8"/>
    <w:rsid w:val="00FD24C3"/>
    <w:rsid w:val="00FD2C86"/>
    <w:rsid w:val="00FE1B30"/>
    <w:rsid w:val="00FE324A"/>
    <w:rsid w:val="00FE68B7"/>
    <w:rsid w:val="00FE7B44"/>
    <w:rsid w:val="00FF29A5"/>
    <w:rsid w:val="00FF7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7D4182"/>
    <w:rPr>
      <w:sz w:val="24"/>
      <w:lang w:eastAsia="en-US"/>
    </w:rPr>
  </w:style>
  <w:style w:type="paragraph" w:styleId="ListParagraph">
    <w:name w:val="List Paragraph"/>
    <w:basedOn w:val="Normal"/>
    <w:uiPriority w:val="34"/>
    <w:semiHidden/>
    <w:rsid w:val="00B30BA6"/>
    <w:pPr>
      <w:ind w:left="720"/>
      <w:contextualSpacing/>
    </w:pPr>
  </w:style>
  <w:style w:type="paragraph" w:customStyle="1" w:styleId="jade-outdent">
    <w:name w:val="jade-outdent"/>
    <w:basedOn w:val="Normal"/>
    <w:rsid w:val="00E973C9"/>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7D4182"/>
    <w:rPr>
      <w:sz w:val="24"/>
      <w:lang w:eastAsia="en-US"/>
    </w:rPr>
  </w:style>
  <w:style w:type="paragraph" w:styleId="ListParagraph">
    <w:name w:val="List Paragraph"/>
    <w:basedOn w:val="Normal"/>
    <w:uiPriority w:val="34"/>
    <w:semiHidden/>
    <w:rsid w:val="00B30BA6"/>
    <w:pPr>
      <w:ind w:left="720"/>
      <w:contextualSpacing/>
    </w:pPr>
  </w:style>
  <w:style w:type="paragraph" w:customStyle="1" w:styleId="jade-outdent">
    <w:name w:val="jade-outdent"/>
    <w:basedOn w:val="Normal"/>
    <w:rsid w:val="00E973C9"/>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3522">
      <w:bodyDiv w:val="1"/>
      <w:marLeft w:val="0"/>
      <w:marRight w:val="0"/>
      <w:marTop w:val="0"/>
      <w:marBottom w:val="0"/>
      <w:divBdr>
        <w:top w:val="none" w:sz="0" w:space="0" w:color="auto"/>
        <w:left w:val="none" w:sz="0" w:space="0" w:color="auto"/>
        <w:bottom w:val="none" w:sz="0" w:space="0" w:color="auto"/>
        <w:right w:val="none" w:sz="0" w:space="0" w:color="auto"/>
      </w:divBdr>
      <w:divsChild>
        <w:div w:id="278996836">
          <w:marLeft w:val="0"/>
          <w:marRight w:val="0"/>
          <w:marTop w:val="0"/>
          <w:marBottom w:val="0"/>
          <w:divBdr>
            <w:top w:val="none" w:sz="0" w:space="0" w:color="auto"/>
            <w:left w:val="none" w:sz="0" w:space="0" w:color="auto"/>
            <w:bottom w:val="none" w:sz="0" w:space="0" w:color="auto"/>
            <w:right w:val="none" w:sz="0" w:space="0" w:color="auto"/>
          </w:divBdr>
          <w:divsChild>
            <w:div w:id="749231767">
              <w:marLeft w:val="0"/>
              <w:marRight w:val="0"/>
              <w:marTop w:val="0"/>
              <w:marBottom w:val="0"/>
              <w:divBdr>
                <w:top w:val="none" w:sz="0" w:space="0" w:color="auto"/>
                <w:left w:val="none" w:sz="0" w:space="0" w:color="auto"/>
                <w:bottom w:val="none" w:sz="0" w:space="0" w:color="auto"/>
                <w:right w:val="none" w:sz="0" w:space="0" w:color="auto"/>
              </w:divBdr>
              <w:divsChild>
                <w:div w:id="1249579891">
                  <w:marLeft w:val="0"/>
                  <w:marRight w:val="0"/>
                  <w:marTop w:val="0"/>
                  <w:marBottom w:val="0"/>
                  <w:divBdr>
                    <w:top w:val="none" w:sz="0" w:space="0" w:color="auto"/>
                    <w:left w:val="none" w:sz="0" w:space="0" w:color="auto"/>
                    <w:bottom w:val="none" w:sz="0" w:space="0" w:color="auto"/>
                    <w:right w:val="none" w:sz="0" w:space="0" w:color="auto"/>
                  </w:divBdr>
                  <w:divsChild>
                    <w:div w:id="1729648084">
                      <w:marLeft w:val="0"/>
                      <w:marRight w:val="0"/>
                      <w:marTop w:val="0"/>
                      <w:marBottom w:val="0"/>
                      <w:divBdr>
                        <w:top w:val="none" w:sz="0" w:space="0" w:color="auto"/>
                        <w:left w:val="none" w:sz="0" w:space="0" w:color="auto"/>
                        <w:bottom w:val="none" w:sz="0" w:space="0" w:color="auto"/>
                        <w:right w:val="none" w:sz="0" w:space="0" w:color="auto"/>
                      </w:divBdr>
                      <w:divsChild>
                        <w:div w:id="490558232">
                          <w:marLeft w:val="0"/>
                          <w:marRight w:val="0"/>
                          <w:marTop w:val="0"/>
                          <w:marBottom w:val="0"/>
                          <w:divBdr>
                            <w:top w:val="none" w:sz="0" w:space="0" w:color="auto"/>
                            <w:left w:val="none" w:sz="0" w:space="0" w:color="auto"/>
                            <w:bottom w:val="none" w:sz="0" w:space="0" w:color="auto"/>
                            <w:right w:val="none" w:sz="0" w:space="0" w:color="auto"/>
                          </w:divBdr>
                          <w:divsChild>
                            <w:div w:id="592979775">
                              <w:marLeft w:val="0"/>
                              <w:marRight w:val="0"/>
                              <w:marTop w:val="0"/>
                              <w:marBottom w:val="0"/>
                              <w:divBdr>
                                <w:top w:val="none" w:sz="0" w:space="0" w:color="auto"/>
                                <w:left w:val="none" w:sz="0" w:space="0" w:color="auto"/>
                                <w:bottom w:val="none" w:sz="0" w:space="0" w:color="auto"/>
                                <w:right w:val="none" w:sz="0" w:space="0" w:color="auto"/>
                              </w:divBdr>
                              <w:divsChild>
                                <w:div w:id="630674125">
                                  <w:marLeft w:val="0"/>
                                  <w:marRight w:val="0"/>
                                  <w:marTop w:val="0"/>
                                  <w:marBottom w:val="0"/>
                                  <w:divBdr>
                                    <w:top w:val="none" w:sz="0" w:space="0" w:color="auto"/>
                                    <w:left w:val="none" w:sz="0" w:space="0" w:color="auto"/>
                                    <w:bottom w:val="none" w:sz="0" w:space="0" w:color="auto"/>
                                    <w:right w:val="none" w:sz="0" w:space="0" w:color="auto"/>
                                  </w:divBdr>
                                  <w:divsChild>
                                    <w:div w:id="439959390">
                                      <w:marLeft w:val="0"/>
                                      <w:marRight w:val="0"/>
                                      <w:marTop w:val="0"/>
                                      <w:marBottom w:val="0"/>
                                      <w:divBdr>
                                        <w:top w:val="none" w:sz="0" w:space="0" w:color="auto"/>
                                        <w:left w:val="none" w:sz="0" w:space="0" w:color="auto"/>
                                        <w:bottom w:val="none" w:sz="0" w:space="0" w:color="auto"/>
                                        <w:right w:val="none" w:sz="0" w:space="0" w:color="auto"/>
                                      </w:divBdr>
                                      <w:divsChild>
                                        <w:div w:id="465003958">
                                          <w:marLeft w:val="0"/>
                                          <w:marRight w:val="0"/>
                                          <w:marTop w:val="0"/>
                                          <w:marBottom w:val="0"/>
                                          <w:divBdr>
                                            <w:top w:val="none" w:sz="0" w:space="0" w:color="auto"/>
                                            <w:left w:val="none" w:sz="0" w:space="0" w:color="auto"/>
                                            <w:bottom w:val="none" w:sz="0" w:space="0" w:color="auto"/>
                                            <w:right w:val="none" w:sz="0" w:space="0" w:color="auto"/>
                                          </w:divBdr>
                                          <w:divsChild>
                                            <w:div w:id="1959557146">
                                              <w:marLeft w:val="0"/>
                                              <w:marRight w:val="0"/>
                                              <w:marTop w:val="0"/>
                                              <w:marBottom w:val="0"/>
                                              <w:divBdr>
                                                <w:top w:val="none" w:sz="0" w:space="0" w:color="auto"/>
                                                <w:left w:val="none" w:sz="0" w:space="0" w:color="auto"/>
                                                <w:bottom w:val="none" w:sz="0" w:space="0" w:color="auto"/>
                                                <w:right w:val="none" w:sz="0" w:space="0" w:color="auto"/>
                                              </w:divBdr>
                                              <w:divsChild>
                                                <w:div w:id="1327976510">
                                                  <w:marLeft w:val="0"/>
                                                  <w:marRight w:val="0"/>
                                                  <w:marTop w:val="0"/>
                                                  <w:marBottom w:val="0"/>
                                                  <w:divBdr>
                                                    <w:top w:val="none" w:sz="0" w:space="0" w:color="auto"/>
                                                    <w:left w:val="none" w:sz="0" w:space="0" w:color="auto"/>
                                                    <w:bottom w:val="none" w:sz="0" w:space="0" w:color="auto"/>
                                                    <w:right w:val="none" w:sz="0" w:space="0" w:color="auto"/>
                                                  </w:divBdr>
                                                  <w:divsChild>
                                                    <w:div w:id="191732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71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3699">
      <w:bodyDiv w:val="1"/>
      <w:marLeft w:val="0"/>
      <w:marRight w:val="0"/>
      <w:marTop w:val="0"/>
      <w:marBottom w:val="0"/>
      <w:divBdr>
        <w:top w:val="none" w:sz="0" w:space="0" w:color="auto"/>
        <w:left w:val="none" w:sz="0" w:space="0" w:color="auto"/>
        <w:bottom w:val="none" w:sz="0" w:space="0" w:color="auto"/>
        <w:right w:val="none" w:sz="0" w:space="0" w:color="auto"/>
      </w:divBdr>
      <w:divsChild>
        <w:div w:id="431168363">
          <w:marLeft w:val="0"/>
          <w:marRight w:val="0"/>
          <w:marTop w:val="0"/>
          <w:marBottom w:val="0"/>
          <w:divBdr>
            <w:top w:val="none" w:sz="0" w:space="0" w:color="auto"/>
            <w:left w:val="none" w:sz="0" w:space="0" w:color="auto"/>
            <w:bottom w:val="none" w:sz="0" w:space="0" w:color="auto"/>
            <w:right w:val="none" w:sz="0" w:space="0" w:color="auto"/>
          </w:divBdr>
          <w:divsChild>
            <w:div w:id="1855147561">
              <w:marLeft w:val="0"/>
              <w:marRight w:val="0"/>
              <w:marTop w:val="0"/>
              <w:marBottom w:val="0"/>
              <w:divBdr>
                <w:top w:val="none" w:sz="0" w:space="0" w:color="auto"/>
                <w:left w:val="none" w:sz="0" w:space="0" w:color="auto"/>
                <w:bottom w:val="none" w:sz="0" w:space="0" w:color="auto"/>
                <w:right w:val="none" w:sz="0" w:space="0" w:color="auto"/>
              </w:divBdr>
              <w:divsChild>
                <w:div w:id="1393230404">
                  <w:marLeft w:val="0"/>
                  <w:marRight w:val="0"/>
                  <w:marTop w:val="0"/>
                  <w:marBottom w:val="0"/>
                  <w:divBdr>
                    <w:top w:val="none" w:sz="0" w:space="0" w:color="auto"/>
                    <w:left w:val="none" w:sz="0" w:space="0" w:color="auto"/>
                    <w:bottom w:val="none" w:sz="0" w:space="0" w:color="auto"/>
                    <w:right w:val="none" w:sz="0" w:space="0" w:color="auto"/>
                  </w:divBdr>
                  <w:divsChild>
                    <w:div w:id="502555377">
                      <w:marLeft w:val="0"/>
                      <w:marRight w:val="0"/>
                      <w:marTop w:val="0"/>
                      <w:marBottom w:val="0"/>
                      <w:divBdr>
                        <w:top w:val="none" w:sz="0" w:space="0" w:color="auto"/>
                        <w:left w:val="none" w:sz="0" w:space="0" w:color="auto"/>
                        <w:bottom w:val="none" w:sz="0" w:space="0" w:color="auto"/>
                        <w:right w:val="none" w:sz="0" w:space="0" w:color="auto"/>
                      </w:divBdr>
                      <w:divsChild>
                        <w:div w:id="2046053442">
                          <w:marLeft w:val="0"/>
                          <w:marRight w:val="0"/>
                          <w:marTop w:val="0"/>
                          <w:marBottom w:val="0"/>
                          <w:divBdr>
                            <w:top w:val="none" w:sz="0" w:space="0" w:color="auto"/>
                            <w:left w:val="none" w:sz="0" w:space="0" w:color="auto"/>
                            <w:bottom w:val="none" w:sz="0" w:space="0" w:color="auto"/>
                            <w:right w:val="none" w:sz="0" w:space="0" w:color="auto"/>
                          </w:divBdr>
                          <w:divsChild>
                            <w:div w:id="1086145260">
                              <w:marLeft w:val="0"/>
                              <w:marRight w:val="0"/>
                              <w:marTop w:val="0"/>
                              <w:marBottom w:val="0"/>
                              <w:divBdr>
                                <w:top w:val="none" w:sz="0" w:space="0" w:color="auto"/>
                                <w:left w:val="none" w:sz="0" w:space="0" w:color="auto"/>
                                <w:bottom w:val="none" w:sz="0" w:space="0" w:color="auto"/>
                                <w:right w:val="none" w:sz="0" w:space="0" w:color="auto"/>
                              </w:divBdr>
                              <w:divsChild>
                                <w:div w:id="1339120101">
                                  <w:marLeft w:val="0"/>
                                  <w:marRight w:val="0"/>
                                  <w:marTop w:val="0"/>
                                  <w:marBottom w:val="0"/>
                                  <w:divBdr>
                                    <w:top w:val="none" w:sz="0" w:space="0" w:color="auto"/>
                                    <w:left w:val="none" w:sz="0" w:space="0" w:color="auto"/>
                                    <w:bottom w:val="none" w:sz="0" w:space="0" w:color="auto"/>
                                    <w:right w:val="none" w:sz="0" w:space="0" w:color="auto"/>
                                  </w:divBdr>
                                  <w:divsChild>
                                    <w:div w:id="1146512843">
                                      <w:marLeft w:val="0"/>
                                      <w:marRight w:val="0"/>
                                      <w:marTop w:val="0"/>
                                      <w:marBottom w:val="0"/>
                                      <w:divBdr>
                                        <w:top w:val="none" w:sz="0" w:space="0" w:color="auto"/>
                                        <w:left w:val="none" w:sz="0" w:space="0" w:color="auto"/>
                                        <w:bottom w:val="none" w:sz="0" w:space="0" w:color="auto"/>
                                        <w:right w:val="none" w:sz="0" w:space="0" w:color="auto"/>
                                      </w:divBdr>
                                      <w:divsChild>
                                        <w:div w:id="1886091434">
                                          <w:marLeft w:val="0"/>
                                          <w:marRight w:val="0"/>
                                          <w:marTop w:val="0"/>
                                          <w:marBottom w:val="0"/>
                                          <w:divBdr>
                                            <w:top w:val="none" w:sz="0" w:space="0" w:color="auto"/>
                                            <w:left w:val="none" w:sz="0" w:space="0" w:color="auto"/>
                                            <w:bottom w:val="none" w:sz="0" w:space="0" w:color="auto"/>
                                            <w:right w:val="none" w:sz="0" w:space="0" w:color="auto"/>
                                          </w:divBdr>
                                          <w:divsChild>
                                            <w:div w:id="34431216">
                                              <w:marLeft w:val="0"/>
                                              <w:marRight w:val="0"/>
                                              <w:marTop w:val="0"/>
                                              <w:marBottom w:val="0"/>
                                              <w:divBdr>
                                                <w:top w:val="none" w:sz="0" w:space="0" w:color="auto"/>
                                                <w:left w:val="none" w:sz="0" w:space="0" w:color="auto"/>
                                                <w:bottom w:val="none" w:sz="0" w:space="0" w:color="auto"/>
                                                <w:right w:val="none" w:sz="0" w:space="0" w:color="auto"/>
                                              </w:divBdr>
                                              <w:divsChild>
                                                <w:div w:id="1698654422">
                                                  <w:marLeft w:val="0"/>
                                                  <w:marRight w:val="0"/>
                                                  <w:marTop w:val="0"/>
                                                  <w:marBottom w:val="0"/>
                                                  <w:divBdr>
                                                    <w:top w:val="none" w:sz="0" w:space="0" w:color="auto"/>
                                                    <w:left w:val="none" w:sz="0" w:space="0" w:color="auto"/>
                                                    <w:bottom w:val="none" w:sz="0" w:space="0" w:color="auto"/>
                                                    <w:right w:val="none" w:sz="0" w:space="0" w:color="auto"/>
                                                  </w:divBdr>
                                                  <w:divsChild>
                                                    <w:div w:id="176248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06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041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60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8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616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2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44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13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73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97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485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60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970146">
      <w:bodyDiv w:val="1"/>
      <w:marLeft w:val="0"/>
      <w:marRight w:val="0"/>
      <w:marTop w:val="0"/>
      <w:marBottom w:val="0"/>
      <w:divBdr>
        <w:top w:val="none" w:sz="0" w:space="0" w:color="auto"/>
        <w:left w:val="none" w:sz="0" w:space="0" w:color="auto"/>
        <w:bottom w:val="none" w:sz="0" w:space="0" w:color="auto"/>
        <w:right w:val="none" w:sz="0" w:space="0" w:color="auto"/>
      </w:divBdr>
      <w:divsChild>
        <w:div w:id="1508056909">
          <w:marLeft w:val="0"/>
          <w:marRight w:val="0"/>
          <w:marTop w:val="0"/>
          <w:marBottom w:val="0"/>
          <w:divBdr>
            <w:top w:val="none" w:sz="0" w:space="0" w:color="auto"/>
            <w:left w:val="none" w:sz="0" w:space="0" w:color="auto"/>
            <w:bottom w:val="none" w:sz="0" w:space="0" w:color="auto"/>
            <w:right w:val="none" w:sz="0" w:space="0" w:color="auto"/>
          </w:divBdr>
          <w:divsChild>
            <w:div w:id="2082677528">
              <w:marLeft w:val="0"/>
              <w:marRight w:val="0"/>
              <w:marTop w:val="0"/>
              <w:marBottom w:val="0"/>
              <w:divBdr>
                <w:top w:val="none" w:sz="0" w:space="0" w:color="auto"/>
                <w:left w:val="none" w:sz="0" w:space="0" w:color="auto"/>
                <w:bottom w:val="none" w:sz="0" w:space="0" w:color="auto"/>
                <w:right w:val="none" w:sz="0" w:space="0" w:color="auto"/>
              </w:divBdr>
              <w:divsChild>
                <w:div w:id="357050057">
                  <w:marLeft w:val="0"/>
                  <w:marRight w:val="0"/>
                  <w:marTop w:val="0"/>
                  <w:marBottom w:val="0"/>
                  <w:divBdr>
                    <w:top w:val="none" w:sz="0" w:space="0" w:color="auto"/>
                    <w:left w:val="none" w:sz="0" w:space="0" w:color="auto"/>
                    <w:bottom w:val="none" w:sz="0" w:space="0" w:color="auto"/>
                    <w:right w:val="none" w:sz="0" w:space="0" w:color="auto"/>
                  </w:divBdr>
                  <w:divsChild>
                    <w:div w:id="90779465">
                      <w:marLeft w:val="0"/>
                      <w:marRight w:val="0"/>
                      <w:marTop w:val="0"/>
                      <w:marBottom w:val="0"/>
                      <w:divBdr>
                        <w:top w:val="none" w:sz="0" w:space="0" w:color="auto"/>
                        <w:left w:val="none" w:sz="0" w:space="0" w:color="auto"/>
                        <w:bottom w:val="none" w:sz="0" w:space="0" w:color="auto"/>
                        <w:right w:val="none" w:sz="0" w:space="0" w:color="auto"/>
                      </w:divBdr>
                      <w:divsChild>
                        <w:div w:id="1213153331">
                          <w:marLeft w:val="0"/>
                          <w:marRight w:val="0"/>
                          <w:marTop w:val="0"/>
                          <w:marBottom w:val="0"/>
                          <w:divBdr>
                            <w:top w:val="none" w:sz="0" w:space="0" w:color="auto"/>
                            <w:left w:val="none" w:sz="0" w:space="0" w:color="auto"/>
                            <w:bottom w:val="none" w:sz="0" w:space="0" w:color="auto"/>
                            <w:right w:val="none" w:sz="0" w:space="0" w:color="auto"/>
                          </w:divBdr>
                          <w:divsChild>
                            <w:div w:id="773718058">
                              <w:marLeft w:val="0"/>
                              <w:marRight w:val="0"/>
                              <w:marTop w:val="0"/>
                              <w:marBottom w:val="0"/>
                              <w:divBdr>
                                <w:top w:val="none" w:sz="0" w:space="0" w:color="auto"/>
                                <w:left w:val="none" w:sz="0" w:space="0" w:color="auto"/>
                                <w:bottom w:val="none" w:sz="0" w:space="0" w:color="auto"/>
                                <w:right w:val="none" w:sz="0" w:space="0" w:color="auto"/>
                              </w:divBdr>
                              <w:divsChild>
                                <w:div w:id="1405647315">
                                  <w:marLeft w:val="0"/>
                                  <w:marRight w:val="0"/>
                                  <w:marTop w:val="0"/>
                                  <w:marBottom w:val="0"/>
                                  <w:divBdr>
                                    <w:top w:val="none" w:sz="0" w:space="0" w:color="auto"/>
                                    <w:left w:val="none" w:sz="0" w:space="0" w:color="auto"/>
                                    <w:bottom w:val="none" w:sz="0" w:space="0" w:color="auto"/>
                                    <w:right w:val="none" w:sz="0" w:space="0" w:color="auto"/>
                                  </w:divBdr>
                                  <w:divsChild>
                                    <w:div w:id="511536081">
                                      <w:marLeft w:val="0"/>
                                      <w:marRight w:val="0"/>
                                      <w:marTop w:val="0"/>
                                      <w:marBottom w:val="0"/>
                                      <w:divBdr>
                                        <w:top w:val="none" w:sz="0" w:space="0" w:color="auto"/>
                                        <w:left w:val="none" w:sz="0" w:space="0" w:color="auto"/>
                                        <w:bottom w:val="none" w:sz="0" w:space="0" w:color="auto"/>
                                        <w:right w:val="none" w:sz="0" w:space="0" w:color="auto"/>
                                      </w:divBdr>
                                      <w:divsChild>
                                        <w:div w:id="2054885188">
                                          <w:marLeft w:val="0"/>
                                          <w:marRight w:val="0"/>
                                          <w:marTop w:val="0"/>
                                          <w:marBottom w:val="0"/>
                                          <w:divBdr>
                                            <w:top w:val="none" w:sz="0" w:space="0" w:color="auto"/>
                                            <w:left w:val="none" w:sz="0" w:space="0" w:color="auto"/>
                                            <w:bottom w:val="none" w:sz="0" w:space="0" w:color="auto"/>
                                            <w:right w:val="none" w:sz="0" w:space="0" w:color="auto"/>
                                          </w:divBdr>
                                          <w:divsChild>
                                            <w:div w:id="1194538748">
                                              <w:marLeft w:val="0"/>
                                              <w:marRight w:val="0"/>
                                              <w:marTop w:val="0"/>
                                              <w:marBottom w:val="0"/>
                                              <w:divBdr>
                                                <w:top w:val="none" w:sz="0" w:space="0" w:color="auto"/>
                                                <w:left w:val="none" w:sz="0" w:space="0" w:color="auto"/>
                                                <w:bottom w:val="none" w:sz="0" w:space="0" w:color="auto"/>
                                                <w:right w:val="none" w:sz="0" w:space="0" w:color="auto"/>
                                              </w:divBdr>
                                              <w:divsChild>
                                                <w:div w:id="1109154817">
                                                  <w:marLeft w:val="0"/>
                                                  <w:marRight w:val="0"/>
                                                  <w:marTop w:val="0"/>
                                                  <w:marBottom w:val="0"/>
                                                  <w:divBdr>
                                                    <w:top w:val="none" w:sz="0" w:space="0" w:color="auto"/>
                                                    <w:left w:val="none" w:sz="0" w:space="0" w:color="auto"/>
                                                    <w:bottom w:val="none" w:sz="0" w:space="0" w:color="auto"/>
                                                    <w:right w:val="none" w:sz="0" w:space="0" w:color="auto"/>
                                                  </w:divBdr>
                                                  <w:divsChild>
                                                    <w:div w:id="174957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94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BB48-87C9-4CC6-96F0-46C36F60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11</Pages>
  <Words>3302</Words>
  <Characters>17295</Characters>
  <Application>Microsoft Office Word</Application>
  <DocSecurity>0</DocSecurity>
  <Lines>557</Lines>
  <Paragraphs>290</Paragraphs>
  <ScaleCrop>false</ScaleCrop>
  <HeadingPairs>
    <vt:vector size="2" baseType="variant">
      <vt:variant>
        <vt:lpstr>Title</vt:lpstr>
      </vt:variant>
      <vt:variant>
        <vt:i4>1</vt:i4>
      </vt:variant>
    </vt:vector>
  </HeadingPairs>
  <TitlesOfParts>
    <vt:vector size="1" baseType="lpstr">
      <vt:lpstr>Barevadiya v Minister for Immigration and Border Protection [2015] FCA 972</vt:lpstr>
    </vt:vector>
  </TitlesOfParts>
  <Company>Federal Court of Australia</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Barevadiya v Minister for Immigration and Border Protection [2015] FCA 972</dc:title>
  <dc:creator>Tarwin Shiel</dc:creator>
  <cp:lastModifiedBy>Aurora Lee</cp:lastModifiedBy>
  <cp:revision>3</cp:revision>
  <cp:lastPrinted>2015-08-27T05:59:00Z</cp:lastPrinted>
  <dcterms:created xsi:type="dcterms:W3CDTF">2015-09-01T22:48:00Z</dcterms:created>
  <dcterms:modified xsi:type="dcterms:W3CDTF">2015-09-01T22:49:00Z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J</vt:lpwstr>
  </property>
  <property fmtid="{D5CDD505-2E9C-101B-9397-08002B2CF9AE}" pid="4" name="Judgment_dated" linkTarget="Judgment_dated">
    <vt:lpwstr>11 AUGUST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187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