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93DEE" w14:textId="77777777" w:rsidR="00395B24" w:rsidRPr="00BF7C63" w:rsidRDefault="002C7385">
      <w:pPr>
        <w:pStyle w:val="NormalHeadings"/>
        <w:jc w:val="center"/>
        <w:rPr>
          <w:sz w:val="32"/>
        </w:rPr>
      </w:pPr>
      <w:r w:rsidRPr="00BF7C63">
        <w:rPr>
          <w:sz w:val="32"/>
        </w:rPr>
        <w:t>FEDERAL COURT OF AUSTRALIA</w:t>
      </w:r>
    </w:p>
    <w:p w14:paraId="1609879D" w14:textId="77777777" w:rsidR="00395B24" w:rsidRPr="00BF7C63" w:rsidRDefault="00395B24">
      <w:pPr>
        <w:pStyle w:val="NormalHeadings"/>
        <w:jc w:val="center"/>
        <w:rPr>
          <w:sz w:val="32"/>
        </w:rPr>
      </w:pPr>
    </w:p>
    <w:p w14:paraId="06A455B3" w14:textId="3CA358F6" w:rsidR="00395B24" w:rsidRPr="00BF7C63" w:rsidRDefault="003114BB">
      <w:pPr>
        <w:pStyle w:val="MediaNeutralStyle"/>
      </w:pPr>
      <w:bookmarkStart w:id="0" w:name="MNC"/>
      <w:r>
        <w:t>Luck</w:t>
      </w:r>
      <w:r w:rsidR="00AD4B4A" w:rsidRPr="00BF7C63">
        <w:t xml:space="preserve"> v </w:t>
      </w:r>
      <w:r w:rsidR="000735E6">
        <w:t xml:space="preserve">Chief Executive Officer of Centrelink </w:t>
      </w:r>
      <w:r w:rsidR="00AD4B4A" w:rsidRPr="00BF7C63">
        <w:t xml:space="preserve">[2015] </w:t>
      </w:r>
      <w:proofErr w:type="spellStart"/>
      <w:r w:rsidR="00AD4B4A" w:rsidRPr="00BF7C63">
        <w:t>FCA</w:t>
      </w:r>
      <w:r>
        <w:t>FC</w:t>
      </w:r>
      <w:proofErr w:type="spellEnd"/>
      <w:r>
        <w:t xml:space="preserve"> </w:t>
      </w:r>
      <w:r w:rsidR="0045633B">
        <w:t>75</w:t>
      </w:r>
      <w:bookmarkEnd w:id="0"/>
    </w:p>
    <w:p w14:paraId="69786853" w14:textId="77777777" w:rsidR="00395B24" w:rsidRPr="00BF7C63"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RPr="00BF7C63" w14:paraId="75FE7B59" w14:textId="77777777" w:rsidTr="00465143">
        <w:tc>
          <w:tcPr>
            <w:tcW w:w="3085" w:type="dxa"/>
            <w:shd w:val="clear" w:color="auto" w:fill="auto"/>
          </w:tcPr>
          <w:p w14:paraId="4B47301D" w14:textId="77777777" w:rsidR="00395B24" w:rsidRPr="00BF7C63" w:rsidRDefault="002C7385">
            <w:pPr>
              <w:pStyle w:val="Normal1linespace"/>
              <w:widowControl w:val="0"/>
            </w:pPr>
            <w:r w:rsidRPr="00BF7C63">
              <w:t>Citation:</w:t>
            </w:r>
          </w:p>
        </w:tc>
        <w:tc>
          <w:tcPr>
            <w:tcW w:w="5989" w:type="dxa"/>
            <w:shd w:val="clear" w:color="auto" w:fill="auto"/>
          </w:tcPr>
          <w:p w14:paraId="050D9AF6" w14:textId="6198B9C5" w:rsidR="00395B24" w:rsidRPr="00BF7C63" w:rsidRDefault="003114BB" w:rsidP="00F20371">
            <w:pPr>
              <w:pStyle w:val="Normal1linespace"/>
              <w:widowControl w:val="0"/>
              <w:jc w:val="left"/>
            </w:pPr>
            <w:r w:rsidRPr="003114BB">
              <w:t xml:space="preserve">Luck v </w:t>
            </w:r>
            <w:r w:rsidR="000735E6">
              <w:t xml:space="preserve">Chief Executive Officer of Centrelink </w:t>
            </w:r>
            <w:r w:rsidRPr="003114BB">
              <w:t xml:space="preserve">[2015] </w:t>
            </w:r>
            <w:proofErr w:type="spellStart"/>
            <w:r w:rsidRPr="003114BB">
              <w:t>FCAFC</w:t>
            </w:r>
            <w:proofErr w:type="spellEnd"/>
            <w:r w:rsidRPr="003114BB">
              <w:t xml:space="preserve"> </w:t>
            </w:r>
            <w:r w:rsidR="0045633B">
              <w:t>75</w:t>
            </w:r>
          </w:p>
        </w:tc>
      </w:tr>
      <w:tr w:rsidR="001B0C2A" w:rsidRPr="00BF7C63" w14:paraId="63F144F2" w14:textId="77777777" w:rsidTr="00465143">
        <w:tc>
          <w:tcPr>
            <w:tcW w:w="3085" w:type="dxa"/>
            <w:shd w:val="clear" w:color="auto" w:fill="auto"/>
          </w:tcPr>
          <w:p w14:paraId="326C375B" w14:textId="77777777" w:rsidR="001B0C2A" w:rsidRPr="00BF7C63" w:rsidRDefault="001B0C2A">
            <w:pPr>
              <w:pStyle w:val="Normal1linespace"/>
              <w:widowControl w:val="0"/>
            </w:pPr>
          </w:p>
        </w:tc>
        <w:tc>
          <w:tcPr>
            <w:tcW w:w="5989" w:type="dxa"/>
            <w:shd w:val="clear" w:color="auto" w:fill="auto"/>
          </w:tcPr>
          <w:p w14:paraId="7C9464F0" w14:textId="77777777" w:rsidR="001B0C2A" w:rsidRPr="00BF7C63" w:rsidRDefault="001B0C2A">
            <w:pPr>
              <w:pStyle w:val="Normal1linespace"/>
              <w:widowControl w:val="0"/>
              <w:jc w:val="left"/>
            </w:pPr>
          </w:p>
        </w:tc>
      </w:tr>
      <w:tr w:rsidR="001B0C2A" w:rsidRPr="00BF7C63" w14:paraId="65BA0410" w14:textId="77777777" w:rsidTr="00465143">
        <w:tc>
          <w:tcPr>
            <w:tcW w:w="3085" w:type="dxa"/>
            <w:shd w:val="clear" w:color="auto" w:fill="auto"/>
          </w:tcPr>
          <w:p w14:paraId="6425BE66" w14:textId="39EED833" w:rsidR="001B0C2A" w:rsidRPr="00BF7C63" w:rsidRDefault="001B0C2A">
            <w:pPr>
              <w:pStyle w:val="Normal1linespace"/>
              <w:widowControl w:val="0"/>
            </w:pPr>
            <w:r>
              <w:t>Appeal from:</w:t>
            </w:r>
          </w:p>
        </w:tc>
        <w:tc>
          <w:tcPr>
            <w:tcW w:w="5989" w:type="dxa"/>
            <w:shd w:val="clear" w:color="auto" w:fill="auto"/>
          </w:tcPr>
          <w:p w14:paraId="17063F60" w14:textId="637F975A" w:rsidR="001B0C2A" w:rsidRPr="00BF7C63" w:rsidRDefault="0075484B">
            <w:pPr>
              <w:pStyle w:val="Normal1linespace"/>
              <w:widowControl w:val="0"/>
              <w:jc w:val="left"/>
            </w:pPr>
            <w:r w:rsidRPr="0075484B">
              <w:t xml:space="preserve">Luck v Chief Executive Officer of Centrelink [2008] </w:t>
            </w:r>
            <w:proofErr w:type="spellStart"/>
            <w:r w:rsidRPr="0075484B">
              <w:t>FCA</w:t>
            </w:r>
            <w:proofErr w:type="spellEnd"/>
            <w:r w:rsidRPr="0075484B">
              <w:t xml:space="preserve"> 1506</w:t>
            </w:r>
          </w:p>
        </w:tc>
      </w:tr>
      <w:tr w:rsidR="00395B24" w:rsidRPr="00BF7C63" w14:paraId="289CF549" w14:textId="77777777" w:rsidTr="00465143">
        <w:tc>
          <w:tcPr>
            <w:tcW w:w="3085" w:type="dxa"/>
            <w:shd w:val="clear" w:color="auto" w:fill="auto"/>
          </w:tcPr>
          <w:p w14:paraId="3ECEF713" w14:textId="77777777" w:rsidR="00395B24" w:rsidRPr="00BF7C63" w:rsidRDefault="00395B24">
            <w:pPr>
              <w:pStyle w:val="Normal1linespace"/>
              <w:widowControl w:val="0"/>
            </w:pPr>
          </w:p>
        </w:tc>
        <w:tc>
          <w:tcPr>
            <w:tcW w:w="5989" w:type="dxa"/>
            <w:shd w:val="clear" w:color="auto" w:fill="auto"/>
          </w:tcPr>
          <w:p w14:paraId="24E9638E" w14:textId="77777777" w:rsidR="00395B24" w:rsidRPr="00BF7C63" w:rsidRDefault="00395B24">
            <w:pPr>
              <w:pStyle w:val="Normal1linespace"/>
              <w:widowControl w:val="0"/>
              <w:jc w:val="left"/>
            </w:pPr>
          </w:p>
        </w:tc>
      </w:tr>
      <w:tr w:rsidR="00395B24" w:rsidRPr="00BF7C63" w14:paraId="3B155EEE" w14:textId="77777777" w:rsidTr="00465143">
        <w:tc>
          <w:tcPr>
            <w:tcW w:w="3085" w:type="dxa"/>
            <w:shd w:val="clear" w:color="auto" w:fill="auto"/>
          </w:tcPr>
          <w:p w14:paraId="51250469" w14:textId="77777777" w:rsidR="00395B24" w:rsidRPr="00BF7C63" w:rsidRDefault="002C7385">
            <w:pPr>
              <w:pStyle w:val="Normal1linespace"/>
              <w:widowControl w:val="0"/>
            </w:pPr>
            <w:r w:rsidRPr="00BF7C63">
              <w:t>Parties:</w:t>
            </w:r>
          </w:p>
        </w:tc>
        <w:tc>
          <w:tcPr>
            <w:tcW w:w="5989" w:type="dxa"/>
            <w:shd w:val="clear" w:color="auto" w:fill="auto"/>
          </w:tcPr>
          <w:p w14:paraId="7437A762" w14:textId="4806747D" w:rsidR="000735E6" w:rsidRDefault="000735E6" w:rsidP="003114BB">
            <w:pPr>
              <w:pStyle w:val="Normal1linespace"/>
              <w:widowControl w:val="0"/>
              <w:jc w:val="left"/>
              <w:rPr>
                <w:b/>
              </w:rPr>
            </w:pPr>
            <w:bookmarkStart w:id="1" w:name="JudgmentFP"/>
            <w:r>
              <w:rPr>
                <w:b/>
              </w:rPr>
              <w:t>GAYE LUCK</w:t>
            </w:r>
            <w:r w:rsidRPr="00BF7C63">
              <w:rPr>
                <w:b/>
              </w:rPr>
              <w:t xml:space="preserve"> v </w:t>
            </w:r>
            <w:r w:rsidRPr="00C86F3F">
              <w:rPr>
                <w:b/>
              </w:rPr>
              <w:t xml:space="preserve">CHIEF EXECUTIVE </w:t>
            </w:r>
            <w:r w:rsidR="004E1597">
              <w:rPr>
                <w:b/>
              </w:rPr>
              <w:t>OFFICER OF CENTRELINK</w:t>
            </w:r>
          </w:p>
          <w:p w14:paraId="7D59F7CA" w14:textId="77777777" w:rsidR="000735E6" w:rsidRDefault="000735E6" w:rsidP="003114BB">
            <w:pPr>
              <w:pStyle w:val="Normal1linespace"/>
              <w:widowControl w:val="0"/>
              <w:jc w:val="left"/>
              <w:rPr>
                <w:b/>
              </w:rPr>
            </w:pPr>
          </w:p>
          <w:p w14:paraId="142719CC" w14:textId="06A5AE28" w:rsidR="00395B24" w:rsidRPr="00BF7C63" w:rsidRDefault="003114BB" w:rsidP="002D31F3">
            <w:pPr>
              <w:pStyle w:val="Normal1linespace"/>
              <w:widowControl w:val="0"/>
              <w:jc w:val="left"/>
              <w:rPr>
                <w:b/>
              </w:rPr>
            </w:pPr>
            <w:r>
              <w:rPr>
                <w:b/>
              </w:rPr>
              <w:t>GAYE LUCK</w:t>
            </w:r>
            <w:r w:rsidR="00AD4B4A" w:rsidRPr="00BF7C63">
              <w:rPr>
                <w:b/>
              </w:rPr>
              <w:t xml:space="preserve"> v </w:t>
            </w:r>
            <w:r>
              <w:rPr>
                <w:b/>
              </w:rPr>
              <w:t>SECRETARY</w:t>
            </w:r>
            <w:r w:rsidR="00D56F23">
              <w:rPr>
                <w:b/>
              </w:rPr>
              <w:t>,</w:t>
            </w:r>
            <w:r>
              <w:rPr>
                <w:b/>
              </w:rPr>
              <w:t xml:space="preserve"> DEPARTMENT OF HUMAN SERVICES, ADMINISTRATIVE APPEALS TRIBUNA</w:t>
            </w:r>
            <w:bookmarkStart w:id="2" w:name="_GoBack"/>
            <w:bookmarkEnd w:id="2"/>
            <w:r>
              <w:rPr>
                <w:b/>
              </w:rPr>
              <w:t xml:space="preserve">L AND STEPHANIE ANN </w:t>
            </w:r>
            <w:proofErr w:type="spellStart"/>
            <w:r>
              <w:rPr>
                <w:b/>
              </w:rPr>
              <w:t>FORGIE</w:t>
            </w:r>
            <w:proofErr w:type="spellEnd"/>
            <w:r>
              <w:rPr>
                <w:b/>
              </w:rPr>
              <w:t xml:space="preserve"> (AS DEPUTY PRESIDENT OF THE AAT)</w:t>
            </w:r>
            <w:bookmarkEnd w:id="1"/>
          </w:p>
        </w:tc>
      </w:tr>
      <w:tr w:rsidR="00395B24" w:rsidRPr="00BF7C63" w14:paraId="1D495C4B" w14:textId="77777777" w:rsidTr="00465143">
        <w:tc>
          <w:tcPr>
            <w:tcW w:w="3085" w:type="dxa"/>
            <w:shd w:val="clear" w:color="auto" w:fill="auto"/>
          </w:tcPr>
          <w:p w14:paraId="3DE7B6AA" w14:textId="77777777" w:rsidR="00395B24" w:rsidRPr="00BF7C63" w:rsidRDefault="00395B24">
            <w:pPr>
              <w:pStyle w:val="Normal1linespace"/>
              <w:widowControl w:val="0"/>
            </w:pPr>
          </w:p>
        </w:tc>
        <w:tc>
          <w:tcPr>
            <w:tcW w:w="5989" w:type="dxa"/>
            <w:shd w:val="clear" w:color="auto" w:fill="auto"/>
          </w:tcPr>
          <w:p w14:paraId="7D57684D" w14:textId="77777777" w:rsidR="00395B24" w:rsidRPr="00BF7C63" w:rsidRDefault="00395B24">
            <w:pPr>
              <w:pStyle w:val="Normal1linespace"/>
              <w:widowControl w:val="0"/>
              <w:jc w:val="left"/>
            </w:pPr>
          </w:p>
        </w:tc>
      </w:tr>
      <w:tr w:rsidR="00395B24" w:rsidRPr="00BF7C63" w14:paraId="21B11DA3" w14:textId="77777777" w:rsidTr="00465143">
        <w:tc>
          <w:tcPr>
            <w:tcW w:w="3085" w:type="dxa"/>
            <w:shd w:val="clear" w:color="auto" w:fill="auto"/>
          </w:tcPr>
          <w:p w14:paraId="226668B6" w14:textId="2B3B8156" w:rsidR="00395B24" w:rsidRPr="00BF7C63" w:rsidRDefault="00AD4B4A">
            <w:pPr>
              <w:pStyle w:val="Normal1linespace"/>
              <w:widowControl w:val="0"/>
            </w:pPr>
            <w:r w:rsidRPr="00BF7C63">
              <w:t>File number</w:t>
            </w:r>
            <w:r w:rsidR="000735E6">
              <w:t>s</w:t>
            </w:r>
            <w:r w:rsidR="002C7385" w:rsidRPr="00BF7C63">
              <w:t>:</w:t>
            </w:r>
          </w:p>
        </w:tc>
        <w:tc>
          <w:tcPr>
            <w:tcW w:w="5989" w:type="dxa"/>
            <w:shd w:val="clear" w:color="auto" w:fill="auto"/>
          </w:tcPr>
          <w:p w14:paraId="65BAC085" w14:textId="77777777" w:rsidR="00607B0E" w:rsidRDefault="002C7385" w:rsidP="00607B0E">
            <w:pPr>
              <w:pStyle w:val="Normal1linespace"/>
              <w:widowControl w:val="0"/>
              <w:jc w:val="left"/>
              <w:rPr>
                <w:szCs w:val="24"/>
              </w:rPr>
            </w:pPr>
            <w:r w:rsidRPr="00BF7C63">
              <w:rPr>
                <w:szCs w:val="24"/>
              </w:rPr>
              <w:fldChar w:fldCharType="begin" w:fldLock="1"/>
            </w:r>
            <w:r w:rsidRPr="00BF7C63">
              <w:rPr>
                <w:szCs w:val="24"/>
              </w:rPr>
              <w:instrText xml:space="preserve"> REF  Num  \* MERGEFORMAT </w:instrText>
            </w:r>
            <w:r w:rsidRPr="00BF7C63">
              <w:rPr>
                <w:szCs w:val="24"/>
              </w:rPr>
              <w:fldChar w:fldCharType="separate"/>
            </w:r>
            <w:r w:rsidR="001B0C2A">
              <w:rPr>
                <w:szCs w:val="24"/>
              </w:rPr>
              <w:t>VID 898 of 2008</w:t>
            </w:r>
          </w:p>
          <w:p w14:paraId="4DCBE230" w14:textId="4878A4C7" w:rsidR="00395B24" w:rsidRPr="00BF7C63" w:rsidRDefault="001B0C2A" w:rsidP="00607B0E">
            <w:pPr>
              <w:pStyle w:val="Normal1linespace"/>
              <w:widowControl w:val="0"/>
              <w:jc w:val="left"/>
            </w:pPr>
            <w:r>
              <w:rPr>
                <w:szCs w:val="24"/>
              </w:rPr>
              <w:t>VID 51</w:t>
            </w:r>
            <w:r w:rsidR="006137DF">
              <w:rPr>
                <w:szCs w:val="24"/>
              </w:rPr>
              <w:t>2</w:t>
            </w:r>
            <w:r>
              <w:rPr>
                <w:szCs w:val="24"/>
              </w:rPr>
              <w:t xml:space="preserve"> of 2014</w:t>
            </w:r>
            <w:r w:rsidR="002C7385" w:rsidRPr="00BF7C63">
              <w:rPr>
                <w:szCs w:val="24"/>
              </w:rPr>
              <w:fldChar w:fldCharType="end"/>
            </w:r>
          </w:p>
        </w:tc>
      </w:tr>
      <w:tr w:rsidR="00395B24" w:rsidRPr="00BF7C63" w14:paraId="20DF794F" w14:textId="77777777" w:rsidTr="00465143">
        <w:tc>
          <w:tcPr>
            <w:tcW w:w="3085" w:type="dxa"/>
            <w:shd w:val="clear" w:color="auto" w:fill="auto"/>
          </w:tcPr>
          <w:p w14:paraId="22CAB3A8" w14:textId="77777777" w:rsidR="00395B24" w:rsidRPr="00BF7C63" w:rsidRDefault="00395B24">
            <w:pPr>
              <w:pStyle w:val="Normal1linespace"/>
              <w:widowControl w:val="0"/>
            </w:pPr>
          </w:p>
        </w:tc>
        <w:tc>
          <w:tcPr>
            <w:tcW w:w="5989" w:type="dxa"/>
            <w:shd w:val="clear" w:color="auto" w:fill="auto"/>
          </w:tcPr>
          <w:p w14:paraId="555B0BC5" w14:textId="77777777" w:rsidR="00395B24" w:rsidRPr="00BF7C63" w:rsidRDefault="00395B24">
            <w:pPr>
              <w:pStyle w:val="Normal1linespace"/>
              <w:widowControl w:val="0"/>
              <w:jc w:val="left"/>
            </w:pPr>
          </w:p>
        </w:tc>
      </w:tr>
      <w:tr w:rsidR="00395B24" w:rsidRPr="00BF7C63" w14:paraId="4C07CC6D" w14:textId="77777777" w:rsidTr="00465143">
        <w:tc>
          <w:tcPr>
            <w:tcW w:w="3085" w:type="dxa"/>
            <w:shd w:val="clear" w:color="auto" w:fill="auto"/>
          </w:tcPr>
          <w:p w14:paraId="383D7F07" w14:textId="20DBBAD5" w:rsidR="00395B24" w:rsidRPr="00BF7C63" w:rsidRDefault="00AD4B4A">
            <w:pPr>
              <w:pStyle w:val="Normal1linespace"/>
              <w:widowControl w:val="0"/>
            </w:pPr>
            <w:r w:rsidRPr="00BF7C63">
              <w:t>Judge</w:t>
            </w:r>
            <w:r w:rsidR="003114BB">
              <w:t>s</w:t>
            </w:r>
            <w:r w:rsidR="002C7385" w:rsidRPr="00BF7C63">
              <w:t>:</w:t>
            </w:r>
          </w:p>
        </w:tc>
        <w:tc>
          <w:tcPr>
            <w:tcW w:w="5989" w:type="dxa"/>
            <w:shd w:val="clear" w:color="auto" w:fill="auto"/>
          </w:tcPr>
          <w:p w14:paraId="2A3EF348" w14:textId="79C9F896" w:rsidR="00395B24" w:rsidRPr="00BF7C63" w:rsidRDefault="007C2874">
            <w:pPr>
              <w:pStyle w:val="Normal1linespace"/>
              <w:widowControl w:val="0"/>
              <w:jc w:val="left"/>
              <w:rPr>
                <w:b/>
              </w:rPr>
            </w:pPr>
            <w:r>
              <w:rPr>
                <w:b/>
              </w:rPr>
              <w:t xml:space="preserve">COLLIER, GRIFFITHS AND </w:t>
            </w:r>
            <w:r w:rsidR="00C05C2F">
              <w:rPr>
                <w:b/>
              </w:rPr>
              <w:t xml:space="preserve">MORTIMER </w:t>
            </w:r>
            <w:proofErr w:type="spellStart"/>
            <w:r w:rsidR="00E475C6">
              <w:rPr>
                <w:b/>
              </w:rPr>
              <w:t>J</w:t>
            </w:r>
            <w:r>
              <w:rPr>
                <w:b/>
              </w:rPr>
              <w:t>J</w:t>
            </w:r>
            <w:proofErr w:type="spellEnd"/>
          </w:p>
        </w:tc>
      </w:tr>
      <w:tr w:rsidR="00395B24" w:rsidRPr="00BF7C63" w14:paraId="647937DA" w14:textId="77777777" w:rsidTr="00465143">
        <w:tc>
          <w:tcPr>
            <w:tcW w:w="3085" w:type="dxa"/>
            <w:shd w:val="clear" w:color="auto" w:fill="auto"/>
          </w:tcPr>
          <w:p w14:paraId="623A3F12" w14:textId="77777777" w:rsidR="00395B24" w:rsidRPr="00BF7C63" w:rsidRDefault="00395B24">
            <w:pPr>
              <w:pStyle w:val="Normal1linespace"/>
              <w:widowControl w:val="0"/>
            </w:pPr>
          </w:p>
        </w:tc>
        <w:tc>
          <w:tcPr>
            <w:tcW w:w="5989" w:type="dxa"/>
            <w:shd w:val="clear" w:color="auto" w:fill="auto"/>
          </w:tcPr>
          <w:p w14:paraId="6F928EB2" w14:textId="77777777" w:rsidR="00395B24" w:rsidRPr="00BF7C63" w:rsidRDefault="00395B24">
            <w:pPr>
              <w:pStyle w:val="Normal1linespace"/>
              <w:widowControl w:val="0"/>
              <w:jc w:val="left"/>
            </w:pPr>
          </w:p>
        </w:tc>
      </w:tr>
      <w:tr w:rsidR="00395B24" w:rsidRPr="00BF7C63" w14:paraId="28F0EC22" w14:textId="77777777" w:rsidTr="00465143">
        <w:tc>
          <w:tcPr>
            <w:tcW w:w="3085" w:type="dxa"/>
            <w:shd w:val="clear" w:color="auto" w:fill="auto"/>
          </w:tcPr>
          <w:p w14:paraId="19608355" w14:textId="77777777" w:rsidR="00395B24" w:rsidRPr="00BF7C63" w:rsidRDefault="002C7385">
            <w:pPr>
              <w:pStyle w:val="Normal1linespace"/>
              <w:widowControl w:val="0"/>
            </w:pPr>
            <w:r w:rsidRPr="00BF7C63">
              <w:t>Date of judgment:</w:t>
            </w:r>
          </w:p>
        </w:tc>
        <w:tc>
          <w:tcPr>
            <w:tcW w:w="5989" w:type="dxa"/>
            <w:shd w:val="clear" w:color="auto" w:fill="auto"/>
          </w:tcPr>
          <w:p w14:paraId="269B2541" w14:textId="39BA021D" w:rsidR="00395B24" w:rsidRPr="00BF7C63" w:rsidRDefault="00E7020E" w:rsidP="004016B3">
            <w:pPr>
              <w:pStyle w:val="BodyText"/>
            </w:pPr>
            <w:bookmarkStart w:id="3" w:name="JudgmentDate"/>
            <w:r>
              <w:t>21</w:t>
            </w:r>
            <w:r w:rsidR="004016B3">
              <w:t xml:space="preserve"> May</w:t>
            </w:r>
            <w:r w:rsidR="001B0C2A">
              <w:t xml:space="preserve"> 2015</w:t>
            </w:r>
            <w:bookmarkEnd w:id="3"/>
          </w:p>
        </w:tc>
      </w:tr>
      <w:tr w:rsidR="00395B24" w:rsidRPr="00BF7C63" w14:paraId="7A6A9938" w14:textId="77777777" w:rsidTr="00465143">
        <w:tc>
          <w:tcPr>
            <w:tcW w:w="3085" w:type="dxa"/>
            <w:shd w:val="clear" w:color="auto" w:fill="auto"/>
          </w:tcPr>
          <w:p w14:paraId="3D9F8CB3" w14:textId="77777777" w:rsidR="00395B24" w:rsidRPr="00BF7C63" w:rsidRDefault="00395B24">
            <w:pPr>
              <w:pStyle w:val="Normal1linespace"/>
              <w:widowControl w:val="0"/>
            </w:pPr>
          </w:p>
        </w:tc>
        <w:tc>
          <w:tcPr>
            <w:tcW w:w="5989" w:type="dxa"/>
            <w:shd w:val="clear" w:color="auto" w:fill="auto"/>
          </w:tcPr>
          <w:p w14:paraId="2CE57948" w14:textId="77777777" w:rsidR="00395B24" w:rsidRPr="00BF7C63" w:rsidRDefault="00395B24">
            <w:pPr>
              <w:pStyle w:val="Normal1linespace"/>
              <w:widowControl w:val="0"/>
              <w:jc w:val="left"/>
            </w:pPr>
          </w:p>
        </w:tc>
      </w:tr>
      <w:tr w:rsidR="00395B24" w:rsidRPr="00BF7C63" w14:paraId="19DE4110" w14:textId="77777777" w:rsidTr="00465143">
        <w:tc>
          <w:tcPr>
            <w:tcW w:w="3085" w:type="dxa"/>
            <w:shd w:val="clear" w:color="auto" w:fill="auto"/>
          </w:tcPr>
          <w:p w14:paraId="6684DFEB" w14:textId="77777777" w:rsidR="00395B24" w:rsidRPr="00BF7C63" w:rsidRDefault="002C7385">
            <w:pPr>
              <w:pStyle w:val="Normal1linespace"/>
              <w:widowControl w:val="0"/>
            </w:pPr>
            <w:r w:rsidRPr="00BF7C63">
              <w:t>Catchwords:</w:t>
            </w:r>
          </w:p>
        </w:tc>
        <w:tc>
          <w:tcPr>
            <w:tcW w:w="5989" w:type="dxa"/>
            <w:shd w:val="clear" w:color="auto" w:fill="auto"/>
          </w:tcPr>
          <w:p w14:paraId="714FA0AD" w14:textId="77777777" w:rsidR="00395B24" w:rsidRDefault="001E1109" w:rsidP="001E1109">
            <w:pPr>
              <w:pStyle w:val="Normal1linespace"/>
              <w:widowControl w:val="0"/>
              <w:jc w:val="left"/>
              <w:rPr>
                <w:b/>
              </w:rPr>
            </w:pPr>
            <w:bookmarkStart w:id="4" w:name="Catchwords"/>
            <w:r>
              <w:rPr>
                <w:b/>
              </w:rPr>
              <w:t xml:space="preserve">PRACTICE AND PROCEDURE </w:t>
            </w:r>
            <w:r>
              <w:t xml:space="preserve">– applications for stay or adjournment pending removal applications under s 40 </w:t>
            </w:r>
            <w:r>
              <w:rPr>
                <w:i/>
              </w:rPr>
              <w:t xml:space="preserve">Judiciary Act 1903 </w:t>
            </w:r>
            <w:r>
              <w:t>(</w:t>
            </w:r>
            <w:proofErr w:type="spellStart"/>
            <w:r>
              <w:t>Cth</w:t>
            </w:r>
            <w:proofErr w:type="spellEnd"/>
            <w:r>
              <w:t>) – stay not necessary to preserve subject matter – consideration of prospects of success of removal applications – applications dismissed</w:t>
            </w:r>
            <w:bookmarkEnd w:id="4"/>
          </w:p>
          <w:p w14:paraId="16D40E67" w14:textId="77777777" w:rsidR="001E1109" w:rsidRDefault="001E1109" w:rsidP="001E1109">
            <w:pPr>
              <w:pStyle w:val="Normal1linespace"/>
              <w:widowControl w:val="0"/>
              <w:jc w:val="left"/>
              <w:rPr>
                <w:b/>
              </w:rPr>
            </w:pPr>
          </w:p>
          <w:p w14:paraId="128F2DD7" w14:textId="54527C71" w:rsidR="001E1109" w:rsidRPr="001E1109" w:rsidRDefault="001E1109" w:rsidP="00C05C2F">
            <w:pPr>
              <w:pStyle w:val="Normal1linespace"/>
              <w:widowControl w:val="0"/>
              <w:jc w:val="left"/>
            </w:pPr>
            <w:r>
              <w:rPr>
                <w:b/>
              </w:rPr>
              <w:t xml:space="preserve">PRACTICE AND PROCEDURE </w:t>
            </w:r>
            <w:r>
              <w:t>– applications for adjournment for health-related reasons – consideration of s </w:t>
            </w:r>
            <w:proofErr w:type="spellStart"/>
            <w:r>
              <w:t>37M</w:t>
            </w:r>
            <w:proofErr w:type="spellEnd"/>
            <w:r>
              <w:t xml:space="preserve"> </w:t>
            </w:r>
            <w:r>
              <w:rPr>
                <w:i/>
              </w:rPr>
              <w:t xml:space="preserve">Federal Court of Australia Act 1976 </w:t>
            </w:r>
            <w:r>
              <w:t>(</w:t>
            </w:r>
            <w:proofErr w:type="spellStart"/>
            <w:r>
              <w:t>Cth</w:t>
            </w:r>
            <w:proofErr w:type="spellEnd"/>
            <w:r>
              <w:t>) – consideration of other relevant factors including persuasiveness of medical evidence, choices made by the appellant, time since appeals first instituted and proportionality of resources expended to subject matter of appeals – applications dismissed</w:t>
            </w:r>
          </w:p>
        </w:tc>
      </w:tr>
      <w:tr w:rsidR="00395B24" w:rsidRPr="00BF7C63" w14:paraId="64E54121" w14:textId="77777777" w:rsidTr="00465143">
        <w:tc>
          <w:tcPr>
            <w:tcW w:w="3085" w:type="dxa"/>
            <w:shd w:val="clear" w:color="auto" w:fill="auto"/>
          </w:tcPr>
          <w:p w14:paraId="7E72BFE0" w14:textId="77777777" w:rsidR="00395B24" w:rsidRPr="00BF7C63" w:rsidRDefault="00395B24">
            <w:pPr>
              <w:pStyle w:val="Normal1linespace"/>
              <w:widowControl w:val="0"/>
            </w:pPr>
          </w:p>
        </w:tc>
        <w:tc>
          <w:tcPr>
            <w:tcW w:w="5989" w:type="dxa"/>
            <w:shd w:val="clear" w:color="auto" w:fill="auto"/>
          </w:tcPr>
          <w:p w14:paraId="1337F601" w14:textId="77777777" w:rsidR="00395B24" w:rsidRPr="00BF7C63" w:rsidRDefault="00395B24">
            <w:pPr>
              <w:pStyle w:val="Normal1linespace"/>
              <w:widowControl w:val="0"/>
              <w:jc w:val="left"/>
            </w:pPr>
          </w:p>
        </w:tc>
      </w:tr>
      <w:tr w:rsidR="00395B24" w:rsidRPr="00BF7C63" w14:paraId="157323F2" w14:textId="77777777" w:rsidTr="00465143">
        <w:tc>
          <w:tcPr>
            <w:tcW w:w="3085" w:type="dxa"/>
            <w:shd w:val="clear" w:color="auto" w:fill="auto"/>
          </w:tcPr>
          <w:p w14:paraId="4A0074BE" w14:textId="77777777" w:rsidR="00395B24" w:rsidRPr="00BF7C63" w:rsidRDefault="002C7385">
            <w:pPr>
              <w:pStyle w:val="Normal1linespace"/>
              <w:widowControl w:val="0"/>
            </w:pPr>
            <w:r w:rsidRPr="00BF7C63">
              <w:t>Legislation:</w:t>
            </w:r>
          </w:p>
        </w:tc>
        <w:tc>
          <w:tcPr>
            <w:tcW w:w="5989" w:type="dxa"/>
            <w:shd w:val="clear" w:color="auto" w:fill="auto"/>
          </w:tcPr>
          <w:p w14:paraId="5EBD5340" w14:textId="17A6AB69" w:rsidR="001F741C" w:rsidRPr="001F741C" w:rsidRDefault="00964F48" w:rsidP="000D3C44">
            <w:pPr>
              <w:pStyle w:val="Normal1linespace"/>
              <w:widowControl w:val="0"/>
              <w:jc w:val="left"/>
            </w:pPr>
            <w:bookmarkStart w:id="5" w:name="Legislation"/>
            <w:r>
              <w:rPr>
                <w:i/>
              </w:rPr>
              <w:t>Administrative Appeals Tribunal Act 1975</w:t>
            </w:r>
            <w:r>
              <w:t xml:space="preserve"> (</w:t>
            </w:r>
            <w:proofErr w:type="spellStart"/>
            <w:r>
              <w:t>Cth</w:t>
            </w:r>
            <w:proofErr w:type="spellEnd"/>
            <w:r>
              <w:t>) s 44</w:t>
            </w:r>
          </w:p>
          <w:p w14:paraId="78E02B88" w14:textId="42F8D2D7" w:rsidR="00C5249A" w:rsidRPr="00C5249A" w:rsidRDefault="001F741C" w:rsidP="000D3C44">
            <w:pPr>
              <w:pStyle w:val="Normal1linespace"/>
              <w:widowControl w:val="0"/>
              <w:jc w:val="left"/>
            </w:pPr>
            <w:r>
              <w:rPr>
                <w:i/>
              </w:rPr>
              <w:t xml:space="preserve">Administrative Decisions (Judicial Review) Act 1977 </w:t>
            </w:r>
            <w:r>
              <w:t>(</w:t>
            </w:r>
            <w:proofErr w:type="spellStart"/>
            <w:r>
              <w:t>Cth</w:t>
            </w:r>
            <w:proofErr w:type="spellEnd"/>
            <w:r>
              <w:t>)</w:t>
            </w:r>
          </w:p>
          <w:p w14:paraId="2A709D57" w14:textId="49F9A6C3" w:rsidR="001D2BAC" w:rsidRDefault="00C5249A" w:rsidP="000D3C44">
            <w:pPr>
              <w:pStyle w:val="Normal1linespace"/>
              <w:widowControl w:val="0"/>
              <w:jc w:val="left"/>
            </w:pPr>
            <w:r>
              <w:rPr>
                <w:i/>
              </w:rPr>
              <w:t xml:space="preserve">Defence Force Discipline Act 1982 </w:t>
            </w:r>
            <w:r>
              <w:t>(</w:t>
            </w:r>
            <w:proofErr w:type="spellStart"/>
            <w:r>
              <w:t>Cth</w:t>
            </w:r>
            <w:proofErr w:type="spellEnd"/>
            <w:r>
              <w:t>)</w:t>
            </w:r>
          </w:p>
          <w:p w14:paraId="097F6F5E" w14:textId="5F770A8D" w:rsidR="00C5249A" w:rsidRDefault="00782BAF" w:rsidP="000D3C44">
            <w:pPr>
              <w:pStyle w:val="Normal1linespace"/>
              <w:widowControl w:val="0"/>
              <w:jc w:val="left"/>
            </w:pPr>
            <w:r>
              <w:rPr>
                <w:i/>
              </w:rPr>
              <w:t>Federal Court of Australia Act 1976</w:t>
            </w:r>
            <w:r>
              <w:t xml:space="preserve"> (</w:t>
            </w:r>
            <w:proofErr w:type="spellStart"/>
            <w:r>
              <w:t>Cth</w:t>
            </w:r>
            <w:proofErr w:type="spellEnd"/>
            <w:r>
              <w:t xml:space="preserve">) </w:t>
            </w:r>
            <w:proofErr w:type="spellStart"/>
            <w:r>
              <w:t>s</w:t>
            </w:r>
            <w:r w:rsidR="006475B9">
              <w:t>s</w:t>
            </w:r>
            <w:proofErr w:type="spellEnd"/>
            <w:r>
              <w:t xml:space="preserve"> </w:t>
            </w:r>
            <w:proofErr w:type="spellStart"/>
            <w:r>
              <w:t>37M</w:t>
            </w:r>
            <w:proofErr w:type="spellEnd"/>
            <w:r w:rsidR="006475B9">
              <w:t xml:space="preserve">, </w:t>
            </w:r>
            <w:proofErr w:type="spellStart"/>
            <w:r w:rsidR="006475B9">
              <w:t>37M</w:t>
            </w:r>
            <w:proofErr w:type="spellEnd"/>
            <w:r w:rsidR="006475B9">
              <w:t>(2)</w:t>
            </w:r>
          </w:p>
          <w:p w14:paraId="3D50ED7E" w14:textId="573F4235" w:rsidR="001D2BAC" w:rsidRDefault="00C755EB" w:rsidP="000D3C44">
            <w:pPr>
              <w:pStyle w:val="Normal1linespace"/>
              <w:widowControl w:val="0"/>
              <w:jc w:val="left"/>
            </w:pPr>
            <w:r>
              <w:rPr>
                <w:i/>
                <w:iCs/>
              </w:rPr>
              <w:t xml:space="preserve">Freedom of Information Act 1982 </w:t>
            </w:r>
            <w:r>
              <w:t>(</w:t>
            </w:r>
            <w:proofErr w:type="spellStart"/>
            <w:r>
              <w:t>Cth</w:t>
            </w:r>
            <w:proofErr w:type="spellEnd"/>
            <w:r>
              <w:t>)</w:t>
            </w:r>
          </w:p>
          <w:p w14:paraId="0E8B6A21" w14:textId="6086F6B4" w:rsidR="00395B24" w:rsidRPr="00BF7C63" w:rsidRDefault="00C755EB" w:rsidP="00C755EB">
            <w:pPr>
              <w:pStyle w:val="Normal1linespace"/>
              <w:widowControl w:val="0"/>
              <w:jc w:val="left"/>
            </w:pPr>
            <w:r w:rsidRPr="00C755EB">
              <w:rPr>
                <w:i/>
              </w:rPr>
              <w:t>Judiciary Act 1903</w:t>
            </w:r>
            <w:r>
              <w:t xml:space="preserve"> (</w:t>
            </w:r>
            <w:proofErr w:type="spellStart"/>
            <w:r>
              <w:t>Cth</w:t>
            </w:r>
            <w:proofErr w:type="spellEnd"/>
            <w:r>
              <w:t>) s 40</w:t>
            </w:r>
            <w:bookmarkEnd w:id="5"/>
          </w:p>
        </w:tc>
      </w:tr>
      <w:tr w:rsidR="00395B24" w:rsidRPr="00BF7C63" w14:paraId="38543F8C" w14:textId="77777777" w:rsidTr="00465143">
        <w:tc>
          <w:tcPr>
            <w:tcW w:w="3085" w:type="dxa"/>
            <w:shd w:val="clear" w:color="auto" w:fill="auto"/>
          </w:tcPr>
          <w:p w14:paraId="7D36B7FA" w14:textId="77777777" w:rsidR="00395B24" w:rsidRPr="00BF7C63" w:rsidRDefault="00395B24">
            <w:pPr>
              <w:pStyle w:val="Normal1linespace"/>
              <w:widowControl w:val="0"/>
            </w:pPr>
          </w:p>
        </w:tc>
        <w:tc>
          <w:tcPr>
            <w:tcW w:w="5989" w:type="dxa"/>
            <w:shd w:val="clear" w:color="auto" w:fill="auto"/>
          </w:tcPr>
          <w:p w14:paraId="373CF372" w14:textId="77777777" w:rsidR="00395B24" w:rsidRPr="00BF7C63" w:rsidRDefault="00395B24">
            <w:pPr>
              <w:pStyle w:val="Normal1linespace"/>
              <w:widowControl w:val="0"/>
              <w:jc w:val="left"/>
            </w:pPr>
          </w:p>
        </w:tc>
      </w:tr>
      <w:tr w:rsidR="00395B24" w:rsidRPr="00BF7C63" w14:paraId="16BEEC04" w14:textId="77777777" w:rsidTr="00465143">
        <w:tc>
          <w:tcPr>
            <w:tcW w:w="3085" w:type="dxa"/>
            <w:shd w:val="clear" w:color="auto" w:fill="auto"/>
          </w:tcPr>
          <w:p w14:paraId="13169D40" w14:textId="77777777" w:rsidR="00395B24" w:rsidRPr="00BF7C63" w:rsidRDefault="002C7385">
            <w:pPr>
              <w:pStyle w:val="Normal1linespace"/>
              <w:widowControl w:val="0"/>
            </w:pPr>
            <w:r w:rsidRPr="00BF7C63">
              <w:t>Cases cited:</w:t>
            </w:r>
          </w:p>
        </w:tc>
        <w:tc>
          <w:tcPr>
            <w:tcW w:w="5989" w:type="dxa"/>
            <w:shd w:val="clear" w:color="auto" w:fill="auto"/>
          </w:tcPr>
          <w:p w14:paraId="175B6067" w14:textId="6E70D8AD" w:rsidR="00042C23" w:rsidRDefault="002A5A2A" w:rsidP="00BF7850">
            <w:pPr>
              <w:pStyle w:val="Normal1linespace"/>
              <w:widowControl w:val="0"/>
              <w:jc w:val="left"/>
            </w:pPr>
            <w:bookmarkStart w:id="6" w:name="Cases_Cited"/>
            <w:r w:rsidRPr="002A5A2A">
              <w:rPr>
                <w:i/>
              </w:rPr>
              <w:t xml:space="preserve">Aon Risk Services Australia Pty Ltd v Australian National </w:t>
            </w:r>
            <w:r w:rsidRPr="002A5A2A">
              <w:rPr>
                <w:i/>
              </w:rPr>
              <w:lastRenderedPageBreak/>
              <w:t>University</w:t>
            </w:r>
            <w:r w:rsidRPr="002A5A2A">
              <w:t xml:space="preserve"> (2009) 239 </w:t>
            </w:r>
            <w:proofErr w:type="spellStart"/>
            <w:r w:rsidRPr="002A5A2A">
              <w:t>CLR</w:t>
            </w:r>
            <w:proofErr w:type="spellEnd"/>
            <w:r w:rsidRPr="002A5A2A">
              <w:t xml:space="preserve"> 175; [2009] HCA 27</w:t>
            </w:r>
          </w:p>
          <w:p w14:paraId="7C278530" w14:textId="4524FE77" w:rsidR="00836168" w:rsidRDefault="00836168" w:rsidP="00BF7850">
            <w:pPr>
              <w:pStyle w:val="Normal1linespace"/>
              <w:widowControl w:val="0"/>
              <w:jc w:val="left"/>
            </w:pPr>
            <w:proofErr w:type="spellStart"/>
            <w:r>
              <w:rPr>
                <w:i/>
              </w:rPr>
              <w:t>Bienstein</w:t>
            </w:r>
            <w:proofErr w:type="spellEnd"/>
            <w:r>
              <w:rPr>
                <w:i/>
              </w:rPr>
              <w:t xml:space="preserve"> v </w:t>
            </w:r>
            <w:proofErr w:type="spellStart"/>
            <w:r>
              <w:rPr>
                <w:i/>
              </w:rPr>
              <w:t>Bienstein</w:t>
            </w:r>
            <w:proofErr w:type="spellEnd"/>
            <w:r>
              <w:rPr>
                <w:i/>
              </w:rPr>
              <w:t xml:space="preserve"> </w:t>
            </w:r>
            <w:r>
              <w:t xml:space="preserve">(2003) </w:t>
            </w:r>
            <w:r w:rsidR="00F6427B" w:rsidRPr="00BA74FF">
              <w:t xml:space="preserve">195 </w:t>
            </w:r>
            <w:proofErr w:type="spellStart"/>
            <w:r w:rsidR="00F6427B" w:rsidRPr="00BA74FF">
              <w:t>ALR</w:t>
            </w:r>
            <w:proofErr w:type="spellEnd"/>
            <w:r w:rsidR="00F6427B" w:rsidRPr="00BA74FF">
              <w:t xml:space="preserve"> 225</w:t>
            </w:r>
            <w:r w:rsidR="00F6427B">
              <w:t>; [</w:t>
            </w:r>
            <w:r w:rsidR="00F6427B" w:rsidRPr="00BA74FF">
              <w:t>2003] HCA 7</w:t>
            </w:r>
          </w:p>
          <w:p w14:paraId="6922A721" w14:textId="46330450" w:rsidR="002A5A2A" w:rsidRDefault="002A5A2A" w:rsidP="00BF7850">
            <w:pPr>
              <w:pStyle w:val="Normal1linespace"/>
              <w:widowControl w:val="0"/>
              <w:jc w:val="left"/>
            </w:pPr>
            <w:proofErr w:type="spellStart"/>
            <w:r>
              <w:rPr>
                <w:i/>
              </w:rPr>
              <w:t>Birdon</w:t>
            </w:r>
            <w:proofErr w:type="spellEnd"/>
            <w:r>
              <w:rPr>
                <w:i/>
              </w:rPr>
              <w:t xml:space="preserve"> Pty Ltd v </w:t>
            </w:r>
            <w:proofErr w:type="spellStart"/>
            <w:r>
              <w:rPr>
                <w:i/>
              </w:rPr>
              <w:t>Houben</w:t>
            </w:r>
            <w:proofErr w:type="spellEnd"/>
            <w:r>
              <w:rPr>
                <w:i/>
              </w:rPr>
              <w:t xml:space="preserve"> Marine Pty Ltd</w:t>
            </w:r>
            <w:r>
              <w:t xml:space="preserve"> [2011] </w:t>
            </w:r>
            <w:proofErr w:type="spellStart"/>
            <w:r>
              <w:t>FCA</w:t>
            </w:r>
            <w:proofErr w:type="spellEnd"/>
            <w:r>
              <w:t xml:space="preserve"> 1217</w:t>
            </w:r>
          </w:p>
          <w:p w14:paraId="3DAC3A1E" w14:textId="221BF22B" w:rsidR="00836168" w:rsidRDefault="00836168" w:rsidP="00BF7850">
            <w:pPr>
              <w:pStyle w:val="Normal1linespace"/>
              <w:widowControl w:val="0"/>
              <w:jc w:val="left"/>
            </w:pPr>
            <w:r>
              <w:rPr>
                <w:i/>
              </w:rPr>
              <w:t xml:space="preserve">Luck v Chief Executive Officer of Centrelink </w:t>
            </w:r>
            <w:r>
              <w:t xml:space="preserve">[2008] </w:t>
            </w:r>
            <w:proofErr w:type="spellStart"/>
            <w:r>
              <w:t>FCA</w:t>
            </w:r>
            <w:proofErr w:type="spellEnd"/>
            <w:r>
              <w:t xml:space="preserve"> 1506</w:t>
            </w:r>
          </w:p>
          <w:p w14:paraId="49C8DAA0" w14:textId="712597CA" w:rsidR="00203893" w:rsidRDefault="00203893" w:rsidP="00BF7850">
            <w:pPr>
              <w:pStyle w:val="Normal1linespace"/>
              <w:widowControl w:val="0"/>
              <w:jc w:val="left"/>
            </w:pPr>
            <w:r>
              <w:rPr>
                <w:i/>
              </w:rPr>
              <w:t xml:space="preserve">Luck v Chief Executive Officer, Centrelink </w:t>
            </w:r>
            <w:r>
              <w:t xml:space="preserve">[2009] </w:t>
            </w:r>
            <w:proofErr w:type="spellStart"/>
            <w:r>
              <w:t>FCAFC</w:t>
            </w:r>
            <w:proofErr w:type="spellEnd"/>
            <w:r>
              <w:t xml:space="preserve"> 54</w:t>
            </w:r>
          </w:p>
          <w:p w14:paraId="25263324" w14:textId="1BB4C09F" w:rsidR="00836168" w:rsidRDefault="00836168" w:rsidP="00BF7850">
            <w:pPr>
              <w:pStyle w:val="Normal1linespace"/>
              <w:widowControl w:val="0"/>
              <w:jc w:val="left"/>
            </w:pPr>
            <w:r w:rsidRPr="00836168">
              <w:rPr>
                <w:i/>
              </w:rPr>
              <w:t>Luck v Secretary, Department of Human Services</w:t>
            </w:r>
            <w:r w:rsidRPr="00836168">
              <w:t xml:space="preserve"> [2014] </w:t>
            </w:r>
            <w:proofErr w:type="spellStart"/>
            <w:r w:rsidRPr="00836168">
              <w:t>FCA</w:t>
            </w:r>
            <w:proofErr w:type="spellEnd"/>
            <w:r w:rsidRPr="00836168">
              <w:t xml:space="preserve"> 1060</w:t>
            </w:r>
          </w:p>
          <w:p w14:paraId="004E5999" w14:textId="3A7CBD4A" w:rsidR="00836168" w:rsidRDefault="00836168" w:rsidP="00BF7850">
            <w:pPr>
              <w:pStyle w:val="Normal1linespace"/>
              <w:widowControl w:val="0"/>
              <w:jc w:val="left"/>
            </w:pPr>
            <w:r>
              <w:rPr>
                <w:i/>
              </w:rPr>
              <w:t xml:space="preserve">Luck v Secretary, Department of Human Services (No 2) </w:t>
            </w:r>
            <w:r>
              <w:t xml:space="preserve">[2014] </w:t>
            </w:r>
            <w:proofErr w:type="spellStart"/>
            <w:r>
              <w:t>FCA</w:t>
            </w:r>
            <w:proofErr w:type="spellEnd"/>
            <w:r>
              <w:t xml:space="preserve"> 798</w:t>
            </w:r>
          </w:p>
          <w:p w14:paraId="2C52CD30" w14:textId="4BBBDE4A" w:rsidR="00203893" w:rsidRDefault="00203893" w:rsidP="00BF7850">
            <w:pPr>
              <w:pStyle w:val="Normal1linespace"/>
              <w:widowControl w:val="0"/>
              <w:jc w:val="left"/>
            </w:pPr>
            <w:r>
              <w:rPr>
                <w:i/>
              </w:rPr>
              <w:t>Luck v University of Southern Queensland</w:t>
            </w:r>
            <w:r>
              <w:t xml:space="preserve"> (2009) 176 </w:t>
            </w:r>
            <w:proofErr w:type="spellStart"/>
            <w:r>
              <w:t>FCR</w:t>
            </w:r>
            <w:proofErr w:type="spellEnd"/>
            <w:r>
              <w:t xml:space="preserve"> 268;</w:t>
            </w:r>
            <w:r>
              <w:rPr>
                <w:i/>
              </w:rPr>
              <w:t xml:space="preserve"> </w:t>
            </w:r>
            <w:r>
              <w:t xml:space="preserve">[2009] </w:t>
            </w:r>
            <w:proofErr w:type="spellStart"/>
            <w:r>
              <w:t>FCAFC</w:t>
            </w:r>
            <w:proofErr w:type="spellEnd"/>
            <w:r>
              <w:t xml:space="preserve"> 73</w:t>
            </w:r>
          </w:p>
          <w:p w14:paraId="5E768E2E" w14:textId="005B0E1A" w:rsidR="00836168" w:rsidRDefault="00154889" w:rsidP="00BF7850">
            <w:pPr>
              <w:pStyle w:val="Normal1linespace"/>
              <w:widowControl w:val="0"/>
              <w:jc w:val="left"/>
              <w:rPr>
                <w:iCs/>
              </w:rPr>
            </w:pPr>
            <w:r>
              <w:rPr>
                <w:i/>
                <w:iCs/>
              </w:rPr>
              <w:t xml:space="preserve">Luck v University of Southern Queensland </w:t>
            </w:r>
            <w:r>
              <w:rPr>
                <w:iCs/>
              </w:rPr>
              <w:t xml:space="preserve">[2011] </w:t>
            </w:r>
            <w:proofErr w:type="spellStart"/>
            <w:r>
              <w:rPr>
                <w:iCs/>
              </w:rPr>
              <w:t>FCA</w:t>
            </w:r>
            <w:proofErr w:type="spellEnd"/>
            <w:r>
              <w:rPr>
                <w:iCs/>
              </w:rPr>
              <w:t xml:space="preserve"> 1335</w:t>
            </w:r>
          </w:p>
          <w:p w14:paraId="2EC51886" w14:textId="1BC97F93" w:rsidR="00203893" w:rsidRDefault="00203893" w:rsidP="00BF7850">
            <w:pPr>
              <w:pStyle w:val="Normal1linespace"/>
              <w:widowControl w:val="0"/>
              <w:jc w:val="left"/>
            </w:pPr>
            <w:r>
              <w:rPr>
                <w:i/>
              </w:rPr>
              <w:t>Luck v University of Southern Queensland (No 4)</w:t>
            </w:r>
            <w:r>
              <w:t xml:space="preserve"> [2011] </w:t>
            </w:r>
            <w:proofErr w:type="spellStart"/>
            <w:r>
              <w:t>FCA</w:t>
            </w:r>
            <w:proofErr w:type="spellEnd"/>
            <w:r>
              <w:t xml:space="preserve"> 433</w:t>
            </w:r>
          </w:p>
          <w:p w14:paraId="2B2E920A" w14:textId="5D088E95" w:rsidR="00203893" w:rsidRDefault="00203893" w:rsidP="00BF7850">
            <w:pPr>
              <w:pStyle w:val="Normal1linespace"/>
              <w:widowControl w:val="0"/>
              <w:jc w:val="left"/>
              <w:rPr>
                <w:iCs/>
              </w:rPr>
            </w:pPr>
            <w:r w:rsidRPr="00203893">
              <w:rPr>
                <w:i/>
                <w:iCs/>
              </w:rPr>
              <w:t>Luck v University of Southern Queensland</w:t>
            </w:r>
            <w:r w:rsidRPr="00203893">
              <w:rPr>
                <w:iCs/>
              </w:rPr>
              <w:t xml:space="preserve"> [2013] </w:t>
            </w:r>
            <w:proofErr w:type="spellStart"/>
            <w:r w:rsidRPr="00203893">
              <w:rPr>
                <w:iCs/>
              </w:rPr>
              <w:t>HCATrans</w:t>
            </w:r>
            <w:proofErr w:type="spellEnd"/>
            <w:r w:rsidRPr="00203893">
              <w:rPr>
                <w:iCs/>
              </w:rPr>
              <w:t xml:space="preserve"> 163</w:t>
            </w:r>
          </w:p>
          <w:p w14:paraId="4038ABD9" w14:textId="0A534000" w:rsidR="00154889" w:rsidRDefault="004803A6" w:rsidP="00BF7850">
            <w:pPr>
              <w:pStyle w:val="Normal1linespace"/>
              <w:widowControl w:val="0"/>
              <w:jc w:val="left"/>
            </w:pPr>
            <w:r>
              <w:rPr>
                <w:i/>
              </w:rPr>
              <w:t xml:space="preserve">Luck v University of Southern Queensland (No 2) </w:t>
            </w:r>
            <w:r>
              <w:t xml:space="preserve">[2013] </w:t>
            </w:r>
            <w:proofErr w:type="spellStart"/>
            <w:r>
              <w:t>FCA</w:t>
            </w:r>
            <w:proofErr w:type="spellEnd"/>
            <w:r>
              <w:t xml:space="preserve"> 1141</w:t>
            </w:r>
          </w:p>
          <w:p w14:paraId="1C2FE287" w14:textId="52F8BB19" w:rsidR="00203893" w:rsidRDefault="00203893" w:rsidP="00BF7850">
            <w:pPr>
              <w:pStyle w:val="Normal1linespace"/>
              <w:widowControl w:val="0"/>
              <w:jc w:val="left"/>
            </w:pPr>
            <w:r>
              <w:rPr>
                <w:i/>
              </w:rPr>
              <w:t xml:space="preserve">Luck v University of Southern Queensland </w:t>
            </w:r>
            <w:r>
              <w:t xml:space="preserve">[2014] </w:t>
            </w:r>
            <w:proofErr w:type="spellStart"/>
            <w:r>
              <w:t>HCASL</w:t>
            </w:r>
            <w:proofErr w:type="spellEnd"/>
            <w:r>
              <w:t xml:space="preserve"> 34</w:t>
            </w:r>
          </w:p>
          <w:p w14:paraId="36CAE71D" w14:textId="5F9E581A" w:rsidR="004803A6" w:rsidRDefault="004803A6" w:rsidP="00BF7850">
            <w:pPr>
              <w:pStyle w:val="Normal1linespace"/>
              <w:widowControl w:val="0"/>
              <w:jc w:val="left"/>
            </w:pPr>
            <w:r>
              <w:rPr>
                <w:i/>
              </w:rPr>
              <w:t xml:space="preserve">Luck v University of Southern Queensland </w:t>
            </w:r>
            <w:r>
              <w:t xml:space="preserve">[2014] </w:t>
            </w:r>
            <w:proofErr w:type="spellStart"/>
            <w:r>
              <w:t>FCAFC</w:t>
            </w:r>
            <w:proofErr w:type="spellEnd"/>
            <w:r>
              <w:t xml:space="preserve"> 135</w:t>
            </w:r>
          </w:p>
          <w:p w14:paraId="014BAC88" w14:textId="0F18E9AA" w:rsidR="00203893" w:rsidRDefault="00203893" w:rsidP="00BF7850">
            <w:pPr>
              <w:pStyle w:val="Normal1linespace"/>
              <w:widowControl w:val="0"/>
              <w:jc w:val="left"/>
            </w:pPr>
            <w:r>
              <w:rPr>
                <w:i/>
              </w:rPr>
              <w:t xml:space="preserve">Luck v University of Southern Queensland </w:t>
            </w:r>
            <w:r>
              <w:t xml:space="preserve">[2015] </w:t>
            </w:r>
            <w:proofErr w:type="spellStart"/>
            <w:r>
              <w:t>HCATrans</w:t>
            </w:r>
            <w:proofErr w:type="spellEnd"/>
            <w:r>
              <w:t xml:space="preserve"> 125</w:t>
            </w:r>
          </w:p>
          <w:p w14:paraId="4EAADF88" w14:textId="5DDCFFCF" w:rsidR="002B1DD6" w:rsidRDefault="002B1DD6" w:rsidP="00BF7850">
            <w:pPr>
              <w:pStyle w:val="Normal1linespace"/>
              <w:widowControl w:val="0"/>
              <w:jc w:val="left"/>
            </w:pPr>
            <w:proofErr w:type="spellStart"/>
            <w:r>
              <w:rPr>
                <w:i/>
                <w:lang w:val="en"/>
              </w:rPr>
              <w:t>NAKX</w:t>
            </w:r>
            <w:proofErr w:type="spellEnd"/>
            <w:r>
              <w:rPr>
                <w:i/>
                <w:lang w:val="en"/>
              </w:rPr>
              <w:t xml:space="preserve"> v Minister for Immigration &amp; Multicultural &amp; Indigenous Affairs </w:t>
            </w:r>
            <w:r>
              <w:rPr>
                <w:lang w:val="en"/>
              </w:rPr>
              <w:t xml:space="preserve">[2003] </w:t>
            </w:r>
            <w:proofErr w:type="spellStart"/>
            <w:r>
              <w:rPr>
                <w:lang w:val="en"/>
              </w:rPr>
              <w:t>FCA</w:t>
            </w:r>
            <w:proofErr w:type="spellEnd"/>
            <w:r>
              <w:rPr>
                <w:lang w:val="en"/>
              </w:rPr>
              <w:t xml:space="preserve"> 1559</w:t>
            </w:r>
          </w:p>
          <w:p w14:paraId="132D736F" w14:textId="0D77E8BB" w:rsidR="00836168" w:rsidRDefault="004803A6" w:rsidP="00BF7850">
            <w:pPr>
              <w:pStyle w:val="Normal1linespace"/>
              <w:widowControl w:val="0"/>
              <w:jc w:val="left"/>
              <w:rPr>
                <w:iCs/>
              </w:rPr>
            </w:pPr>
            <w:proofErr w:type="spellStart"/>
            <w:r>
              <w:rPr>
                <w:i/>
                <w:iCs/>
              </w:rPr>
              <w:t>Ponnambalam</w:t>
            </w:r>
            <w:proofErr w:type="spellEnd"/>
            <w:r>
              <w:rPr>
                <w:i/>
                <w:iCs/>
              </w:rPr>
              <w:t xml:space="preserve"> v The State of Western Australia </w:t>
            </w:r>
            <w:r>
              <w:rPr>
                <w:iCs/>
              </w:rPr>
              <w:t xml:space="preserve">[2013] </w:t>
            </w:r>
            <w:proofErr w:type="spellStart"/>
            <w:r>
              <w:rPr>
                <w:iCs/>
              </w:rPr>
              <w:t>WASCA</w:t>
            </w:r>
            <w:proofErr w:type="spellEnd"/>
            <w:r>
              <w:rPr>
                <w:iCs/>
              </w:rPr>
              <w:t xml:space="preserve"> 101</w:t>
            </w:r>
          </w:p>
          <w:p w14:paraId="659B6D59" w14:textId="706635AE" w:rsidR="00395B24" w:rsidRPr="00BF7C63" w:rsidRDefault="00042C23" w:rsidP="001D2BAC">
            <w:pPr>
              <w:pStyle w:val="Normal1linespace"/>
              <w:widowControl w:val="0"/>
              <w:jc w:val="left"/>
            </w:pPr>
            <w:proofErr w:type="spellStart"/>
            <w:r>
              <w:rPr>
                <w:i/>
              </w:rPr>
              <w:t>Sali</w:t>
            </w:r>
            <w:proofErr w:type="spellEnd"/>
            <w:r>
              <w:rPr>
                <w:i/>
              </w:rPr>
              <w:t xml:space="preserve"> v </w:t>
            </w:r>
            <w:proofErr w:type="spellStart"/>
            <w:r>
              <w:rPr>
                <w:i/>
              </w:rPr>
              <w:t>SPC</w:t>
            </w:r>
            <w:proofErr w:type="spellEnd"/>
            <w:r>
              <w:rPr>
                <w:i/>
              </w:rPr>
              <w:t xml:space="preserve"> Ltd</w:t>
            </w:r>
            <w:r>
              <w:t xml:space="preserve"> (1993) 116 </w:t>
            </w:r>
            <w:proofErr w:type="spellStart"/>
            <w:r>
              <w:t>ALR</w:t>
            </w:r>
            <w:proofErr w:type="spellEnd"/>
            <w:r>
              <w:t xml:space="preserve"> 625</w:t>
            </w:r>
            <w:bookmarkEnd w:id="6"/>
          </w:p>
        </w:tc>
      </w:tr>
      <w:tr w:rsidR="00465143" w:rsidRPr="00BF7C63" w14:paraId="31F337BF" w14:textId="77777777" w:rsidTr="00465143">
        <w:tc>
          <w:tcPr>
            <w:tcW w:w="3085" w:type="dxa"/>
            <w:shd w:val="clear" w:color="auto" w:fill="auto"/>
          </w:tcPr>
          <w:p w14:paraId="35711285" w14:textId="77777777" w:rsidR="00465143" w:rsidRPr="00BF7C63" w:rsidRDefault="00465143" w:rsidP="00465143">
            <w:pPr>
              <w:pStyle w:val="Normal1linespace"/>
              <w:jc w:val="left"/>
            </w:pPr>
          </w:p>
        </w:tc>
        <w:tc>
          <w:tcPr>
            <w:tcW w:w="5989" w:type="dxa"/>
            <w:shd w:val="clear" w:color="auto" w:fill="auto"/>
          </w:tcPr>
          <w:p w14:paraId="4DE05394" w14:textId="77777777" w:rsidR="00465143" w:rsidRPr="00BF7C63" w:rsidRDefault="00465143" w:rsidP="00465143">
            <w:pPr>
              <w:pStyle w:val="Normal1linespace"/>
              <w:jc w:val="left"/>
            </w:pPr>
          </w:p>
        </w:tc>
      </w:tr>
      <w:tr w:rsidR="00465143" w:rsidRPr="00BF7C63" w14:paraId="0C75755E" w14:textId="77777777" w:rsidTr="00465143">
        <w:tc>
          <w:tcPr>
            <w:tcW w:w="3085" w:type="dxa"/>
            <w:shd w:val="clear" w:color="auto" w:fill="auto"/>
          </w:tcPr>
          <w:p w14:paraId="5AAE7234" w14:textId="77777777" w:rsidR="00465143" w:rsidRPr="00BF7C63" w:rsidRDefault="00465143" w:rsidP="00465143">
            <w:pPr>
              <w:pStyle w:val="Normal1linespace"/>
              <w:jc w:val="left"/>
            </w:pPr>
            <w:bookmarkStart w:id="7" w:name="CounselDate" w:colFirst="0" w:colLast="2"/>
            <w:r w:rsidRPr="00BF7C63">
              <w:t>Date of hearing:</w:t>
            </w:r>
          </w:p>
        </w:tc>
        <w:tc>
          <w:tcPr>
            <w:tcW w:w="5989" w:type="dxa"/>
            <w:shd w:val="clear" w:color="auto" w:fill="auto"/>
          </w:tcPr>
          <w:p w14:paraId="71600A3B" w14:textId="61B66F04" w:rsidR="00465143" w:rsidRPr="00BF7C63" w:rsidRDefault="00FA67A4" w:rsidP="00465143">
            <w:pPr>
              <w:pStyle w:val="Normal1linespace"/>
              <w:jc w:val="left"/>
            </w:pPr>
            <w:bookmarkStart w:id="8" w:name="HearingDate"/>
            <w:r>
              <w:t>21 May 2015</w:t>
            </w:r>
            <w:bookmarkEnd w:id="8"/>
          </w:p>
        </w:tc>
      </w:tr>
      <w:tr w:rsidR="00465143" w:rsidRPr="00BF7C63" w14:paraId="6167EC01" w14:textId="7D57BD75" w:rsidTr="00465143">
        <w:tc>
          <w:tcPr>
            <w:tcW w:w="3085" w:type="dxa"/>
            <w:shd w:val="clear" w:color="auto" w:fill="auto"/>
          </w:tcPr>
          <w:p w14:paraId="11245B69" w14:textId="28DCE497" w:rsidR="00465143" w:rsidRPr="00BF7C63" w:rsidRDefault="00465143" w:rsidP="00465143">
            <w:pPr>
              <w:pStyle w:val="Normal1linespace"/>
              <w:jc w:val="left"/>
            </w:pPr>
          </w:p>
        </w:tc>
        <w:tc>
          <w:tcPr>
            <w:tcW w:w="5989" w:type="dxa"/>
            <w:shd w:val="clear" w:color="auto" w:fill="auto"/>
          </w:tcPr>
          <w:p w14:paraId="3AD390D4" w14:textId="3D3A36DE" w:rsidR="00465143" w:rsidRPr="00BF7C63" w:rsidRDefault="00465143" w:rsidP="00465143">
            <w:pPr>
              <w:pStyle w:val="Normal1linespace"/>
              <w:jc w:val="left"/>
            </w:pPr>
          </w:p>
        </w:tc>
      </w:tr>
      <w:tr w:rsidR="00465143" w:rsidRPr="00BF7C63" w14:paraId="14FD1640" w14:textId="022999D5" w:rsidTr="00465143">
        <w:tc>
          <w:tcPr>
            <w:tcW w:w="3085" w:type="dxa"/>
            <w:shd w:val="clear" w:color="auto" w:fill="auto"/>
          </w:tcPr>
          <w:p w14:paraId="6AD5DE24" w14:textId="41835ED6" w:rsidR="00465143" w:rsidRPr="00BF7C63" w:rsidRDefault="00465143" w:rsidP="00AE52D9">
            <w:pPr>
              <w:pStyle w:val="Normal1linespace"/>
              <w:jc w:val="left"/>
            </w:pPr>
            <w:r w:rsidRPr="00BF7C63">
              <w:t xml:space="preserve">Date of </w:t>
            </w:r>
            <w:r w:rsidR="00AE52D9">
              <w:t>publication of reasons</w:t>
            </w:r>
            <w:r w:rsidRPr="00BF7C63">
              <w:t>:</w:t>
            </w:r>
          </w:p>
        </w:tc>
        <w:tc>
          <w:tcPr>
            <w:tcW w:w="5989" w:type="dxa"/>
            <w:shd w:val="clear" w:color="auto" w:fill="auto"/>
          </w:tcPr>
          <w:p w14:paraId="29B80DFB" w14:textId="72A155A8" w:rsidR="00465143" w:rsidRPr="00BF7C63" w:rsidRDefault="00E76163" w:rsidP="00465143">
            <w:pPr>
              <w:pStyle w:val="Normal1linespace"/>
              <w:jc w:val="left"/>
            </w:pPr>
            <w:r>
              <w:t>1 June</w:t>
            </w:r>
            <w:r w:rsidR="00985235" w:rsidRPr="00BF7C63">
              <w:t xml:space="preserve"> 2015</w:t>
            </w:r>
          </w:p>
        </w:tc>
      </w:tr>
      <w:bookmarkEnd w:id="7"/>
      <w:tr w:rsidR="00465143" w:rsidRPr="00BF7C63" w14:paraId="7B0A15F6" w14:textId="77777777" w:rsidTr="00465143">
        <w:tc>
          <w:tcPr>
            <w:tcW w:w="3085" w:type="dxa"/>
            <w:shd w:val="clear" w:color="auto" w:fill="auto"/>
          </w:tcPr>
          <w:p w14:paraId="4C4B5457" w14:textId="77777777" w:rsidR="00465143" w:rsidRPr="00BF7C63" w:rsidRDefault="00465143" w:rsidP="00465143">
            <w:pPr>
              <w:pStyle w:val="Normal1linespace"/>
              <w:widowControl w:val="0"/>
              <w:jc w:val="left"/>
            </w:pPr>
          </w:p>
        </w:tc>
        <w:tc>
          <w:tcPr>
            <w:tcW w:w="5989" w:type="dxa"/>
            <w:shd w:val="clear" w:color="auto" w:fill="auto"/>
          </w:tcPr>
          <w:p w14:paraId="00EF6533" w14:textId="77777777" w:rsidR="00465143" w:rsidRPr="00BF7C63" w:rsidRDefault="00465143" w:rsidP="00465143">
            <w:pPr>
              <w:pStyle w:val="Normal1linespace"/>
              <w:widowControl w:val="0"/>
              <w:jc w:val="left"/>
            </w:pPr>
          </w:p>
        </w:tc>
      </w:tr>
      <w:tr w:rsidR="00465143" w:rsidRPr="00BF7C63" w14:paraId="488AEFA7" w14:textId="77777777" w:rsidTr="00465143">
        <w:tc>
          <w:tcPr>
            <w:tcW w:w="3085" w:type="dxa"/>
            <w:shd w:val="clear" w:color="auto" w:fill="auto"/>
          </w:tcPr>
          <w:p w14:paraId="4CF986AA" w14:textId="77777777" w:rsidR="00465143" w:rsidRPr="00BF7C63" w:rsidRDefault="00465143" w:rsidP="00465143">
            <w:pPr>
              <w:pStyle w:val="Normal1linespace"/>
              <w:widowControl w:val="0"/>
              <w:jc w:val="left"/>
            </w:pPr>
            <w:r w:rsidRPr="00BF7C63">
              <w:t>Place:</w:t>
            </w:r>
          </w:p>
        </w:tc>
        <w:tc>
          <w:tcPr>
            <w:tcW w:w="5989" w:type="dxa"/>
            <w:shd w:val="clear" w:color="auto" w:fill="auto"/>
          </w:tcPr>
          <w:p w14:paraId="1BAFF65C" w14:textId="6B2A0528" w:rsidR="00465143" w:rsidRPr="00BF7C63" w:rsidRDefault="000F3641" w:rsidP="00465143">
            <w:pPr>
              <w:pStyle w:val="Normal1linespace"/>
              <w:widowControl w:val="0"/>
              <w:jc w:val="left"/>
            </w:pPr>
            <w:r>
              <w:t xml:space="preserve">Brisbane (Heard in </w:t>
            </w:r>
            <w:fldSimple w:instr=" DOCVARIABLE  Place_SentenceCase  \* MERGEFORMAT ">
              <w:r w:rsidR="001B0C2A">
                <w:t>Melbourne</w:t>
              </w:r>
            </w:fldSimple>
            <w:r>
              <w:t>)</w:t>
            </w:r>
          </w:p>
        </w:tc>
      </w:tr>
      <w:tr w:rsidR="00465143" w:rsidRPr="00BF7C63" w14:paraId="010BFA43" w14:textId="77777777" w:rsidTr="00465143">
        <w:tc>
          <w:tcPr>
            <w:tcW w:w="3085" w:type="dxa"/>
            <w:shd w:val="clear" w:color="auto" w:fill="auto"/>
          </w:tcPr>
          <w:p w14:paraId="1518B768" w14:textId="77777777" w:rsidR="00465143" w:rsidRPr="00BF7C63" w:rsidRDefault="00465143" w:rsidP="00465143">
            <w:pPr>
              <w:pStyle w:val="Normal1linespace"/>
              <w:widowControl w:val="0"/>
              <w:jc w:val="left"/>
            </w:pPr>
          </w:p>
        </w:tc>
        <w:tc>
          <w:tcPr>
            <w:tcW w:w="5989" w:type="dxa"/>
            <w:shd w:val="clear" w:color="auto" w:fill="auto"/>
          </w:tcPr>
          <w:p w14:paraId="7040CD2C" w14:textId="77777777" w:rsidR="00465143" w:rsidRPr="00BF7C63" w:rsidRDefault="00465143" w:rsidP="00465143">
            <w:pPr>
              <w:pStyle w:val="Normal1linespace"/>
              <w:widowControl w:val="0"/>
              <w:jc w:val="left"/>
            </w:pPr>
          </w:p>
        </w:tc>
      </w:tr>
      <w:tr w:rsidR="00465143" w:rsidRPr="00BF7C63" w14:paraId="3075A8D9" w14:textId="77777777" w:rsidTr="00465143">
        <w:tc>
          <w:tcPr>
            <w:tcW w:w="3085" w:type="dxa"/>
            <w:shd w:val="clear" w:color="auto" w:fill="auto"/>
          </w:tcPr>
          <w:p w14:paraId="438C97C2" w14:textId="77777777" w:rsidR="00465143" w:rsidRPr="00BF7C63" w:rsidRDefault="00465143" w:rsidP="00465143">
            <w:pPr>
              <w:pStyle w:val="Normal1linespace"/>
              <w:widowControl w:val="0"/>
              <w:jc w:val="left"/>
            </w:pPr>
            <w:r w:rsidRPr="00BF7C63">
              <w:t>Division:</w:t>
            </w:r>
          </w:p>
        </w:tc>
        <w:tc>
          <w:tcPr>
            <w:tcW w:w="5989" w:type="dxa"/>
            <w:shd w:val="clear" w:color="auto" w:fill="auto"/>
          </w:tcPr>
          <w:p w14:paraId="03A6C8E5" w14:textId="73946607" w:rsidR="00465143" w:rsidRPr="00BF7C63" w:rsidRDefault="00465143" w:rsidP="00465143">
            <w:pPr>
              <w:pStyle w:val="Normal1linespace"/>
              <w:widowControl w:val="0"/>
              <w:jc w:val="left"/>
              <w:rPr>
                <w:caps/>
              </w:rPr>
            </w:pPr>
            <w:r w:rsidRPr="00BF7C63">
              <w:rPr>
                <w:caps/>
              </w:rPr>
              <w:fldChar w:fldCharType="begin" w:fldLock="1"/>
            </w:r>
            <w:r w:rsidRPr="00BF7C63">
              <w:rPr>
                <w:caps/>
              </w:rPr>
              <w:instrText xml:space="preserve"> REF  Division </w:instrText>
            </w:r>
            <w:r w:rsidR="00BF7C63">
              <w:rPr>
                <w:caps/>
              </w:rPr>
              <w:instrText xml:space="preserve"> \* MERGEFORMAT </w:instrText>
            </w:r>
            <w:r w:rsidRPr="00BF7C63">
              <w:rPr>
                <w:caps/>
              </w:rPr>
              <w:fldChar w:fldCharType="separate"/>
            </w:r>
            <w:r w:rsidR="001B0C2A">
              <w:rPr>
                <w:caps/>
                <w:szCs w:val="24"/>
              </w:rPr>
              <w:t>GENERAL DIVISION</w:t>
            </w:r>
            <w:r w:rsidRPr="00BF7C63">
              <w:rPr>
                <w:caps/>
              </w:rPr>
              <w:fldChar w:fldCharType="end"/>
            </w:r>
          </w:p>
        </w:tc>
      </w:tr>
      <w:tr w:rsidR="00465143" w:rsidRPr="00BF7C63" w14:paraId="641C3899" w14:textId="77777777" w:rsidTr="00465143">
        <w:tc>
          <w:tcPr>
            <w:tcW w:w="3085" w:type="dxa"/>
            <w:shd w:val="clear" w:color="auto" w:fill="auto"/>
          </w:tcPr>
          <w:p w14:paraId="2CDB5464" w14:textId="77777777" w:rsidR="00465143" w:rsidRPr="00BF7C63" w:rsidRDefault="00465143" w:rsidP="00465143">
            <w:pPr>
              <w:pStyle w:val="Normal1linespace"/>
              <w:widowControl w:val="0"/>
              <w:jc w:val="left"/>
            </w:pPr>
          </w:p>
        </w:tc>
        <w:tc>
          <w:tcPr>
            <w:tcW w:w="5989" w:type="dxa"/>
            <w:shd w:val="clear" w:color="auto" w:fill="auto"/>
          </w:tcPr>
          <w:p w14:paraId="754145B5" w14:textId="77777777" w:rsidR="00465143" w:rsidRPr="00BF7C63" w:rsidRDefault="00465143" w:rsidP="00465143">
            <w:pPr>
              <w:pStyle w:val="Normal1linespace"/>
              <w:widowControl w:val="0"/>
              <w:jc w:val="left"/>
              <w:rPr>
                <w:b/>
              </w:rPr>
            </w:pPr>
          </w:p>
        </w:tc>
      </w:tr>
      <w:tr w:rsidR="00465143" w:rsidRPr="00BF7C63" w14:paraId="6596F6F5" w14:textId="77777777" w:rsidTr="00465143">
        <w:tc>
          <w:tcPr>
            <w:tcW w:w="3085" w:type="dxa"/>
            <w:shd w:val="clear" w:color="auto" w:fill="auto"/>
          </w:tcPr>
          <w:p w14:paraId="29B42B90" w14:textId="77777777" w:rsidR="00465143" w:rsidRPr="00BF7C63" w:rsidRDefault="00465143" w:rsidP="00465143">
            <w:pPr>
              <w:pStyle w:val="Normal1linespace"/>
              <w:widowControl w:val="0"/>
              <w:jc w:val="left"/>
            </w:pPr>
            <w:r w:rsidRPr="00BF7C63">
              <w:t>Category:</w:t>
            </w:r>
          </w:p>
        </w:tc>
        <w:tc>
          <w:tcPr>
            <w:tcW w:w="5989" w:type="dxa"/>
            <w:shd w:val="clear" w:color="auto" w:fill="auto"/>
          </w:tcPr>
          <w:p w14:paraId="7FF7EEF4" w14:textId="2EF26E74" w:rsidR="00465143" w:rsidRPr="00BF7C63" w:rsidRDefault="00465143" w:rsidP="00465143">
            <w:pPr>
              <w:pStyle w:val="Normal1linespace"/>
              <w:widowControl w:val="0"/>
              <w:jc w:val="left"/>
            </w:pPr>
            <w:r w:rsidRPr="00BF7C63">
              <w:t>Catchwords</w:t>
            </w:r>
          </w:p>
        </w:tc>
      </w:tr>
      <w:tr w:rsidR="00465143" w:rsidRPr="00BF7C63" w14:paraId="46951CDF" w14:textId="77777777" w:rsidTr="00465143">
        <w:tc>
          <w:tcPr>
            <w:tcW w:w="3085" w:type="dxa"/>
            <w:shd w:val="clear" w:color="auto" w:fill="auto"/>
          </w:tcPr>
          <w:p w14:paraId="6B8CF9A1" w14:textId="77777777" w:rsidR="00465143" w:rsidRPr="00BF7C63" w:rsidRDefault="00465143" w:rsidP="00465143">
            <w:pPr>
              <w:pStyle w:val="Normal1linespace"/>
              <w:widowControl w:val="0"/>
              <w:jc w:val="left"/>
            </w:pPr>
          </w:p>
        </w:tc>
        <w:tc>
          <w:tcPr>
            <w:tcW w:w="5989" w:type="dxa"/>
            <w:shd w:val="clear" w:color="auto" w:fill="auto"/>
          </w:tcPr>
          <w:p w14:paraId="1A519385" w14:textId="77777777" w:rsidR="00465143" w:rsidRPr="00BF7C63" w:rsidRDefault="00465143" w:rsidP="00465143">
            <w:pPr>
              <w:pStyle w:val="Normal1linespace"/>
              <w:widowControl w:val="0"/>
              <w:jc w:val="left"/>
            </w:pPr>
          </w:p>
        </w:tc>
      </w:tr>
      <w:tr w:rsidR="00465143" w:rsidRPr="00BF7C63" w14:paraId="5D29F5E8" w14:textId="77777777" w:rsidTr="00465143">
        <w:tc>
          <w:tcPr>
            <w:tcW w:w="3085" w:type="dxa"/>
            <w:shd w:val="clear" w:color="auto" w:fill="auto"/>
          </w:tcPr>
          <w:p w14:paraId="618182C2" w14:textId="77777777" w:rsidR="00465143" w:rsidRPr="00BF7C63" w:rsidRDefault="00465143" w:rsidP="00465143">
            <w:pPr>
              <w:pStyle w:val="Normal1linespace"/>
              <w:widowControl w:val="0"/>
              <w:jc w:val="left"/>
            </w:pPr>
            <w:r w:rsidRPr="00BF7C63">
              <w:t>Number of paragraphs:</w:t>
            </w:r>
          </w:p>
        </w:tc>
        <w:tc>
          <w:tcPr>
            <w:tcW w:w="5989" w:type="dxa"/>
            <w:shd w:val="clear" w:color="auto" w:fill="auto"/>
          </w:tcPr>
          <w:p w14:paraId="40822DF5" w14:textId="7D8DA359" w:rsidR="00465143" w:rsidRPr="00BF7C63" w:rsidRDefault="00FA67A4" w:rsidP="00465143">
            <w:pPr>
              <w:pStyle w:val="Normal1linespace"/>
              <w:widowControl w:val="0"/>
              <w:jc w:val="left"/>
            </w:pPr>
            <w:bookmarkStart w:id="9" w:name="PlaceCategoryParagraphs"/>
            <w:r>
              <w:t>57</w:t>
            </w:r>
            <w:bookmarkEnd w:id="9"/>
          </w:p>
        </w:tc>
      </w:tr>
      <w:tr w:rsidR="00465143" w:rsidRPr="00BF7C63" w14:paraId="56B5FD77" w14:textId="77777777" w:rsidTr="00465143">
        <w:tc>
          <w:tcPr>
            <w:tcW w:w="3085" w:type="dxa"/>
            <w:shd w:val="clear" w:color="auto" w:fill="auto"/>
          </w:tcPr>
          <w:p w14:paraId="2DCBA052" w14:textId="77777777" w:rsidR="00465143" w:rsidRPr="00BF7C63" w:rsidRDefault="00465143" w:rsidP="00465143">
            <w:pPr>
              <w:pStyle w:val="Normal1linespace"/>
              <w:widowControl w:val="0"/>
              <w:jc w:val="left"/>
            </w:pPr>
          </w:p>
        </w:tc>
        <w:tc>
          <w:tcPr>
            <w:tcW w:w="5989" w:type="dxa"/>
            <w:shd w:val="clear" w:color="auto" w:fill="auto"/>
          </w:tcPr>
          <w:p w14:paraId="77D237DC" w14:textId="77777777" w:rsidR="00465143" w:rsidRPr="00BF7C63" w:rsidRDefault="00465143" w:rsidP="00465143">
            <w:pPr>
              <w:pStyle w:val="Normal1linespace"/>
              <w:widowControl w:val="0"/>
              <w:jc w:val="left"/>
            </w:pPr>
          </w:p>
        </w:tc>
      </w:tr>
      <w:tr w:rsidR="00BE0448" w:rsidRPr="00BF7C63" w14:paraId="7F93BC09" w14:textId="77777777" w:rsidTr="00BA74FF">
        <w:tc>
          <w:tcPr>
            <w:tcW w:w="3085" w:type="dxa"/>
            <w:shd w:val="clear" w:color="auto" w:fill="auto"/>
          </w:tcPr>
          <w:p w14:paraId="3AAA1D53" w14:textId="61F3E04E" w:rsidR="00BE0448" w:rsidRPr="00BF7C63" w:rsidRDefault="00C05C2F" w:rsidP="00BE0448">
            <w:pPr>
              <w:pStyle w:val="Normal1linespace"/>
              <w:widowControl w:val="0"/>
              <w:jc w:val="left"/>
            </w:pPr>
            <w:r>
              <w:t>In VID 898 of 2008</w:t>
            </w:r>
          </w:p>
        </w:tc>
        <w:tc>
          <w:tcPr>
            <w:tcW w:w="5989" w:type="dxa"/>
            <w:shd w:val="clear" w:color="auto" w:fill="auto"/>
          </w:tcPr>
          <w:p w14:paraId="2B33DC36" w14:textId="77777777" w:rsidR="00BE0448" w:rsidRPr="00BF7C63" w:rsidRDefault="00BE0448" w:rsidP="00BA74FF">
            <w:pPr>
              <w:pStyle w:val="Normal1linespace"/>
              <w:widowControl w:val="0"/>
              <w:jc w:val="left"/>
            </w:pPr>
          </w:p>
        </w:tc>
      </w:tr>
      <w:tr w:rsidR="00BE0448" w:rsidRPr="00BF7C63" w14:paraId="491D4BB3" w14:textId="77777777" w:rsidTr="00BA74FF">
        <w:tc>
          <w:tcPr>
            <w:tcW w:w="3085" w:type="dxa"/>
            <w:shd w:val="clear" w:color="auto" w:fill="auto"/>
          </w:tcPr>
          <w:p w14:paraId="2172748C" w14:textId="6337BBD1" w:rsidR="00BE0448" w:rsidRPr="00BF7C63" w:rsidRDefault="00BE0448" w:rsidP="00BA74FF">
            <w:pPr>
              <w:pStyle w:val="Normal1linespace"/>
              <w:widowControl w:val="0"/>
              <w:jc w:val="left"/>
            </w:pPr>
            <w:r w:rsidRPr="00BF7C63">
              <w:t xml:space="preserve">Counsel for the </w:t>
            </w:r>
            <w:r w:rsidR="001D1AC1">
              <w:t>App</w:t>
            </w:r>
            <w:r w:rsidR="009A4BC7">
              <w:t>ell</w:t>
            </w:r>
            <w:r>
              <w:t>ant</w:t>
            </w:r>
            <w:r w:rsidRPr="00BF7C63">
              <w:t>:</w:t>
            </w:r>
          </w:p>
        </w:tc>
        <w:tc>
          <w:tcPr>
            <w:tcW w:w="5989" w:type="dxa"/>
            <w:shd w:val="clear" w:color="auto" w:fill="auto"/>
          </w:tcPr>
          <w:p w14:paraId="3EEDF002" w14:textId="0FBA1060" w:rsidR="00BE0448" w:rsidRPr="00BF7C63" w:rsidRDefault="00BE0448" w:rsidP="00A61BBC">
            <w:pPr>
              <w:pStyle w:val="Normal1linespace"/>
              <w:widowControl w:val="0"/>
              <w:jc w:val="left"/>
            </w:pPr>
            <w:r w:rsidRPr="00BF7C63">
              <w:t xml:space="preserve">The </w:t>
            </w:r>
            <w:r w:rsidR="001D1AC1">
              <w:t>App</w:t>
            </w:r>
            <w:r w:rsidR="009A4BC7">
              <w:t>ell</w:t>
            </w:r>
            <w:r w:rsidR="001D1AC1">
              <w:t>ant</w:t>
            </w:r>
            <w:r w:rsidR="00A61BBC">
              <w:t xml:space="preserve"> </w:t>
            </w:r>
            <w:r>
              <w:t>did not appear</w:t>
            </w:r>
          </w:p>
        </w:tc>
      </w:tr>
      <w:tr w:rsidR="00BE0448" w:rsidRPr="00BF7C63" w14:paraId="76AAC707" w14:textId="77777777" w:rsidTr="00BA74FF">
        <w:tc>
          <w:tcPr>
            <w:tcW w:w="3085" w:type="dxa"/>
            <w:shd w:val="clear" w:color="auto" w:fill="auto"/>
          </w:tcPr>
          <w:p w14:paraId="03EDFD1B" w14:textId="77777777" w:rsidR="00BE0448" w:rsidRPr="00BF7C63" w:rsidRDefault="00BE0448" w:rsidP="00BA74FF">
            <w:pPr>
              <w:pStyle w:val="Normal1linespace"/>
              <w:widowControl w:val="0"/>
              <w:jc w:val="left"/>
            </w:pPr>
          </w:p>
        </w:tc>
        <w:tc>
          <w:tcPr>
            <w:tcW w:w="5989" w:type="dxa"/>
            <w:shd w:val="clear" w:color="auto" w:fill="auto"/>
          </w:tcPr>
          <w:p w14:paraId="5C139793" w14:textId="77777777" w:rsidR="00BE0448" w:rsidRPr="00BF7C63" w:rsidRDefault="00BE0448" w:rsidP="00BA74FF">
            <w:pPr>
              <w:pStyle w:val="Normal1linespace"/>
              <w:widowControl w:val="0"/>
              <w:jc w:val="left"/>
            </w:pPr>
          </w:p>
        </w:tc>
      </w:tr>
      <w:tr w:rsidR="00BE0448" w:rsidRPr="00BF7C63" w14:paraId="749A7602" w14:textId="77777777" w:rsidTr="00BA74FF">
        <w:tc>
          <w:tcPr>
            <w:tcW w:w="3085" w:type="dxa"/>
            <w:shd w:val="clear" w:color="auto" w:fill="auto"/>
          </w:tcPr>
          <w:p w14:paraId="10A25593" w14:textId="77777777" w:rsidR="00BE0448" w:rsidRPr="00BF7C63" w:rsidRDefault="00BE0448" w:rsidP="00BA74FF">
            <w:pPr>
              <w:pStyle w:val="Normal1linespace"/>
              <w:widowControl w:val="0"/>
              <w:jc w:val="left"/>
            </w:pPr>
            <w:r w:rsidRPr="00BF7C63">
              <w:t>Counsel for the Respondent:</w:t>
            </w:r>
          </w:p>
        </w:tc>
        <w:tc>
          <w:tcPr>
            <w:tcW w:w="5989" w:type="dxa"/>
            <w:shd w:val="clear" w:color="auto" w:fill="auto"/>
          </w:tcPr>
          <w:p w14:paraId="3EB9AFCF" w14:textId="7012E79F" w:rsidR="00BE0448" w:rsidRPr="00BF7C63" w:rsidRDefault="00A61BBC" w:rsidP="00BA74FF">
            <w:pPr>
              <w:pStyle w:val="Normal1linespace"/>
              <w:widowControl w:val="0"/>
              <w:jc w:val="left"/>
            </w:pPr>
            <w:r>
              <w:t xml:space="preserve">Ms Z Maud </w:t>
            </w:r>
          </w:p>
        </w:tc>
      </w:tr>
      <w:tr w:rsidR="00BE0448" w:rsidRPr="00BF7C63" w14:paraId="6B56C069" w14:textId="77777777" w:rsidTr="00BA74FF">
        <w:tc>
          <w:tcPr>
            <w:tcW w:w="3085" w:type="dxa"/>
            <w:shd w:val="clear" w:color="auto" w:fill="auto"/>
          </w:tcPr>
          <w:p w14:paraId="64AE1473" w14:textId="77777777" w:rsidR="00BE0448" w:rsidRPr="00BF7C63" w:rsidRDefault="00BE0448" w:rsidP="00BA74FF">
            <w:pPr>
              <w:pStyle w:val="Normal1linespace"/>
              <w:widowControl w:val="0"/>
              <w:jc w:val="left"/>
            </w:pPr>
          </w:p>
        </w:tc>
        <w:tc>
          <w:tcPr>
            <w:tcW w:w="5989" w:type="dxa"/>
            <w:shd w:val="clear" w:color="auto" w:fill="auto"/>
          </w:tcPr>
          <w:p w14:paraId="05536502" w14:textId="77777777" w:rsidR="00BE0448" w:rsidRPr="00BF7C63" w:rsidRDefault="00BE0448" w:rsidP="00BA74FF">
            <w:pPr>
              <w:pStyle w:val="Normal1linespace"/>
              <w:widowControl w:val="0"/>
              <w:jc w:val="left"/>
            </w:pPr>
          </w:p>
        </w:tc>
      </w:tr>
      <w:tr w:rsidR="00BE0448" w:rsidRPr="00BF7C63" w14:paraId="44B1CAB9" w14:textId="77777777" w:rsidTr="00BA74FF">
        <w:tc>
          <w:tcPr>
            <w:tcW w:w="3085" w:type="dxa"/>
            <w:shd w:val="clear" w:color="auto" w:fill="auto"/>
          </w:tcPr>
          <w:p w14:paraId="7A206F4E" w14:textId="77777777" w:rsidR="00BE0448" w:rsidRPr="00BF7C63" w:rsidRDefault="00BE0448" w:rsidP="00BA74FF">
            <w:pPr>
              <w:pStyle w:val="Normal1linespace"/>
              <w:widowControl w:val="0"/>
              <w:jc w:val="left"/>
            </w:pPr>
            <w:r w:rsidRPr="00BF7C63">
              <w:t>Solicitor for the Respondent:</w:t>
            </w:r>
          </w:p>
        </w:tc>
        <w:tc>
          <w:tcPr>
            <w:tcW w:w="5989" w:type="dxa"/>
            <w:shd w:val="clear" w:color="auto" w:fill="auto"/>
          </w:tcPr>
          <w:p w14:paraId="495B0A95" w14:textId="77777777" w:rsidR="00BE0448" w:rsidRPr="00BF7C63" w:rsidRDefault="00BE0448" w:rsidP="00BA74FF">
            <w:pPr>
              <w:pStyle w:val="Normal1linespace"/>
              <w:widowControl w:val="0"/>
              <w:jc w:val="left"/>
            </w:pPr>
            <w:r>
              <w:t>Australian Government Solicitor</w:t>
            </w:r>
          </w:p>
        </w:tc>
      </w:tr>
      <w:tr w:rsidR="00BE0448" w:rsidRPr="00BF7C63" w14:paraId="60821E15" w14:textId="77777777" w:rsidTr="00465143">
        <w:tc>
          <w:tcPr>
            <w:tcW w:w="3085" w:type="dxa"/>
            <w:shd w:val="clear" w:color="auto" w:fill="auto"/>
          </w:tcPr>
          <w:p w14:paraId="23B8692D" w14:textId="77777777" w:rsidR="00BE0448" w:rsidRDefault="00BE0448" w:rsidP="003114BB">
            <w:pPr>
              <w:pStyle w:val="Normal1linespace"/>
              <w:widowControl w:val="0"/>
              <w:jc w:val="left"/>
            </w:pPr>
          </w:p>
        </w:tc>
        <w:tc>
          <w:tcPr>
            <w:tcW w:w="5989" w:type="dxa"/>
            <w:shd w:val="clear" w:color="auto" w:fill="auto"/>
          </w:tcPr>
          <w:p w14:paraId="74A7B2C5" w14:textId="77777777" w:rsidR="00BE0448" w:rsidRPr="00BF7C63" w:rsidRDefault="00BE0448" w:rsidP="00325C57">
            <w:pPr>
              <w:pStyle w:val="Normal1linespace"/>
              <w:widowControl w:val="0"/>
              <w:jc w:val="left"/>
            </w:pPr>
          </w:p>
        </w:tc>
      </w:tr>
      <w:tr w:rsidR="000735E6" w:rsidRPr="00BF7C63" w14:paraId="19D1BC37" w14:textId="77777777" w:rsidTr="00465143">
        <w:tc>
          <w:tcPr>
            <w:tcW w:w="3085" w:type="dxa"/>
            <w:shd w:val="clear" w:color="auto" w:fill="auto"/>
          </w:tcPr>
          <w:p w14:paraId="7A516F22" w14:textId="2C4632AB" w:rsidR="000735E6" w:rsidRPr="00BF7C63" w:rsidRDefault="00C05C2F" w:rsidP="003114BB">
            <w:pPr>
              <w:pStyle w:val="Normal1linespace"/>
              <w:widowControl w:val="0"/>
              <w:jc w:val="left"/>
            </w:pPr>
            <w:r>
              <w:t>In VID 512 of 2014</w:t>
            </w:r>
          </w:p>
        </w:tc>
        <w:tc>
          <w:tcPr>
            <w:tcW w:w="5989" w:type="dxa"/>
            <w:shd w:val="clear" w:color="auto" w:fill="auto"/>
          </w:tcPr>
          <w:p w14:paraId="2121694F" w14:textId="77777777" w:rsidR="000735E6" w:rsidRPr="00BF7C63" w:rsidRDefault="000735E6" w:rsidP="00325C57">
            <w:pPr>
              <w:pStyle w:val="Normal1linespace"/>
              <w:widowControl w:val="0"/>
              <w:jc w:val="left"/>
            </w:pPr>
          </w:p>
        </w:tc>
      </w:tr>
      <w:tr w:rsidR="00FA67A4" w14:paraId="5E26CA97" w14:textId="77777777" w:rsidTr="00FA67A4">
        <w:tc>
          <w:tcPr>
            <w:tcW w:w="3085" w:type="dxa"/>
            <w:shd w:val="clear" w:color="auto" w:fill="auto"/>
          </w:tcPr>
          <w:p w14:paraId="0292A934" w14:textId="64EC48E8" w:rsidR="00FA67A4" w:rsidRDefault="00FA67A4" w:rsidP="00C05C2F">
            <w:pPr>
              <w:pStyle w:val="Normal1linespace"/>
              <w:widowControl w:val="0"/>
              <w:jc w:val="left"/>
            </w:pPr>
            <w:bookmarkStart w:id="10" w:name="Counsel" w:colFirst="0" w:colLast="2"/>
            <w:r>
              <w:t xml:space="preserve">Counsel for the </w:t>
            </w:r>
            <w:r w:rsidR="00C05C2F">
              <w:t>Appellant</w:t>
            </w:r>
            <w:r>
              <w:t>:</w:t>
            </w:r>
          </w:p>
        </w:tc>
        <w:tc>
          <w:tcPr>
            <w:tcW w:w="5989" w:type="dxa"/>
            <w:shd w:val="clear" w:color="auto" w:fill="auto"/>
          </w:tcPr>
          <w:p w14:paraId="4F71DC8C" w14:textId="7CF47E21" w:rsidR="00FA67A4" w:rsidRDefault="00C05C2F" w:rsidP="00FA67A4">
            <w:pPr>
              <w:pStyle w:val="Normal1linespace"/>
              <w:widowControl w:val="0"/>
              <w:jc w:val="left"/>
            </w:pPr>
            <w:bookmarkStart w:id="11" w:name="AppCounsel"/>
            <w:bookmarkEnd w:id="11"/>
            <w:r>
              <w:t>The Appellant did not appear</w:t>
            </w:r>
          </w:p>
        </w:tc>
      </w:tr>
      <w:bookmarkEnd w:id="10"/>
      <w:tr w:rsidR="00465143" w:rsidRPr="00BF7C63" w14:paraId="2B516156" w14:textId="77777777" w:rsidTr="00465143">
        <w:tc>
          <w:tcPr>
            <w:tcW w:w="3085" w:type="dxa"/>
            <w:shd w:val="clear" w:color="auto" w:fill="auto"/>
          </w:tcPr>
          <w:p w14:paraId="6311C6BA" w14:textId="354C499A" w:rsidR="00465143" w:rsidRPr="00BF7C63" w:rsidRDefault="00465143" w:rsidP="00465143">
            <w:pPr>
              <w:pStyle w:val="Normal1linespace"/>
              <w:widowControl w:val="0"/>
              <w:jc w:val="left"/>
            </w:pPr>
          </w:p>
        </w:tc>
        <w:tc>
          <w:tcPr>
            <w:tcW w:w="5989" w:type="dxa"/>
            <w:shd w:val="clear" w:color="auto" w:fill="auto"/>
          </w:tcPr>
          <w:p w14:paraId="3C01C78E" w14:textId="5B004B0E" w:rsidR="00465143" w:rsidRPr="00BF7C63" w:rsidRDefault="00465143" w:rsidP="00465143">
            <w:pPr>
              <w:pStyle w:val="Normal1linespace"/>
              <w:widowControl w:val="0"/>
              <w:jc w:val="left"/>
            </w:pPr>
          </w:p>
        </w:tc>
      </w:tr>
      <w:tr w:rsidR="00465143" w:rsidRPr="00BF7C63" w14:paraId="5D3223CB" w14:textId="77777777" w:rsidTr="00465143">
        <w:tc>
          <w:tcPr>
            <w:tcW w:w="3085" w:type="dxa"/>
            <w:shd w:val="clear" w:color="auto" w:fill="auto"/>
          </w:tcPr>
          <w:p w14:paraId="6C0FF668" w14:textId="18A952E7" w:rsidR="00465143" w:rsidRPr="00BF7C63" w:rsidRDefault="00C05C2F" w:rsidP="00465143">
            <w:pPr>
              <w:pStyle w:val="Normal1linespace"/>
              <w:widowControl w:val="0"/>
              <w:jc w:val="left"/>
            </w:pPr>
            <w:r>
              <w:t>Counsel for the First Respondent</w:t>
            </w:r>
            <w:r w:rsidR="00FA67A4">
              <w:t>:</w:t>
            </w:r>
          </w:p>
        </w:tc>
        <w:tc>
          <w:tcPr>
            <w:tcW w:w="5989" w:type="dxa"/>
            <w:shd w:val="clear" w:color="auto" w:fill="auto"/>
          </w:tcPr>
          <w:p w14:paraId="3B6CEFA3" w14:textId="4A97B5DE" w:rsidR="00465143" w:rsidRPr="00BF7C63" w:rsidRDefault="00C05C2F" w:rsidP="00465143">
            <w:pPr>
              <w:pStyle w:val="Normal1linespace"/>
              <w:widowControl w:val="0"/>
              <w:jc w:val="left"/>
            </w:pPr>
            <w:r>
              <w:t>Ms Z Maud</w:t>
            </w:r>
          </w:p>
        </w:tc>
      </w:tr>
      <w:tr w:rsidR="00465143" w:rsidRPr="00BF7C63" w14:paraId="1ACD683C" w14:textId="77777777" w:rsidTr="00465143">
        <w:tc>
          <w:tcPr>
            <w:tcW w:w="3085" w:type="dxa"/>
            <w:shd w:val="clear" w:color="auto" w:fill="auto"/>
          </w:tcPr>
          <w:p w14:paraId="67940BF1" w14:textId="6F416E67" w:rsidR="00465143" w:rsidRPr="00BF7C63" w:rsidRDefault="00465143" w:rsidP="00465143">
            <w:pPr>
              <w:pStyle w:val="Normal1linespace"/>
              <w:widowControl w:val="0"/>
              <w:jc w:val="left"/>
            </w:pPr>
          </w:p>
        </w:tc>
        <w:tc>
          <w:tcPr>
            <w:tcW w:w="5989" w:type="dxa"/>
            <w:shd w:val="clear" w:color="auto" w:fill="auto"/>
          </w:tcPr>
          <w:p w14:paraId="359B1DA7" w14:textId="4AB079E7" w:rsidR="00465143" w:rsidRPr="00BF7C63" w:rsidRDefault="00465143" w:rsidP="00465143">
            <w:pPr>
              <w:pStyle w:val="Normal1linespace"/>
              <w:widowControl w:val="0"/>
              <w:jc w:val="left"/>
            </w:pPr>
          </w:p>
        </w:tc>
      </w:tr>
      <w:tr w:rsidR="00325C57" w:rsidRPr="00BF7C63" w14:paraId="11D972EB" w14:textId="77777777" w:rsidTr="00465143">
        <w:tc>
          <w:tcPr>
            <w:tcW w:w="3085" w:type="dxa"/>
            <w:shd w:val="clear" w:color="auto" w:fill="auto"/>
          </w:tcPr>
          <w:p w14:paraId="5C571F7B" w14:textId="1B97947D" w:rsidR="00325C57" w:rsidRPr="00BF7C63" w:rsidRDefault="00C05C2F" w:rsidP="00465143">
            <w:pPr>
              <w:pStyle w:val="Normal1linespace"/>
              <w:widowControl w:val="0"/>
              <w:jc w:val="left"/>
            </w:pPr>
            <w:r>
              <w:t xml:space="preserve">Solicitor for the </w:t>
            </w:r>
            <w:r w:rsidR="00C24C37">
              <w:t xml:space="preserve">First </w:t>
            </w:r>
            <w:r>
              <w:t>Respondent</w:t>
            </w:r>
            <w:r w:rsidR="00FA67A4">
              <w:t>:</w:t>
            </w:r>
          </w:p>
        </w:tc>
        <w:tc>
          <w:tcPr>
            <w:tcW w:w="5989" w:type="dxa"/>
            <w:shd w:val="clear" w:color="auto" w:fill="auto"/>
          </w:tcPr>
          <w:p w14:paraId="155FA8BF" w14:textId="7A46ABF0" w:rsidR="00325C57" w:rsidRDefault="005274E3" w:rsidP="00465143">
            <w:pPr>
              <w:pStyle w:val="Normal1linespace"/>
              <w:widowControl w:val="0"/>
              <w:jc w:val="left"/>
            </w:pPr>
            <w:r>
              <w:t>Australian Government Solicitor</w:t>
            </w:r>
          </w:p>
        </w:tc>
      </w:tr>
      <w:tr w:rsidR="00C05C2F" w:rsidRPr="007F0DDA" w14:paraId="35043C24" w14:textId="77777777" w:rsidTr="00325C57">
        <w:tc>
          <w:tcPr>
            <w:tcW w:w="3085" w:type="dxa"/>
            <w:shd w:val="clear" w:color="auto" w:fill="auto"/>
          </w:tcPr>
          <w:p w14:paraId="092F6646" w14:textId="77777777" w:rsidR="00C05C2F" w:rsidRPr="007F0DDA" w:rsidRDefault="00C05C2F" w:rsidP="00325C57">
            <w:pPr>
              <w:pStyle w:val="Normal1linespace"/>
              <w:widowControl w:val="0"/>
              <w:jc w:val="left"/>
            </w:pPr>
          </w:p>
        </w:tc>
        <w:tc>
          <w:tcPr>
            <w:tcW w:w="5989" w:type="dxa"/>
            <w:shd w:val="clear" w:color="auto" w:fill="auto"/>
          </w:tcPr>
          <w:p w14:paraId="7A735156" w14:textId="77777777" w:rsidR="00C05C2F" w:rsidRPr="007F0DDA" w:rsidRDefault="00C05C2F" w:rsidP="00325C57">
            <w:pPr>
              <w:pStyle w:val="Normal1linespace"/>
              <w:widowControl w:val="0"/>
              <w:jc w:val="left"/>
            </w:pPr>
          </w:p>
        </w:tc>
      </w:tr>
      <w:tr w:rsidR="00325C57" w:rsidRPr="007F0DDA" w14:paraId="380F44C7" w14:textId="77777777" w:rsidTr="00325C57">
        <w:tc>
          <w:tcPr>
            <w:tcW w:w="3085" w:type="dxa"/>
            <w:shd w:val="clear" w:color="auto" w:fill="auto"/>
          </w:tcPr>
          <w:p w14:paraId="1106E694" w14:textId="77777777" w:rsidR="00325C57" w:rsidRPr="007F0DDA" w:rsidRDefault="00325C57" w:rsidP="00325C57">
            <w:pPr>
              <w:pStyle w:val="Normal1linespace"/>
              <w:widowControl w:val="0"/>
              <w:jc w:val="left"/>
            </w:pPr>
            <w:r w:rsidRPr="007F0DDA">
              <w:t xml:space="preserve">Counsel for the </w:t>
            </w:r>
            <w:r>
              <w:t xml:space="preserve">Second </w:t>
            </w:r>
            <w:r w:rsidRPr="007F0DDA">
              <w:t>Respondent:</w:t>
            </w:r>
          </w:p>
        </w:tc>
        <w:tc>
          <w:tcPr>
            <w:tcW w:w="5989" w:type="dxa"/>
            <w:shd w:val="clear" w:color="auto" w:fill="auto"/>
          </w:tcPr>
          <w:p w14:paraId="50C887D1" w14:textId="77777777" w:rsidR="00325C57" w:rsidRPr="007F0DDA" w:rsidRDefault="00325C57" w:rsidP="00325C57">
            <w:pPr>
              <w:pStyle w:val="Normal1linespace"/>
              <w:widowControl w:val="0"/>
              <w:jc w:val="left"/>
            </w:pPr>
            <w:r w:rsidRPr="007F0DDA">
              <w:t>The Second Respondent filed a submitting appearance save as to costs</w:t>
            </w:r>
          </w:p>
        </w:tc>
      </w:tr>
      <w:tr w:rsidR="00325C57" w:rsidRPr="007F0DDA" w14:paraId="0D8D0359" w14:textId="77777777" w:rsidTr="00325C57">
        <w:tc>
          <w:tcPr>
            <w:tcW w:w="3085" w:type="dxa"/>
            <w:shd w:val="clear" w:color="auto" w:fill="auto"/>
          </w:tcPr>
          <w:p w14:paraId="3CCE56B1" w14:textId="77777777" w:rsidR="00325C57" w:rsidRPr="007F0DDA" w:rsidRDefault="00325C57" w:rsidP="00325C57">
            <w:pPr>
              <w:pStyle w:val="Normal1linespace"/>
              <w:widowControl w:val="0"/>
              <w:jc w:val="left"/>
            </w:pPr>
          </w:p>
        </w:tc>
        <w:tc>
          <w:tcPr>
            <w:tcW w:w="5989" w:type="dxa"/>
            <w:shd w:val="clear" w:color="auto" w:fill="auto"/>
          </w:tcPr>
          <w:p w14:paraId="52E09A51" w14:textId="77777777" w:rsidR="00325C57" w:rsidRPr="007F0DDA" w:rsidRDefault="00325C57" w:rsidP="00325C57">
            <w:pPr>
              <w:pStyle w:val="Normal1linespace"/>
              <w:widowControl w:val="0"/>
              <w:jc w:val="left"/>
            </w:pPr>
          </w:p>
        </w:tc>
      </w:tr>
      <w:tr w:rsidR="00325C57" w:rsidRPr="007F0DDA" w14:paraId="0DCAFE59" w14:textId="77777777" w:rsidTr="00325C57">
        <w:tc>
          <w:tcPr>
            <w:tcW w:w="3085" w:type="dxa"/>
            <w:shd w:val="clear" w:color="auto" w:fill="auto"/>
          </w:tcPr>
          <w:p w14:paraId="75C632B6" w14:textId="77777777" w:rsidR="00325C57" w:rsidRPr="007F0DDA" w:rsidRDefault="00325C57" w:rsidP="00325C57">
            <w:pPr>
              <w:pStyle w:val="Normal1linespace"/>
              <w:widowControl w:val="0"/>
              <w:jc w:val="left"/>
            </w:pPr>
            <w:r w:rsidRPr="007F0DDA">
              <w:t>Counsel for the</w:t>
            </w:r>
            <w:r>
              <w:t xml:space="preserve"> Third </w:t>
            </w:r>
            <w:r w:rsidRPr="007F0DDA">
              <w:t>Respondent:</w:t>
            </w:r>
          </w:p>
        </w:tc>
        <w:tc>
          <w:tcPr>
            <w:tcW w:w="5989" w:type="dxa"/>
            <w:shd w:val="clear" w:color="auto" w:fill="auto"/>
          </w:tcPr>
          <w:p w14:paraId="4F9477F6" w14:textId="77777777" w:rsidR="00325C57" w:rsidRPr="007F0DDA" w:rsidRDefault="00325C57" w:rsidP="00325C57">
            <w:pPr>
              <w:pStyle w:val="Normal1linespace"/>
              <w:widowControl w:val="0"/>
              <w:jc w:val="left"/>
            </w:pPr>
            <w:r w:rsidRPr="007F0DDA">
              <w:t>The Third Respondent filed a submitting appearance save as to costs</w:t>
            </w:r>
          </w:p>
        </w:tc>
      </w:tr>
    </w:tbl>
    <w:p w14:paraId="55249419" w14:textId="77777777" w:rsidR="00395B24" w:rsidRPr="00BF7C63" w:rsidRDefault="00395B24">
      <w:pPr>
        <w:pStyle w:val="Normal1linespace"/>
      </w:pPr>
    </w:p>
    <w:p w14:paraId="775255CD" w14:textId="77777777" w:rsidR="00395B24" w:rsidRPr="00BF7C63" w:rsidRDefault="00395B24">
      <w:pPr>
        <w:pStyle w:val="Normal1linespace"/>
      </w:pPr>
    </w:p>
    <w:p w14:paraId="2CB287B2" w14:textId="77777777" w:rsidR="00395B24" w:rsidRPr="00BF7C63" w:rsidRDefault="00395B24">
      <w:pPr>
        <w:pStyle w:val="Normal1linespace"/>
        <w:sectPr w:rsidR="00395B24" w:rsidRPr="00BF7C63">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BF7C63" w14:paraId="5A0B9D34" w14:textId="77777777">
        <w:tc>
          <w:tcPr>
            <w:tcW w:w="6771" w:type="dxa"/>
          </w:tcPr>
          <w:p w14:paraId="580C72A2" w14:textId="77777777" w:rsidR="00395B24" w:rsidRPr="00BF7C63" w:rsidRDefault="002C7385">
            <w:pPr>
              <w:pStyle w:val="NormalHeadings"/>
              <w:spacing w:after="120"/>
              <w:jc w:val="left"/>
              <w:rPr>
                <w:caps/>
                <w:szCs w:val="24"/>
              </w:rPr>
            </w:pPr>
            <w:r w:rsidRPr="00BF7C63">
              <w:rPr>
                <w:caps/>
                <w:szCs w:val="24"/>
              </w:rPr>
              <w:lastRenderedPageBreak/>
              <w:t>IN THE FEDERAL COURT OF AUSTRALIA</w:t>
            </w:r>
          </w:p>
        </w:tc>
        <w:tc>
          <w:tcPr>
            <w:tcW w:w="2471" w:type="dxa"/>
          </w:tcPr>
          <w:p w14:paraId="709688D1" w14:textId="77777777" w:rsidR="00395B24" w:rsidRPr="00BF7C63" w:rsidRDefault="00395B24">
            <w:pPr>
              <w:pStyle w:val="NormalHeadings"/>
              <w:jc w:val="left"/>
              <w:rPr>
                <w:caps/>
                <w:szCs w:val="24"/>
              </w:rPr>
            </w:pPr>
          </w:p>
        </w:tc>
      </w:tr>
      <w:tr w:rsidR="00395B24" w:rsidRPr="00BF7C63" w14:paraId="2C3A21DE" w14:textId="77777777">
        <w:tc>
          <w:tcPr>
            <w:tcW w:w="6771" w:type="dxa"/>
          </w:tcPr>
          <w:p w14:paraId="0A9AC7A9" w14:textId="049D9CD1" w:rsidR="00395B24" w:rsidRPr="00BF7C63" w:rsidRDefault="001B0C2A">
            <w:pPr>
              <w:pStyle w:val="NormalHeadings"/>
              <w:spacing w:after="120"/>
              <w:jc w:val="left"/>
              <w:rPr>
                <w:caps/>
                <w:szCs w:val="24"/>
              </w:rPr>
            </w:pPr>
            <w:bookmarkStart w:id="12" w:name="State"/>
            <w:r>
              <w:rPr>
                <w:caps/>
                <w:szCs w:val="24"/>
              </w:rPr>
              <w:t>VICTORIA</w:t>
            </w:r>
            <w:bookmarkEnd w:id="12"/>
            <w:r w:rsidR="002C7385" w:rsidRPr="00BF7C63">
              <w:rPr>
                <w:caps/>
                <w:szCs w:val="24"/>
              </w:rPr>
              <w:t xml:space="preserve"> DISTRICT REGISTRY</w:t>
            </w:r>
          </w:p>
        </w:tc>
        <w:tc>
          <w:tcPr>
            <w:tcW w:w="2471" w:type="dxa"/>
          </w:tcPr>
          <w:p w14:paraId="6EEA43DB" w14:textId="77777777" w:rsidR="00395B24" w:rsidRPr="00BF7C63" w:rsidRDefault="00395B24">
            <w:pPr>
              <w:pStyle w:val="NormalHeadings"/>
              <w:tabs>
                <w:tab w:val="right" w:pos="3609"/>
              </w:tabs>
              <w:jc w:val="right"/>
              <w:rPr>
                <w:szCs w:val="24"/>
              </w:rPr>
            </w:pPr>
          </w:p>
        </w:tc>
      </w:tr>
      <w:tr w:rsidR="00395B24" w:rsidRPr="00BF7C63" w14:paraId="1EBAF6A6" w14:textId="77777777">
        <w:tc>
          <w:tcPr>
            <w:tcW w:w="6771" w:type="dxa"/>
          </w:tcPr>
          <w:p w14:paraId="4D321E7C" w14:textId="5FE0CF53" w:rsidR="00395B24" w:rsidRPr="00BF7C63" w:rsidRDefault="001B0C2A">
            <w:pPr>
              <w:pStyle w:val="NormalHeadings"/>
              <w:spacing w:after="120"/>
              <w:jc w:val="left"/>
              <w:rPr>
                <w:caps/>
                <w:szCs w:val="24"/>
              </w:rPr>
            </w:pPr>
            <w:bookmarkStart w:id="13" w:name="Division"/>
            <w:r>
              <w:rPr>
                <w:caps/>
                <w:szCs w:val="24"/>
              </w:rPr>
              <w:t>GENERAL DIVISION</w:t>
            </w:r>
            <w:bookmarkEnd w:id="13"/>
          </w:p>
        </w:tc>
        <w:tc>
          <w:tcPr>
            <w:tcW w:w="2471" w:type="dxa"/>
          </w:tcPr>
          <w:p w14:paraId="16C856E9" w14:textId="62B4D6B5" w:rsidR="00395B24" w:rsidRPr="00BF7C63" w:rsidRDefault="001B0C2A" w:rsidP="002C448E">
            <w:pPr>
              <w:pStyle w:val="NormalHeadings"/>
              <w:tabs>
                <w:tab w:val="right" w:pos="3609"/>
              </w:tabs>
              <w:jc w:val="right"/>
              <w:rPr>
                <w:szCs w:val="24"/>
              </w:rPr>
            </w:pPr>
            <w:bookmarkStart w:id="14" w:name="Num"/>
            <w:r>
              <w:rPr>
                <w:szCs w:val="24"/>
              </w:rPr>
              <w:t>VID 898 of 2008</w:t>
            </w:r>
            <w:bookmarkEnd w:id="14"/>
          </w:p>
        </w:tc>
      </w:tr>
    </w:tbl>
    <w:p w14:paraId="33D27F8E" w14:textId="173E53EB" w:rsidR="00BE0448" w:rsidRDefault="00BE0448">
      <w:pPr>
        <w:pStyle w:val="AppealTable"/>
        <w:rPr>
          <w:sz w:val="24"/>
        </w:rPr>
      </w:pPr>
    </w:p>
    <w:tbl>
      <w:tblPr>
        <w:tblW w:w="0" w:type="auto"/>
        <w:tblLook w:val="01E0" w:firstRow="1" w:lastRow="1" w:firstColumn="1" w:lastColumn="1" w:noHBand="0" w:noVBand="0"/>
      </w:tblPr>
      <w:tblGrid>
        <w:gridCol w:w="9243"/>
      </w:tblGrid>
      <w:tr w:rsidR="001B0C2A" w:rsidRPr="001B0C2A" w14:paraId="156D077A" w14:textId="77777777">
        <w:tc>
          <w:tcPr>
            <w:tcW w:w="9243" w:type="dxa"/>
            <w:shd w:val="clear" w:color="auto" w:fill="auto"/>
          </w:tcPr>
          <w:p w14:paraId="4ACC29D1" w14:textId="28DFD83C" w:rsidR="001B0C2A" w:rsidRPr="001B0C2A" w:rsidRDefault="001B0C2A">
            <w:pPr>
              <w:pStyle w:val="AppealTable"/>
              <w:widowControl w:val="0"/>
              <w:spacing w:line="360" w:lineRule="auto"/>
              <w:jc w:val="both"/>
              <w:rPr>
                <w:caps w:val="0"/>
                <w:sz w:val="24"/>
                <w:szCs w:val="20"/>
                <w:lang w:eastAsia="en-AU"/>
              </w:rPr>
            </w:pPr>
            <w:bookmarkStart w:id="15" w:name="Appeal"/>
            <w:bookmarkStart w:id="16" w:name="AppealTable"/>
            <w:r w:rsidRPr="001B0C2A">
              <w:rPr>
                <w:caps w:val="0"/>
                <w:sz w:val="24"/>
                <w:szCs w:val="20"/>
                <w:lang w:eastAsia="en-AU"/>
              </w:rPr>
              <w:t>ON APPEAL FROM THE FEDERAL COURT OF AUSTRALIA</w:t>
            </w:r>
            <w:bookmarkEnd w:id="15"/>
          </w:p>
        </w:tc>
      </w:tr>
      <w:bookmarkEnd w:id="16"/>
    </w:tbl>
    <w:p w14:paraId="4D2616A4" w14:textId="77777777" w:rsidR="001B0C2A" w:rsidRPr="00BF7C63" w:rsidRDefault="001B0C2A">
      <w:pPr>
        <w:pStyle w:val="AppealTable"/>
        <w:rPr>
          <w:sz w:val="24"/>
        </w:rPr>
      </w:pPr>
    </w:p>
    <w:tbl>
      <w:tblPr>
        <w:tblW w:w="0" w:type="auto"/>
        <w:tblLayout w:type="fixed"/>
        <w:tblLook w:val="0000" w:firstRow="0" w:lastRow="0" w:firstColumn="0" w:lastColumn="0" w:noHBand="0" w:noVBand="0"/>
      </w:tblPr>
      <w:tblGrid>
        <w:gridCol w:w="2376"/>
        <w:gridCol w:w="6866"/>
      </w:tblGrid>
      <w:tr w:rsidR="00BE0448" w:rsidRPr="00BF7C63" w14:paraId="55EF0176" w14:textId="77777777" w:rsidTr="00BA74FF">
        <w:trPr>
          <w:trHeight w:val="386"/>
        </w:trPr>
        <w:tc>
          <w:tcPr>
            <w:tcW w:w="2376" w:type="dxa"/>
          </w:tcPr>
          <w:p w14:paraId="2D742E3F" w14:textId="3A1AD349" w:rsidR="00BE0448" w:rsidRPr="00BF7C63" w:rsidRDefault="002C448E" w:rsidP="002C448E">
            <w:pPr>
              <w:pStyle w:val="NormalHeadings"/>
              <w:jc w:val="left"/>
              <w:rPr>
                <w:caps/>
                <w:szCs w:val="24"/>
              </w:rPr>
            </w:pPr>
            <w:r>
              <w:rPr>
                <w:caps/>
                <w:szCs w:val="24"/>
              </w:rPr>
              <w:t>BETWEEN</w:t>
            </w:r>
          </w:p>
        </w:tc>
        <w:tc>
          <w:tcPr>
            <w:tcW w:w="6866" w:type="dxa"/>
          </w:tcPr>
          <w:p w14:paraId="5D1F018C" w14:textId="77777777" w:rsidR="00BE0448" w:rsidRPr="00BF7C63" w:rsidRDefault="00BE0448" w:rsidP="00BA74FF">
            <w:pPr>
              <w:pStyle w:val="NormalHeadings"/>
              <w:jc w:val="left"/>
              <w:rPr>
                <w:szCs w:val="24"/>
              </w:rPr>
            </w:pPr>
            <w:r>
              <w:rPr>
                <w:szCs w:val="24"/>
              </w:rPr>
              <w:t>GAYE LUCK</w:t>
            </w:r>
          </w:p>
          <w:p w14:paraId="098B4FD3" w14:textId="728B61F4" w:rsidR="00BE0448" w:rsidRPr="00BF7C63" w:rsidRDefault="001D1AC1" w:rsidP="00BA74FF">
            <w:pPr>
              <w:pStyle w:val="NormalHeadings"/>
              <w:jc w:val="left"/>
              <w:rPr>
                <w:szCs w:val="24"/>
              </w:rPr>
            </w:pPr>
            <w:r>
              <w:rPr>
                <w:szCs w:val="24"/>
              </w:rPr>
              <w:t>App</w:t>
            </w:r>
            <w:r w:rsidR="009A4BC7">
              <w:rPr>
                <w:szCs w:val="24"/>
              </w:rPr>
              <w:t>ell</w:t>
            </w:r>
            <w:r>
              <w:rPr>
                <w:szCs w:val="24"/>
              </w:rPr>
              <w:t>ant</w:t>
            </w:r>
          </w:p>
          <w:p w14:paraId="4081FDB6" w14:textId="77777777" w:rsidR="00BE0448" w:rsidRPr="00BF7C63" w:rsidRDefault="00BE0448" w:rsidP="00BA74FF">
            <w:pPr>
              <w:pStyle w:val="NormalHeadings"/>
              <w:jc w:val="left"/>
              <w:rPr>
                <w:szCs w:val="24"/>
              </w:rPr>
            </w:pPr>
          </w:p>
        </w:tc>
      </w:tr>
      <w:tr w:rsidR="00BE0448" w:rsidRPr="00BF7C63" w14:paraId="79CF092C" w14:textId="77777777" w:rsidTr="00BA74FF">
        <w:trPr>
          <w:trHeight w:val="386"/>
        </w:trPr>
        <w:tc>
          <w:tcPr>
            <w:tcW w:w="2376" w:type="dxa"/>
          </w:tcPr>
          <w:p w14:paraId="4D17FD9C" w14:textId="77777777" w:rsidR="00BE0448" w:rsidRPr="00BF7C63" w:rsidRDefault="00BE0448" w:rsidP="00BA74FF">
            <w:pPr>
              <w:pStyle w:val="NormalHeadings"/>
              <w:jc w:val="left"/>
              <w:rPr>
                <w:caps/>
                <w:szCs w:val="24"/>
              </w:rPr>
            </w:pPr>
            <w:r w:rsidRPr="00BF7C63">
              <w:rPr>
                <w:caps/>
                <w:szCs w:val="24"/>
              </w:rPr>
              <w:t>AND:</w:t>
            </w:r>
          </w:p>
        </w:tc>
        <w:tc>
          <w:tcPr>
            <w:tcW w:w="6866" w:type="dxa"/>
          </w:tcPr>
          <w:p w14:paraId="2C69192C" w14:textId="16C9E9F4" w:rsidR="00BE0448" w:rsidRDefault="00BE0448" w:rsidP="00BA74FF">
            <w:pPr>
              <w:pStyle w:val="NormalHeadings"/>
              <w:jc w:val="left"/>
            </w:pPr>
            <w:r>
              <w:t xml:space="preserve">CHIEF </w:t>
            </w:r>
            <w:r w:rsidR="004E1597">
              <w:t>EXECUTIVE OFFICER OF CENTRELINK</w:t>
            </w:r>
          </w:p>
          <w:p w14:paraId="56F77C1C" w14:textId="471A265F" w:rsidR="00BE0448" w:rsidRPr="00BF7C63" w:rsidRDefault="00825E35" w:rsidP="00BA74FF">
            <w:pPr>
              <w:pStyle w:val="NormalHeadings"/>
              <w:jc w:val="left"/>
              <w:rPr>
                <w:szCs w:val="24"/>
              </w:rPr>
            </w:pPr>
            <w:r>
              <w:rPr>
                <w:szCs w:val="24"/>
              </w:rPr>
              <w:t>Respondent</w:t>
            </w:r>
          </w:p>
          <w:p w14:paraId="6F6110D1" w14:textId="77777777" w:rsidR="00BE0448" w:rsidRPr="00BF7C63" w:rsidRDefault="00BE0448" w:rsidP="00BA74FF">
            <w:pPr>
              <w:pStyle w:val="NormalHeadings"/>
              <w:jc w:val="left"/>
              <w:rPr>
                <w:szCs w:val="24"/>
              </w:rPr>
            </w:pPr>
          </w:p>
        </w:tc>
      </w:tr>
    </w:tbl>
    <w:p w14:paraId="2CD9A889" w14:textId="77777777" w:rsidR="00395B24" w:rsidRPr="00BF7C63"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BF7C63" w14:paraId="6DBC98C2" w14:textId="77777777">
        <w:tc>
          <w:tcPr>
            <w:tcW w:w="2376" w:type="dxa"/>
          </w:tcPr>
          <w:p w14:paraId="35235E5F" w14:textId="3228637F" w:rsidR="00395B24" w:rsidRPr="00BF7C63" w:rsidRDefault="001B0C2A">
            <w:pPr>
              <w:pStyle w:val="NormalHeadings"/>
              <w:spacing w:after="120"/>
              <w:jc w:val="left"/>
              <w:rPr>
                <w:caps/>
                <w:szCs w:val="24"/>
              </w:rPr>
            </w:pPr>
            <w:bookmarkStart w:id="17" w:name="JudgeText"/>
            <w:r>
              <w:rPr>
                <w:caps/>
                <w:szCs w:val="24"/>
              </w:rPr>
              <w:t>JUDGES</w:t>
            </w:r>
            <w:bookmarkEnd w:id="17"/>
            <w:r w:rsidR="002C7385" w:rsidRPr="00BF7C63">
              <w:rPr>
                <w:caps/>
                <w:szCs w:val="24"/>
              </w:rPr>
              <w:t>:</w:t>
            </w:r>
          </w:p>
        </w:tc>
        <w:tc>
          <w:tcPr>
            <w:tcW w:w="6866" w:type="dxa"/>
          </w:tcPr>
          <w:p w14:paraId="28E82ABF" w14:textId="2BF3D4C5" w:rsidR="00395B24" w:rsidRPr="00BF7C63" w:rsidRDefault="00825E35">
            <w:pPr>
              <w:pStyle w:val="NormalHeadings"/>
              <w:jc w:val="left"/>
              <w:rPr>
                <w:caps/>
                <w:szCs w:val="24"/>
              </w:rPr>
            </w:pPr>
            <w:r>
              <w:t xml:space="preserve">COLLIER, GRIFFITHS AND MORTIMER </w:t>
            </w:r>
            <w:proofErr w:type="spellStart"/>
            <w:r>
              <w:t>J</w:t>
            </w:r>
            <w:r w:rsidR="00E475C6">
              <w:t>J</w:t>
            </w:r>
            <w:proofErr w:type="spellEnd"/>
          </w:p>
        </w:tc>
      </w:tr>
      <w:tr w:rsidR="00395B24" w:rsidRPr="00BF7C63" w14:paraId="08D5D648" w14:textId="77777777">
        <w:tc>
          <w:tcPr>
            <w:tcW w:w="2376" w:type="dxa"/>
          </w:tcPr>
          <w:p w14:paraId="773D2D3B" w14:textId="77777777" w:rsidR="00395B24" w:rsidRPr="00BF7C63" w:rsidRDefault="002C7385">
            <w:pPr>
              <w:pStyle w:val="NormalHeadings"/>
              <w:spacing w:after="120"/>
              <w:jc w:val="left"/>
              <w:rPr>
                <w:caps/>
                <w:szCs w:val="24"/>
              </w:rPr>
            </w:pPr>
            <w:r w:rsidRPr="00BF7C63">
              <w:rPr>
                <w:caps/>
                <w:szCs w:val="24"/>
              </w:rPr>
              <w:t>DATE OF ORDER:</w:t>
            </w:r>
          </w:p>
        </w:tc>
        <w:tc>
          <w:tcPr>
            <w:tcW w:w="6866" w:type="dxa"/>
          </w:tcPr>
          <w:p w14:paraId="00FD19DD" w14:textId="47B81341" w:rsidR="00395B24" w:rsidRPr="00BF7C63" w:rsidRDefault="001B0C2A">
            <w:pPr>
              <w:pStyle w:val="NormalHeadings"/>
              <w:jc w:val="left"/>
              <w:rPr>
                <w:caps/>
                <w:szCs w:val="24"/>
              </w:rPr>
            </w:pPr>
            <w:bookmarkStart w:id="18" w:name="Judgment_Dated"/>
            <w:r>
              <w:rPr>
                <w:caps/>
                <w:szCs w:val="24"/>
              </w:rPr>
              <w:t>21 MAY 2015</w:t>
            </w:r>
            <w:bookmarkEnd w:id="18"/>
          </w:p>
        </w:tc>
      </w:tr>
      <w:tr w:rsidR="00395B24" w:rsidRPr="00BF7C63" w14:paraId="218064F3" w14:textId="77777777">
        <w:tc>
          <w:tcPr>
            <w:tcW w:w="2376" w:type="dxa"/>
          </w:tcPr>
          <w:p w14:paraId="0E8A34F8" w14:textId="77777777" w:rsidR="00395B24" w:rsidRPr="00BF7C63" w:rsidRDefault="002C7385">
            <w:pPr>
              <w:pStyle w:val="NormalHeadings"/>
              <w:spacing w:after="120"/>
              <w:jc w:val="left"/>
              <w:rPr>
                <w:caps/>
                <w:szCs w:val="24"/>
              </w:rPr>
            </w:pPr>
            <w:r w:rsidRPr="00BF7C63">
              <w:rPr>
                <w:caps/>
                <w:szCs w:val="24"/>
              </w:rPr>
              <w:t>WHERE MADE:</w:t>
            </w:r>
          </w:p>
        </w:tc>
        <w:tc>
          <w:tcPr>
            <w:tcW w:w="6866" w:type="dxa"/>
          </w:tcPr>
          <w:p w14:paraId="671EBE88" w14:textId="48AA4FDF" w:rsidR="00395B24" w:rsidRPr="00BF7C63" w:rsidRDefault="001B0C2A">
            <w:pPr>
              <w:pStyle w:val="NormalHeadings"/>
              <w:jc w:val="left"/>
              <w:rPr>
                <w:caps/>
                <w:szCs w:val="24"/>
              </w:rPr>
            </w:pPr>
            <w:bookmarkStart w:id="19" w:name="Place"/>
            <w:r>
              <w:rPr>
                <w:caps/>
                <w:szCs w:val="24"/>
              </w:rPr>
              <w:t>MELBOURNE</w:t>
            </w:r>
            <w:bookmarkEnd w:id="19"/>
          </w:p>
        </w:tc>
      </w:tr>
    </w:tbl>
    <w:p w14:paraId="55AD91E5" w14:textId="77777777" w:rsidR="00395B24" w:rsidRPr="00BF7C63" w:rsidRDefault="00395B24">
      <w:pPr>
        <w:pStyle w:val="NormalHeadings"/>
        <w:rPr>
          <w:b w:val="0"/>
        </w:rPr>
      </w:pPr>
    </w:p>
    <w:p w14:paraId="7EC2F34D" w14:textId="77777777" w:rsidR="00395B24" w:rsidRPr="00BF7C63" w:rsidRDefault="002C7385">
      <w:pPr>
        <w:pStyle w:val="NormalHeadings"/>
      </w:pPr>
      <w:r w:rsidRPr="00BF7C63">
        <w:t>THE COURT ORDERS THAT:</w:t>
      </w:r>
    </w:p>
    <w:p w14:paraId="17FCCD82" w14:textId="77777777" w:rsidR="00395B24" w:rsidRPr="00BF7C63" w:rsidRDefault="00395B24">
      <w:pPr>
        <w:pStyle w:val="NormalHeadings"/>
      </w:pPr>
    </w:p>
    <w:p w14:paraId="6B728822" w14:textId="77777777" w:rsidR="00C631BE" w:rsidRPr="00C631BE" w:rsidRDefault="00C631BE" w:rsidP="00274F5B">
      <w:pPr>
        <w:pStyle w:val="Order1"/>
      </w:pPr>
      <w:bookmarkStart w:id="20" w:name="Order_Start_Text"/>
      <w:bookmarkEnd w:id="20"/>
      <w:r w:rsidRPr="00E8469D">
        <w:rPr>
          <w:szCs w:val="24"/>
        </w:rPr>
        <w:t>The appellant’s interlocutory application</w:t>
      </w:r>
      <w:r>
        <w:rPr>
          <w:szCs w:val="24"/>
        </w:rPr>
        <w:t>s</w:t>
      </w:r>
      <w:r w:rsidRPr="00E8469D">
        <w:rPr>
          <w:szCs w:val="24"/>
        </w:rPr>
        <w:t xml:space="preserve"> for stays </w:t>
      </w:r>
      <w:r>
        <w:rPr>
          <w:szCs w:val="24"/>
        </w:rPr>
        <w:t xml:space="preserve">or adjournments </w:t>
      </w:r>
      <w:r w:rsidRPr="00E8469D">
        <w:rPr>
          <w:szCs w:val="24"/>
        </w:rPr>
        <w:t>of the appeal proceedings VID</w:t>
      </w:r>
      <w:r>
        <w:rPr>
          <w:szCs w:val="24"/>
        </w:rPr>
        <w:t xml:space="preserve"> </w:t>
      </w:r>
      <w:r w:rsidRPr="00E8469D">
        <w:rPr>
          <w:szCs w:val="24"/>
        </w:rPr>
        <w:t>898/2008 and VID</w:t>
      </w:r>
      <w:r>
        <w:rPr>
          <w:szCs w:val="24"/>
        </w:rPr>
        <w:t xml:space="preserve"> </w:t>
      </w:r>
      <w:r w:rsidRPr="00E8469D">
        <w:rPr>
          <w:szCs w:val="24"/>
        </w:rPr>
        <w:t xml:space="preserve">512/2014 each filed with the Court </w:t>
      </w:r>
      <w:r>
        <w:rPr>
          <w:szCs w:val="24"/>
        </w:rPr>
        <w:t>on 22 April 2015, be dismissed.</w:t>
      </w:r>
    </w:p>
    <w:p w14:paraId="772B7633" w14:textId="561303D1" w:rsidR="00C631BE" w:rsidRPr="00C631BE" w:rsidRDefault="00C631BE" w:rsidP="00274F5B">
      <w:pPr>
        <w:pStyle w:val="Order1"/>
      </w:pPr>
      <w:r w:rsidRPr="00E8469D">
        <w:rPr>
          <w:szCs w:val="24"/>
        </w:rPr>
        <w:t>The appellant’s interlocutory application</w:t>
      </w:r>
      <w:r w:rsidR="00FA67A4">
        <w:rPr>
          <w:szCs w:val="24"/>
        </w:rPr>
        <w:t>s</w:t>
      </w:r>
      <w:r w:rsidRPr="00E8469D">
        <w:rPr>
          <w:szCs w:val="24"/>
        </w:rPr>
        <w:t xml:space="preserve"> for adjournments of the appeal proceedings VID 898/2008 and VID</w:t>
      </w:r>
      <w:r>
        <w:rPr>
          <w:szCs w:val="24"/>
        </w:rPr>
        <w:t xml:space="preserve"> </w:t>
      </w:r>
      <w:r w:rsidRPr="00E8469D">
        <w:rPr>
          <w:szCs w:val="24"/>
        </w:rPr>
        <w:t>512/2014 ma</w:t>
      </w:r>
      <w:r>
        <w:rPr>
          <w:szCs w:val="24"/>
        </w:rPr>
        <w:t>de on 1 May 2015, be dismissed.</w:t>
      </w:r>
    </w:p>
    <w:p w14:paraId="7645E4D8" w14:textId="77777777" w:rsidR="00C631BE" w:rsidRPr="00E8469D" w:rsidRDefault="00C631BE" w:rsidP="00C631BE">
      <w:pPr>
        <w:pStyle w:val="Order1"/>
      </w:pPr>
      <w:r w:rsidRPr="00E8469D">
        <w:t>The appellant pay the costs of the respondent in VID 898/2008 and the first respondent in VID</w:t>
      </w:r>
      <w:r>
        <w:t xml:space="preserve"> </w:t>
      </w:r>
      <w:r w:rsidRPr="00E8469D">
        <w:t>512/2014 of the interlocutory applications date</w:t>
      </w:r>
      <w:r>
        <w:t>d 22 April 2015 and 1 May 2015.</w:t>
      </w:r>
    </w:p>
    <w:p w14:paraId="72692D20" w14:textId="77777777" w:rsidR="00C631BE" w:rsidRPr="00E8469D" w:rsidRDefault="00C631BE" w:rsidP="00C631BE">
      <w:pPr>
        <w:pStyle w:val="Order1"/>
      </w:pPr>
      <w:r w:rsidRPr="00E8469D">
        <w:t>The appellant has leave to file and serve any written submissions she wishes to make on the appeal in VID 898/2008 on or before 4</w:t>
      </w:r>
      <w:r>
        <w:t xml:space="preserve"> </w:t>
      </w:r>
      <w:r w:rsidRPr="00E8469D">
        <w:t>pm on 18 June 2015</w:t>
      </w:r>
      <w:r>
        <w:t>.</w:t>
      </w:r>
    </w:p>
    <w:p w14:paraId="314FA7ED" w14:textId="47F50BCD" w:rsidR="00C631BE" w:rsidRPr="00C631BE" w:rsidRDefault="00C631BE" w:rsidP="00C631BE">
      <w:pPr>
        <w:pStyle w:val="Order1"/>
      </w:pPr>
      <w:r w:rsidRPr="00E8469D">
        <w:t xml:space="preserve">The respondent </w:t>
      </w:r>
      <w:r>
        <w:t xml:space="preserve">in VID 898/2008 </w:t>
      </w:r>
      <w:r w:rsidRPr="00E8469D">
        <w:t xml:space="preserve">has leave to file and serve any submissions in reply </w:t>
      </w:r>
      <w:r>
        <w:t xml:space="preserve">to any submissions filed </w:t>
      </w:r>
      <w:r w:rsidRPr="00E8469D">
        <w:t>by the appellant o</w:t>
      </w:r>
      <w:r>
        <w:t>n or before 4 pm on 2 July 2015.</w:t>
      </w:r>
    </w:p>
    <w:p w14:paraId="074B87FE" w14:textId="77777777" w:rsidR="00636871" w:rsidRPr="00BF7C63" w:rsidRDefault="00636871" w:rsidP="002B0E91">
      <w:pPr>
        <w:pStyle w:val="BodyText"/>
      </w:pPr>
    </w:p>
    <w:p w14:paraId="77ACC3E2" w14:textId="77777777" w:rsidR="00395B24" w:rsidRPr="00BF7C63" w:rsidRDefault="00395B24" w:rsidP="002B0E91">
      <w:pPr>
        <w:pStyle w:val="BodyText"/>
      </w:pPr>
    </w:p>
    <w:p w14:paraId="39E3A02D" w14:textId="343F9EF0" w:rsidR="00395B24" w:rsidRPr="00BF7C63" w:rsidRDefault="002C7385" w:rsidP="004D53E5">
      <w:pPr>
        <w:pStyle w:val="SingleSpace"/>
      </w:pPr>
      <w:r w:rsidRPr="00BF7C63">
        <w:t>Note:</w:t>
      </w:r>
      <w:r w:rsidRPr="00BF7C63">
        <w:tab/>
        <w:t xml:space="preserve">Entry of orders is dealt with in Rule 39.32 of the </w:t>
      </w:r>
      <w:r w:rsidRPr="00BF7C63">
        <w:rPr>
          <w:i/>
        </w:rPr>
        <w:t>Federal Court Rules 2011</w:t>
      </w:r>
      <w:r w:rsidR="00DE11E6">
        <w:rPr>
          <w:i/>
        </w:rPr>
        <w:t xml:space="preserve"> </w:t>
      </w:r>
      <w:r w:rsidR="00DE11E6">
        <w:t>(</w:t>
      </w:r>
      <w:proofErr w:type="spellStart"/>
      <w:r w:rsidR="00DE11E6">
        <w:t>Cth</w:t>
      </w:r>
      <w:proofErr w:type="spellEnd"/>
      <w:r w:rsidR="00DE11E6">
        <w:t>)</w:t>
      </w:r>
      <w:r w:rsidRPr="00BF7C63">
        <w:t>.</w:t>
      </w:r>
    </w:p>
    <w:p w14:paraId="6C84A78D" w14:textId="77777777" w:rsidR="00395B24" w:rsidRPr="00BF7C63" w:rsidRDefault="00395B24" w:rsidP="002B0E91">
      <w:pPr>
        <w:pStyle w:val="BodyText"/>
      </w:pPr>
    </w:p>
    <w:p w14:paraId="381CB7D2" w14:textId="77777777" w:rsidR="00395B24" w:rsidRPr="00BF7C63" w:rsidRDefault="00395B24" w:rsidP="002B0E91">
      <w:pPr>
        <w:pStyle w:val="BodyText"/>
      </w:pPr>
    </w:p>
    <w:p w14:paraId="3D6F5CAF" w14:textId="77777777" w:rsidR="001B0C2A" w:rsidRDefault="001B0C2A">
      <w:pPr>
        <w:pStyle w:val="NormalHeadings"/>
        <w:spacing w:before="240" w:after="120"/>
        <w:rPr>
          <w:b w:val="0"/>
        </w:rPr>
        <w:sectPr w:rsidR="001B0C2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B0C2A" w:rsidRPr="00BF7C63" w14:paraId="5F448A07" w14:textId="77777777" w:rsidTr="0060132F">
        <w:tc>
          <w:tcPr>
            <w:tcW w:w="6771" w:type="dxa"/>
          </w:tcPr>
          <w:p w14:paraId="74436E54" w14:textId="77777777" w:rsidR="001B0C2A" w:rsidRPr="00BF7C63" w:rsidRDefault="001B0C2A" w:rsidP="0060132F">
            <w:pPr>
              <w:pStyle w:val="NormalHeadings"/>
              <w:spacing w:after="120"/>
              <w:jc w:val="left"/>
              <w:rPr>
                <w:caps/>
                <w:szCs w:val="24"/>
              </w:rPr>
            </w:pPr>
            <w:r w:rsidRPr="00BF7C63">
              <w:rPr>
                <w:caps/>
                <w:szCs w:val="24"/>
              </w:rPr>
              <w:lastRenderedPageBreak/>
              <w:t>IN THE FEDERAL COURT OF AUSTRALIA</w:t>
            </w:r>
          </w:p>
        </w:tc>
        <w:tc>
          <w:tcPr>
            <w:tcW w:w="2471" w:type="dxa"/>
          </w:tcPr>
          <w:p w14:paraId="59EC74AA" w14:textId="77777777" w:rsidR="001B0C2A" w:rsidRPr="00BF7C63" w:rsidRDefault="001B0C2A" w:rsidP="0060132F">
            <w:pPr>
              <w:pStyle w:val="NormalHeadings"/>
              <w:jc w:val="left"/>
              <w:rPr>
                <w:caps/>
                <w:szCs w:val="24"/>
              </w:rPr>
            </w:pPr>
          </w:p>
        </w:tc>
      </w:tr>
      <w:tr w:rsidR="001B0C2A" w:rsidRPr="00BF7C63" w14:paraId="1A632B79" w14:textId="77777777" w:rsidTr="0060132F">
        <w:tc>
          <w:tcPr>
            <w:tcW w:w="6771" w:type="dxa"/>
          </w:tcPr>
          <w:p w14:paraId="63701A70" w14:textId="77777777" w:rsidR="001B0C2A" w:rsidRPr="00BF7C63" w:rsidRDefault="001B0C2A" w:rsidP="0060132F">
            <w:pPr>
              <w:pStyle w:val="NormalHeadings"/>
              <w:spacing w:after="120"/>
              <w:jc w:val="left"/>
              <w:rPr>
                <w:caps/>
                <w:szCs w:val="24"/>
              </w:rPr>
            </w:pPr>
            <w:r w:rsidRPr="00BF7C63">
              <w:rPr>
                <w:caps/>
                <w:szCs w:val="24"/>
              </w:rPr>
              <w:t>VICTORIA DISTRICT REGISTRY</w:t>
            </w:r>
          </w:p>
        </w:tc>
        <w:tc>
          <w:tcPr>
            <w:tcW w:w="2471" w:type="dxa"/>
          </w:tcPr>
          <w:p w14:paraId="5EB32A1B" w14:textId="77777777" w:rsidR="001B0C2A" w:rsidRPr="00BF7C63" w:rsidRDefault="001B0C2A" w:rsidP="0060132F">
            <w:pPr>
              <w:pStyle w:val="NormalHeadings"/>
              <w:tabs>
                <w:tab w:val="right" w:pos="3609"/>
              </w:tabs>
              <w:jc w:val="right"/>
              <w:rPr>
                <w:szCs w:val="24"/>
              </w:rPr>
            </w:pPr>
          </w:p>
        </w:tc>
      </w:tr>
      <w:tr w:rsidR="001B0C2A" w:rsidRPr="00BF7C63" w14:paraId="6F1CAC2E" w14:textId="77777777" w:rsidTr="0060132F">
        <w:tc>
          <w:tcPr>
            <w:tcW w:w="6771" w:type="dxa"/>
          </w:tcPr>
          <w:p w14:paraId="69877661" w14:textId="77777777" w:rsidR="001B0C2A" w:rsidRPr="00BF7C63" w:rsidRDefault="001B0C2A" w:rsidP="0060132F">
            <w:pPr>
              <w:pStyle w:val="NormalHeadings"/>
              <w:spacing w:after="120"/>
              <w:jc w:val="left"/>
              <w:rPr>
                <w:caps/>
                <w:szCs w:val="24"/>
              </w:rPr>
            </w:pPr>
            <w:r w:rsidRPr="00BF7C63">
              <w:rPr>
                <w:caps/>
                <w:szCs w:val="24"/>
              </w:rPr>
              <w:t>GENERAL DIVISION</w:t>
            </w:r>
          </w:p>
        </w:tc>
        <w:tc>
          <w:tcPr>
            <w:tcW w:w="2471" w:type="dxa"/>
          </w:tcPr>
          <w:p w14:paraId="0CD554A3" w14:textId="3EE57434" w:rsidR="001B0C2A" w:rsidRPr="00BF7C63" w:rsidRDefault="001B0C2A" w:rsidP="00340839">
            <w:pPr>
              <w:pStyle w:val="NormalHeadings"/>
              <w:tabs>
                <w:tab w:val="right" w:pos="3609"/>
              </w:tabs>
              <w:jc w:val="right"/>
              <w:rPr>
                <w:szCs w:val="24"/>
              </w:rPr>
            </w:pPr>
            <w:r w:rsidRPr="00BF7C63">
              <w:rPr>
                <w:szCs w:val="24"/>
              </w:rPr>
              <w:t xml:space="preserve">VID </w:t>
            </w:r>
            <w:r w:rsidR="00340839">
              <w:rPr>
                <w:szCs w:val="24"/>
              </w:rPr>
              <w:t>512 of 2014</w:t>
            </w:r>
          </w:p>
        </w:tc>
      </w:tr>
    </w:tbl>
    <w:p w14:paraId="3A065F0A" w14:textId="36C82C0C" w:rsidR="001B0C2A" w:rsidRDefault="001B0C2A" w:rsidP="001B0C2A">
      <w:pPr>
        <w:pStyle w:val="AppealTable"/>
        <w:rPr>
          <w:sz w:val="24"/>
        </w:rPr>
      </w:pPr>
    </w:p>
    <w:tbl>
      <w:tblPr>
        <w:tblW w:w="0" w:type="auto"/>
        <w:tblLook w:val="01E0" w:firstRow="1" w:lastRow="1" w:firstColumn="1" w:lastColumn="1" w:noHBand="0" w:noVBand="0"/>
      </w:tblPr>
      <w:tblGrid>
        <w:gridCol w:w="9243"/>
      </w:tblGrid>
      <w:tr w:rsidR="003D7E76" w:rsidRPr="003D7E76" w14:paraId="781DF6BD" w14:textId="77777777" w:rsidTr="0060132F">
        <w:tc>
          <w:tcPr>
            <w:tcW w:w="9243" w:type="dxa"/>
            <w:shd w:val="clear" w:color="auto" w:fill="auto"/>
          </w:tcPr>
          <w:p w14:paraId="5048136C" w14:textId="77777777" w:rsidR="003D7E76" w:rsidRPr="00BE6430" w:rsidRDefault="003D7E76" w:rsidP="003D7E76">
            <w:pPr>
              <w:pStyle w:val="AppealTable"/>
              <w:rPr>
                <w:sz w:val="24"/>
                <w:szCs w:val="24"/>
              </w:rPr>
            </w:pPr>
            <w:r w:rsidRPr="00BE6430">
              <w:rPr>
                <w:sz w:val="24"/>
                <w:szCs w:val="24"/>
              </w:rPr>
              <w:t>ON APPEAL FROM THE FEDERAL COURT OF AUSTRALIA</w:t>
            </w:r>
          </w:p>
        </w:tc>
      </w:tr>
    </w:tbl>
    <w:p w14:paraId="3BE50DDF" w14:textId="77777777" w:rsidR="003D7E76" w:rsidRPr="00BF7C63" w:rsidRDefault="003D7E76" w:rsidP="001B0C2A">
      <w:pPr>
        <w:pStyle w:val="AppealTable"/>
        <w:rPr>
          <w:sz w:val="24"/>
        </w:rPr>
      </w:pPr>
    </w:p>
    <w:tbl>
      <w:tblPr>
        <w:tblW w:w="0" w:type="auto"/>
        <w:tblLayout w:type="fixed"/>
        <w:tblLook w:val="0000" w:firstRow="0" w:lastRow="0" w:firstColumn="0" w:lastColumn="0" w:noHBand="0" w:noVBand="0"/>
      </w:tblPr>
      <w:tblGrid>
        <w:gridCol w:w="2376"/>
        <w:gridCol w:w="6866"/>
      </w:tblGrid>
      <w:tr w:rsidR="001B0C2A" w:rsidRPr="00BF7C63" w14:paraId="78CC9EB0" w14:textId="77777777" w:rsidTr="0060132F">
        <w:trPr>
          <w:trHeight w:val="386"/>
        </w:trPr>
        <w:tc>
          <w:tcPr>
            <w:tcW w:w="2376" w:type="dxa"/>
          </w:tcPr>
          <w:p w14:paraId="19A7A746" w14:textId="77777777" w:rsidR="001B0C2A" w:rsidRPr="00BF7C63" w:rsidRDefault="001B0C2A" w:rsidP="0060132F">
            <w:pPr>
              <w:pStyle w:val="NormalHeadings"/>
              <w:jc w:val="left"/>
              <w:rPr>
                <w:caps/>
                <w:szCs w:val="24"/>
              </w:rPr>
            </w:pPr>
            <w:r w:rsidRPr="00BF7C63">
              <w:rPr>
                <w:caps/>
                <w:szCs w:val="24"/>
              </w:rPr>
              <w:t>BETWEEN:</w:t>
            </w:r>
          </w:p>
        </w:tc>
        <w:tc>
          <w:tcPr>
            <w:tcW w:w="6866" w:type="dxa"/>
          </w:tcPr>
          <w:p w14:paraId="4FC8F06F" w14:textId="7AD3A673" w:rsidR="001B0C2A" w:rsidRPr="00BF7C63" w:rsidRDefault="001B0C2A" w:rsidP="0060132F">
            <w:pPr>
              <w:pStyle w:val="NormalHeadings"/>
              <w:jc w:val="left"/>
              <w:rPr>
                <w:szCs w:val="24"/>
              </w:rPr>
            </w:pPr>
            <w:r>
              <w:rPr>
                <w:szCs w:val="24"/>
              </w:rPr>
              <w:t>GAYE LUCK</w:t>
            </w:r>
          </w:p>
          <w:p w14:paraId="6ABCC184" w14:textId="77777777" w:rsidR="001B0C2A" w:rsidRPr="00BF7C63" w:rsidRDefault="001B0C2A" w:rsidP="0060132F">
            <w:pPr>
              <w:pStyle w:val="NormalHeadings"/>
              <w:jc w:val="left"/>
              <w:rPr>
                <w:szCs w:val="24"/>
              </w:rPr>
            </w:pPr>
            <w:r>
              <w:rPr>
                <w:szCs w:val="24"/>
              </w:rPr>
              <w:t>Appellant</w:t>
            </w:r>
          </w:p>
          <w:p w14:paraId="6658D412" w14:textId="77777777" w:rsidR="001B0C2A" w:rsidRPr="00BF7C63" w:rsidRDefault="001B0C2A" w:rsidP="0060132F">
            <w:pPr>
              <w:pStyle w:val="NormalHeadings"/>
              <w:jc w:val="left"/>
              <w:rPr>
                <w:szCs w:val="24"/>
              </w:rPr>
            </w:pPr>
          </w:p>
        </w:tc>
      </w:tr>
      <w:tr w:rsidR="001B0C2A" w:rsidRPr="00BF7C63" w14:paraId="515A0C71" w14:textId="77777777" w:rsidTr="0060132F">
        <w:trPr>
          <w:trHeight w:val="386"/>
        </w:trPr>
        <w:tc>
          <w:tcPr>
            <w:tcW w:w="2376" w:type="dxa"/>
          </w:tcPr>
          <w:p w14:paraId="5CF0B235" w14:textId="77777777" w:rsidR="001B0C2A" w:rsidRPr="00BF7C63" w:rsidRDefault="001B0C2A" w:rsidP="0060132F">
            <w:pPr>
              <w:pStyle w:val="NormalHeadings"/>
              <w:jc w:val="left"/>
              <w:rPr>
                <w:caps/>
                <w:szCs w:val="24"/>
              </w:rPr>
            </w:pPr>
            <w:r w:rsidRPr="00BF7C63">
              <w:rPr>
                <w:caps/>
                <w:szCs w:val="24"/>
              </w:rPr>
              <w:t>AND:</w:t>
            </w:r>
          </w:p>
        </w:tc>
        <w:tc>
          <w:tcPr>
            <w:tcW w:w="6866" w:type="dxa"/>
          </w:tcPr>
          <w:p w14:paraId="18F1873A" w14:textId="77777777" w:rsidR="001B0C2A" w:rsidRPr="00BF7C63" w:rsidRDefault="001B0C2A" w:rsidP="0060132F">
            <w:pPr>
              <w:pStyle w:val="NormalHeadings"/>
              <w:jc w:val="left"/>
              <w:rPr>
                <w:szCs w:val="24"/>
              </w:rPr>
            </w:pPr>
            <w:r>
              <w:rPr>
                <w:szCs w:val="24"/>
              </w:rPr>
              <w:t>SECRETARY, DEPARTMENT OF HUMAN SERVICES</w:t>
            </w:r>
          </w:p>
          <w:p w14:paraId="04DD8C19" w14:textId="77777777" w:rsidR="001B0C2A" w:rsidRDefault="001B0C2A" w:rsidP="0060132F">
            <w:pPr>
              <w:pStyle w:val="NormalHeadings"/>
              <w:jc w:val="left"/>
              <w:rPr>
                <w:szCs w:val="24"/>
              </w:rPr>
            </w:pPr>
            <w:r>
              <w:rPr>
                <w:szCs w:val="24"/>
              </w:rPr>
              <w:t>First Respondent</w:t>
            </w:r>
          </w:p>
          <w:p w14:paraId="42544E42" w14:textId="77777777" w:rsidR="001B0C2A" w:rsidRDefault="001B0C2A" w:rsidP="0060132F">
            <w:pPr>
              <w:pStyle w:val="NormalHeadings"/>
              <w:jc w:val="left"/>
              <w:rPr>
                <w:szCs w:val="24"/>
              </w:rPr>
            </w:pPr>
          </w:p>
          <w:p w14:paraId="374B1624" w14:textId="77777777" w:rsidR="001B0C2A" w:rsidRPr="00BF7C63" w:rsidRDefault="001B0C2A" w:rsidP="0060132F">
            <w:pPr>
              <w:pStyle w:val="NormalHeadings"/>
              <w:jc w:val="left"/>
              <w:rPr>
                <w:szCs w:val="24"/>
              </w:rPr>
            </w:pPr>
            <w:r>
              <w:rPr>
                <w:szCs w:val="24"/>
              </w:rPr>
              <w:t>ADMINISTRATIVE APPEALS TRIBUNAL</w:t>
            </w:r>
          </w:p>
          <w:p w14:paraId="569D2696" w14:textId="77777777" w:rsidR="001B0C2A" w:rsidRDefault="001B0C2A" w:rsidP="0060132F">
            <w:pPr>
              <w:pStyle w:val="NormalHeadings"/>
              <w:jc w:val="left"/>
              <w:rPr>
                <w:szCs w:val="24"/>
              </w:rPr>
            </w:pPr>
            <w:r>
              <w:rPr>
                <w:szCs w:val="24"/>
              </w:rPr>
              <w:t>Second Respondent</w:t>
            </w:r>
          </w:p>
          <w:p w14:paraId="65DE3B94" w14:textId="77777777" w:rsidR="001B0C2A" w:rsidRPr="00BF7C63" w:rsidRDefault="001B0C2A" w:rsidP="0060132F">
            <w:pPr>
              <w:pStyle w:val="NormalHeadings"/>
              <w:jc w:val="left"/>
              <w:rPr>
                <w:szCs w:val="24"/>
              </w:rPr>
            </w:pPr>
          </w:p>
          <w:p w14:paraId="19A09CF8" w14:textId="77777777" w:rsidR="001B0C2A" w:rsidRPr="00BF7C63" w:rsidRDefault="001B0C2A" w:rsidP="0060132F">
            <w:pPr>
              <w:pStyle w:val="NormalHeadings"/>
              <w:jc w:val="left"/>
              <w:rPr>
                <w:szCs w:val="24"/>
              </w:rPr>
            </w:pPr>
            <w:r>
              <w:rPr>
                <w:szCs w:val="24"/>
              </w:rPr>
              <w:t xml:space="preserve">STEPHANIE ANN </w:t>
            </w:r>
            <w:proofErr w:type="spellStart"/>
            <w:r>
              <w:rPr>
                <w:szCs w:val="24"/>
              </w:rPr>
              <w:t>FORGIE</w:t>
            </w:r>
            <w:proofErr w:type="spellEnd"/>
            <w:r>
              <w:rPr>
                <w:szCs w:val="24"/>
              </w:rPr>
              <w:t xml:space="preserve"> (AS DEPUTY PRESIDENT OF THE AAT)</w:t>
            </w:r>
          </w:p>
          <w:p w14:paraId="41B2A7C4" w14:textId="77777777" w:rsidR="001B0C2A" w:rsidRPr="00BF7C63" w:rsidRDefault="001B0C2A" w:rsidP="0060132F">
            <w:pPr>
              <w:pStyle w:val="NormalHeadings"/>
              <w:jc w:val="left"/>
              <w:rPr>
                <w:szCs w:val="24"/>
              </w:rPr>
            </w:pPr>
            <w:r>
              <w:rPr>
                <w:szCs w:val="24"/>
              </w:rPr>
              <w:t>Third Respondent</w:t>
            </w:r>
          </w:p>
          <w:p w14:paraId="7DDAE397" w14:textId="77777777" w:rsidR="001B0C2A" w:rsidRPr="00BF7C63" w:rsidRDefault="001B0C2A" w:rsidP="0060132F">
            <w:pPr>
              <w:pStyle w:val="NormalHeadings"/>
              <w:jc w:val="left"/>
              <w:rPr>
                <w:szCs w:val="24"/>
              </w:rPr>
            </w:pPr>
          </w:p>
        </w:tc>
      </w:tr>
    </w:tbl>
    <w:p w14:paraId="069C3D2C" w14:textId="77777777" w:rsidR="001B0C2A" w:rsidRPr="00BF7C63" w:rsidRDefault="001B0C2A" w:rsidP="001B0C2A">
      <w:pPr>
        <w:pStyle w:val="NormalHeadings"/>
      </w:pPr>
    </w:p>
    <w:tbl>
      <w:tblPr>
        <w:tblW w:w="0" w:type="auto"/>
        <w:tblLayout w:type="fixed"/>
        <w:tblLook w:val="0000" w:firstRow="0" w:lastRow="0" w:firstColumn="0" w:lastColumn="0" w:noHBand="0" w:noVBand="0"/>
      </w:tblPr>
      <w:tblGrid>
        <w:gridCol w:w="2376"/>
        <w:gridCol w:w="6866"/>
      </w:tblGrid>
      <w:tr w:rsidR="001B0C2A" w:rsidRPr="00BF7C63" w14:paraId="388D95C0" w14:textId="77777777" w:rsidTr="0060132F">
        <w:tc>
          <w:tcPr>
            <w:tcW w:w="2376" w:type="dxa"/>
          </w:tcPr>
          <w:p w14:paraId="32E36699" w14:textId="77777777" w:rsidR="001B0C2A" w:rsidRPr="00BF7C63" w:rsidRDefault="001B0C2A" w:rsidP="0060132F">
            <w:pPr>
              <w:pStyle w:val="NormalHeadings"/>
              <w:spacing w:after="120"/>
              <w:jc w:val="left"/>
              <w:rPr>
                <w:caps/>
                <w:szCs w:val="24"/>
              </w:rPr>
            </w:pPr>
            <w:r w:rsidRPr="00BF7C63">
              <w:rPr>
                <w:caps/>
                <w:szCs w:val="24"/>
              </w:rPr>
              <w:t>JUDGE</w:t>
            </w:r>
            <w:r>
              <w:rPr>
                <w:caps/>
                <w:szCs w:val="24"/>
              </w:rPr>
              <w:t>s</w:t>
            </w:r>
            <w:r w:rsidRPr="00BF7C63">
              <w:rPr>
                <w:caps/>
                <w:szCs w:val="24"/>
              </w:rPr>
              <w:t>:</w:t>
            </w:r>
          </w:p>
        </w:tc>
        <w:tc>
          <w:tcPr>
            <w:tcW w:w="6866" w:type="dxa"/>
          </w:tcPr>
          <w:p w14:paraId="58E3DC77" w14:textId="77777777" w:rsidR="001B0C2A" w:rsidRPr="00BF7C63" w:rsidRDefault="001B0C2A" w:rsidP="0060132F">
            <w:pPr>
              <w:pStyle w:val="NormalHeadings"/>
              <w:jc w:val="left"/>
              <w:rPr>
                <w:caps/>
                <w:szCs w:val="24"/>
              </w:rPr>
            </w:pPr>
            <w:r>
              <w:t xml:space="preserve">COLLIER, GRIFFITHS AND MORTIMER </w:t>
            </w:r>
            <w:proofErr w:type="spellStart"/>
            <w:r>
              <w:t>JJ</w:t>
            </w:r>
            <w:proofErr w:type="spellEnd"/>
          </w:p>
        </w:tc>
      </w:tr>
      <w:tr w:rsidR="001B0C2A" w:rsidRPr="00BF7C63" w14:paraId="4FC3148E" w14:textId="77777777" w:rsidTr="0060132F">
        <w:tc>
          <w:tcPr>
            <w:tcW w:w="2376" w:type="dxa"/>
          </w:tcPr>
          <w:p w14:paraId="2AB6BC65" w14:textId="77777777" w:rsidR="001B0C2A" w:rsidRPr="00BF7C63" w:rsidRDefault="001B0C2A" w:rsidP="0060132F">
            <w:pPr>
              <w:pStyle w:val="NormalHeadings"/>
              <w:spacing w:after="120"/>
              <w:jc w:val="left"/>
              <w:rPr>
                <w:caps/>
                <w:szCs w:val="24"/>
              </w:rPr>
            </w:pPr>
            <w:r w:rsidRPr="00BF7C63">
              <w:rPr>
                <w:caps/>
                <w:szCs w:val="24"/>
              </w:rPr>
              <w:t>DATE OF ORDER:</w:t>
            </w:r>
          </w:p>
        </w:tc>
        <w:tc>
          <w:tcPr>
            <w:tcW w:w="6866" w:type="dxa"/>
          </w:tcPr>
          <w:p w14:paraId="3F6639C5" w14:textId="77777777" w:rsidR="001B0C2A" w:rsidRPr="00BF7C63" w:rsidRDefault="001B0C2A" w:rsidP="0060132F">
            <w:pPr>
              <w:pStyle w:val="NormalHeadings"/>
              <w:jc w:val="left"/>
              <w:rPr>
                <w:caps/>
                <w:szCs w:val="24"/>
              </w:rPr>
            </w:pPr>
            <w:r>
              <w:rPr>
                <w:caps/>
                <w:szCs w:val="24"/>
              </w:rPr>
              <w:t>21 may</w:t>
            </w:r>
            <w:r w:rsidRPr="00BF7C63">
              <w:rPr>
                <w:caps/>
                <w:szCs w:val="24"/>
              </w:rPr>
              <w:t xml:space="preserve"> 2015</w:t>
            </w:r>
          </w:p>
        </w:tc>
      </w:tr>
      <w:tr w:rsidR="001B0C2A" w:rsidRPr="00BF7C63" w14:paraId="053E820A" w14:textId="77777777" w:rsidTr="0060132F">
        <w:tc>
          <w:tcPr>
            <w:tcW w:w="2376" w:type="dxa"/>
          </w:tcPr>
          <w:p w14:paraId="09F86B33" w14:textId="77777777" w:rsidR="001B0C2A" w:rsidRPr="00BF7C63" w:rsidRDefault="001B0C2A" w:rsidP="0060132F">
            <w:pPr>
              <w:pStyle w:val="NormalHeadings"/>
              <w:spacing w:after="120"/>
              <w:jc w:val="left"/>
              <w:rPr>
                <w:caps/>
                <w:szCs w:val="24"/>
              </w:rPr>
            </w:pPr>
            <w:r w:rsidRPr="00BF7C63">
              <w:rPr>
                <w:caps/>
                <w:szCs w:val="24"/>
              </w:rPr>
              <w:t>WHERE MADE:</w:t>
            </w:r>
          </w:p>
        </w:tc>
        <w:tc>
          <w:tcPr>
            <w:tcW w:w="6866" w:type="dxa"/>
          </w:tcPr>
          <w:p w14:paraId="1A352E50" w14:textId="77777777" w:rsidR="001B0C2A" w:rsidRPr="00BF7C63" w:rsidRDefault="001B0C2A" w:rsidP="0060132F">
            <w:pPr>
              <w:pStyle w:val="NormalHeadings"/>
              <w:jc w:val="left"/>
              <w:rPr>
                <w:caps/>
                <w:szCs w:val="24"/>
              </w:rPr>
            </w:pPr>
            <w:r w:rsidRPr="00BF7C63">
              <w:rPr>
                <w:caps/>
                <w:szCs w:val="24"/>
              </w:rPr>
              <w:t>MELBOURNE</w:t>
            </w:r>
          </w:p>
        </w:tc>
      </w:tr>
    </w:tbl>
    <w:p w14:paraId="4A0F7E57" w14:textId="77777777" w:rsidR="001B0C2A" w:rsidRPr="00BF7C63" w:rsidRDefault="001B0C2A" w:rsidP="001B0C2A">
      <w:pPr>
        <w:pStyle w:val="NormalHeadings"/>
        <w:rPr>
          <w:b w:val="0"/>
        </w:rPr>
      </w:pPr>
    </w:p>
    <w:p w14:paraId="4F6EBF19" w14:textId="77777777" w:rsidR="001B0C2A" w:rsidRPr="00BF7C63" w:rsidRDefault="001B0C2A" w:rsidP="001B0C2A">
      <w:pPr>
        <w:pStyle w:val="NormalHeadings"/>
      </w:pPr>
      <w:r w:rsidRPr="00BF7C63">
        <w:t>THE COURT ORDERS THAT:</w:t>
      </w:r>
    </w:p>
    <w:p w14:paraId="66A606B5" w14:textId="77777777" w:rsidR="001B0C2A" w:rsidRPr="00BF7C63" w:rsidRDefault="001B0C2A" w:rsidP="001B0C2A">
      <w:pPr>
        <w:pStyle w:val="NormalHeadings"/>
      </w:pPr>
    </w:p>
    <w:p w14:paraId="0A5C4BC9" w14:textId="77777777" w:rsidR="001B0C2A" w:rsidRPr="00C631BE" w:rsidRDefault="001B0C2A" w:rsidP="00246887">
      <w:pPr>
        <w:pStyle w:val="Order1"/>
        <w:numPr>
          <w:ilvl w:val="0"/>
          <w:numId w:val="34"/>
        </w:numPr>
      </w:pPr>
      <w:r w:rsidRPr="00E8469D">
        <w:t>The appellant’s interlocutory application</w:t>
      </w:r>
      <w:r>
        <w:t>s</w:t>
      </w:r>
      <w:r w:rsidRPr="00E8469D">
        <w:t xml:space="preserve"> for stays </w:t>
      </w:r>
      <w:r>
        <w:t xml:space="preserve">or adjournments </w:t>
      </w:r>
      <w:r w:rsidRPr="00E8469D">
        <w:t>of the appeal proceedings VID</w:t>
      </w:r>
      <w:r>
        <w:t xml:space="preserve"> </w:t>
      </w:r>
      <w:r w:rsidRPr="00E8469D">
        <w:t>898/2008 and VID</w:t>
      </w:r>
      <w:r>
        <w:t xml:space="preserve"> </w:t>
      </w:r>
      <w:r w:rsidRPr="00E8469D">
        <w:t xml:space="preserve">512/2014 each filed with the Court </w:t>
      </w:r>
      <w:r>
        <w:t>on 22 April 2015, be dismissed.</w:t>
      </w:r>
    </w:p>
    <w:p w14:paraId="11D4256E" w14:textId="77777777" w:rsidR="001B0C2A" w:rsidRPr="00C631BE" w:rsidRDefault="001B0C2A" w:rsidP="00246887">
      <w:pPr>
        <w:pStyle w:val="Order1"/>
        <w:numPr>
          <w:ilvl w:val="0"/>
          <w:numId w:val="34"/>
        </w:numPr>
      </w:pPr>
      <w:r w:rsidRPr="00E8469D">
        <w:t>The appellant’s interlocutory application</w:t>
      </w:r>
      <w:r>
        <w:t>s</w:t>
      </w:r>
      <w:r w:rsidRPr="00E8469D">
        <w:t xml:space="preserve"> for adjournments of the appeal proceedings VID 898/2008 and VID</w:t>
      </w:r>
      <w:r>
        <w:t xml:space="preserve"> </w:t>
      </w:r>
      <w:r w:rsidRPr="00E8469D">
        <w:t>512/2014 ma</w:t>
      </w:r>
      <w:r>
        <w:t>de on 1 May 2015, be dismissed.</w:t>
      </w:r>
    </w:p>
    <w:p w14:paraId="12ACA469" w14:textId="77777777" w:rsidR="001B0C2A" w:rsidRPr="00E8469D" w:rsidRDefault="001B0C2A" w:rsidP="00246887">
      <w:pPr>
        <w:pStyle w:val="Order1"/>
        <w:numPr>
          <w:ilvl w:val="0"/>
          <w:numId w:val="34"/>
        </w:numPr>
      </w:pPr>
      <w:r w:rsidRPr="00E8469D">
        <w:t>The appellant pay the costs of the respondent in VID 898/2008 and the first respondent in VID</w:t>
      </w:r>
      <w:r>
        <w:t xml:space="preserve"> </w:t>
      </w:r>
      <w:r w:rsidRPr="00E8469D">
        <w:t>512/2014 of the interlocutory applications date</w:t>
      </w:r>
      <w:r>
        <w:t>d 22 April 2015 and 1 May 2015.</w:t>
      </w:r>
    </w:p>
    <w:p w14:paraId="042C1382" w14:textId="77777777" w:rsidR="001B0C2A" w:rsidRPr="00E8469D" w:rsidRDefault="001B0C2A" w:rsidP="00246887">
      <w:pPr>
        <w:pStyle w:val="Order1"/>
        <w:numPr>
          <w:ilvl w:val="0"/>
          <w:numId w:val="34"/>
        </w:numPr>
      </w:pPr>
      <w:r w:rsidRPr="00E8469D">
        <w:t>The appellant has leave to file and serve any written submissions she wishes to make on the appeal in VID 898/2008 on or before 4</w:t>
      </w:r>
      <w:r>
        <w:t xml:space="preserve"> </w:t>
      </w:r>
      <w:r w:rsidRPr="00E8469D">
        <w:t>pm on 18 June 2015</w:t>
      </w:r>
      <w:r>
        <w:t>.</w:t>
      </w:r>
    </w:p>
    <w:p w14:paraId="29F52105" w14:textId="77777777" w:rsidR="001B0C2A" w:rsidRPr="00C631BE" w:rsidRDefault="001B0C2A" w:rsidP="00246887">
      <w:pPr>
        <w:pStyle w:val="Order1"/>
        <w:numPr>
          <w:ilvl w:val="0"/>
          <w:numId w:val="34"/>
        </w:numPr>
      </w:pPr>
      <w:r w:rsidRPr="00E8469D">
        <w:t xml:space="preserve">The respondent </w:t>
      </w:r>
      <w:r>
        <w:t xml:space="preserve">in VID 898/2008 </w:t>
      </w:r>
      <w:r w:rsidRPr="00E8469D">
        <w:t xml:space="preserve">has leave to file and serve any submissions in reply </w:t>
      </w:r>
      <w:r>
        <w:t xml:space="preserve">to any submissions filed </w:t>
      </w:r>
      <w:r w:rsidRPr="00E8469D">
        <w:t>by the appellant o</w:t>
      </w:r>
      <w:r>
        <w:t>n or before 4 pm on 2 July 2015.</w:t>
      </w:r>
    </w:p>
    <w:p w14:paraId="3C007889" w14:textId="77777777" w:rsidR="001B0C2A" w:rsidRPr="00BF7C63" w:rsidRDefault="001B0C2A" w:rsidP="001B0C2A">
      <w:pPr>
        <w:pStyle w:val="BodyText"/>
      </w:pPr>
    </w:p>
    <w:p w14:paraId="59DD9363" w14:textId="77DD6D92" w:rsidR="001B0C2A" w:rsidRPr="00BF7C63" w:rsidRDefault="001B0C2A" w:rsidP="002742BD">
      <w:pPr>
        <w:pStyle w:val="SingleSpace"/>
      </w:pPr>
      <w:r w:rsidRPr="00BF7C63">
        <w:t>Note:</w:t>
      </w:r>
      <w:r w:rsidRPr="00BF7C63">
        <w:tab/>
        <w:t xml:space="preserve">Entry of orders is dealt with in Rule 39.32 of the </w:t>
      </w:r>
      <w:r w:rsidRPr="00BF7C63">
        <w:rPr>
          <w:i/>
        </w:rPr>
        <w:t>Federal Court Rules 2011</w:t>
      </w:r>
      <w:r>
        <w:rPr>
          <w:i/>
        </w:rPr>
        <w:t xml:space="preserve"> </w:t>
      </w:r>
      <w:r>
        <w:t>(</w:t>
      </w:r>
      <w:proofErr w:type="spellStart"/>
      <w:r>
        <w:t>Cth</w:t>
      </w:r>
      <w:proofErr w:type="spellEnd"/>
      <w:r>
        <w:t>)</w:t>
      </w:r>
      <w:r w:rsidRPr="00BF7C63">
        <w:t>.</w:t>
      </w:r>
    </w:p>
    <w:p w14:paraId="40C4C6D6" w14:textId="7F6AC0B2" w:rsidR="00395B24" w:rsidRPr="00BF7C63" w:rsidRDefault="00395B24">
      <w:pPr>
        <w:pStyle w:val="NormalHeadings"/>
        <w:spacing w:before="240" w:after="120"/>
        <w:rPr>
          <w:b w:val="0"/>
        </w:rPr>
        <w:sectPr w:rsidR="00395B24" w:rsidRPr="00BF7C6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BF7C63" w14:paraId="636FB436" w14:textId="77777777">
        <w:tc>
          <w:tcPr>
            <w:tcW w:w="6771" w:type="dxa"/>
          </w:tcPr>
          <w:p w14:paraId="580CC786" w14:textId="77777777" w:rsidR="00395B24" w:rsidRPr="00BF7C63" w:rsidRDefault="002C7385">
            <w:pPr>
              <w:pStyle w:val="NormalHeadings"/>
              <w:spacing w:after="120"/>
              <w:jc w:val="left"/>
              <w:rPr>
                <w:caps/>
                <w:szCs w:val="24"/>
              </w:rPr>
            </w:pPr>
            <w:bookmarkStart w:id="21" w:name="ReasonsPage"/>
            <w:bookmarkEnd w:id="21"/>
            <w:r w:rsidRPr="00BF7C63">
              <w:rPr>
                <w:caps/>
                <w:szCs w:val="24"/>
              </w:rPr>
              <w:lastRenderedPageBreak/>
              <w:t>IN THE FEDERAL COURT OF AUSTRALIA</w:t>
            </w:r>
          </w:p>
        </w:tc>
        <w:tc>
          <w:tcPr>
            <w:tcW w:w="2471" w:type="dxa"/>
          </w:tcPr>
          <w:p w14:paraId="7D4F39F7" w14:textId="77777777" w:rsidR="00395B24" w:rsidRPr="00BF7C63" w:rsidRDefault="00395B24">
            <w:pPr>
              <w:pStyle w:val="NormalHeadings"/>
            </w:pPr>
          </w:p>
        </w:tc>
      </w:tr>
      <w:tr w:rsidR="00395B24" w:rsidRPr="00BF7C63" w14:paraId="610BD37E" w14:textId="77777777">
        <w:tc>
          <w:tcPr>
            <w:tcW w:w="6771" w:type="dxa"/>
          </w:tcPr>
          <w:p w14:paraId="4F6162A5" w14:textId="77777777" w:rsidR="00395B24" w:rsidRPr="00BF7C63" w:rsidRDefault="002C7385">
            <w:pPr>
              <w:pStyle w:val="NormalHeadings"/>
              <w:spacing w:after="120"/>
              <w:jc w:val="left"/>
              <w:rPr>
                <w:caps/>
                <w:szCs w:val="24"/>
              </w:rPr>
            </w:pPr>
            <w:r w:rsidRPr="00BF7C63">
              <w:rPr>
                <w:caps/>
                <w:szCs w:val="24"/>
              </w:rPr>
              <w:fldChar w:fldCharType="begin" w:fldLock="1"/>
            </w:r>
            <w:r w:rsidRPr="00BF7C63">
              <w:rPr>
                <w:caps/>
                <w:szCs w:val="24"/>
              </w:rPr>
              <w:instrText xml:space="preserve"> REF State \* MERGEFORMAT </w:instrText>
            </w:r>
            <w:r w:rsidRPr="00BF7C63">
              <w:rPr>
                <w:caps/>
                <w:szCs w:val="24"/>
              </w:rPr>
              <w:fldChar w:fldCharType="separate"/>
            </w:r>
            <w:r w:rsidR="001B0C2A">
              <w:rPr>
                <w:caps/>
                <w:szCs w:val="24"/>
              </w:rPr>
              <w:t>VICTORIA</w:t>
            </w:r>
            <w:r w:rsidRPr="00BF7C63">
              <w:rPr>
                <w:caps/>
                <w:szCs w:val="24"/>
              </w:rPr>
              <w:fldChar w:fldCharType="end"/>
            </w:r>
            <w:r w:rsidRPr="00BF7C63">
              <w:rPr>
                <w:caps/>
                <w:szCs w:val="24"/>
              </w:rPr>
              <w:t xml:space="preserve"> DISTRICT REGISTRY</w:t>
            </w:r>
          </w:p>
        </w:tc>
        <w:tc>
          <w:tcPr>
            <w:tcW w:w="2471" w:type="dxa"/>
          </w:tcPr>
          <w:p w14:paraId="6612246A" w14:textId="77777777" w:rsidR="00395B24" w:rsidRPr="00BF7C63" w:rsidRDefault="00395B24">
            <w:pPr>
              <w:pStyle w:val="NormalHeadings"/>
              <w:tabs>
                <w:tab w:val="right" w:pos="3609"/>
              </w:tabs>
              <w:jc w:val="right"/>
              <w:rPr>
                <w:caps/>
                <w:szCs w:val="24"/>
              </w:rPr>
            </w:pPr>
          </w:p>
        </w:tc>
      </w:tr>
      <w:tr w:rsidR="00BE0448" w:rsidRPr="00BF7C63" w14:paraId="453234FC" w14:textId="77777777" w:rsidTr="00BA74FF">
        <w:tc>
          <w:tcPr>
            <w:tcW w:w="6771" w:type="dxa"/>
          </w:tcPr>
          <w:p w14:paraId="005DEFDF" w14:textId="77777777" w:rsidR="00BE0448" w:rsidRPr="00BF7C63" w:rsidRDefault="00BE0448" w:rsidP="00BA74FF">
            <w:pPr>
              <w:pStyle w:val="NormalHeadings"/>
              <w:spacing w:after="120"/>
              <w:jc w:val="left"/>
              <w:rPr>
                <w:caps/>
                <w:szCs w:val="24"/>
              </w:rPr>
            </w:pPr>
            <w:r w:rsidRPr="00BF7C63">
              <w:rPr>
                <w:caps/>
                <w:szCs w:val="24"/>
              </w:rPr>
              <w:t>GENERAL DIVISION</w:t>
            </w:r>
          </w:p>
        </w:tc>
        <w:tc>
          <w:tcPr>
            <w:tcW w:w="2471" w:type="dxa"/>
          </w:tcPr>
          <w:p w14:paraId="2EC7E1E7" w14:textId="77777777" w:rsidR="00BE0448" w:rsidRPr="00BF7C63" w:rsidRDefault="00BE0448" w:rsidP="00BA74FF">
            <w:pPr>
              <w:pStyle w:val="NormalHeadings"/>
              <w:tabs>
                <w:tab w:val="right" w:pos="3609"/>
              </w:tabs>
              <w:jc w:val="right"/>
              <w:rPr>
                <w:szCs w:val="24"/>
              </w:rPr>
            </w:pPr>
            <w:r w:rsidRPr="00BF7C63">
              <w:rPr>
                <w:szCs w:val="24"/>
              </w:rPr>
              <w:t xml:space="preserve">VID </w:t>
            </w:r>
            <w:r>
              <w:rPr>
                <w:szCs w:val="24"/>
              </w:rPr>
              <w:t>898</w:t>
            </w:r>
            <w:r w:rsidRPr="00BF7C63">
              <w:rPr>
                <w:szCs w:val="24"/>
              </w:rPr>
              <w:t xml:space="preserve"> of</w:t>
            </w:r>
            <w:r>
              <w:rPr>
                <w:szCs w:val="24"/>
              </w:rPr>
              <w:t xml:space="preserve"> 2008</w:t>
            </w:r>
          </w:p>
        </w:tc>
      </w:tr>
    </w:tbl>
    <w:p w14:paraId="32277626" w14:textId="2F9B0C25" w:rsidR="00BE0448" w:rsidRDefault="00BE0448" w:rsidP="00BE0448">
      <w:pPr>
        <w:pStyle w:val="AppealTable"/>
        <w:rPr>
          <w:sz w:val="24"/>
        </w:rPr>
      </w:pPr>
    </w:p>
    <w:tbl>
      <w:tblPr>
        <w:tblW w:w="0" w:type="auto"/>
        <w:tblLook w:val="01E0" w:firstRow="1" w:lastRow="1" w:firstColumn="1" w:lastColumn="1" w:noHBand="0" w:noVBand="0"/>
      </w:tblPr>
      <w:tblGrid>
        <w:gridCol w:w="9243"/>
      </w:tblGrid>
      <w:tr w:rsidR="0002741E" w:rsidRPr="0002741E" w14:paraId="60A0A72B" w14:textId="77777777" w:rsidTr="0060132F">
        <w:tc>
          <w:tcPr>
            <w:tcW w:w="9243" w:type="dxa"/>
            <w:shd w:val="clear" w:color="auto" w:fill="auto"/>
          </w:tcPr>
          <w:p w14:paraId="5FB93E87" w14:textId="77777777" w:rsidR="0002741E" w:rsidRPr="00535A1A" w:rsidRDefault="0002741E" w:rsidP="0002741E">
            <w:pPr>
              <w:pStyle w:val="AppealTable"/>
              <w:rPr>
                <w:sz w:val="24"/>
                <w:szCs w:val="24"/>
              </w:rPr>
            </w:pPr>
            <w:r w:rsidRPr="00535A1A">
              <w:rPr>
                <w:sz w:val="24"/>
                <w:szCs w:val="24"/>
              </w:rPr>
              <w:t>ON APPEAL FROM THE FEDERAL COURT OF AUSTRALIA</w:t>
            </w:r>
          </w:p>
        </w:tc>
      </w:tr>
    </w:tbl>
    <w:p w14:paraId="5A454CAA" w14:textId="77777777" w:rsidR="0002741E" w:rsidRPr="00BF7C63" w:rsidRDefault="0002741E" w:rsidP="00BE0448">
      <w:pPr>
        <w:pStyle w:val="AppealTable"/>
        <w:rPr>
          <w:sz w:val="24"/>
        </w:rPr>
      </w:pPr>
    </w:p>
    <w:tbl>
      <w:tblPr>
        <w:tblW w:w="0" w:type="auto"/>
        <w:tblLayout w:type="fixed"/>
        <w:tblLook w:val="0000" w:firstRow="0" w:lastRow="0" w:firstColumn="0" w:lastColumn="0" w:noHBand="0" w:noVBand="0"/>
      </w:tblPr>
      <w:tblGrid>
        <w:gridCol w:w="2376"/>
        <w:gridCol w:w="6866"/>
      </w:tblGrid>
      <w:tr w:rsidR="00BE0448" w:rsidRPr="00BF7C63" w14:paraId="77523DB0" w14:textId="77777777" w:rsidTr="00BA74FF">
        <w:trPr>
          <w:trHeight w:val="386"/>
        </w:trPr>
        <w:tc>
          <w:tcPr>
            <w:tcW w:w="2376" w:type="dxa"/>
          </w:tcPr>
          <w:p w14:paraId="2EEC5809" w14:textId="77777777" w:rsidR="00BE0448" w:rsidRPr="00BF7C63" w:rsidRDefault="00BE0448" w:rsidP="00BA74FF">
            <w:pPr>
              <w:pStyle w:val="NormalHeadings"/>
              <w:jc w:val="left"/>
              <w:rPr>
                <w:caps/>
                <w:szCs w:val="24"/>
              </w:rPr>
            </w:pPr>
            <w:r w:rsidRPr="00BF7C63">
              <w:rPr>
                <w:caps/>
                <w:szCs w:val="24"/>
              </w:rPr>
              <w:t>BETWEEN:</w:t>
            </w:r>
          </w:p>
        </w:tc>
        <w:tc>
          <w:tcPr>
            <w:tcW w:w="6866" w:type="dxa"/>
          </w:tcPr>
          <w:p w14:paraId="3BFA2F01" w14:textId="77777777" w:rsidR="00BE0448" w:rsidRPr="00BF7C63" w:rsidRDefault="00BE0448" w:rsidP="00BA74FF">
            <w:pPr>
              <w:pStyle w:val="NormalHeadings"/>
              <w:jc w:val="left"/>
              <w:rPr>
                <w:szCs w:val="24"/>
              </w:rPr>
            </w:pPr>
            <w:r>
              <w:rPr>
                <w:szCs w:val="24"/>
              </w:rPr>
              <w:t>GAYE LUCK</w:t>
            </w:r>
          </w:p>
          <w:p w14:paraId="07EA1C1F" w14:textId="3633368E" w:rsidR="00BE0448" w:rsidRPr="00BF7C63" w:rsidRDefault="001D1AC1" w:rsidP="00BA74FF">
            <w:pPr>
              <w:pStyle w:val="NormalHeadings"/>
              <w:jc w:val="left"/>
              <w:rPr>
                <w:szCs w:val="24"/>
              </w:rPr>
            </w:pPr>
            <w:r>
              <w:rPr>
                <w:szCs w:val="24"/>
              </w:rPr>
              <w:t>App</w:t>
            </w:r>
            <w:r w:rsidR="009A4BC7">
              <w:rPr>
                <w:szCs w:val="24"/>
              </w:rPr>
              <w:t>ell</w:t>
            </w:r>
            <w:r>
              <w:rPr>
                <w:szCs w:val="24"/>
              </w:rPr>
              <w:t>ant</w:t>
            </w:r>
          </w:p>
          <w:p w14:paraId="3B45942C" w14:textId="77777777" w:rsidR="00BE0448" w:rsidRPr="00BF7C63" w:rsidRDefault="00BE0448" w:rsidP="00BA74FF">
            <w:pPr>
              <w:pStyle w:val="NormalHeadings"/>
              <w:jc w:val="left"/>
              <w:rPr>
                <w:szCs w:val="24"/>
              </w:rPr>
            </w:pPr>
          </w:p>
        </w:tc>
      </w:tr>
      <w:tr w:rsidR="00BE0448" w:rsidRPr="00BF7C63" w14:paraId="11A67EBA" w14:textId="77777777" w:rsidTr="00BA74FF">
        <w:trPr>
          <w:trHeight w:val="386"/>
        </w:trPr>
        <w:tc>
          <w:tcPr>
            <w:tcW w:w="2376" w:type="dxa"/>
          </w:tcPr>
          <w:p w14:paraId="291583BF" w14:textId="77777777" w:rsidR="00BE0448" w:rsidRPr="00BF7C63" w:rsidRDefault="00BE0448" w:rsidP="00BA74FF">
            <w:pPr>
              <w:pStyle w:val="NormalHeadings"/>
              <w:jc w:val="left"/>
              <w:rPr>
                <w:caps/>
                <w:szCs w:val="24"/>
              </w:rPr>
            </w:pPr>
            <w:r w:rsidRPr="00BF7C63">
              <w:rPr>
                <w:caps/>
                <w:szCs w:val="24"/>
              </w:rPr>
              <w:t>AND:</w:t>
            </w:r>
          </w:p>
        </w:tc>
        <w:tc>
          <w:tcPr>
            <w:tcW w:w="6866" w:type="dxa"/>
          </w:tcPr>
          <w:p w14:paraId="396C0523" w14:textId="7E682B3C" w:rsidR="00BE0448" w:rsidRDefault="00BE0448" w:rsidP="00BA74FF">
            <w:pPr>
              <w:pStyle w:val="NormalHeadings"/>
              <w:jc w:val="left"/>
            </w:pPr>
            <w:r>
              <w:t xml:space="preserve">CHIEF EXECUTIVE </w:t>
            </w:r>
            <w:r w:rsidR="004E1597">
              <w:t>OFFICER OF CENTRELINK</w:t>
            </w:r>
          </w:p>
          <w:p w14:paraId="000DE5E3" w14:textId="00172821" w:rsidR="00BE0448" w:rsidRPr="00BF7C63" w:rsidRDefault="001A2F3A" w:rsidP="00BA74FF">
            <w:pPr>
              <w:pStyle w:val="NormalHeadings"/>
              <w:jc w:val="left"/>
              <w:rPr>
                <w:szCs w:val="24"/>
              </w:rPr>
            </w:pPr>
            <w:r>
              <w:rPr>
                <w:szCs w:val="24"/>
              </w:rPr>
              <w:t>Respondent</w:t>
            </w:r>
          </w:p>
          <w:p w14:paraId="3038E499" w14:textId="77777777" w:rsidR="00BE0448" w:rsidRPr="00BF7C63" w:rsidRDefault="00BE0448" w:rsidP="00BA74FF">
            <w:pPr>
              <w:pStyle w:val="NormalHeadings"/>
              <w:jc w:val="left"/>
              <w:rPr>
                <w:szCs w:val="24"/>
              </w:rPr>
            </w:pPr>
          </w:p>
        </w:tc>
      </w:tr>
    </w:tbl>
    <w:p w14:paraId="04FBA7BA" w14:textId="77777777" w:rsidR="00395B24" w:rsidRPr="00BF7C63" w:rsidRDefault="00395B24">
      <w:pPr>
        <w:pStyle w:val="NormalHeadings"/>
      </w:pPr>
    </w:p>
    <w:tbl>
      <w:tblPr>
        <w:tblW w:w="0" w:type="auto"/>
        <w:tblLayout w:type="fixed"/>
        <w:tblLook w:val="0000" w:firstRow="0" w:lastRow="0" w:firstColumn="0" w:lastColumn="0" w:noHBand="0" w:noVBand="0"/>
      </w:tblPr>
      <w:tblGrid>
        <w:gridCol w:w="2376"/>
        <w:gridCol w:w="6866"/>
      </w:tblGrid>
      <w:tr w:rsidR="00325C57" w:rsidRPr="00BF7C63" w14:paraId="7581EE46" w14:textId="77777777">
        <w:tc>
          <w:tcPr>
            <w:tcW w:w="2376" w:type="dxa"/>
          </w:tcPr>
          <w:p w14:paraId="455E3894" w14:textId="3CE177D7" w:rsidR="00325C57" w:rsidRPr="00BF7C63" w:rsidRDefault="00325C57">
            <w:pPr>
              <w:pStyle w:val="NormalHeadings"/>
              <w:spacing w:after="120"/>
              <w:jc w:val="left"/>
              <w:rPr>
                <w:caps/>
                <w:szCs w:val="24"/>
              </w:rPr>
            </w:pPr>
            <w:r w:rsidRPr="00BF7C63">
              <w:rPr>
                <w:caps/>
                <w:szCs w:val="24"/>
              </w:rPr>
              <w:t>JUDGE</w:t>
            </w:r>
            <w:r>
              <w:rPr>
                <w:caps/>
                <w:szCs w:val="24"/>
              </w:rPr>
              <w:t>s</w:t>
            </w:r>
            <w:r w:rsidRPr="00BF7C63">
              <w:rPr>
                <w:caps/>
                <w:szCs w:val="24"/>
              </w:rPr>
              <w:t>:</w:t>
            </w:r>
          </w:p>
        </w:tc>
        <w:tc>
          <w:tcPr>
            <w:tcW w:w="6866" w:type="dxa"/>
          </w:tcPr>
          <w:p w14:paraId="4AAD4D79" w14:textId="6FAB91C8" w:rsidR="00325C57" w:rsidRPr="00BF7C63" w:rsidRDefault="00325C57">
            <w:pPr>
              <w:pStyle w:val="NormalHeadings"/>
              <w:rPr>
                <w:caps/>
                <w:szCs w:val="24"/>
              </w:rPr>
            </w:pPr>
            <w:r w:rsidRPr="003114BB">
              <w:t>COLLIER, GRIFFITHS AND</w:t>
            </w:r>
            <w:r>
              <w:rPr>
                <w:b w:val="0"/>
              </w:rPr>
              <w:t xml:space="preserve"> </w:t>
            </w:r>
            <w:r w:rsidR="00E475C6">
              <w:rPr>
                <w:caps/>
                <w:szCs w:val="24"/>
              </w:rPr>
              <w:t>Mortimer </w:t>
            </w:r>
            <w:proofErr w:type="spellStart"/>
            <w:r w:rsidR="00E475C6">
              <w:rPr>
                <w:caps/>
                <w:szCs w:val="24"/>
              </w:rPr>
              <w:t>J</w:t>
            </w:r>
            <w:r>
              <w:rPr>
                <w:caps/>
                <w:szCs w:val="24"/>
              </w:rPr>
              <w:t>J</w:t>
            </w:r>
            <w:proofErr w:type="spellEnd"/>
          </w:p>
        </w:tc>
      </w:tr>
      <w:tr w:rsidR="00395B24" w:rsidRPr="00BF7C63" w14:paraId="5E2E01D0" w14:textId="77777777">
        <w:tc>
          <w:tcPr>
            <w:tcW w:w="2376" w:type="dxa"/>
          </w:tcPr>
          <w:p w14:paraId="149EF309" w14:textId="77777777" w:rsidR="00395B24" w:rsidRPr="00BF7C63" w:rsidRDefault="002C7385">
            <w:pPr>
              <w:pStyle w:val="NormalHeadings"/>
              <w:spacing w:after="120"/>
              <w:jc w:val="left"/>
              <w:rPr>
                <w:caps/>
                <w:szCs w:val="24"/>
              </w:rPr>
            </w:pPr>
            <w:r w:rsidRPr="00BF7C63">
              <w:rPr>
                <w:caps/>
                <w:szCs w:val="24"/>
              </w:rPr>
              <w:t>DATE:</w:t>
            </w:r>
          </w:p>
        </w:tc>
        <w:tc>
          <w:tcPr>
            <w:tcW w:w="6866" w:type="dxa"/>
          </w:tcPr>
          <w:p w14:paraId="30DE60A2" w14:textId="77E31D19" w:rsidR="00395B24" w:rsidRPr="00BF7C63" w:rsidRDefault="00986FE5" w:rsidP="0002741E">
            <w:pPr>
              <w:pStyle w:val="NormalHeadings"/>
              <w:rPr>
                <w:caps/>
                <w:szCs w:val="24"/>
              </w:rPr>
            </w:pPr>
            <w:r>
              <w:rPr>
                <w:caps/>
                <w:szCs w:val="24"/>
              </w:rPr>
              <w:t>1 JUNE</w:t>
            </w:r>
            <w:r w:rsidR="00325C57">
              <w:rPr>
                <w:caps/>
                <w:szCs w:val="24"/>
              </w:rPr>
              <w:t xml:space="preserve"> </w:t>
            </w:r>
            <w:r w:rsidR="001A249E" w:rsidRPr="00BF7C63">
              <w:rPr>
                <w:caps/>
                <w:szCs w:val="24"/>
              </w:rPr>
              <w:t>2015</w:t>
            </w:r>
          </w:p>
        </w:tc>
      </w:tr>
      <w:tr w:rsidR="00395B24" w:rsidRPr="00BF7C63" w14:paraId="2CF93A1A" w14:textId="77777777">
        <w:tc>
          <w:tcPr>
            <w:tcW w:w="2376" w:type="dxa"/>
          </w:tcPr>
          <w:p w14:paraId="26087609" w14:textId="77777777" w:rsidR="00395B24" w:rsidRPr="00BF7C63" w:rsidRDefault="002C7385">
            <w:pPr>
              <w:pStyle w:val="NormalHeadings"/>
              <w:spacing w:after="120"/>
              <w:jc w:val="left"/>
              <w:rPr>
                <w:caps/>
                <w:szCs w:val="24"/>
              </w:rPr>
            </w:pPr>
            <w:r w:rsidRPr="00BF7C63">
              <w:rPr>
                <w:caps/>
                <w:szCs w:val="24"/>
              </w:rPr>
              <w:t>PLACE:</w:t>
            </w:r>
          </w:p>
        </w:tc>
        <w:tc>
          <w:tcPr>
            <w:tcW w:w="6866" w:type="dxa"/>
          </w:tcPr>
          <w:p w14:paraId="2DA4F935" w14:textId="77777777" w:rsidR="00395B24" w:rsidRPr="00BF7C63" w:rsidRDefault="002C7385">
            <w:pPr>
              <w:pStyle w:val="NormalHeadings"/>
              <w:rPr>
                <w:caps/>
                <w:szCs w:val="24"/>
              </w:rPr>
            </w:pPr>
            <w:r w:rsidRPr="00BF7C63">
              <w:rPr>
                <w:caps/>
                <w:szCs w:val="24"/>
              </w:rPr>
              <w:fldChar w:fldCharType="begin" w:fldLock="1"/>
            </w:r>
            <w:r w:rsidRPr="00BF7C63">
              <w:rPr>
                <w:caps/>
                <w:szCs w:val="24"/>
              </w:rPr>
              <w:instrText xml:space="preserve"> REF Place  \* MERGEFORMAT </w:instrText>
            </w:r>
            <w:r w:rsidRPr="00BF7C63">
              <w:rPr>
                <w:caps/>
                <w:szCs w:val="24"/>
              </w:rPr>
              <w:fldChar w:fldCharType="separate"/>
            </w:r>
            <w:r w:rsidR="001B0C2A">
              <w:rPr>
                <w:caps/>
                <w:szCs w:val="24"/>
              </w:rPr>
              <w:t>MELBOURNE</w:t>
            </w:r>
            <w:r w:rsidRPr="00BF7C63">
              <w:rPr>
                <w:caps/>
                <w:szCs w:val="24"/>
              </w:rPr>
              <w:fldChar w:fldCharType="end"/>
            </w:r>
          </w:p>
        </w:tc>
      </w:tr>
    </w:tbl>
    <w:p w14:paraId="7036B4BC" w14:textId="77777777" w:rsidR="00395B24" w:rsidRDefault="00395B24" w:rsidP="002B0E91">
      <w:pPr>
        <w:pStyle w:val="BodyText"/>
      </w:pPr>
    </w:p>
    <w:tbl>
      <w:tblPr>
        <w:tblW w:w="0" w:type="auto"/>
        <w:tblLayout w:type="fixed"/>
        <w:tblLook w:val="0000" w:firstRow="0" w:lastRow="0" w:firstColumn="0" w:lastColumn="0" w:noHBand="0" w:noVBand="0"/>
      </w:tblPr>
      <w:tblGrid>
        <w:gridCol w:w="6771"/>
        <w:gridCol w:w="2471"/>
      </w:tblGrid>
      <w:tr w:rsidR="00747724" w:rsidRPr="00BF7C63" w14:paraId="41A769E9" w14:textId="77777777" w:rsidTr="0060132F">
        <w:tc>
          <w:tcPr>
            <w:tcW w:w="6771" w:type="dxa"/>
          </w:tcPr>
          <w:p w14:paraId="1B11DA3C" w14:textId="77777777" w:rsidR="00747724" w:rsidRPr="00BF7C63" w:rsidRDefault="00747724" w:rsidP="0060132F">
            <w:pPr>
              <w:pStyle w:val="NormalHeadings"/>
              <w:spacing w:after="120"/>
              <w:jc w:val="left"/>
              <w:rPr>
                <w:caps/>
                <w:szCs w:val="24"/>
              </w:rPr>
            </w:pPr>
            <w:r w:rsidRPr="00BF7C63">
              <w:rPr>
                <w:caps/>
                <w:szCs w:val="24"/>
              </w:rPr>
              <w:t>IN THE FEDERAL COURT OF AUSTRALIA</w:t>
            </w:r>
          </w:p>
        </w:tc>
        <w:tc>
          <w:tcPr>
            <w:tcW w:w="2471" w:type="dxa"/>
          </w:tcPr>
          <w:p w14:paraId="16EDF39C" w14:textId="77777777" w:rsidR="00747724" w:rsidRPr="00BF7C63" w:rsidRDefault="00747724" w:rsidP="0060132F">
            <w:pPr>
              <w:pStyle w:val="NormalHeadings"/>
            </w:pPr>
          </w:p>
        </w:tc>
      </w:tr>
      <w:tr w:rsidR="00747724" w:rsidRPr="00BF7C63" w14:paraId="4FB36B49" w14:textId="77777777" w:rsidTr="0060132F">
        <w:tc>
          <w:tcPr>
            <w:tcW w:w="6771" w:type="dxa"/>
          </w:tcPr>
          <w:p w14:paraId="4E96D900" w14:textId="77777777" w:rsidR="00747724" w:rsidRPr="00BF7C63" w:rsidRDefault="00747724" w:rsidP="0060132F">
            <w:pPr>
              <w:pStyle w:val="NormalHeadings"/>
              <w:spacing w:after="120"/>
              <w:jc w:val="left"/>
              <w:rPr>
                <w:caps/>
                <w:szCs w:val="24"/>
              </w:rPr>
            </w:pPr>
            <w:r w:rsidRPr="00BF7C63">
              <w:rPr>
                <w:caps/>
                <w:szCs w:val="24"/>
              </w:rPr>
              <w:fldChar w:fldCharType="begin" w:fldLock="1"/>
            </w:r>
            <w:r w:rsidRPr="00BF7C63">
              <w:rPr>
                <w:caps/>
                <w:szCs w:val="24"/>
              </w:rPr>
              <w:instrText xml:space="preserve"> REF State \* MERGEFORMAT </w:instrText>
            </w:r>
            <w:r w:rsidRPr="00BF7C63">
              <w:rPr>
                <w:caps/>
                <w:szCs w:val="24"/>
              </w:rPr>
              <w:fldChar w:fldCharType="separate"/>
            </w:r>
            <w:r>
              <w:rPr>
                <w:caps/>
                <w:szCs w:val="24"/>
              </w:rPr>
              <w:t>VICTORIA</w:t>
            </w:r>
            <w:r w:rsidRPr="00BF7C63">
              <w:rPr>
                <w:caps/>
                <w:szCs w:val="24"/>
              </w:rPr>
              <w:fldChar w:fldCharType="end"/>
            </w:r>
            <w:r w:rsidRPr="00BF7C63">
              <w:rPr>
                <w:caps/>
                <w:szCs w:val="24"/>
              </w:rPr>
              <w:t xml:space="preserve"> DISTRICT REGISTRY</w:t>
            </w:r>
          </w:p>
        </w:tc>
        <w:tc>
          <w:tcPr>
            <w:tcW w:w="2471" w:type="dxa"/>
          </w:tcPr>
          <w:p w14:paraId="0C0FA82D" w14:textId="77777777" w:rsidR="00747724" w:rsidRPr="00BF7C63" w:rsidRDefault="00747724" w:rsidP="0060132F">
            <w:pPr>
              <w:pStyle w:val="NormalHeadings"/>
              <w:tabs>
                <w:tab w:val="right" w:pos="3609"/>
              </w:tabs>
              <w:jc w:val="right"/>
              <w:rPr>
                <w:caps/>
                <w:szCs w:val="24"/>
              </w:rPr>
            </w:pPr>
          </w:p>
        </w:tc>
      </w:tr>
      <w:tr w:rsidR="00747724" w:rsidRPr="00BF7C63" w14:paraId="68EFAD62" w14:textId="77777777" w:rsidTr="0060132F">
        <w:tc>
          <w:tcPr>
            <w:tcW w:w="6771" w:type="dxa"/>
          </w:tcPr>
          <w:p w14:paraId="3127BE6A" w14:textId="77777777" w:rsidR="00747724" w:rsidRPr="00BF7C63" w:rsidRDefault="00747724" w:rsidP="0060132F">
            <w:pPr>
              <w:pStyle w:val="NormalHeadings"/>
              <w:spacing w:after="120"/>
              <w:jc w:val="left"/>
              <w:rPr>
                <w:caps/>
                <w:szCs w:val="24"/>
              </w:rPr>
            </w:pPr>
            <w:r w:rsidRPr="00BF7C63">
              <w:rPr>
                <w:caps/>
                <w:szCs w:val="24"/>
              </w:rPr>
              <w:t>GENERAL DIVISION</w:t>
            </w:r>
          </w:p>
        </w:tc>
        <w:tc>
          <w:tcPr>
            <w:tcW w:w="2471" w:type="dxa"/>
          </w:tcPr>
          <w:p w14:paraId="5CC0BBC0" w14:textId="696AC23D" w:rsidR="00747724" w:rsidRPr="00BF7C63" w:rsidRDefault="00747724" w:rsidP="00707E8A">
            <w:pPr>
              <w:pStyle w:val="NormalHeadings"/>
              <w:tabs>
                <w:tab w:val="right" w:pos="3609"/>
              </w:tabs>
              <w:jc w:val="right"/>
              <w:rPr>
                <w:szCs w:val="24"/>
              </w:rPr>
            </w:pPr>
            <w:r w:rsidRPr="00BF7C63">
              <w:rPr>
                <w:szCs w:val="24"/>
              </w:rPr>
              <w:t xml:space="preserve">VID </w:t>
            </w:r>
            <w:r w:rsidR="00707E8A">
              <w:rPr>
                <w:szCs w:val="24"/>
              </w:rPr>
              <w:t>512 of 2014</w:t>
            </w:r>
          </w:p>
        </w:tc>
      </w:tr>
    </w:tbl>
    <w:p w14:paraId="4DDB7360" w14:textId="77777777" w:rsidR="00747724" w:rsidRDefault="00747724" w:rsidP="00747724">
      <w:pPr>
        <w:pStyle w:val="AppealTable"/>
        <w:rPr>
          <w:sz w:val="24"/>
        </w:rPr>
      </w:pPr>
    </w:p>
    <w:tbl>
      <w:tblPr>
        <w:tblW w:w="0" w:type="auto"/>
        <w:tblLook w:val="01E0" w:firstRow="1" w:lastRow="1" w:firstColumn="1" w:lastColumn="1" w:noHBand="0" w:noVBand="0"/>
      </w:tblPr>
      <w:tblGrid>
        <w:gridCol w:w="9243"/>
      </w:tblGrid>
      <w:tr w:rsidR="00747724" w:rsidRPr="0002741E" w14:paraId="703ABFE2" w14:textId="77777777" w:rsidTr="0060132F">
        <w:tc>
          <w:tcPr>
            <w:tcW w:w="9243" w:type="dxa"/>
            <w:shd w:val="clear" w:color="auto" w:fill="auto"/>
          </w:tcPr>
          <w:p w14:paraId="76E5FD7E" w14:textId="77777777" w:rsidR="00747724" w:rsidRPr="002F1F57" w:rsidRDefault="00747724" w:rsidP="0060132F">
            <w:pPr>
              <w:pStyle w:val="AppealTable"/>
              <w:rPr>
                <w:sz w:val="24"/>
                <w:szCs w:val="24"/>
              </w:rPr>
            </w:pPr>
            <w:r w:rsidRPr="002F1F57">
              <w:rPr>
                <w:sz w:val="24"/>
                <w:szCs w:val="24"/>
              </w:rPr>
              <w:t>ON APPEAL FROM THE FEDERAL COURT OF AUSTRALIA</w:t>
            </w:r>
          </w:p>
        </w:tc>
      </w:tr>
    </w:tbl>
    <w:p w14:paraId="18E03DB6" w14:textId="77777777" w:rsidR="00747724" w:rsidRPr="00BF7C63" w:rsidRDefault="00747724" w:rsidP="00747724">
      <w:pPr>
        <w:pStyle w:val="AppealTable"/>
        <w:rPr>
          <w:sz w:val="24"/>
        </w:rPr>
      </w:pPr>
    </w:p>
    <w:tbl>
      <w:tblPr>
        <w:tblW w:w="0" w:type="auto"/>
        <w:tblLayout w:type="fixed"/>
        <w:tblLook w:val="0000" w:firstRow="0" w:lastRow="0" w:firstColumn="0" w:lastColumn="0" w:noHBand="0" w:noVBand="0"/>
      </w:tblPr>
      <w:tblGrid>
        <w:gridCol w:w="2376"/>
        <w:gridCol w:w="6866"/>
      </w:tblGrid>
      <w:tr w:rsidR="00747724" w:rsidRPr="00BF7C63" w14:paraId="7994F5DC" w14:textId="77777777" w:rsidTr="0060132F">
        <w:trPr>
          <w:trHeight w:val="386"/>
        </w:trPr>
        <w:tc>
          <w:tcPr>
            <w:tcW w:w="2376" w:type="dxa"/>
          </w:tcPr>
          <w:p w14:paraId="7C7E01DB" w14:textId="77777777" w:rsidR="00747724" w:rsidRPr="00BF7C63" w:rsidRDefault="00747724" w:rsidP="0060132F">
            <w:pPr>
              <w:pStyle w:val="NormalHeadings"/>
              <w:jc w:val="left"/>
              <w:rPr>
                <w:caps/>
                <w:szCs w:val="24"/>
              </w:rPr>
            </w:pPr>
            <w:r w:rsidRPr="00BF7C63">
              <w:rPr>
                <w:caps/>
                <w:szCs w:val="24"/>
              </w:rPr>
              <w:t>BETWEEN:</w:t>
            </w:r>
          </w:p>
        </w:tc>
        <w:tc>
          <w:tcPr>
            <w:tcW w:w="6866" w:type="dxa"/>
          </w:tcPr>
          <w:p w14:paraId="091A2852" w14:textId="77777777" w:rsidR="00747724" w:rsidRPr="00BF7C63" w:rsidRDefault="00747724" w:rsidP="0060132F">
            <w:pPr>
              <w:pStyle w:val="NormalHeadings"/>
              <w:jc w:val="left"/>
              <w:rPr>
                <w:szCs w:val="24"/>
              </w:rPr>
            </w:pPr>
            <w:r>
              <w:rPr>
                <w:szCs w:val="24"/>
              </w:rPr>
              <w:t>GAYE LUCK</w:t>
            </w:r>
          </w:p>
          <w:p w14:paraId="4B898BB5" w14:textId="77777777" w:rsidR="00747724" w:rsidRPr="00BF7C63" w:rsidRDefault="00747724" w:rsidP="0060132F">
            <w:pPr>
              <w:pStyle w:val="NormalHeadings"/>
              <w:jc w:val="left"/>
              <w:rPr>
                <w:szCs w:val="24"/>
              </w:rPr>
            </w:pPr>
            <w:r>
              <w:rPr>
                <w:szCs w:val="24"/>
              </w:rPr>
              <w:t>Appellant</w:t>
            </w:r>
          </w:p>
          <w:p w14:paraId="76C18840" w14:textId="77777777" w:rsidR="00747724" w:rsidRPr="00BF7C63" w:rsidRDefault="00747724" w:rsidP="0060132F">
            <w:pPr>
              <w:pStyle w:val="NormalHeadings"/>
              <w:jc w:val="left"/>
              <w:rPr>
                <w:szCs w:val="24"/>
              </w:rPr>
            </w:pPr>
          </w:p>
        </w:tc>
      </w:tr>
      <w:tr w:rsidR="00747724" w:rsidRPr="00BF7C63" w14:paraId="03F097FE" w14:textId="77777777" w:rsidTr="0060132F">
        <w:trPr>
          <w:trHeight w:val="386"/>
        </w:trPr>
        <w:tc>
          <w:tcPr>
            <w:tcW w:w="2376" w:type="dxa"/>
          </w:tcPr>
          <w:p w14:paraId="62A8E770" w14:textId="77777777" w:rsidR="00747724" w:rsidRPr="00BF7C63" w:rsidRDefault="00747724" w:rsidP="0060132F">
            <w:pPr>
              <w:pStyle w:val="NormalHeadings"/>
              <w:jc w:val="left"/>
              <w:rPr>
                <w:caps/>
                <w:szCs w:val="24"/>
              </w:rPr>
            </w:pPr>
            <w:r w:rsidRPr="00BF7C63">
              <w:rPr>
                <w:caps/>
                <w:szCs w:val="24"/>
              </w:rPr>
              <w:t>AND:</w:t>
            </w:r>
          </w:p>
        </w:tc>
        <w:tc>
          <w:tcPr>
            <w:tcW w:w="6866" w:type="dxa"/>
          </w:tcPr>
          <w:p w14:paraId="04C3B0E6" w14:textId="77777777" w:rsidR="00747724" w:rsidRPr="00BF7C63" w:rsidRDefault="00747724" w:rsidP="0060132F">
            <w:pPr>
              <w:pStyle w:val="NormalHeadings"/>
              <w:jc w:val="left"/>
              <w:rPr>
                <w:szCs w:val="24"/>
              </w:rPr>
            </w:pPr>
            <w:r>
              <w:rPr>
                <w:szCs w:val="24"/>
              </w:rPr>
              <w:t>SECRETARY, DEPARTMENT OF HUMAN SERVICES</w:t>
            </w:r>
          </w:p>
          <w:p w14:paraId="626608AC" w14:textId="77777777" w:rsidR="00747724" w:rsidRDefault="00747724" w:rsidP="0060132F">
            <w:pPr>
              <w:pStyle w:val="NormalHeadings"/>
              <w:jc w:val="left"/>
              <w:rPr>
                <w:szCs w:val="24"/>
              </w:rPr>
            </w:pPr>
            <w:r>
              <w:rPr>
                <w:szCs w:val="24"/>
              </w:rPr>
              <w:t>First Respondent</w:t>
            </w:r>
          </w:p>
          <w:p w14:paraId="7F679342" w14:textId="77777777" w:rsidR="00747724" w:rsidRDefault="00747724" w:rsidP="0060132F">
            <w:pPr>
              <w:pStyle w:val="NormalHeadings"/>
              <w:jc w:val="left"/>
              <w:rPr>
                <w:szCs w:val="24"/>
              </w:rPr>
            </w:pPr>
          </w:p>
          <w:p w14:paraId="438956F1" w14:textId="77777777" w:rsidR="00747724" w:rsidRPr="00BF7C63" w:rsidRDefault="00747724" w:rsidP="0060132F">
            <w:pPr>
              <w:pStyle w:val="NormalHeadings"/>
              <w:jc w:val="left"/>
              <w:rPr>
                <w:szCs w:val="24"/>
              </w:rPr>
            </w:pPr>
            <w:r>
              <w:rPr>
                <w:szCs w:val="24"/>
              </w:rPr>
              <w:t>ADMINISTRATIVE APPEALS TRIBUNAL</w:t>
            </w:r>
          </w:p>
          <w:p w14:paraId="06D94115" w14:textId="77777777" w:rsidR="00747724" w:rsidRDefault="00747724" w:rsidP="0060132F">
            <w:pPr>
              <w:pStyle w:val="NormalHeadings"/>
              <w:jc w:val="left"/>
              <w:rPr>
                <w:szCs w:val="24"/>
              </w:rPr>
            </w:pPr>
            <w:r>
              <w:rPr>
                <w:szCs w:val="24"/>
              </w:rPr>
              <w:t>Second Respondent</w:t>
            </w:r>
          </w:p>
          <w:p w14:paraId="57A27AD3" w14:textId="77777777" w:rsidR="00747724" w:rsidRPr="00BF7C63" w:rsidRDefault="00747724" w:rsidP="0060132F">
            <w:pPr>
              <w:pStyle w:val="NormalHeadings"/>
              <w:jc w:val="left"/>
              <w:rPr>
                <w:szCs w:val="24"/>
              </w:rPr>
            </w:pPr>
          </w:p>
          <w:p w14:paraId="0F4ED356" w14:textId="77777777" w:rsidR="00747724" w:rsidRPr="00BF7C63" w:rsidRDefault="00747724" w:rsidP="0060132F">
            <w:pPr>
              <w:pStyle w:val="NormalHeadings"/>
              <w:jc w:val="left"/>
              <w:rPr>
                <w:szCs w:val="24"/>
              </w:rPr>
            </w:pPr>
            <w:r>
              <w:rPr>
                <w:szCs w:val="24"/>
              </w:rPr>
              <w:t xml:space="preserve">STEPHANIE ANN </w:t>
            </w:r>
            <w:proofErr w:type="spellStart"/>
            <w:r>
              <w:rPr>
                <w:szCs w:val="24"/>
              </w:rPr>
              <w:t>FORGIE</w:t>
            </w:r>
            <w:proofErr w:type="spellEnd"/>
            <w:r>
              <w:rPr>
                <w:szCs w:val="24"/>
              </w:rPr>
              <w:t xml:space="preserve"> (AS DEPUTY PRESIDENT OF THE AAT)</w:t>
            </w:r>
          </w:p>
          <w:p w14:paraId="5E0E462F" w14:textId="77777777" w:rsidR="00747724" w:rsidRPr="00BF7C63" w:rsidRDefault="00747724" w:rsidP="0060132F">
            <w:pPr>
              <w:pStyle w:val="NormalHeadings"/>
              <w:jc w:val="left"/>
              <w:rPr>
                <w:szCs w:val="24"/>
              </w:rPr>
            </w:pPr>
            <w:r>
              <w:rPr>
                <w:szCs w:val="24"/>
              </w:rPr>
              <w:t>Third Respondent</w:t>
            </w:r>
          </w:p>
          <w:p w14:paraId="64A75EE6" w14:textId="77777777" w:rsidR="00747724" w:rsidRPr="00BF7C63" w:rsidRDefault="00747724" w:rsidP="0060132F">
            <w:pPr>
              <w:pStyle w:val="NormalHeadings"/>
              <w:jc w:val="left"/>
              <w:rPr>
                <w:szCs w:val="24"/>
              </w:rPr>
            </w:pPr>
          </w:p>
        </w:tc>
      </w:tr>
    </w:tbl>
    <w:p w14:paraId="4003971B" w14:textId="77777777" w:rsidR="00747724" w:rsidRPr="00BF7C63" w:rsidRDefault="00747724" w:rsidP="00747724">
      <w:pPr>
        <w:pStyle w:val="NormalHeadings"/>
      </w:pPr>
    </w:p>
    <w:tbl>
      <w:tblPr>
        <w:tblW w:w="0" w:type="auto"/>
        <w:tblLayout w:type="fixed"/>
        <w:tblLook w:val="0000" w:firstRow="0" w:lastRow="0" w:firstColumn="0" w:lastColumn="0" w:noHBand="0" w:noVBand="0"/>
      </w:tblPr>
      <w:tblGrid>
        <w:gridCol w:w="2376"/>
        <w:gridCol w:w="6866"/>
      </w:tblGrid>
      <w:tr w:rsidR="00747724" w:rsidRPr="00BF7C63" w14:paraId="721D60AA" w14:textId="77777777" w:rsidTr="0060132F">
        <w:tc>
          <w:tcPr>
            <w:tcW w:w="2376" w:type="dxa"/>
          </w:tcPr>
          <w:p w14:paraId="64C8CA9C" w14:textId="77777777" w:rsidR="00747724" w:rsidRPr="00BF7C63" w:rsidRDefault="00747724" w:rsidP="0060132F">
            <w:pPr>
              <w:pStyle w:val="NormalHeadings"/>
              <w:spacing w:after="120"/>
              <w:jc w:val="left"/>
              <w:rPr>
                <w:caps/>
                <w:szCs w:val="24"/>
              </w:rPr>
            </w:pPr>
            <w:r w:rsidRPr="00BF7C63">
              <w:rPr>
                <w:caps/>
                <w:szCs w:val="24"/>
              </w:rPr>
              <w:t>JUDGE</w:t>
            </w:r>
            <w:r>
              <w:rPr>
                <w:caps/>
                <w:szCs w:val="24"/>
              </w:rPr>
              <w:t>s</w:t>
            </w:r>
            <w:r w:rsidRPr="00BF7C63">
              <w:rPr>
                <w:caps/>
                <w:szCs w:val="24"/>
              </w:rPr>
              <w:t>:</w:t>
            </w:r>
          </w:p>
        </w:tc>
        <w:tc>
          <w:tcPr>
            <w:tcW w:w="6866" w:type="dxa"/>
          </w:tcPr>
          <w:p w14:paraId="0611C0C8" w14:textId="77777777" w:rsidR="00747724" w:rsidRPr="00BF7C63" w:rsidRDefault="00747724" w:rsidP="0060132F">
            <w:pPr>
              <w:pStyle w:val="NormalHeadings"/>
              <w:rPr>
                <w:caps/>
                <w:szCs w:val="24"/>
              </w:rPr>
            </w:pPr>
            <w:r w:rsidRPr="003114BB">
              <w:t>COLLIER, GRIFFITHS AND</w:t>
            </w:r>
            <w:r>
              <w:rPr>
                <w:b w:val="0"/>
              </w:rPr>
              <w:t xml:space="preserve"> </w:t>
            </w:r>
            <w:r>
              <w:rPr>
                <w:caps/>
                <w:szCs w:val="24"/>
              </w:rPr>
              <w:t>Mortimer </w:t>
            </w:r>
            <w:proofErr w:type="spellStart"/>
            <w:r>
              <w:rPr>
                <w:caps/>
                <w:szCs w:val="24"/>
              </w:rPr>
              <w:t>JJ</w:t>
            </w:r>
            <w:proofErr w:type="spellEnd"/>
          </w:p>
        </w:tc>
      </w:tr>
      <w:tr w:rsidR="00747724" w:rsidRPr="00BF7C63" w14:paraId="4CA7D930" w14:textId="77777777" w:rsidTr="0060132F">
        <w:tc>
          <w:tcPr>
            <w:tcW w:w="2376" w:type="dxa"/>
          </w:tcPr>
          <w:p w14:paraId="6C1259CF" w14:textId="77777777" w:rsidR="00747724" w:rsidRPr="00BF7C63" w:rsidRDefault="00747724" w:rsidP="0060132F">
            <w:pPr>
              <w:pStyle w:val="NormalHeadings"/>
              <w:spacing w:after="120"/>
              <w:jc w:val="left"/>
              <w:rPr>
                <w:caps/>
                <w:szCs w:val="24"/>
              </w:rPr>
            </w:pPr>
            <w:r w:rsidRPr="00BF7C63">
              <w:rPr>
                <w:caps/>
                <w:szCs w:val="24"/>
              </w:rPr>
              <w:t>DATE:</w:t>
            </w:r>
          </w:p>
        </w:tc>
        <w:tc>
          <w:tcPr>
            <w:tcW w:w="6866" w:type="dxa"/>
          </w:tcPr>
          <w:p w14:paraId="170C4460" w14:textId="77777777" w:rsidR="00747724" w:rsidRPr="00BF7C63" w:rsidRDefault="00747724" w:rsidP="0060132F">
            <w:pPr>
              <w:pStyle w:val="NormalHeadings"/>
              <w:rPr>
                <w:caps/>
                <w:szCs w:val="24"/>
              </w:rPr>
            </w:pPr>
            <w:r>
              <w:rPr>
                <w:caps/>
                <w:szCs w:val="24"/>
              </w:rPr>
              <w:t xml:space="preserve">1 JUNE </w:t>
            </w:r>
            <w:r w:rsidRPr="00BF7C63">
              <w:rPr>
                <w:caps/>
                <w:szCs w:val="24"/>
              </w:rPr>
              <w:t>2015</w:t>
            </w:r>
          </w:p>
        </w:tc>
      </w:tr>
      <w:tr w:rsidR="00747724" w:rsidRPr="00BF7C63" w14:paraId="78BE8781" w14:textId="77777777" w:rsidTr="0060132F">
        <w:tc>
          <w:tcPr>
            <w:tcW w:w="2376" w:type="dxa"/>
          </w:tcPr>
          <w:p w14:paraId="5E43D6C2" w14:textId="77777777" w:rsidR="00747724" w:rsidRPr="00BF7C63" w:rsidRDefault="00747724" w:rsidP="0060132F">
            <w:pPr>
              <w:pStyle w:val="NormalHeadings"/>
              <w:spacing w:after="120"/>
              <w:jc w:val="left"/>
              <w:rPr>
                <w:caps/>
                <w:szCs w:val="24"/>
              </w:rPr>
            </w:pPr>
            <w:r w:rsidRPr="00BF7C63">
              <w:rPr>
                <w:caps/>
                <w:szCs w:val="24"/>
              </w:rPr>
              <w:t>PLACE:</w:t>
            </w:r>
          </w:p>
        </w:tc>
        <w:tc>
          <w:tcPr>
            <w:tcW w:w="6866" w:type="dxa"/>
          </w:tcPr>
          <w:p w14:paraId="6B92C5E3" w14:textId="77777777" w:rsidR="00747724" w:rsidRPr="00BF7C63" w:rsidRDefault="00747724" w:rsidP="0060132F">
            <w:pPr>
              <w:pStyle w:val="NormalHeadings"/>
              <w:rPr>
                <w:caps/>
                <w:szCs w:val="24"/>
              </w:rPr>
            </w:pPr>
            <w:r w:rsidRPr="00BF7C63">
              <w:rPr>
                <w:caps/>
                <w:szCs w:val="24"/>
              </w:rPr>
              <w:fldChar w:fldCharType="begin" w:fldLock="1"/>
            </w:r>
            <w:r w:rsidRPr="00BF7C63">
              <w:rPr>
                <w:caps/>
                <w:szCs w:val="24"/>
              </w:rPr>
              <w:instrText xml:space="preserve"> REF Place  \* MERGEFORMAT </w:instrText>
            </w:r>
            <w:r w:rsidRPr="00BF7C63">
              <w:rPr>
                <w:caps/>
                <w:szCs w:val="24"/>
              </w:rPr>
              <w:fldChar w:fldCharType="separate"/>
            </w:r>
            <w:r>
              <w:rPr>
                <w:caps/>
                <w:szCs w:val="24"/>
              </w:rPr>
              <w:t>MELBOURNE</w:t>
            </w:r>
            <w:r w:rsidRPr="00BF7C63">
              <w:rPr>
                <w:caps/>
                <w:szCs w:val="24"/>
              </w:rPr>
              <w:fldChar w:fldCharType="end"/>
            </w:r>
          </w:p>
        </w:tc>
      </w:tr>
    </w:tbl>
    <w:p w14:paraId="049674F7" w14:textId="77777777" w:rsidR="00747724" w:rsidRPr="00BF7C63" w:rsidRDefault="00747724" w:rsidP="002B0E91">
      <w:pPr>
        <w:pStyle w:val="BodyText"/>
      </w:pPr>
    </w:p>
    <w:p w14:paraId="7DC08076" w14:textId="77777777" w:rsidR="00395B24" w:rsidRPr="00BF7C63" w:rsidRDefault="002C7385" w:rsidP="00EB2CCB">
      <w:pPr>
        <w:pStyle w:val="StyleBold"/>
        <w:keepNext/>
        <w:jc w:val="center"/>
        <w:rPr>
          <w:b/>
        </w:rPr>
      </w:pPr>
      <w:r w:rsidRPr="00BF7C63">
        <w:rPr>
          <w:b/>
        </w:rPr>
        <w:lastRenderedPageBreak/>
        <w:t>REASONS FOR JUDGMENT</w:t>
      </w:r>
    </w:p>
    <w:p w14:paraId="6875C185" w14:textId="088E0082" w:rsidR="000601F2" w:rsidRDefault="000601F2" w:rsidP="000601F2">
      <w:pPr>
        <w:pStyle w:val="Heading1"/>
      </w:pPr>
      <w:r>
        <w:t>THE COURT:</w:t>
      </w:r>
    </w:p>
    <w:p w14:paraId="5D0D2BEC" w14:textId="4AFD0A02" w:rsidR="00624520" w:rsidRPr="00BF7C63" w:rsidRDefault="001566E1" w:rsidP="000601F2">
      <w:pPr>
        <w:pStyle w:val="Heading1"/>
      </w:pPr>
      <w:r w:rsidRPr="00BF7C63">
        <w:t>S</w:t>
      </w:r>
      <w:r w:rsidR="000601F2">
        <w:t>UMMARY</w:t>
      </w:r>
    </w:p>
    <w:p w14:paraId="0D7328A5" w14:textId="684203B5" w:rsidR="00BE0448" w:rsidRDefault="00BE0448" w:rsidP="00CA4C7F">
      <w:pPr>
        <w:pStyle w:val="ParaNumbering"/>
      </w:pPr>
      <w:r>
        <w:t>By application</w:t>
      </w:r>
      <w:r w:rsidR="002C37A9">
        <w:t>s</w:t>
      </w:r>
      <w:r>
        <w:t xml:space="preserve"> dated 22 April 2015, the </w:t>
      </w:r>
      <w:r w:rsidR="00FE4CF0">
        <w:t>appellant</w:t>
      </w:r>
      <w:r>
        <w:t>, Ms Gaye Luck, applied for orders to stay or adjourn the appeal proceedings VID</w:t>
      </w:r>
      <w:r w:rsidR="0063205F">
        <w:t> </w:t>
      </w:r>
      <w:r>
        <w:t>898/2008 and VID</w:t>
      </w:r>
      <w:r w:rsidR="0063205F">
        <w:t> </w:t>
      </w:r>
      <w:r>
        <w:t>512/2014</w:t>
      </w:r>
      <w:r w:rsidR="00E33373">
        <w:t>,</w:t>
      </w:r>
      <w:r w:rsidR="00FE4CF0">
        <w:t xml:space="preserve"> </w:t>
      </w:r>
      <w:r w:rsidR="00E33373">
        <w:t>listed to be heard together befor</w:t>
      </w:r>
      <w:r w:rsidR="00FE4CF0">
        <w:t>e the Full Court on 21</w:t>
      </w:r>
      <w:r w:rsidR="00E475C6">
        <w:t> </w:t>
      </w:r>
      <w:r w:rsidR="00FE4CF0">
        <w:t xml:space="preserve">May 2015. </w:t>
      </w:r>
      <w:r w:rsidR="00E475C6">
        <w:t>Ms Luck</w:t>
      </w:r>
      <w:r w:rsidR="00FE4CF0">
        <w:t xml:space="preserve"> sought stays of each appea</w:t>
      </w:r>
      <w:r w:rsidR="00484389">
        <w:t>l</w:t>
      </w:r>
      <w:r>
        <w:t xml:space="preserve"> pending the hearing and determination of her applications to remove these appeals to the High Court.</w:t>
      </w:r>
      <w:r w:rsidR="00E475C6">
        <w:t xml:space="preserve"> </w:t>
      </w:r>
      <w:r>
        <w:t>By correspondence filed on 1</w:t>
      </w:r>
      <w:r w:rsidR="00E475C6">
        <w:t> </w:t>
      </w:r>
      <w:r>
        <w:t xml:space="preserve">May 2015, </w:t>
      </w:r>
      <w:r w:rsidR="00E475C6">
        <w:t>Ms Luck</w:t>
      </w:r>
      <w:r w:rsidR="00C665F1">
        <w:t xml:space="preserve"> further sought a three-month adjournment of appeal proceedings VID</w:t>
      </w:r>
      <w:r w:rsidR="0063205F">
        <w:t> </w:t>
      </w:r>
      <w:r w:rsidR="00C665F1">
        <w:t>898/2008 and VID</w:t>
      </w:r>
      <w:r w:rsidR="0063205F">
        <w:t> </w:t>
      </w:r>
      <w:r w:rsidR="00C665F1">
        <w:t>512/2014 on the basis that she required time for treatment and recovery in connection with a medical condition, during which time she said she would be unable to take steps in these proceedings.</w:t>
      </w:r>
    </w:p>
    <w:p w14:paraId="3BB81B2A" w14:textId="249A4FB3" w:rsidR="00325C57" w:rsidRDefault="00AC1DB3" w:rsidP="00CA4C7F">
      <w:pPr>
        <w:pStyle w:val="ParaNumbering"/>
      </w:pPr>
      <w:r>
        <w:t>On 21 May 2015 we dismissed those applications. We now set out our reasons for the orders we made.</w:t>
      </w:r>
    </w:p>
    <w:p w14:paraId="7B59A8AF" w14:textId="39A93770" w:rsidR="004A240B" w:rsidRDefault="004A240B" w:rsidP="004A240B">
      <w:pPr>
        <w:pStyle w:val="Heading1"/>
      </w:pPr>
      <w:r>
        <w:t>A BRIEF HISTORY OF THESE APPEALS</w:t>
      </w:r>
    </w:p>
    <w:p w14:paraId="334E36C9" w14:textId="5CDDEE66" w:rsidR="0065573C" w:rsidRDefault="0065573C" w:rsidP="00CA4C7F">
      <w:pPr>
        <w:pStyle w:val="ParaNumbering"/>
      </w:pPr>
      <w:r>
        <w:t xml:space="preserve">The underlying subject matter of both appeals concerns several, separate applications made by </w:t>
      </w:r>
      <w:r w:rsidR="00E475C6">
        <w:t>Ms Luck</w:t>
      </w:r>
      <w:r>
        <w:t xml:space="preserve"> in 2005 (in the case of VID</w:t>
      </w:r>
      <w:r w:rsidR="0063205F">
        <w:t> </w:t>
      </w:r>
      <w:r>
        <w:t>898/2008) and 2009 (in the case of VID</w:t>
      </w:r>
      <w:r w:rsidR="0063205F">
        <w:t> </w:t>
      </w:r>
      <w:r>
        <w:t xml:space="preserve">512/2014) </w:t>
      </w:r>
      <w:r w:rsidRPr="000502C3">
        <w:t xml:space="preserve">under the </w:t>
      </w:r>
      <w:r w:rsidRPr="000502C3">
        <w:rPr>
          <w:i/>
          <w:iCs/>
        </w:rPr>
        <w:t xml:space="preserve">Freedom of Information Act 1982 </w:t>
      </w:r>
      <w:r w:rsidRPr="000502C3">
        <w:t>(</w:t>
      </w:r>
      <w:proofErr w:type="spellStart"/>
      <w:r w:rsidRPr="000502C3">
        <w:t>Cth</w:t>
      </w:r>
      <w:proofErr w:type="spellEnd"/>
      <w:r w:rsidRPr="000502C3">
        <w:t>) (</w:t>
      </w:r>
      <w:r w:rsidRPr="000502C3">
        <w:rPr>
          <w:b/>
        </w:rPr>
        <w:t xml:space="preserve">the </w:t>
      </w:r>
      <w:proofErr w:type="spellStart"/>
      <w:r w:rsidRPr="000502C3">
        <w:rPr>
          <w:b/>
        </w:rPr>
        <w:t>FOI</w:t>
      </w:r>
      <w:proofErr w:type="spellEnd"/>
      <w:r w:rsidRPr="000502C3">
        <w:rPr>
          <w:b/>
        </w:rPr>
        <w:t xml:space="preserve"> Act</w:t>
      </w:r>
      <w:r w:rsidRPr="000502C3">
        <w:t xml:space="preserve">) for documents held by </w:t>
      </w:r>
      <w:r>
        <w:t xml:space="preserve">Centrelink and </w:t>
      </w:r>
      <w:r w:rsidRPr="000502C3">
        <w:t>the Department of Human Services</w:t>
      </w:r>
      <w:r>
        <w:t xml:space="preserve"> respectively</w:t>
      </w:r>
      <w:r w:rsidRPr="000502C3">
        <w:t>.</w:t>
      </w:r>
      <w:r w:rsidR="00E475C6">
        <w:t xml:space="preserve"> </w:t>
      </w:r>
      <w:r>
        <w:t xml:space="preserve">Both appeals have been attended by very significant delays </w:t>
      </w:r>
      <w:r w:rsidRPr="000502C3">
        <w:t xml:space="preserve">due to applications made by </w:t>
      </w:r>
      <w:r w:rsidR="00E475C6">
        <w:t>Ms Luck</w:t>
      </w:r>
      <w:r w:rsidRPr="000502C3">
        <w:t xml:space="preserve"> to the High Court and consequent applications by her for </w:t>
      </w:r>
      <w:r>
        <w:t>these appeals</w:t>
      </w:r>
      <w:r w:rsidRPr="000502C3">
        <w:t xml:space="preserve"> to be adjourned pending the outcome of her High Court proceedings.</w:t>
      </w:r>
    </w:p>
    <w:p w14:paraId="5E2F3869" w14:textId="6A4FFFDA" w:rsidR="009F4500" w:rsidRDefault="00E475C6" w:rsidP="00CA4C7F">
      <w:pPr>
        <w:pStyle w:val="ParaNumbering"/>
      </w:pPr>
      <w:r>
        <w:t>Mortimer J</w:t>
      </w:r>
      <w:r w:rsidR="00082E1C">
        <w:t xml:space="preserve"> </w:t>
      </w:r>
      <w:r w:rsidR="00A22C76">
        <w:t xml:space="preserve">was </w:t>
      </w:r>
      <w:r w:rsidR="00082E1C">
        <w:t>assigned to case manage the preparation of the appeals.</w:t>
      </w:r>
      <w:r>
        <w:t xml:space="preserve"> </w:t>
      </w:r>
      <w:r w:rsidR="001F0C0A">
        <w:t>Case management orders were made in both appeals on 30 January 2015 preparing the appeals for hearing</w:t>
      </w:r>
      <w:r w:rsidR="00647673">
        <w:t xml:space="preserve"> in the May 2015 Full Court sittings</w:t>
      </w:r>
      <w:r w:rsidR="001F0C0A">
        <w:t>, including fili</w:t>
      </w:r>
      <w:r w:rsidR="00783E75">
        <w:t>ng submissions and appeal</w:t>
      </w:r>
      <w:r w:rsidR="00A50A81">
        <w:t xml:space="preserve"> books. Both parties cooperated</w:t>
      </w:r>
      <w:r w:rsidR="00783E75">
        <w:t xml:space="preserve"> in the </w:t>
      </w:r>
      <w:r w:rsidR="00CE2B39">
        <w:t xml:space="preserve">making </w:t>
      </w:r>
      <w:r w:rsidR="00783E75">
        <w:t xml:space="preserve">of these case management orders, and the orders were made taking into account </w:t>
      </w:r>
      <w:r>
        <w:t>Ms Luck</w:t>
      </w:r>
      <w:r w:rsidR="00783E75">
        <w:t>’s submissions about the various “accommodations” she needed in order to be able properly to conduct her appeals as a litigant in person and, she submitted, as a person wi</w:t>
      </w:r>
      <w:r>
        <w:t>th disabilities.</w:t>
      </w:r>
    </w:p>
    <w:p w14:paraId="6D747E88" w14:textId="132B2641" w:rsidR="001F0C0A" w:rsidRPr="00E33373" w:rsidRDefault="001F0C0A" w:rsidP="00CA4C7F">
      <w:pPr>
        <w:pStyle w:val="ParaNumbering"/>
      </w:pPr>
      <w:r>
        <w:t xml:space="preserve">As </w:t>
      </w:r>
      <w:r w:rsidR="00473F2B">
        <w:t>at the date of</w:t>
      </w:r>
      <w:r w:rsidR="00AC1DB3">
        <w:t xml:space="preserve"> making our order</w:t>
      </w:r>
      <w:r w:rsidR="00BB589D">
        <w:t>s</w:t>
      </w:r>
      <w:r w:rsidR="00CA4C7F">
        <w:t xml:space="preserve"> dismissing the applications</w:t>
      </w:r>
      <w:r w:rsidR="009F4500">
        <w:t xml:space="preserve">, </w:t>
      </w:r>
      <w:r>
        <w:t xml:space="preserve">while </w:t>
      </w:r>
      <w:r w:rsidR="00E475C6">
        <w:t>Ms Luck</w:t>
      </w:r>
      <w:r>
        <w:t xml:space="preserve"> had filed an outline of submissions in </w:t>
      </w:r>
      <w:r w:rsidR="009F4500">
        <w:t xml:space="preserve">her appeal in </w:t>
      </w:r>
      <w:r>
        <w:t>VID</w:t>
      </w:r>
      <w:r w:rsidR="0063205F">
        <w:t> </w:t>
      </w:r>
      <w:r>
        <w:t xml:space="preserve">512/2014, </w:t>
      </w:r>
      <w:r w:rsidR="009F4500">
        <w:t xml:space="preserve">she has not filed an </w:t>
      </w:r>
      <w:r>
        <w:t xml:space="preserve">outline of </w:t>
      </w:r>
      <w:r w:rsidR="009F4500">
        <w:t xml:space="preserve">her </w:t>
      </w:r>
      <w:r>
        <w:t>su</w:t>
      </w:r>
      <w:r w:rsidR="004E2BA7">
        <w:t>bmissions in VID</w:t>
      </w:r>
      <w:r w:rsidR="0063205F">
        <w:t> </w:t>
      </w:r>
      <w:r w:rsidR="004E2BA7">
        <w:t xml:space="preserve">898/2008. </w:t>
      </w:r>
      <w:r w:rsidR="009F4500">
        <w:t xml:space="preserve">This outline was </w:t>
      </w:r>
      <w:r w:rsidR="00626A08">
        <w:t xml:space="preserve">initially </w:t>
      </w:r>
      <w:r w:rsidR="009F4500">
        <w:t>due on</w:t>
      </w:r>
      <w:r w:rsidR="00E85F90">
        <w:t xml:space="preserve"> 23</w:t>
      </w:r>
      <w:r w:rsidR="00C74371">
        <w:t> </w:t>
      </w:r>
      <w:r w:rsidR="00E85F90">
        <w:t xml:space="preserve">April 2015, with an </w:t>
      </w:r>
      <w:r w:rsidR="00E85F90">
        <w:lastRenderedPageBreak/>
        <w:t>extension subsequently granted on 4</w:t>
      </w:r>
      <w:r w:rsidR="00C74371">
        <w:t> </w:t>
      </w:r>
      <w:r w:rsidR="00E85F90">
        <w:t>May 2015 to</w:t>
      </w:r>
      <w:r w:rsidR="009F4500">
        <w:t xml:space="preserve"> </w:t>
      </w:r>
      <w:r w:rsidR="00E85F90">
        <w:t>13</w:t>
      </w:r>
      <w:r w:rsidR="00C74371">
        <w:t> </w:t>
      </w:r>
      <w:r w:rsidR="00E85F90">
        <w:t xml:space="preserve">May 2015. </w:t>
      </w:r>
      <w:r w:rsidR="00647673">
        <w:t xml:space="preserve">Instead, as events transpired, </w:t>
      </w:r>
      <w:r w:rsidR="00E475C6">
        <w:t>Ms Luck</w:t>
      </w:r>
      <w:r w:rsidR="00647673">
        <w:t xml:space="preserve"> indicated to the Court </w:t>
      </w:r>
      <w:r w:rsidR="0062469B">
        <w:t xml:space="preserve">in her correspondence of </w:t>
      </w:r>
      <w:r w:rsidR="00647673">
        <w:t>1</w:t>
      </w:r>
      <w:r w:rsidR="00C74371">
        <w:t> </w:t>
      </w:r>
      <w:r w:rsidR="00647673">
        <w:t>May 2015 that she was no longer able to undertake any further tasks in these appeals.</w:t>
      </w:r>
      <w:r w:rsidR="00F80B4D">
        <w:t xml:space="preserve"> She confirmed this in a subsequent email to the Victorian Registry of this Court on 18</w:t>
      </w:r>
      <w:r w:rsidR="00890917">
        <w:t> </w:t>
      </w:r>
      <w:r w:rsidR="00F80B4D">
        <w:t>May 2015, to which we refer in more detail at</w:t>
      </w:r>
      <w:r w:rsidR="00E85F90">
        <w:t xml:space="preserve"> </w:t>
      </w:r>
      <w:r w:rsidR="005C2609">
        <w:t>[</w:t>
      </w:r>
      <w:r w:rsidR="00E85F90">
        <w:fldChar w:fldCharType="begin" w:fldLock="1"/>
      </w:r>
      <w:r w:rsidR="00E85F90">
        <w:instrText xml:space="preserve"> REF _Ref419821722 \r \h </w:instrText>
      </w:r>
      <w:r w:rsidR="00E85F90">
        <w:fldChar w:fldCharType="separate"/>
      </w:r>
      <w:r w:rsidR="001B0C2A">
        <w:t>26</w:t>
      </w:r>
      <w:r w:rsidR="00E85F90">
        <w:fldChar w:fldCharType="end"/>
      </w:r>
      <w:r w:rsidR="005C2609">
        <w:t>]</w:t>
      </w:r>
      <w:r w:rsidR="00E85F90">
        <w:t xml:space="preserve"> to </w:t>
      </w:r>
      <w:r w:rsidR="005C2609">
        <w:t>[</w:t>
      </w:r>
      <w:r w:rsidR="00E85F90">
        <w:fldChar w:fldCharType="begin" w:fldLock="1"/>
      </w:r>
      <w:r w:rsidR="00E85F90">
        <w:instrText xml:space="preserve"> REF _Ref419821784 \r \h </w:instrText>
      </w:r>
      <w:r w:rsidR="00E85F90">
        <w:fldChar w:fldCharType="separate"/>
      </w:r>
      <w:r w:rsidR="001B0C2A">
        <w:t>29</w:t>
      </w:r>
      <w:r w:rsidR="00E85F90">
        <w:fldChar w:fldCharType="end"/>
      </w:r>
      <w:r w:rsidR="005C2609">
        <w:t>]</w:t>
      </w:r>
      <w:r w:rsidR="00F80B4D">
        <w:t xml:space="preserve"> below.</w:t>
      </w:r>
      <w:r w:rsidR="00AC1DB3">
        <w:t xml:space="preserve"> On 21</w:t>
      </w:r>
      <w:r w:rsidR="00890917">
        <w:t> </w:t>
      </w:r>
      <w:r w:rsidR="00AC1DB3">
        <w:t xml:space="preserve">May 2015, </w:t>
      </w:r>
      <w:r w:rsidR="00E475C6">
        <w:t>Ms Luck</w:t>
      </w:r>
      <w:r w:rsidR="00AC1DB3">
        <w:t xml:space="preserve"> did not appear when the appeals were called on. The Court proceeded in her absence on these applications. Having made orders on those applications, the Court proceeded to deal w</w:t>
      </w:r>
      <w:r w:rsidR="00890917">
        <w:t>ith the two appeals themselves.</w:t>
      </w:r>
    </w:p>
    <w:p w14:paraId="13199357" w14:textId="0D01C4AF" w:rsidR="0065573C" w:rsidRDefault="0065573C" w:rsidP="00CA4C7F">
      <w:pPr>
        <w:pStyle w:val="Heading2"/>
      </w:pPr>
      <w:r>
        <w:t>Appeal proceeding VID</w:t>
      </w:r>
      <w:r w:rsidR="0063205F">
        <w:t> </w:t>
      </w:r>
      <w:r>
        <w:t>898/2008</w:t>
      </w:r>
    </w:p>
    <w:p w14:paraId="13458D15" w14:textId="53F62CA7" w:rsidR="00A42D6E" w:rsidRDefault="00C665F1" w:rsidP="00CA4C7F">
      <w:pPr>
        <w:pStyle w:val="ParaNumbering"/>
      </w:pPr>
      <w:r>
        <w:t>In appeal proceeding VID</w:t>
      </w:r>
      <w:r w:rsidR="0063205F">
        <w:t> </w:t>
      </w:r>
      <w:r>
        <w:t xml:space="preserve">898/2008, the </w:t>
      </w:r>
      <w:r w:rsidR="001D1AC1">
        <w:t>app</w:t>
      </w:r>
      <w:r w:rsidR="009A4BC7">
        <w:t>ell</w:t>
      </w:r>
      <w:r w:rsidR="001D1AC1">
        <w:t xml:space="preserve">ant </w:t>
      </w:r>
      <w:r>
        <w:t xml:space="preserve">appeals from the judgment of a single judge of this Court, </w:t>
      </w:r>
      <w:r w:rsidR="00C74371">
        <w:t>Tracey J</w:t>
      </w:r>
      <w:r>
        <w:t>, on 8</w:t>
      </w:r>
      <w:r w:rsidR="00890917">
        <w:t> </w:t>
      </w:r>
      <w:r>
        <w:t xml:space="preserve">October 2008: </w:t>
      </w:r>
      <w:r>
        <w:rPr>
          <w:i/>
        </w:rPr>
        <w:t xml:space="preserve">Luck v Chief Executive Officer of Centrelink </w:t>
      </w:r>
      <w:r>
        <w:t xml:space="preserve">[2008] </w:t>
      </w:r>
      <w:proofErr w:type="spellStart"/>
      <w:r>
        <w:t>FCA</w:t>
      </w:r>
      <w:proofErr w:type="spellEnd"/>
      <w:r>
        <w:t xml:space="preserve"> 1506.</w:t>
      </w:r>
      <w:r w:rsidR="00E475C6">
        <w:t xml:space="preserve"> </w:t>
      </w:r>
      <w:r>
        <w:t>The underlying proceeding concerns a proposed appeal under s 44 of the</w:t>
      </w:r>
      <w:r w:rsidRPr="00FA3BC4">
        <w:rPr>
          <w:i/>
        </w:rPr>
        <w:t xml:space="preserve"> </w:t>
      </w:r>
      <w:r w:rsidRPr="007F0DDA">
        <w:rPr>
          <w:i/>
        </w:rPr>
        <w:t>Administrative Appeals Tribunal Act 1975</w:t>
      </w:r>
      <w:r w:rsidRPr="007F0DDA">
        <w:t xml:space="preserve"> (</w:t>
      </w:r>
      <w:proofErr w:type="spellStart"/>
      <w:r w:rsidRPr="007F0DDA">
        <w:t>Cth</w:t>
      </w:r>
      <w:proofErr w:type="spellEnd"/>
      <w:r w:rsidRPr="007F0DDA">
        <w:t>)</w:t>
      </w:r>
      <w:r>
        <w:t xml:space="preserve"> (</w:t>
      </w:r>
      <w:r>
        <w:rPr>
          <w:b/>
        </w:rPr>
        <w:t>AAT Act</w:t>
      </w:r>
      <w:r>
        <w:t xml:space="preserve">) and a proposed application under the </w:t>
      </w:r>
      <w:r>
        <w:rPr>
          <w:i/>
        </w:rPr>
        <w:t xml:space="preserve">Administrative Decisions (Judicial Review) Act 1977 </w:t>
      </w:r>
      <w:r w:rsidRPr="006C35D1">
        <w:t>(</w:t>
      </w:r>
      <w:proofErr w:type="spellStart"/>
      <w:r w:rsidRPr="006C35D1">
        <w:t>Cth</w:t>
      </w:r>
      <w:proofErr w:type="spellEnd"/>
      <w:r>
        <w:t>) (</w:t>
      </w:r>
      <w:r>
        <w:rPr>
          <w:b/>
        </w:rPr>
        <w:t>AD(JR) Act</w:t>
      </w:r>
      <w:r>
        <w:t>)</w:t>
      </w:r>
      <w:r w:rsidRPr="007F0DDA">
        <w:t>.</w:t>
      </w:r>
      <w:r w:rsidR="00E475C6">
        <w:t xml:space="preserve"> </w:t>
      </w:r>
      <w:r w:rsidR="00AC1DB3">
        <w:t xml:space="preserve">There is a question, raised by the respondent, whether </w:t>
      </w:r>
      <w:r w:rsidR="00E475C6">
        <w:t>Ms Luck</w:t>
      </w:r>
      <w:r w:rsidR="00AC1DB3">
        <w:t xml:space="preserve"> needs leav</w:t>
      </w:r>
      <w:r w:rsidR="00890917">
        <w:t>e to appeal in this proceeding.</w:t>
      </w:r>
    </w:p>
    <w:p w14:paraId="0926BFDC" w14:textId="37CACA10" w:rsidR="00C665F1" w:rsidRDefault="00A42D6E" w:rsidP="00CA4C7F">
      <w:pPr>
        <w:pStyle w:val="ParaNumbering"/>
      </w:pPr>
      <w:r>
        <w:t>The</w:t>
      </w:r>
      <w:r w:rsidR="00C665F1">
        <w:t xml:space="preserve"> primary judge refused an application by </w:t>
      </w:r>
      <w:r w:rsidR="00E475C6">
        <w:t>Ms Luck</w:t>
      </w:r>
      <w:r w:rsidR="00C665F1">
        <w:t xml:space="preserve"> for an extension of time within which to appeal against and seek </w:t>
      </w:r>
      <w:r>
        <w:t xml:space="preserve">judicial </w:t>
      </w:r>
      <w:r w:rsidR="00C665F1">
        <w:t>review of certain decisions and determinations made by the Administrative Appeals Tribunal on 13</w:t>
      </w:r>
      <w:r w:rsidR="00F33550">
        <w:t> </w:t>
      </w:r>
      <w:r w:rsidR="00C665F1">
        <w:t>May 2008, on the basis that the proposed appeal</w:t>
      </w:r>
      <w:r w:rsidR="005C2609">
        <w:t xml:space="preserve"> </w:t>
      </w:r>
      <w:r w:rsidR="00BB589D">
        <w:t>was bound to fail and</w:t>
      </w:r>
      <w:r w:rsidR="005C2609">
        <w:t xml:space="preserve"> the </w:t>
      </w:r>
      <w:r w:rsidR="00C665F1">
        <w:t>application</w:t>
      </w:r>
      <w:r w:rsidR="005C2609">
        <w:t xml:space="preserve"> under the AD(JR) Act</w:t>
      </w:r>
      <w:r w:rsidR="00C665F1">
        <w:t xml:space="preserve"> had no reasonable prospects of success.</w:t>
      </w:r>
      <w:r w:rsidR="00E475C6">
        <w:t xml:space="preserve"> </w:t>
      </w:r>
      <w:r w:rsidR="0065573C">
        <w:t xml:space="preserve">The present appeal, and the </w:t>
      </w:r>
      <w:r>
        <w:t xml:space="preserve">originating process </w:t>
      </w:r>
      <w:r w:rsidR="0065573C">
        <w:t xml:space="preserve">before the primary judge for an extension of time, arises in the unusual circumstances of the Tribunal having not yet proceeded to a final hearing of </w:t>
      </w:r>
      <w:r w:rsidR="00E475C6">
        <w:t>Ms Luck</w:t>
      </w:r>
      <w:r w:rsidR="0065573C">
        <w:t xml:space="preserve">’s </w:t>
      </w:r>
      <w:proofErr w:type="spellStart"/>
      <w:r>
        <w:t>FOI</w:t>
      </w:r>
      <w:proofErr w:type="spellEnd"/>
      <w:r>
        <w:t xml:space="preserve"> </w:t>
      </w:r>
      <w:r w:rsidR="0065573C">
        <w:t>review application.</w:t>
      </w:r>
      <w:r w:rsidR="00E475C6">
        <w:t xml:space="preserve"> </w:t>
      </w:r>
      <w:r w:rsidR="0065573C">
        <w:t xml:space="preserve">That is because what </w:t>
      </w:r>
      <w:r w:rsidR="00E475C6">
        <w:t>Ms Luck</w:t>
      </w:r>
      <w:r w:rsidR="0065573C">
        <w:t xml:space="preserve"> has sought to appeal and </w:t>
      </w:r>
      <w:r w:rsidR="00647673">
        <w:t xml:space="preserve">have reviewed in this Court </w:t>
      </w:r>
      <w:r w:rsidR="0065573C">
        <w:t>are directions made by the Tribunal seeking to prep</w:t>
      </w:r>
      <w:r w:rsidR="00647673">
        <w:t xml:space="preserve">are the </w:t>
      </w:r>
      <w:r>
        <w:t>merits review</w:t>
      </w:r>
      <w:r w:rsidR="00647673">
        <w:t xml:space="preserve"> for hearing,</w:t>
      </w:r>
      <w:r w:rsidR="0065573C">
        <w:t xml:space="preserve"> refusal of leave</w:t>
      </w:r>
      <w:r w:rsidR="00647673">
        <w:t xml:space="preserve"> by the Tribunal</w:t>
      </w:r>
      <w:r w:rsidR="0065573C">
        <w:t xml:space="preserve"> to amend her originating </w:t>
      </w:r>
      <w:r>
        <w:t xml:space="preserve">merits review </w:t>
      </w:r>
      <w:r w:rsidR="0065573C">
        <w:t>application and certain other procedural decisions taken by the Tribunal.</w:t>
      </w:r>
    </w:p>
    <w:p w14:paraId="6051C50C" w14:textId="5A0AEA7F" w:rsidR="0065573C" w:rsidRDefault="001C31BF" w:rsidP="00CA4C7F">
      <w:pPr>
        <w:pStyle w:val="ParaNumbering"/>
      </w:pPr>
      <w:r>
        <w:t>The VID</w:t>
      </w:r>
      <w:r w:rsidR="0063205F">
        <w:t> </w:t>
      </w:r>
      <w:r>
        <w:t>898/2008</w:t>
      </w:r>
      <w:r w:rsidR="0065573C">
        <w:t xml:space="preserve"> appeal was first listed by order of Ryan J dated 3</w:t>
      </w:r>
      <w:r w:rsidR="00F33550">
        <w:t> </w:t>
      </w:r>
      <w:r w:rsidR="0065573C">
        <w:t>February 2009 for hearing by the Full Court in the May 2009 sittings.</w:t>
      </w:r>
      <w:r w:rsidR="00E475C6">
        <w:t xml:space="preserve"> </w:t>
      </w:r>
      <w:r w:rsidR="0065573C">
        <w:t xml:space="preserve">The hearing of this appeal has subsequently been relisted or adjourned on no fewer than five occasions: by order of </w:t>
      </w:r>
      <w:r w:rsidR="007363BC">
        <w:t>Gray </w:t>
      </w:r>
      <w:r w:rsidR="0065573C">
        <w:t xml:space="preserve">J in April 2009 listing the appeal for hearing in the August 2009 sittings; by order of Finn, </w:t>
      </w:r>
      <w:proofErr w:type="spellStart"/>
      <w:r w:rsidR="0065573C">
        <w:t>Sundberg</w:t>
      </w:r>
      <w:proofErr w:type="spellEnd"/>
      <w:r w:rsidR="0065573C">
        <w:t xml:space="preserve"> and Edmonds </w:t>
      </w:r>
      <w:proofErr w:type="spellStart"/>
      <w:r w:rsidR="0065573C">
        <w:t>JJ</w:t>
      </w:r>
      <w:proofErr w:type="spellEnd"/>
      <w:r w:rsidR="0065573C">
        <w:t xml:space="preserve"> in July 2009 listing the appeal for hearing in the November 2009 sittings; by order of Jacobson, Gordon and Jagot</w:t>
      </w:r>
      <w:r w:rsidR="00F33550">
        <w:t> </w:t>
      </w:r>
      <w:proofErr w:type="spellStart"/>
      <w:r w:rsidR="00E85F90">
        <w:t>J</w:t>
      </w:r>
      <w:r w:rsidR="0065573C">
        <w:t>J</w:t>
      </w:r>
      <w:proofErr w:type="spellEnd"/>
      <w:r w:rsidR="0065573C">
        <w:t xml:space="preserve"> in November 2009 adjourning the appeal </w:t>
      </w:r>
      <w:r w:rsidR="0065573C">
        <w:lastRenderedPageBreak/>
        <w:t>to a date to be fixed following the determination of a High Court</w:t>
      </w:r>
      <w:r>
        <w:t xml:space="preserve"> removal</w:t>
      </w:r>
      <w:r w:rsidR="0065573C">
        <w:t xml:space="preserve"> proceeding brought by </w:t>
      </w:r>
      <w:r w:rsidR="00E475C6">
        <w:t>Ms Luck</w:t>
      </w:r>
      <w:r w:rsidR="0065573C">
        <w:t xml:space="preserve"> in 2009; by order of Gray J in April 2012 further adjourning or staying the appeal pending the determination of other High Court proceedings brought by </w:t>
      </w:r>
      <w:r w:rsidR="00E475C6">
        <w:t>Ms Luck</w:t>
      </w:r>
      <w:r w:rsidR="0065573C">
        <w:t xml:space="preserve"> in 2012; and by order of Marshall J in October 2013 adjourning the hearing of this appeal still further pending the hearing and determination of a further High Court proceeding brought by </w:t>
      </w:r>
      <w:r w:rsidR="00E475C6">
        <w:t>Ms Luck</w:t>
      </w:r>
      <w:r w:rsidR="0065573C">
        <w:t xml:space="preserve"> in 2013</w:t>
      </w:r>
      <w:r>
        <w:t>. In</w:t>
      </w:r>
      <w:r w:rsidR="003E0E35">
        <w:t xml:space="preserve"> each case the reason for the adjournment has been an application by </w:t>
      </w:r>
      <w:r w:rsidR="00E475C6">
        <w:t>Ms Luck</w:t>
      </w:r>
      <w:r w:rsidR="003E0E35">
        <w:t xml:space="preserve">, or </w:t>
      </w:r>
      <w:r>
        <w:t xml:space="preserve">because of </w:t>
      </w:r>
      <w:r w:rsidR="003E0E35">
        <w:t xml:space="preserve">other proceedings initiated by </w:t>
      </w:r>
      <w:r w:rsidR="00E475C6">
        <w:t>Ms Luck</w:t>
      </w:r>
      <w:r w:rsidR="003E0E35">
        <w:t>.</w:t>
      </w:r>
    </w:p>
    <w:p w14:paraId="161E811E" w14:textId="7F63BF23" w:rsidR="0065573C" w:rsidRDefault="0065573C" w:rsidP="00CA4C7F">
      <w:pPr>
        <w:pStyle w:val="Heading2"/>
      </w:pPr>
      <w:r>
        <w:t>Appeal proceeding VID</w:t>
      </w:r>
      <w:r w:rsidR="0063205F">
        <w:t> </w:t>
      </w:r>
      <w:r>
        <w:t>512/2014</w:t>
      </w:r>
    </w:p>
    <w:p w14:paraId="74B19BB2" w14:textId="43A367F9" w:rsidR="00397405" w:rsidRDefault="00C665F1" w:rsidP="00CA4C7F">
      <w:pPr>
        <w:pStyle w:val="ParaNumbering"/>
      </w:pPr>
      <w:r>
        <w:t>In appeal proceeding VID</w:t>
      </w:r>
      <w:r w:rsidR="0063205F">
        <w:t> </w:t>
      </w:r>
      <w:r>
        <w:t xml:space="preserve">512/2014, </w:t>
      </w:r>
      <w:r w:rsidR="00E475C6">
        <w:t>Ms Luck</w:t>
      </w:r>
      <w:r w:rsidR="001D1AC1">
        <w:t xml:space="preserve"> </w:t>
      </w:r>
      <w:r>
        <w:t>appeals from orders dated 30</w:t>
      </w:r>
      <w:r w:rsidR="00F33550">
        <w:t> </w:t>
      </w:r>
      <w:r>
        <w:t>July 2014, in a separate proceeding</w:t>
      </w:r>
      <w:r w:rsidR="005C2609">
        <w:t xml:space="preserve">: </w:t>
      </w:r>
      <w:r w:rsidR="005C2609">
        <w:rPr>
          <w:i/>
        </w:rPr>
        <w:t xml:space="preserve">Luck v Secretary, Department of Human Services (No 2) </w:t>
      </w:r>
      <w:r w:rsidR="005C2609">
        <w:t xml:space="preserve">[2014] </w:t>
      </w:r>
      <w:proofErr w:type="spellStart"/>
      <w:r w:rsidR="005C2609">
        <w:t>FCA</w:t>
      </w:r>
      <w:proofErr w:type="spellEnd"/>
      <w:r w:rsidR="005C2609">
        <w:t xml:space="preserve"> 798</w:t>
      </w:r>
      <w:r>
        <w:t>.</w:t>
      </w:r>
      <w:r w:rsidR="00E475C6">
        <w:t xml:space="preserve"> </w:t>
      </w:r>
      <w:r w:rsidR="003E0E35">
        <w:t xml:space="preserve">These orders were made by </w:t>
      </w:r>
      <w:r w:rsidR="00C74371">
        <w:t>Tracey J</w:t>
      </w:r>
      <w:r w:rsidR="003E0E35">
        <w:t xml:space="preserve">, this proceeding having also been allocated to his Honour’s docket. </w:t>
      </w:r>
      <w:r w:rsidRPr="007F0DDA">
        <w:t xml:space="preserve">The proceeding in which the orders were made </w:t>
      </w:r>
      <w:r w:rsidR="00A22C76">
        <w:t>was</w:t>
      </w:r>
      <w:r w:rsidR="00A22C76" w:rsidRPr="007F0DDA">
        <w:t xml:space="preserve"> </w:t>
      </w:r>
      <w:r w:rsidRPr="007F0DDA">
        <w:t>an appeal under s</w:t>
      </w:r>
      <w:r w:rsidR="00F33550">
        <w:t> </w:t>
      </w:r>
      <w:r w:rsidRPr="007F0DDA">
        <w:t xml:space="preserve">44 of </w:t>
      </w:r>
      <w:r w:rsidR="009F7526">
        <w:t xml:space="preserve">the </w:t>
      </w:r>
      <w:r>
        <w:t>AAT Act</w:t>
      </w:r>
      <w:r w:rsidRPr="007F0DDA">
        <w:t xml:space="preserve">. </w:t>
      </w:r>
      <w:r w:rsidR="00397405">
        <w:t xml:space="preserve">His Honour </w:t>
      </w:r>
      <w:r w:rsidR="00397405" w:rsidRPr="007F0DDA">
        <w:t xml:space="preserve">dismissed an interlocutory application by </w:t>
      </w:r>
      <w:r w:rsidR="00E475C6">
        <w:t>Ms Luck</w:t>
      </w:r>
      <w:r w:rsidR="00397405" w:rsidRPr="007F0DDA">
        <w:t xml:space="preserve"> for a stay and adjournment of her proceeding.</w:t>
      </w:r>
      <w:r w:rsidR="00E475C6">
        <w:t xml:space="preserve"> </w:t>
      </w:r>
      <w:r w:rsidR="00397405" w:rsidRPr="007F0DDA">
        <w:t xml:space="preserve">He also dismissed her </w:t>
      </w:r>
      <w:r w:rsidR="00397405">
        <w:t>s</w:t>
      </w:r>
      <w:r w:rsidR="00036AE5">
        <w:t> </w:t>
      </w:r>
      <w:r w:rsidR="00397405">
        <w:t xml:space="preserve">44 </w:t>
      </w:r>
      <w:r w:rsidR="00397405" w:rsidRPr="007F0DDA">
        <w:t xml:space="preserve">appeal on the basis of upholding the first respondent’s objection </w:t>
      </w:r>
      <w:r w:rsidR="00397405">
        <w:t xml:space="preserve">to the competency of the appeal, finding that </w:t>
      </w:r>
      <w:r w:rsidR="00E475C6">
        <w:t>Ms Luck</w:t>
      </w:r>
      <w:r w:rsidR="00397405">
        <w:t xml:space="preserve">’s notice of appeal did not identify any questions of law and therefore the Court had no </w:t>
      </w:r>
      <w:r w:rsidR="00684182">
        <w:t>jurisdiction</w:t>
      </w:r>
      <w:r w:rsidR="00F33550">
        <w:t>.</w:t>
      </w:r>
    </w:p>
    <w:p w14:paraId="076CAD13" w14:textId="762F64E2" w:rsidR="004F7842" w:rsidRDefault="00397405" w:rsidP="00CA4C7F">
      <w:pPr>
        <w:pStyle w:val="ParaNumbering"/>
      </w:pPr>
      <w:r>
        <w:t>The</w:t>
      </w:r>
      <w:r w:rsidR="004F7842">
        <w:t xml:space="preserve"> </w:t>
      </w:r>
      <w:r>
        <w:t>Tribunal</w:t>
      </w:r>
      <w:r w:rsidR="004F7842">
        <w:t xml:space="preserve"> had </w:t>
      </w:r>
      <w:r>
        <w:t xml:space="preserve">decided, after the respondent had raised the matter, that it did not have jurisdiction to review the decisions </w:t>
      </w:r>
      <w:r w:rsidR="00E475C6">
        <w:t>Ms Luck</w:t>
      </w:r>
      <w:r>
        <w:t xml:space="preserve"> had identified in her review application to the Tribunal. The Tribunal’s decision was taken in the midst of injunction and stay applications against the Tribunal and its officers by </w:t>
      </w:r>
      <w:r w:rsidR="00E475C6">
        <w:t>Ms Luck</w:t>
      </w:r>
      <w:r>
        <w:t xml:space="preserve"> in the High Co</w:t>
      </w:r>
      <w:r w:rsidR="00AE52D9">
        <w:t>urt. These events are recounted</w:t>
      </w:r>
      <w:r>
        <w:t xml:space="preserve"> in more in detail in the decision on </w:t>
      </w:r>
      <w:r w:rsidR="00E475C6">
        <w:t>Ms Luck</w:t>
      </w:r>
      <w:r>
        <w:t xml:space="preserve">’s application for leave to appeal from </w:t>
      </w:r>
      <w:r w:rsidR="00C74371">
        <w:t>Tracey J</w:t>
      </w:r>
      <w:r>
        <w:t xml:space="preserve">’s orders, decided by </w:t>
      </w:r>
      <w:r w:rsidR="00E475C6">
        <w:t>Mortimer J</w:t>
      </w:r>
      <w:r>
        <w:t xml:space="preserve"> in </w:t>
      </w:r>
      <w:r w:rsidR="00531B90">
        <w:t xml:space="preserve">October </w:t>
      </w:r>
      <w:r>
        <w:t xml:space="preserve">2014, which led to this appeal, albeit with the grounds available to </w:t>
      </w:r>
      <w:r w:rsidR="00E475C6">
        <w:t>Ms Luck</w:t>
      </w:r>
      <w:r>
        <w:t xml:space="preserve"> being limited by </w:t>
      </w:r>
      <w:r w:rsidR="00E475C6">
        <w:t>Mortimer J</w:t>
      </w:r>
      <w:r>
        <w:t xml:space="preserve">’s grant of leave: see </w:t>
      </w:r>
      <w:r w:rsidRPr="000502C3">
        <w:rPr>
          <w:i/>
        </w:rPr>
        <w:t>Luck v Secretary, Department of Human Services</w:t>
      </w:r>
      <w:r w:rsidRPr="000502C3">
        <w:t xml:space="preserve"> [2014] </w:t>
      </w:r>
      <w:proofErr w:type="spellStart"/>
      <w:r w:rsidRPr="000502C3">
        <w:t>FCA</w:t>
      </w:r>
      <w:proofErr w:type="spellEnd"/>
      <w:r w:rsidRPr="000502C3">
        <w:t xml:space="preserve"> 1060</w:t>
      </w:r>
      <w:r>
        <w:t>.</w:t>
      </w:r>
    </w:p>
    <w:p w14:paraId="63F5C71C" w14:textId="238EA542" w:rsidR="004C26E8" w:rsidRPr="00C665F1" w:rsidRDefault="0012192A" w:rsidP="00CA4C7F">
      <w:pPr>
        <w:pStyle w:val="ParaNumbering"/>
      </w:pPr>
      <w:r>
        <w:t>A</w:t>
      </w:r>
      <w:r w:rsidR="00E85F90">
        <w:t>s in VID</w:t>
      </w:r>
      <w:r w:rsidR="0063205F">
        <w:t> </w:t>
      </w:r>
      <w:r w:rsidR="00684182">
        <w:t xml:space="preserve">898/2008, in </w:t>
      </w:r>
      <w:r w:rsidR="004C26E8">
        <w:t>VID</w:t>
      </w:r>
      <w:r w:rsidR="0063205F">
        <w:t> </w:t>
      </w:r>
      <w:r w:rsidR="004C26E8">
        <w:t>512/2014, u</w:t>
      </w:r>
      <w:r w:rsidR="004C26E8" w:rsidRPr="000502C3">
        <w:t xml:space="preserve">ntil the orders </w:t>
      </w:r>
      <w:r w:rsidR="004C26E8">
        <w:t>made on 30</w:t>
      </w:r>
      <w:r w:rsidR="00F33550">
        <w:t> </w:t>
      </w:r>
      <w:r w:rsidR="004C26E8">
        <w:t xml:space="preserve">July 2014 </w:t>
      </w:r>
      <w:r w:rsidR="004C26E8" w:rsidRPr="000502C3">
        <w:t xml:space="preserve">which are the subject of </w:t>
      </w:r>
      <w:r w:rsidR="001835A0">
        <w:t>this</w:t>
      </w:r>
      <w:r w:rsidR="004C26E8">
        <w:t xml:space="preserve"> appeal</w:t>
      </w:r>
      <w:r w:rsidR="004C26E8" w:rsidRPr="000502C3">
        <w:t xml:space="preserve">, the Court and the first respondent </w:t>
      </w:r>
      <w:r w:rsidR="004C26E8">
        <w:t>had</w:t>
      </w:r>
      <w:r w:rsidR="004C26E8" w:rsidRPr="000502C3">
        <w:t xml:space="preserve"> accommodated </w:t>
      </w:r>
      <w:r w:rsidR="00E475C6">
        <w:t>Ms Luck</w:t>
      </w:r>
      <w:r w:rsidR="00684182">
        <w:t>’s</w:t>
      </w:r>
      <w:r w:rsidR="004C26E8" w:rsidRPr="000502C3">
        <w:t xml:space="preserve"> requests about the timing </w:t>
      </w:r>
      <w:r w:rsidR="00684182">
        <w:t xml:space="preserve">and manner with which this Court should deal with </w:t>
      </w:r>
      <w:r w:rsidR="00A22C76">
        <w:t xml:space="preserve">this </w:t>
      </w:r>
      <w:r w:rsidR="00684182">
        <w:t>proceeding.</w:t>
      </w:r>
      <w:r w:rsidR="005F5AE5">
        <w:t xml:space="preserve"> The nature and extent of these </w:t>
      </w:r>
      <w:r w:rsidR="008F1C95">
        <w:t xml:space="preserve">extensive </w:t>
      </w:r>
      <w:r w:rsidR="005F5AE5">
        <w:t xml:space="preserve">accommodations is set out in </w:t>
      </w:r>
      <w:r w:rsidR="00E475C6">
        <w:t>Mortimer J</w:t>
      </w:r>
      <w:r w:rsidR="005F5AE5">
        <w:t xml:space="preserve">’s decision at [15]-[17], as well as in </w:t>
      </w:r>
      <w:r w:rsidR="00C74371">
        <w:t>Tracey J</w:t>
      </w:r>
      <w:r w:rsidR="005F5AE5">
        <w:t>’s original reasons</w:t>
      </w:r>
      <w:r w:rsidR="00684182">
        <w:t xml:space="preserve"> </w:t>
      </w:r>
      <w:r w:rsidR="004D7BA3">
        <w:t>(</w:t>
      </w:r>
      <w:r w:rsidR="004976CC">
        <w:t xml:space="preserve">see </w:t>
      </w:r>
      <w:r w:rsidR="00E85F90">
        <w:rPr>
          <w:i/>
        </w:rPr>
        <w:t>Luck v Secretary, Department of Human Services</w:t>
      </w:r>
      <w:r w:rsidR="002C4772">
        <w:rPr>
          <w:i/>
        </w:rPr>
        <w:t xml:space="preserve"> (No 2)</w:t>
      </w:r>
      <w:r w:rsidR="00E85F90">
        <w:t xml:space="preserve"> </w:t>
      </w:r>
      <w:r w:rsidR="00154889">
        <w:t xml:space="preserve">[2014] </w:t>
      </w:r>
      <w:proofErr w:type="spellStart"/>
      <w:r w:rsidR="00154889">
        <w:t>FCA</w:t>
      </w:r>
      <w:proofErr w:type="spellEnd"/>
      <w:r w:rsidR="00154889">
        <w:t xml:space="preserve"> 798 </w:t>
      </w:r>
      <w:r w:rsidR="004976CC">
        <w:t>at [8]-[10] and the attached chronology).</w:t>
      </w:r>
    </w:p>
    <w:p w14:paraId="5A9182BB" w14:textId="7043468A" w:rsidR="00A447FC" w:rsidRDefault="00A447FC" w:rsidP="00A447FC">
      <w:pPr>
        <w:pStyle w:val="Heading1"/>
      </w:pPr>
      <w:r>
        <w:lastRenderedPageBreak/>
        <w:t>THE APPELLANT’S APPLICATIONS FOR STAY AND ADJOURNMENT OF THESE APPEALS</w:t>
      </w:r>
    </w:p>
    <w:p w14:paraId="13589606" w14:textId="468DEF52" w:rsidR="002D46B0" w:rsidRDefault="00E475C6" w:rsidP="00CA4C7F">
      <w:pPr>
        <w:pStyle w:val="Heading2"/>
      </w:pPr>
      <w:r>
        <w:t>Ms Luck</w:t>
      </w:r>
      <w:r w:rsidR="002D46B0">
        <w:t>’s first application</w:t>
      </w:r>
      <w:r w:rsidR="00C81A3D">
        <w:t>s</w:t>
      </w:r>
      <w:r w:rsidR="002D46B0">
        <w:t xml:space="preserve"> for stay or adjournment</w:t>
      </w:r>
    </w:p>
    <w:p w14:paraId="22B02B67" w14:textId="4451BC93" w:rsidR="00F30D07" w:rsidRDefault="00B620BA" w:rsidP="00CA4C7F">
      <w:pPr>
        <w:pStyle w:val="ParaNumbering"/>
      </w:pPr>
      <w:r>
        <w:t xml:space="preserve">On 21 April 2015, </w:t>
      </w:r>
      <w:r w:rsidR="00E475C6">
        <w:t>Ms Luck</w:t>
      </w:r>
      <w:r>
        <w:t xml:space="preserve"> filed application</w:t>
      </w:r>
      <w:r w:rsidR="000721FF">
        <w:t>s</w:t>
      </w:r>
      <w:r>
        <w:t xml:space="preserve"> in the Melbourne Registry of the High Court to remove </w:t>
      </w:r>
      <w:r w:rsidR="000721FF">
        <w:t xml:space="preserve">the present two appeals (together with other proceedings commenced by </w:t>
      </w:r>
      <w:r w:rsidR="00E475C6">
        <w:t>Ms Luck</w:t>
      </w:r>
      <w:r w:rsidR="000721FF">
        <w:t xml:space="preserve"> in this Court)</w:t>
      </w:r>
      <w:r>
        <w:t xml:space="preserve"> to the High </w:t>
      </w:r>
      <w:r w:rsidR="008D673D">
        <w:t>Court</w:t>
      </w:r>
      <w:r>
        <w:t xml:space="preserve"> pursuant to s 40 of the</w:t>
      </w:r>
      <w:r w:rsidRPr="00B620BA">
        <w:t xml:space="preserve"> </w:t>
      </w:r>
      <w:r w:rsidRPr="000721FF">
        <w:rPr>
          <w:i/>
        </w:rPr>
        <w:t xml:space="preserve">Judiciary Act 1903 </w:t>
      </w:r>
      <w:r>
        <w:t>(</w:t>
      </w:r>
      <w:proofErr w:type="spellStart"/>
      <w:r>
        <w:t>Cth</w:t>
      </w:r>
      <w:proofErr w:type="spellEnd"/>
      <w:r>
        <w:t>)</w:t>
      </w:r>
      <w:r w:rsidR="00753D25">
        <w:t xml:space="preserve"> (</w:t>
      </w:r>
      <w:r w:rsidR="00753D25">
        <w:rPr>
          <w:b/>
        </w:rPr>
        <w:t>Judiciary Act</w:t>
      </w:r>
      <w:r w:rsidR="00753D25">
        <w:t>)</w:t>
      </w:r>
      <w:r w:rsidR="004D7BA3">
        <w:t xml:space="preserve">. </w:t>
      </w:r>
      <w:r w:rsidR="00F30D07">
        <w:t xml:space="preserve">The timing of these removal applications by </w:t>
      </w:r>
      <w:r w:rsidR="00E475C6">
        <w:t>Ms Luck</w:t>
      </w:r>
      <w:r w:rsidR="00F30D07">
        <w:t xml:space="preserve"> should be noted: they were made well into the final stages of preparation for the hearing of the</w:t>
      </w:r>
      <w:r w:rsidR="00A22C76">
        <w:t>se</w:t>
      </w:r>
      <w:r w:rsidR="00F30D07">
        <w:t xml:space="preserve"> appeals, and only a month before the date allocated f</w:t>
      </w:r>
      <w:r w:rsidR="00E475C6">
        <w:t>or the hearing of the appeals.</w:t>
      </w:r>
    </w:p>
    <w:p w14:paraId="2D91E5FE" w14:textId="146CB33F" w:rsidR="004D7BA3" w:rsidRPr="00523A01" w:rsidRDefault="00E475C6" w:rsidP="00CA4C7F">
      <w:pPr>
        <w:pStyle w:val="ParaNumbering"/>
      </w:pPr>
      <w:r>
        <w:t>Ms Luck</w:t>
      </w:r>
      <w:r w:rsidR="004D7BA3" w:rsidRPr="00523A01">
        <w:t xml:space="preserve"> also sought from the High Court </w:t>
      </w:r>
      <w:r w:rsidR="00647673" w:rsidRPr="00523A01">
        <w:t>the stay or adjournment of these</w:t>
      </w:r>
      <w:r w:rsidR="00D01EBA" w:rsidRPr="00523A01">
        <w:t xml:space="preserve"> appeal</w:t>
      </w:r>
      <w:r w:rsidR="00647673" w:rsidRPr="00523A01">
        <w:t>s</w:t>
      </w:r>
      <w:r w:rsidR="00D01EBA" w:rsidRPr="00523A01">
        <w:t xml:space="preserve"> pending the hearing and determination of </w:t>
      </w:r>
      <w:r w:rsidR="004D7BA3" w:rsidRPr="00523A01">
        <w:t>her</w:t>
      </w:r>
      <w:r w:rsidR="00D01EBA" w:rsidRPr="00523A01">
        <w:t xml:space="preserve"> application for special leave to appeal to the High Court in respect of other proceedings in this Court brought by </w:t>
      </w:r>
      <w:r>
        <w:t>Ms Luck</w:t>
      </w:r>
      <w:r w:rsidR="00D01EBA" w:rsidRPr="00523A01">
        <w:t xml:space="preserve"> and </w:t>
      </w:r>
      <w:r w:rsidR="004D7BA3" w:rsidRPr="00523A01">
        <w:t xml:space="preserve">also </w:t>
      </w:r>
      <w:r w:rsidR="00D01EBA" w:rsidRPr="00523A01">
        <w:t xml:space="preserve">determined by </w:t>
      </w:r>
      <w:r w:rsidR="00C74371">
        <w:t>Tracey J</w:t>
      </w:r>
      <w:r w:rsidR="004D7BA3" w:rsidRPr="00523A01">
        <w:t xml:space="preserve"> </w:t>
      </w:r>
      <w:r w:rsidR="009F7CE2" w:rsidRPr="00523A01">
        <w:t>(</w:t>
      </w:r>
      <w:r w:rsidR="009F7CE2" w:rsidRPr="00523A01">
        <w:rPr>
          <w:i/>
        </w:rPr>
        <w:t xml:space="preserve">Luck v University of Southern Queensland (No 2) </w:t>
      </w:r>
      <w:r w:rsidR="009F7CE2" w:rsidRPr="00523A01">
        <w:t xml:space="preserve">[2013] </w:t>
      </w:r>
      <w:proofErr w:type="spellStart"/>
      <w:r w:rsidR="009F7CE2" w:rsidRPr="00523A01">
        <w:t>FCA</w:t>
      </w:r>
      <w:proofErr w:type="spellEnd"/>
      <w:r w:rsidR="009F7CE2" w:rsidRPr="00523A01">
        <w:t xml:space="preserve"> 1141; from which </w:t>
      </w:r>
      <w:r>
        <w:t>Ms Luck</w:t>
      </w:r>
      <w:r w:rsidR="009F7CE2" w:rsidRPr="00523A01">
        <w:t xml:space="preserve"> appealed unsuccessfully to the Full Court of this Court: </w:t>
      </w:r>
      <w:r w:rsidR="009F7CE2" w:rsidRPr="00523A01">
        <w:rPr>
          <w:i/>
        </w:rPr>
        <w:t xml:space="preserve">Luck v University of Southern Queensland </w:t>
      </w:r>
      <w:r w:rsidR="009F7CE2" w:rsidRPr="00523A01">
        <w:t xml:space="preserve">[2014] </w:t>
      </w:r>
      <w:proofErr w:type="spellStart"/>
      <w:r w:rsidR="009F7CE2" w:rsidRPr="00523A01">
        <w:t>FCAFC</w:t>
      </w:r>
      <w:proofErr w:type="spellEnd"/>
      <w:r w:rsidR="009F7CE2" w:rsidRPr="00523A01">
        <w:t xml:space="preserve"> 135)</w:t>
      </w:r>
      <w:r w:rsidR="004D7BA3" w:rsidRPr="00523A01">
        <w:t>. The removal proceedings bear the proceeding numbers</w:t>
      </w:r>
      <w:r w:rsidR="000721FF" w:rsidRPr="00523A01">
        <w:t xml:space="preserve"> </w:t>
      </w:r>
      <w:proofErr w:type="spellStart"/>
      <w:r w:rsidR="000721FF" w:rsidRPr="00523A01">
        <w:t>M52</w:t>
      </w:r>
      <w:proofErr w:type="spellEnd"/>
      <w:r w:rsidR="000721FF" w:rsidRPr="00523A01">
        <w:t>/2015 in respect of VID</w:t>
      </w:r>
      <w:r w:rsidR="0063205F">
        <w:t> </w:t>
      </w:r>
      <w:r w:rsidR="000721FF" w:rsidRPr="00523A01">
        <w:t xml:space="preserve">898/2008 and </w:t>
      </w:r>
      <w:proofErr w:type="spellStart"/>
      <w:r w:rsidR="000721FF" w:rsidRPr="00523A01">
        <w:t>M51</w:t>
      </w:r>
      <w:proofErr w:type="spellEnd"/>
      <w:r w:rsidR="000721FF" w:rsidRPr="00523A01">
        <w:t>/2015 in respect of VID</w:t>
      </w:r>
      <w:r w:rsidR="0063205F">
        <w:t> </w:t>
      </w:r>
      <w:r w:rsidR="00F33550">
        <w:t>512/2014.</w:t>
      </w:r>
    </w:p>
    <w:p w14:paraId="03792A6D" w14:textId="1A2F3E24" w:rsidR="00D86A4F" w:rsidRPr="00D86A4F" w:rsidRDefault="00BB4F95" w:rsidP="00CA4C7F">
      <w:pPr>
        <w:pStyle w:val="ParaNumbering"/>
      </w:pPr>
      <w:r>
        <w:t xml:space="preserve">On </w:t>
      </w:r>
      <w:r w:rsidR="00FD7906">
        <w:t xml:space="preserve">22 April 2015, </w:t>
      </w:r>
      <w:r w:rsidR="00E475C6">
        <w:t>Ms Luck</w:t>
      </w:r>
      <w:r w:rsidR="008D673D">
        <w:t xml:space="preserve"> also</w:t>
      </w:r>
      <w:r w:rsidR="000721FF">
        <w:t xml:space="preserve"> filed </w:t>
      </w:r>
      <w:r w:rsidR="00FD7906">
        <w:t>interlocutory application</w:t>
      </w:r>
      <w:r w:rsidR="000721FF">
        <w:t>s</w:t>
      </w:r>
      <w:r w:rsidR="00FD7906">
        <w:t xml:space="preserve"> </w:t>
      </w:r>
      <w:r w:rsidR="008D673D">
        <w:t xml:space="preserve">in </w:t>
      </w:r>
      <w:r w:rsidR="000721FF">
        <w:t>both VID</w:t>
      </w:r>
      <w:r w:rsidR="0063205F">
        <w:t> </w:t>
      </w:r>
      <w:r w:rsidR="000721FF">
        <w:t>898/2008 and VID</w:t>
      </w:r>
      <w:r w:rsidR="0063205F">
        <w:t> </w:t>
      </w:r>
      <w:r w:rsidR="000721FF">
        <w:t>512/2014</w:t>
      </w:r>
      <w:r w:rsidR="008D673D">
        <w:t xml:space="preserve"> </w:t>
      </w:r>
      <w:r w:rsidR="00FD7906">
        <w:t>seek</w:t>
      </w:r>
      <w:r w:rsidR="000721FF">
        <w:t>ing a stay or adjournment of these</w:t>
      </w:r>
      <w:r w:rsidR="00FD7906">
        <w:t xml:space="preserve"> proceeding</w:t>
      </w:r>
      <w:r w:rsidR="000721FF">
        <w:t>s</w:t>
      </w:r>
      <w:r w:rsidR="00FD7906">
        <w:t xml:space="preserve"> pending the hearing and determination of </w:t>
      </w:r>
      <w:r w:rsidR="000721FF">
        <w:t>her</w:t>
      </w:r>
      <w:r w:rsidR="00FD7906">
        <w:t xml:space="preserve"> application</w:t>
      </w:r>
      <w:r w:rsidR="000721FF">
        <w:t>s</w:t>
      </w:r>
      <w:r w:rsidR="00FD7906">
        <w:t xml:space="preserve"> </w:t>
      </w:r>
      <w:r w:rsidR="00B620BA">
        <w:t xml:space="preserve">to remove </w:t>
      </w:r>
      <w:r w:rsidR="000721FF">
        <w:t>these</w:t>
      </w:r>
      <w:r w:rsidR="00B620BA">
        <w:t xml:space="preserve"> appeal</w:t>
      </w:r>
      <w:r w:rsidR="000721FF">
        <w:t>s</w:t>
      </w:r>
      <w:r w:rsidR="00D86A4F">
        <w:t xml:space="preserve"> to the High Court.</w:t>
      </w:r>
      <w:r w:rsidR="00E475C6">
        <w:t xml:space="preserve"> </w:t>
      </w:r>
      <w:r w:rsidR="00793896">
        <w:t xml:space="preserve">That is, </w:t>
      </w:r>
      <w:r w:rsidR="00E475C6">
        <w:t>Ms Luck</w:t>
      </w:r>
      <w:r w:rsidR="00793896">
        <w:t xml:space="preserve"> has sought stays and adjournments of these appeals from both the High Court and from this Court.</w:t>
      </w:r>
    </w:p>
    <w:p w14:paraId="684DDD7D" w14:textId="137E8F21" w:rsidR="00A76EFD" w:rsidRDefault="00A76EFD" w:rsidP="00CA4C7F">
      <w:pPr>
        <w:pStyle w:val="ParaNumbering"/>
      </w:pPr>
      <w:r>
        <w:t xml:space="preserve">On 23 April 2015, the parties were advised that the </w:t>
      </w:r>
      <w:r w:rsidR="00B56A6D">
        <w:t xml:space="preserve">two </w:t>
      </w:r>
      <w:r>
        <w:t>application</w:t>
      </w:r>
      <w:r w:rsidR="00734610">
        <w:t>s</w:t>
      </w:r>
      <w:r w:rsidR="00B56A6D">
        <w:t xml:space="preserve"> filed in this Court for stay or adjournment of VID</w:t>
      </w:r>
      <w:r w:rsidR="0063205F">
        <w:t> </w:t>
      </w:r>
      <w:r w:rsidR="00B56A6D">
        <w:t>898/2008 and VID</w:t>
      </w:r>
      <w:r w:rsidR="0063205F">
        <w:t> </w:t>
      </w:r>
      <w:r w:rsidR="00B56A6D">
        <w:t>512/2014</w:t>
      </w:r>
      <w:r>
        <w:t xml:space="preserve"> would be made returnable on 21</w:t>
      </w:r>
      <w:r w:rsidR="00F33550">
        <w:t> </w:t>
      </w:r>
      <w:r>
        <w:t>May 2015, at the same time the appeal</w:t>
      </w:r>
      <w:r w:rsidR="00734610">
        <w:t>s</w:t>
      </w:r>
      <w:r>
        <w:t xml:space="preserve"> </w:t>
      </w:r>
      <w:r w:rsidR="00734610">
        <w:t>themselves</w:t>
      </w:r>
      <w:r>
        <w:t xml:space="preserve"> </w:t>
      </w:r>
      <w:r w:rsidR="00734610">
        <w:t>were</w:t>
      </w:r>
      <w:r>
        <w:t xml:space="preserve"> listed to be heard</w:t>
      </w:r>
      <w:r w:rsidR="00734610">
        <w:t xml:space="preserve"> together</w:t>
      </w:r>
      <w:r>
        <w:t>.</w:t>
      </w:r>
      <w:r w:rsidR="00E475C6">
        <w:t xml:space="preserve"> </w:t>
      </w:r>
      <w:r>
        <w:t>The parties were also advised:</w:t>
      </w:r>
    </w:p>
    <w:p w14:paraId="6E130B4A" w14:textId="555DBB91" w:rsidR="00A76EFD" w:rsidRDefault="00A76EFD" w:rsidP="00F33550">
      <w:pPr>
        <w:pStyle w:val="Quote1"/>
      </w:pPr>
      <w:r w:rsidRPr="00A76EFD">
        <w:t xml:space="preserve">In the event </w:t>
      </w:r>
      <w:r w:rsidR="00E475C6">
        <w:t>Ms Luck</w:t>
      </w:r>
      <w:r w:rsidRPr="00A76EFD">
        <w:t xml:space="preserve"> is unsuccessful in her interlocutory applications, their Honours intend to deal with </w:t>
      </w:r>
      <w:r w:rsidR="00E475C6">
        <w:t>Ms Luck</w:t>
      </w:r>
      <w:r w:rsidRPr="00A76EFD">
        <w:t xml:space="preserve">’s appeals, </w:t>
      </w:r>
      <w:proofErr w:type="spellStart"/>
      <w:r w:rsidRPr="00A76EFD">
        <w:t>VID512</w:t>
      </w:r>
      <w:proofErr w:type="spellEnd"/>
      <w:r w:rsidRPr="00A76EFD">
        <w:t xml:space="preserve">/2014 and </w:t>
      </w:r>
      <w:proofErr w:type="spellStart"/>
      <w:r w:rsidRPr="00A76EFD">
        <w:t>VID898</w:t>
      </w:r>
      <w:proofErr w:type="spellEnd"/>
      <w:r w:rsidRPr="00A76EFD">
        <w:t xml:space="preserve">/2008 on Thursday, 21 May 2015, after the hearing and determination of </w:t>
      </w:r>
      <w:r w:rsidR="00E475C6">
        <w:t>Ms Luck</w:t>
      </w:r>
      <w:r w:rsidRPr="00A76EFD">
        <w:t>’s interlocutory applications.  The parties should prepare for 21 May 2015 on that basis.</w:t>
      </w:r>
    </w:p>
    <w:p w14:paraId="11CD9ED1" w14:textId="77777777" w:rsidR="00F33550" w:rsidRDefault="00F33550" w:rsidP="00F33550">
      <w:pPr>
        <w:pStyle w:val="Quote1"/>
      </w:pPr>
    </w:p>
    <w:p w14:paraId="2CBB8123" w14:textId="31874AC9" w:rsidR="00BD52AC" w:rsidRDefault="00BD52AC" w:rsidP="00CA4C7F">
      <w:pPr>
        <w:pStyle w:val="ParaNumbering"/>
      </w:pPr>
      <w:r>
        <w:t xml:space="preserve">Also on 23 April 2015, the Court directed that the </w:t>
      </w:r>
      <w:r w:rsidR="001D1AC1">
        <w:t>app</w:t>
      </w:r>
      <w:r w:rsidR="009A4BC7">
        <w:t>ell</w:t>
      </w:r>
      <w:r w:rsidR="001D1AC1">
        <w:t>ant</w:t>
      </w:r>
      <w:r>
        <w:t xml:space="preserve"> file and serve submissions by 14</w:t>
      </w:r>
      <w:r w:rsidR="00E43F83">
        <w:t> </w:t>
      </w:r>
      <w:r>
        <w:t>May 2015 on why the Court should stay the present appeal</w:t>
      </w:r>
      <w:r w:rsidR="00734610">
        <w:t>s</w:t>
      </w:r>
      <w:r>
        <w:t xml:space="preserve"> pending the outcome of her </w:t>
      </w:r>
      <w:r>
        <w:lastRenderedPageBreak/>
        <w:t>application</w:t>
      </w:r>
      <w:r w:rsidR="00734610">
        <w:t>s</w:t>
      </w:r>
      <w:r>
        <w:t xml:space="preserve"> to the High Court.</w:t>
      </w:r>
      <w:r w:rsidR="00E475C6">
        <w:t xml:space="preserve"> </w:t>
      </w:r>
      <w:r>
        <w:t>T</w:t>
      </w:r>
      <w:r w:rsidR="00734610">
        <w:t xml:space="preserve">he Court also directed that Centrelink and the Department </w:t>
      </w:r>
      <w:r>
        <w:t>file and serve submissio</w:t>
      </w:r>
      <w:r w:rsidR="00E475C6">
        <w:t>ns in response by 18</w:t>
      </w:r>
      <w:r w:rsidR="00E43F83">
        <w:t> </w:t>
      </w:r>
      <w:r w:rsidR="00E475C6">
        <w:t>May 2015.</w:t>
      </w:r>
    </w:p>
    <w:p w14:paraId="360DA2DB" w14:textId="54BD03DF" w:rsidR="00782EA4" w:rsidRDefault="00E475C6" w:rsidP="00CA4C7F">
      <w:pPr>
        <w:pStyle w:val="ParaNumbering"/>
      </w:pPr>
      <w:r>
        <w:t>Ms Luck</w:t>
      </w:r>
      <w:r w:rsidR="00782EA4">
        <w:t xml:space="preserve"> did not file any submissions in support of her stay application</w:t>
      </w:r>
      <w:r w:rsidR="00734610">
        <w:t>s</w:t>
      </w:r>
      <w:r w:rsidR="00782EA4">
        <w:t xml:space="preserve"> pursuant to the directions made on 23</w:t>
      </w:r>
      <w:r w:rsidR="00E43F83">
        <w:t> </w:t>
      </w:r>
      <w:r w:rsidR="00782EA4">
        <w:t>April 2015.</w:t>
      </w:r>
      <w:r>
        <w:t xml:space="preserve"> </w:t>
      </w:r>
      <w:r w:rsidR="00A47F08">
        <w:t xml:space="preserve">Giving </w:t>
      </w:r>
      <w:r>
        <w:t>Ms Luck</w:t>
      </w:r>
      <w:r w:rsidR="00A47F08">
        <w:t xml:space="preserve"> the benefit of the doubt, we proceed on the basis that she intends to rely, </w:t>
      </w:r>
      <w:r w:rsidR="000E66F3">
        <w:t>insofar as they are relevant</w:t>
      </w:r>
      <w:r w:rsidR="00647673">
        <w:t xml:space="preserve"> to the question of stay or adjournment</w:t>
      </w:r>
      <w:r w:rsidR="00A47F08">
        <w:t>,</w:t>
      </w:r>
      <w:r w:rsidR="000E66F3">
        <w:t xml:space="preserve"> </w:t>
      </w:r>
      <w:r w:rsidR="00782EA4">
        <w:t xml:space="preserve">upon the grounds </w:t>
      </w:r>
      <w:r w:rsidR="000E66F3">
        <w:t xml:space="preserve">and evidence </w:t>
      </w:r>
      <w:r w:rsidR="00782EA4">
        <w:t xml:space="preserve">set out in support of the </w:t>
      </w:r>
      <w:r w:rsidR="004E2BA7">
        <w:t xml:space="preserve">two </w:t>
      </w:r>
      <w:r w:rsidR="00782EA4">
        <w:t>removal application</w:t>
      </w:r>
      <w:r w:rsidR="00734610">
        <w:t>s</w:t>
      </w:r>
      <w:r w:rsidR="000E66F3">
        <w:t xml:space="preserve"> and supporting affidavit</w:t>
      </w:r>
      <w:r w:rsidR="00734610">
        <w:t>s</w:t>
      </w:r>
      <w:r w:rsidR="00A47F08">
        <w:t xml:space="preserve"> in the High Court</w:t>
      </w:r>
      <w:r w:rsidR="000E66F3">
        <w:t xml:space="preserve">, </w:t>
      </w:r>
      <w:r w:rsidR="009036B2">
        <w:t xml:space="preserve">which she had </w:t>
      </w:r>
      <w:r w:rsidR="000E66F3">
        <w:t>enclosed with the application</w:t>
      </w:r>
      <w:r w:rsidR="00734610">
        <w:t>s</w:t>
      </w:r>
      <w:r w:rsidR="009036B2">
        <w:t xml:space="preserve"> filed </w:t>
      </w:r>
      <w:r w:rsidR="000E66F3">
        <w:t>in this Court</w:t>
      </w:r>
      <w:r w:rsidR="00734610">
        <w:t xml:space="preserve"> for stay or adjournment</w:t>
      </w:r>
      <w:r w:rsidR="000E66F3">
        <w:t>.</w:t>
      </w:r>
      <w:r>
        <w:t xml:space="preserve"> </w:t>
      </w:r>
      <w:r w:rsidR="000E66F3">
        <w:t xml:space="preserve">In </w:t>
      </w:r>
      <w:r w:rsidR="004E2BA7">
        <w:t>the</w:t>
      </w:r>
      <w:r w:rsidR="000E66F3">
        <w:t xml:space="preserve"> affidavit</w:t>
      </w:r>
      <w:r w:rsidR="00734610">
        <w:t>s</w:t>
      </w:r>
      <w:r w:rsidR="004E2BA7">
        <w:t>, both</w:t>
      </w:r>
      <w:r w:rsidR="000E66F3">
        <w:t xml:space="preserve"> sworn on 21</w:t>
      </w:r>
      <w:r w:rsidR="00A22C76">
        <w:t> </w:t>
      </w:r>
      <w:r w:rsidR="000E66F3">
        <w:t xml:space="preserve">April 2015, </w:t>
      </w:r>
      <w:r w:rsidR="00734610">
        <w:t xml:space="preserve">the terms of which are substantially similar, </w:t>
      </w:r>
      <w:r>
        <w:t>Ms Luck</w:t>
      </w:r>
      <w:r w:rsidR="000E66F3">
        <w:t xml:space="preserve"> stated:</w:t>
      </w:r>
    </w:p>
    <w:p w14:paraId="688184DA" w14:textId="795CE8A1" w:rsidR="000E66F3" w:rsidRDefault="000E66F3" w:rsidP="00CA4C7F">
      <w:pPr>
        <w:pStyle w:val="Quote1"/>
        <w:widowControl/>
      </w:pPr>
      <w:r>
        <w:t xml:space="preserve">My substantive ground for seeking an order for a stay or an adjournment of this matter and my other matters below, is one whereby constitutional matters require determination by the High Court in respect of the validity of the determinations of the </w:t>
      </w:r>
      <w:r w:rsidR="003D716F">
        <w:t xml:space="preserve">sitting primary judge and the </w:t>
      </w:r>
      <w:r>
        <w:t xml:space="preserve">Full Court of the Federal Court, and in addition, I reasonably apprehend institutional bias toward me, and a fair minded lay observer (the public) could reasonably apprehend that the Federal Court and the primary judge might not bring impartial and unprejudiced minds to the deciding of the matters, because of the constitutional issues raised and the continued failure of the Court to grant my numerously and formerly requested reasonable adjustments pursuant to my rights under the </w:t>
      </w:r>
      <w:r>
        <w:rPr>
          <w:i/>
        </w:rPr>
        <w:t xml:space="preserve">Disability Discrimination Act 1992 </w:t>
      </w:r>
      <w:r>
        <w:t xml:space="preserve">and the </w:t>
      </w:r>
      <w:r>
        <w:rPr>
          <w:i/>
        </w:rPr>
        <w:t>United Nations Convention of the Rights of Persons with Disabilities</w:t>
      </w:r>
      <w:r>
        <w:t xml:space="preserve">, for times and numbers of appearances at Court, which, for reasons specifically related to my disabilities, I have repeatedly requested be after </w:t>
      </w:r>
      <w:proofErr w:type="spellStart"/>
      <w:r>
        <w:t>10:30am</w:t>
      </w:r>
      <w:proofErr w:type="spellEnd"/>
      <w:r>
        <w:t xml:space="preserve"> and generally not for more than one matter per day.</w:t>
      </w:r>
    </w:p>
    <w:p w14:paraId="724A569A" w14:textId="77777777" w:rsidR="00E43F83" w:rsidRDefault="00E43F83" w:rsidP="00CA4C7F">
      <w:pPr>
        <w:pStyle w:val="Quote1"/>
        <w:widowControl/>
      </w:pPr>
    </w:p>
    <w:p w14:paraId="6B934AFE" w14:textId="72B9879B" w:rsidR="002D46B0" w:rsidRDefault="00E475C6" w:rsidP="00CA4C7F">
      <w:pPr>
        <w:pStyle w:val="Heading2"/>
      </w:pPr>
      <w:r>
        <w:t>Ms Luck</w:t>
      </w:r>
      <w:r w:rsidR="002D46B0">
        <w:t>’s second adjournment application</w:t>
      </w:r>
      <w:r w:rsidR="00065595">
        <w:t>s</w:t>
      </w:r>
    </w:p>
    <w:p w14:paraId="05A0D7D9" w14:textId="30397AB1" w:rsidR="00FD7906" w:rsidRDefault="00782EA4" w:rsidP="00CA4C7F">
      <w:pPr>
        <w:pStyle w:val="ParaNumbering"/>
      </w:pPr>
      <w:r>
        <w:t>O</w:t>
      </w:r>
      <w:r w:rsidR="00D86A4F">
        <w:t xml:space="preserve">n </w:t>
      </w:r>
      <w:r w:rsidR="00A76EFD">
        <w:t xml:space="preserve">1 May 2015, </w:t>
      </w:r>
      <w:r w:rsidR="00E475C6">
        <w:t>Ms Luck</w:t>
      </w:r>
      <w:r w:rsidR="00A76EFD">
        <w:t xml:space="preserve"> filed correspondence with the Court, the effect of which appeared to be informal application</w:t>
      </w:r>
      <w:r w:rsidR="00C81A3D">
        <w:t>s</w:t>
      </w:r>
      <w:r w:rsidR="00A76EFD">
        <w:t xml:space="preserve"> for an adjournment of three months</w:t>
      </w:r>
      <w:r w:rsidR="002E169A">
        <w:t xml:space="preserve"> in both </w:t>
      </w:r>
      <w:r w:rsidR="00734610">
        <w:t>appeals</w:t>
      </w:r>
      <w:r w:rsidR="00A76EFD">
        <w:t>:</w:t>
      </w:r>
    </w:p>
    <w:p w14:paraId="0F1B648C" w14:textId="047604E6" w:rsidR="00A76EFD" w:rsidRDefault="00A76EFD" w:rsidP="00CA4C7F">
      <w:pPr>
        <w:pStyle w:val="Quote1"/>
        <w:widowControl/>
      </w:pPr>
      <w:r w:rsidRPr="00A76EFD">
        <w:t>I will be unable to undertake any further tasks in respect of these matters, as I am currently suffering severe pain and cannot cope with the physical and mental stress and extreme discomfort of doing the work required of me to complete my litigation related tasks.</w:t>
      </w:r>
    </w:p>
    <w:p w14:paraId="772FA734" w14:textId="77777777" w:rsidR="00A76EFD" w:rsidRDefault="00A76EFD" w:rsidP="00CA4C7F">
      <w:pPr>
        <w:pStyle w:val="Quote1"/>
        <w:widowControl/>
      </w:pPr>
    </w:p>
    <w:p w14:paraId="3EA6AC4B" w14:textId="62371BBA" w:rsidR="00A76EFD" w:rsidRDefault="00A76EFD" w:rsidP="00CA4C7F">
      <w:pPr>
        <w:pStyle w:val="Quote1"/>
        <w:widowControl/>
      </w:pPr>
      <w:r w:rsidRPr="00A76EFD">
        <w:t>I will be unable to meet the requisite filing, serving and submission tasks, or appear at Court for about three months, in accordance with my doctor’s recommendations for my treatment and recovery. I am also going through preparatory procedures and assessments for a serious operation to amputate part of, and possibly my entire great toe. I have attached a copy of my current medical certificate, which provides an explanation of my unfortunate circumstances.</w:t>
      </w:r>
    </w:p>
    <w:p w14:paraId="7A2E60A9" w14:textId="77777777" w:rsidR="00A76EFD" w:rsidRDefault="00A76EFD" w:rsidP="00CA4C7F">
      <w:pPr>
        <w:pStyle w:val="Quote1"/>
        <w:widowControl/>
      </w:pPr>
    </w:p>
    <w:p w14:paraId="603F2D73" w14:textId="17752079" w:rsidR="00A76EFD" w:rsidRDefault="00A76EFD" w:rsidP="00CA4C7F">
      <w:pPr>
        <w:pStyle w:val="Quote1"/>
        <w:widowControl/>
      </w:pPr>
      <w:r w:rsidRPr="00A76EFD">
        <w:t xml:space="preserve">In addition to my application of 21 April 2015 for a stay or adjournment pending the hearing and determination of my Removal Applications by the High Court, in these matters, </w:t>
      </w:r>
      <w:proofErr w:type="spellStart"/>
      <w:r w:rsidRPr="00A76EFD">
        <w:rPr>
          <w:i/>
          <w:iCs/>
        </w:rPr>
        <w:t>M51</w:t>
      </w:r>
      <w:proofErr w:type="spellEnd"/>
      <w:r w:rsidRPr="00A76EFD">
        <w:rPr>
          <w:i/>
          <w:iCs/>
        </w:rPr>
        <w:t xml:space="preserve">/2015 </w:t>
      </w:r>
      <w:r w:rsidRPr="00A76EFD">
        <w:t xml:space="preserve">and </w:t>
      </w:r>
      <w:proofErr w:type="spellStart"/>
      <w:r w:rsidRPr="00A76EFD">
        <w:rPr>
          <w:i/>
          <w:iCs/>
        </w:rPr>
        <w:t>M52</w:t>
      </w:r>
      <w:proofErr w:type="spellEnd"/>
      <w:r w:rsidRPr="00A76EFD">
        <w:rPr>
          <w:i/>
          <w:iCs/>
        </w:rPr>
        <w:t>/2015</w:t>
      </w:r>
      <w:r w:rsidRPr="00A76EFD">
        <w:t xml:space="preserve">, and my Special Leave to Appeal Application in matter </w:t>
      </w:r>
      <w:r w:rsidRPr="00A76EFD">
        <w:rPr>
          <w:i/>
          <w:iCs/>
        </w:rPr>
        <w:t xml:space="preserve">Gaye Luck v University of Southern Queensland and </w:t>
      </w:r>
      <w:proofErr w:type="spellStart"/>
      <w:r w:rsidRPr="00A76EFD">
        <w:rPr>
          <w:i/>
          <w:iCs/>
        </w:rPr>
        <w:t>Anor</w:t>
      </w:r>
      <w:proofErr w:type="spellEnd"/>
      <w:r w:rsidRPr="00A76EFD">
        <w:rPr>
          <w:i/>
          <w:iCs/>
        </w:rPr>
        <w:t xml:space="preserve"> </w:t>
      </w:r>
      <w:proofErr w:type="spellStart"/>
      <w:r w:rsidRPr="00A76EFD">
        <w:rPr>
          <w:i/>
          <w:iCs/>
        </w:rPr>
        <w:t>M116</w:t>
      </w:r>
      <w:proofErr w:type="spellEnd"/>
      <w:r w:rsidRPr="00A76EFD">
        <w:rPr>
          <w:i/>
          <w:iCs/>
        </w:rPr>
        <w:t xml:space="preserve">/2014 </w:t>
      </w:r>
      <w:r w:rsidRPr="00A76EFD">
        <w:t xml:space="preserve">and subsequently the appeal if granted, I make application to have these matters </w:t>
      </w:r>
      <w:r w:rsidRPr="00A76EFD">
        <w:lastRenderedPageBreak/>
        <w:t xml:space="preserve">adjourned until I am able to undertake the work necessary, which, if given some time for treatment, rest and recuperation, I expect will be within the next three months. I have attached my submissions for the hearing of my stay application in the matter of </w:t>
      </w:r>
      <w:r w:rsidRPr="00A76EFD">
        <w:rPr>
          <w:i/>
          <w:iCs/>
        </w:rPr>
        <w:t xml:space="preserve">Luck v </w:t>
      </w:r>
      <w:proofErr w:type="spellStart"/>
      <w:r w:rsidRPr="00A76EFD">
        <w:rPr>
          <w:i/>
          <w:iCs/>
        </w:rPr>
        <w:t>CEO</w:t>
      </w:r>
      <w:proofErr w:type="spellEnd"/>
      <w:r w:rsidRPr="00A76EFD">
        <w:rPr>
          <w:i/>
          <w:iCs/>
        </w:rPr>
        <w:t xml:space="preserve"> of Centrelink and </w:t>
      </w:r>
      <w:proofErr w:type="spellStart"/>
      <w:r w:rsidRPr="00A76EFD">
        <w:rPr>
          <w:i/>
          <w:iCs/>
        </w:rPr>
        <w:t>Anor</w:t>
      </w:r>
      <w:proofErr w:type="spellEnd"/>
      <w:r w:rsidRPr="00A76EFD">
        <w:rPr>
          <w:i/>
          <w:iCs/>
        </w:rPr>
        <w:t xml:space="preserve"> </w:t>
      </w:r>
      <w:proofErr w:type="spellStart"/>
      <w:r w:rsidRPr="00A76EFD">
        <w:rPr>
          <w:i/>
          <w:iCs/>
        </w:rPr>
        <w:t>VID488</w:t>
      </w:r>
      <w:proofErr w:type="spellEnd"/>
      <w:r w:rsidRPr="00A76EFD">
        <w:rPr>
          <w:i/>
          <w:iCs/>
        </w:rPr>
        <w:t xml:space="preserve">/2008, </w:t>
      </w:r>
      <w:r w:rsidRPr="00A76EFD">
        <w:t>made in person (under great duress) on 27 April 2015, in which I submitted the same fundamental grounds as I do in these matters, as the primary judge heard and determined these matters, hence a stay should be made pending the High Court’s determination of the issue of the validity of the primary judge’s</w:t>
      </w:r>
      <w:r>
        <w:t xml:space="preserve"> </w:t>
      </w:r>
      <w:r w:rsidRPr="00A76EFD">
        <w:t>role as a Federal Court Justice at the same time as he performed his role as Judge Advocate General of the Defence Force, in which he was responsible directly to a Minister of the Australian Government.</w:t>
      </w:r>
    </w:p>
    <w:p w14:paraId="43DCCA60" w14:textId="77777777" w:rsidR="00336242" w:rsidRDefault="00336242" w:rsidP="00CA4C7F">
      <w:pPr>
        <w:pStyle w:val="Quote1"/>
        <w:widowControl/>
      </w:pPr>
    </w:p>
    <w:p w14:paraId="1E1D0BDC" w14:textId="34BAB4EB" w:rsidR="00A76EFD" w:rsidRDefault="00C56985" w:rsidP="00CA4C7F">
      <w:pPr>
        <w:pStyle w:val="ParaNumbering"/>
      </w:pPr>
      <w:r>
        <w:t>Attached to that</w:t>
      </w:r>
      <w:r w:rsidR="00A76EFD">
        <w:t xml:space="preserve"> correspondence</w:t>
      </w:r>
      <w:r w:rsidR="008D673D">
        <w:t xml:space="preserve"> </w:t>
      </w:r>
      <w:r>
        <w:t>were copies of a letter dated 30</w:t>
      </w:r>
      <w:r w:rsidR="00336242">
        <w:t> </w:t>
      </w:r>
      <w:r>
        <w:t>April 2015</w:t>
      </w:r>
      <w:r w:rsidR="00A76EFD">
        <w:t xml:space="preserve"> </w:t>
      </w:r>
      <w:r>
        <w:t>from a Dr</w:t>
      </w:r>
      <w:r w:rsidR="00336242">
        <w:t> </w:t>
      </w:r>
      <w:r>
        <w:t xml:space="preserve">Priscilla </w:t>
      </w:r>
      <w:proofErr w:type="spellStart"/>
      <w:r>
        <w:t>Leow</w:t>
      </w:r>
      <w:proofErr w:type="spellEnd"/>
      <w:r w:rsidR="00E86FED">
        <w:t>, which was addressed “To Whom It May Concern”,</w:t>
      </w:r>
      <w:r>
        <w:t xml:space="preserve"> and submissions filed by </w:t>
      </w:r>
      <w:r w:rsidR="00E475C6">
        <w:t>Ms Luck</w:t>
      </w:r>
      <w:r>
        <w:t xml:space="preserve"> in proceeding VID</w:t>
      </w:r>
      <w:r w:rsidR="0063205F">
        <w:t> </w:t>
      </w:r>
      <w:r>
        <w:t xml:space="preserve">488/2008 </w:t>
      </w:r>
      <w:r w:rsidR="00A22C76">
        <w:t xml:space="preserve">entitled </w:t>
      </w:r>
      <w:r>
        <w:rPr>
          <w:i/>
        </w:rPr>
        <w:t xml:space="preserve">Luck v Chief Executive Officer of Centrelink and </w:t>
      </w:r>
      <w:proofErr w:type="spellStart"/>
      <w:r>
        <w:rPr>
          <w:i/>
        </w:rPr>
        <w:t>Anor</w:t>
      </w:r>
      <w:proofErr w:type="spellEnd"/>
      <w:r>
        <w:t>.</w:t>
      </w:r>
    </w:p>
    <w:p w14:paraId="4A46D945" w14:textId="033AB358" w:rsidR="005E5F67" w:rsidRDefault="005E5F67" w:rsidP="00CA4C7F">
      <w:pPr>
        <w:pStyle w:val="ParaNumbering"/>
      </w:pPr>
      <w:r>
        <w:t>The correspondence from Dr</w:t>
      </w:r>
      <w:r w:rsidR="00E72EFD">
        <w:t> </w:t>
      </w:r>
      <w:proofErr w:type="spellStart"/>
      <w:r>
        <w:t>Leow</w:t>
      </w:r>
      <w:proofErr w:type="spellEnd"/>
      <w:r>
        <w:t xml:space="preserve"> stated</w:t>
      </w:r>
      <w:r w:rsidR="005755CA">
        <w:t xml:space="preserve"> in part</w:t>
      </w:r>
      <w:r>
        <w:t>:</w:t>
      </w:r>
    </w:p>
    <w:p w14:paraId="3E92BF51" w14:textId="45B1466C" w:rsidR="002C4772" w:rsidRDefault="002C4772" w:rsidP="00CA4C7F">
      <w:pPr>
        <w:pStyle w:val="Quote1"/>
        <w:widowControl/>
      </w:pPr>
      <w:r>
        <w:t xml:space="preserve">This is to certify that </w:t>
      </w:r>
      <w:r w:rsidR="00E475C6">
        <w:t>Ms Luck</w:t>
      </w:r>
      <w:r>
        <w:t xml:space="preserve"> suffered from</w:t>
      </w:r>
      <w:r w:rsidR="00C631BE">
        <w:t xml:space="preserve"> severe</w:t>
      </w:r>
      <w:r>
        <w:t xml:space="preserve"> acute symptoms relating to her heart and was referred for acute assessment for myocardial infarction at a local hospital on 3 June 2013.</w:t>
      </w:r>
    </w:p>
    <w:p w14:paraId="3EABE29B" w14:textId="77777777" w:rsidR="00C631BE" w:rsidRDefault="00C631BE" w:rsidP="00CA4C7F">
      <w:pPr>
        <w:pStyle w:val="Quote1"/>
        <w:widowControl/>
      </w:pPr>
    </w:p>
    <w:p w14:paraId="5AAB41F7" w14:textId="77777777" w:rsidR="002C4772" w:rsidRDefault="002C4772" w:rsidP="00CA4C7F">
      <w:pPr>
        <w:pStyle w:val="Quote1"/>
        <w:widowControl/>
      </w:pPr>
      <w:r>
        <w:t>…</w:t>
      </w:r>
    </w:p>
    <w:p w14:paraId="63213C02" w14:textId="77777777" w:rsidR="00C631BE" w:rsidRDefault="00C631BE" w:rsidP="00CA4C7F">
      <w:pPr>
        <w:pStyle w:val="Quote1"/>
        <w:widowControl/>
      </w:pPr>
    </w:p>
    <w:p w14:paraId="647F69AC" w14:textId="40793F67" w:rsidR="00C631BE" w:rsidRDefault="002C4772" w:rsidP="00CA4C7F">
      <w:pPr>
        <w:pStyle w:val="Quote1"/>
        <w:widowControl/>
      </w:pPr>
      <w:r>
        <w:t>She seeks accommodation of reasonable adjustments due to the stresses continually induced by matters which exacerbate her symptoms, both mental and physical.  She is now unable to cope with multiple tasks in her daily life, including her litigation duties.  She requires a 3-month period of treatment and recovery before an assessment of her capacity to return to her usual duties.</w:t>
      </w:r>
    </w:p>
    <w:p w14:paraId="04334A09" w14:textId="77777777" w:rsidR="00C631BE" w:rsidRDefault="00C631BE" w:rsidP="00CA4C7F">
      <w:pPr>
        <w:pStyle w:val="Quote1"/>
        <w:widowControl/>
      </w:pPr>
    </w:p>
    <w:p w14:paraId="05F7A158" w14:textId="17541FA1" w:rsidR="002C4772" w:rsidRDefault="002C4772" w:rsidP="00CA4C7F">
      <w:pPr>
        <w:pStyle w:val="Quote1"/>
        <w:widowControl/>
      </w:pPr>
      <w:r>
        <w:t xml:space="preserve">Her physical disabilities necessitate the use of assistive technology by way of digital note-taker, as well as extensions of time, when she finds herself incapable of performing the tasks required of her.  Over time, I have observed that when </w:t>
      </w:r>
      <w:r w:rsidR="00E475C6">
        <w:t>Ms Luck</w:t>
      </w:r>
      <w:r>
        <w:t xml:space="preserve"> is anxious and stressed, she speaks loudly and agitatedly and I have accepted that this is an involuntary response she has developed over many years of her condition of the post traumatic and adjustment disorder.</w:t>
      </w:r>
    </w:p>
    <w:p w14:paraId="7DFEE472" w14:textId="77777777" w:rsidR="00E72EFD" w:rsidRDefault="00E72EFD" w:rsidP="00CA4C7F">
      <w:pPr>
        <w:pStyle w:val="Quote1"/>
        <w:widowControl/>
      </w:pPr>
    </w:p>
    <w:p w14:paraId="5B228E1C" w14:textId="7C18D04C" w:rsidR="005E5F67" w:rsidRDefault="005755CA" w:rsidP="00CA4C7F">
      <w:pPr>
        <w:pStyle w:val="ParaNumbering"/>
      </w:pPr>
      <w:r>
        <w:t xml:space="preserve">The remainder of the letter sets out some of the detail of </w:t>
      </w:r>
      <w:r w:rsidR="00E475C6">
        <w:t>Ms Luck</w:t>
      </w:r>
      <w:r>
        <w:t xml:space="preserve">’s medical conditions, which we need </w:t>
      </w:r>
      <w:r w:rsidR="009F6862">
        <w:t xml:space="preserve">not </w:t>
      </w:r>
      <w:r>
        <w:t>reproduce in our reasons.</w:t>
      </w:r>
    </w:p>
    <w:p w14:paraId="06271B18" w14:textId="5914B0E6" w:rsidR="00C56985" w:rsidRDefault="00C56985" w:rsidP="00CA4C7F">
      <w:pPr>
        <w:pStyle w:val="ParaNumbering"/>
      </w:pPr>
      <w:r>
        <w:t>On the next business day, 4 May</w:t>
      </w:r>
      <w:r w:rsidR="00A92609">
        <w:t xml:space="preserve"> 2015, the parties were advised</w:t>
      </w:r>
      <w:r>
        <w:t>:</w:t>
      </w:r>
    </w:p>
    <w:p w14:paraId="0F31B20F" w14:textId="46434B51" w:rsidR="00C56985" w:rsidRDefault="00C56985" w:rsidP="00CA4C7F">
      <w:pPr>
        <w:pStyle w:val="Quote1"/>
        <w:widowControl/>
      </w:pPr>
      <w:r>
        <w:t xml:space="preserve">The Court has already made additional directions to accommodate </w:t>
      </w:r>
      <w:r w:rsidR="00E475C6">
        <w:t>Ms Luck</w:t>
      </w:r>
      <w:r>
        <w:t xml:space="preserve">’s application for a stay of these two appeals. </w:t>
      </w:r>
      <w:r w:rsidR="00E475C6">
        <w:t>Ms Luck</w:t>
      </w:r>
      <w:r>
        <w:t xml:space="preserve"> has not withdrawn these applications and the directions made on 23 April </w:t>
      </w:r>
      <w:r w:rsidR="00A54E7E">
        <w:t>[2015]</w:t>
      </w:r>
      <w:r>
        <w:t xml:space="preserve"> remain operative. The appellant is to file submissions in support of her applications by 14 May and the respondents are to file submissions by 18 May.</w:t>
      </w:r>
    </w:p>
    <w:p w14:paraId="0088AD43" w14:textId="77777777" w:rsidR="00C56985" w:rsidRDefault="00C56985" w:rsidP="00CA4C7F">
      <w:pPr>
        <w:pStyle w:val="Quote1"/>
        <w:widowControl/>
      </w:pPr>
    </w:p>
    <w:p w14:paraId="166BA594" w14:textId="18E98F77" w:rsidR="00C56985" w:rsidRDefault="00C56985" w:rsidP="00CA4C7F">
      <w:pPr>
        <w:pStyle w:val="Quote1"/>
        <w:widowControl/>
      </w:pPr>
      <w:r>
        <w:lastRenderedPageBreak/>
        <w:t xml:space="preserve">The Court does not propose at this time, and before the hearing of the appeals, to grant the 3 month adjournment sought by </w:t>
      </w:r>
      <w:r w:rsidR="00E475C6">
        <w:t>Ms Luck</w:t>
      </w:r>
      <w:r>
        <w:t xml:space="preserve">. It will however, hear any adjournment application </w:t>
      </w:r>
      <w:r w:rsidR="00E475C6">
        <w:t>Ms Luck</w:t>
      </w:r>
      <w:r>
        <w:t xml:space="preserve"> wishes to make on the day scheduled for the appeals, at the same time it proposes to deal with </w:t>
      </w:r>
      <w:r w:rsidR="00E475C6">
        <w:t>Ms Luck</w:t>
      </w:r>
      <w:r>
        <w:t>’s stay applications.</w:t>
      </w:r>
    </w:p>
    <w:p w14:paraId="3ABBE81F" w14:textId="77777777" w:rsidR="00C56985" w:rsidRDefault="00C56985" w:rsidP="00CA4C7F">
      <w:pPr>
        <w:pStyle w:val="Quote1"/>
        <w:widowControl/>
      </w:pPr>
    </w:p>
    <w:p w14:paraId="55C4CBEF" w14:textId="4B5A7B82" w:rsidR="00C56985" w:rsidRDefault="00C56985" w:rsidP="00CA4C7F">
      <w:pPr>
        <w:pStyle w:val="Quote1"/>
        <w:widowControl/>
      </w:pPr>
      <w:r>
        <w:t xml:space="preserve">In addition, the Full Court considers some further modifications to the preparation for the appeals should be made, given the difficulties </w:t>
      </w:r>
      <w:r w:rsidR="00E475C6">
        <w:t>Ms Luck</w:t>
      </w:r>
      <w:r>
        <w:t xml:space="preserve"> has expressed in her correspondence. Directions giving effect to those modifications are enclosed with this correspondence. Although these directions do make some further accommodation for </w:t>
      </w:r>
      <w:r w:rsidR="00E475C6">
        <w:t>Ms Luck</w:t>
      </w:r>
      <w:r>
        <w:t xml:space="preserve">, the directions are not only for </w:t>
      </w:r>
      <w:r w:rsidR="00E475C6">
        <w:t>Ms Luck</w:t>
      </w:r>
      <w:r>
        <w:t>’s benefit. Rather, they are intended to ensure the Court has the material it needs for the scheduled appeals on 21 May 2015 at 11 am</w:t>
      </w:r>
      <w:r w:rsidR="009F6862">
        <w:t xml:space="preserve"> [sic]</w:t>
      </w:r>
      <w:r w:rsidR="00E86FED">
        <w:t>.</w:t>
      </w:r>
    </w:p>
    <w:p w14:paraId="79D069CF" w14:textId="77777777" w:rsidR="00C56985" w:rsidRDefault="00C56985" w:rsidP="00CA4C7F">
      <w:pPr>
        <w:pStyle w:val="Quote1"/>
        <w:widowControl/>
      </w:pPr>
    </w:p>
    <w:p w14:paraId="1F82BC54" w14:textId="79C6398D" w:rsidR="00C56985" w:rsidRDefault="00C56985" w:rsidP="00CA4C7F">
      <w:pPr>
        <w:pStyle w:val="Quote1"/>
        <w:widowControl/>
      </w:pPr>
      <w:r>
        <w:t>…</w:t>
      </w:r>
    </w:p>
    <w:p w14:paraId="757FA739" w14:textId="77777777" w:rsidR="00C56985" w:rsidRDefault="00C56985" w:rsidP="00CA4C7F">
      <w:pPr>
        <w:pStyle w:val="Quote1"/>
        <w:widowControl/>
      </w:pPr>
    </w:p>
    <w:p w14:paraId="532E0EB0" w14:textId="7E87EEDF" w:rsidR="00C56985" w:rsidRDefault="00C56985" w:rsidP="00CA4C7F">
      <w:pPr>
        <w:pStyle w:val="Quote1"/>
        <w:widowControl/>
      </w:pPr>
      <w:r>
        <w:t xml:space="preserve">The parties should ensure they comply with all the Court’s directions. </w:t>
      </w:r>
      <w:r w:rsidR="00E475C6">
        <w:t>Ms Luck</w:t>
      </w:r>
      <w:r>
        <w:t xml:space="preserve"> is expected to appear on 21 May 2015, and will be able to address the Court orally on her applications for a stay and adjournment. The Court will consider those applications and make a ruling. If either of those applications are successful, orders and directions will be made accordingly. If the applications are rejected, the appeals will proceed.</w:t>
      </w:r>
    </w:p>
    <w:p w14:paraId="368EF36F" w14:textId="77777777" w:rsidR="00E72EFD" w:rsidRDefault="00E72EFD" w:rsidP="00CA4C7F">
      <w:pPr>
        <w:pStyle w:val="Quote1"/>
        <w:widowControl/>
      </w:pPr>
    </w:p>
    <w:p w14:paraId="21E430B7" w14:textId="77777777" w:rsidR="00C56985" w:rsidRDefault="00C56985" w:rsidP="00CA4C7F">
      <w:pPr>
        <w:pStyle w:val="ParaNumbering"/>
      </w:pPr>
      <w:r>
        <w:t xml:space="preserve">The directions made on 4 May 2015 included directions: </w:t>
      </w:r>
    </w:p>
    <w:p w14:paraId="0EA2331A" w14:textId="54DF8028" w:rsidR="00E33373" w:rsidRDefault="00E33373" w:rsidP="00CA4C7F">
      <w:pPr>
        <w:pStyle w:val="FCBullets"/>
      </w:pPr>
      <w:r>
        <w:t xml:space="preserve">extending the time for </w:t>
      </w:r>
      <w:r w:rsidR="00E475C6">
        <w:t>Ms Luck</w:t>
      </w:r>
      <w:r>
        <w:t xml:space="preserve"> to file and serve her outline of submissions in VID</w:t>
      </w:r>
      <w:r w:rsidR="0063205F">
        <w:t> </w:t>
      </w:r>
      <w:r>
        <w:t>898/2008, originally due on 23</w:t>
      </w:r>
      <w:r w:rsidR="00EC5345">
        <w:t> </w:t>
      </w:r>
      <w:r>
        <w:t>April 2015, to 13</w:t>
      </w:r>
      <w:r w:rsidR="00EC5345">
        <w:t> </w:t>
      </w:r>
      <w:r>
        <w:t>May 2015;</w:t>
      </w:r>
    </w:p>
    <w:p w14:paraId="06D1CC72" w14:textId="23473798" w:rsidR="00C56985" w:rsidRDefault="00C56985" w:rsidP="00CA4C7F">
      <w:pPr>
        <w:pStyle w:val="FCBullets"/>
      </w:pPr>
      <w:r>
        <w:t xml:space="preserve">relieving </w:t>
      </w:r>
      <w:r w:rsidR="00E475C6">
        <w:t>Ms Luck</w:t>
      </w:r>
      <w:r>
        <w:t xml:space="preserve"> from the requirement to</w:t>
      </w:r>
      <w:r w:rsidR="00E33373">
        <w:t xml:space="preserve"> file and serve a chronology</w:t>
      </w:r>
      <w:r w:rsidR="00FB3D59">
        <w:t xml:space="preserve"> of events</w:t>
      </w:r>
      <w:r w:rsidR="00E33373">
        <w:t>;</w:t>
      </w:r>
    </w:p>
    <w:p w14:paraId="3E3E35E5" w14:textId="0C722AE8" w:rsidR="00C56985" w:rsidRDefault="00C56985" w:rsidP="00CA4C7F">
      <w:pPr>
        <w:pStyle w:val="FCBullets"/>
      </w:pPr>
      <w:r>
        <w:t xml:space="preserve">requiring </w:t>
      </w:r>
      <w:r w:rsidR="00FB3D59">
        <w:t xml:space="preserve">that </w:t>
      </w:r>
      <w:r>
        <w:t>the respondent</w:t>
      </w:r>
      <w:r w:rsidR="002D46B0">
        <w:t xml:space="preserve">s, rather than </w:t>
      </w:r>
      <w:r w:rsidR="00E475C6">
        <w:t>Ms Luck</w:t>
      </w:r>
      <w:r w:rsidR="002D46B0">
        <w:t>, pr</w:t>
      </w:r>
      <w:r w:rsidR="00E33373">
        <w:t>epare Part C of the appeal books;</w:t>
      </w:r>
      <w:r w:rsidR="002D46B0">
        <w:t xml:space="preserve"> and</w:t>
      </w:r>
    </w:p>
    <w:p w14:paraId="50BD9555" w14:textId="0D0A964A" w:rsidR="002D46B0" w:rsidRDefault="002D46B0" w:rsidP="00CA4C7F">
      <w:pPr>
        <w:pStyle w:val="FCBullets"/>
      </w:pPr>
      <w:r>
        <w:t xml:space="preserve">that </w:t>
      </w:r>
      <w:r w:rsidR="00E475C6">
        <w:t>Ms Luck</w:t>
      </w:r>
      <w:r>
        <w:t xml:space="preserve"> not be require</w:t>
      </w:r>
      <w:r w:rsidR="00A22C76">
        <w:t>d</w:t>
      </w:r>
      <w:r>
        <w:t xml:space="preserve"> to supply copies to either the respondent</w:t>
      </w:r>
      <w:r w:rsidR="00D10AF8">
        <w:t>s</w:t>
      </w:r>
      <w:r>
        <w:t xml:space="preserve"> or the Court of authorities on which she relied.</w:t>
      </w:r>
    </w:p>
    <w:p w14:paraId="54A75142" w14:textId="2C327777" w:rsidR="00C56985" w:rsidRDefault="002D46B0" w:rsidP="00CA4C7F">
      <w:pPr>
        <w:pStyle w:val="ParaNumbering"/>
      </w:pPr>
      <w:r>
        <w:t xml:space="preserve">Those directions </w:t>
      </w:r>
      <w:r w:rsidR="00D01EBA">
        <w:t>sup</w:t>
      </w:r>
      <w:r>
        <w:t xml:space="preserve">plemented </w:t>
      </w:r>
      <w:r w:rsidR="00FB3D59">
        <w:t xml:space="preserve">the </w:t>
      </w:r>
      <w:r>
        <w:t>case management orders made previously on 30</w:t>
      </w:r>
      <w:r w:rsidR="001A54EC">
        <w:t> </w:t>
      </w:r>
      <w:r>
        <w:t xml:space="preserve">January 2015 which provided that the respondents rather than </w:t>
      </w:r>
      <w:r w:rsidR="00E475C6">
        <w:t>Ms Luck</w:t>
      </w:r>
      <w:r>
        <w:t xml:space="preserve"> prepare copies of a joint folder of authorities.</w:t>
      </w:r>
      <w:r w:rsidR="00E475C6">
        <w:t xml:space="preserve"> </w:t>
      </w:r>
      <w:r w:rsidR="00D01EBA">
        <w:t>Other</w:t>
      </w:r>
      <w:r w:rsidR="0004612B">
        <w:t xml:space="preserve"> accommodations </w:t>
      </w:r>
      <w:r w:rsidR="00D01EBA">
        <w:t>by the Court</w:t>
      </w:r>
      <w:r w:rsidR="0004612B">
        <w:t xml:space="preserve">, following concerns raised by </w:t>
      </w:r>
      <w:r w:rsidR="00E475C6">
        <w:t>Ms Luck</w:t>
      </w:r>
      <w:r w:rsidR="0004612B">
        <w:t xml:space="preserve"> on 21</w:t>
      </w:r>
      <w:r w:rsidR="001A54EC">
        <w:t> </w:t>
      </w:r>
      <w:r w:rsidR="0004612B">
        <w:t>April 2015 about the conflicting numbers, times and dates of her various matters listed for hearing in</w:t>
      </w:r>
      <w:r w:rsidR="00E33373">
        <w:t xml:space="preserve"> this Court, included vacating the</w:t>
      </w:r>
      <w:r w:rsidR="0004612B">
        <w:t xml:space="preserve"> case management conference</w:t>
      </w:r>
      <w:r w:rsidR="00D01EBA">
        <w:t xml:space="preserve"> in </w:t>
      </w:r>
      <w:r w:rsidR="00E33373">
        <w:t>these appeals</w:t>
      </w:r>
      <w:r w:rsidR="00441EA6">
        <w:t xml:space="preserve"> </w:t>
      </w:r>
      <w:r w:rsidR="0004612B">
        <w:t>originally listed for 28</w:t>
      </w:r>
      <w:r w:rsidR="001A54EC">
        <w:t> </w:t>
      </w:r>
      <w:r w:rsidR="0004612B">
        <w:t xml:space="preserve">April 2015 </w:t>
      </w:r>
      <w:r w:rsidR="00441EA6">
        <w:t xml:space="preserve">(on the basis that any case management matters needing to be addressed could be dealt with on the papers) </w:t>
      </w:r>
      <w:r w:rsidR="0004612B">
        <w:t xml:space="preserve">and accommodating </w:t>
      </w:r>
      <w:r w:rsidR="00E475C6">
        <w:t>Ms Luck</w:t>
      </w:r>
      <w:r w:rsidR="0004612B">
        <w:t>’s request that the hearing</w:t>
      </w:r>
      <w:r w:rsidR="00E33373">
        <w:t xml:space="preserve"> on 21</w:t>
      </w:r>
      <w:r w:rsidR="001A54EC">
        <w:t> </w:t>
      </w:r>
      <w:r w:rsidR="00E33373">
        <w:t>May 2015</w:t>
      </w:r>
      <w:r w:rsidR="0004612B">
        <w:t xml:space="preserve"> commence no earlier than 10.30</w:t>
      </w:r>
      <w:r w:rsidR="00E700F2">
        <w:t> am.</w:t>
      </w:r>
    </w:p>
    <w:p w14:paraId="777B4039" w14:textId="2E7447A9" w:rsidR="001670AD" w:rsidRPr="001670AD" w:rsidRDefault="002C4772" w:rsidP="00CA4C7F">
      <w:pPr>
        <w:pStyle w:val="Heading2"/>
      </w:pPr>
      <w:r>
        <w:lastRenderedPageBreak/>
        <w:t>The respondent</w:t>
      </w:r>
      <w:r w:rsidR="001670AD" w:rsidRPr="001670AD">
        <w:t>s</w:t>
      </w:r>
      <w:r>
        <w:t>’</w:t>
      </w:r>
      <w:r w:rsidR="001670AD" w:rsidRPr="001670AD">
        <w:t xml:space="preserve"> submissions on the stay and adjournment applications</w:t>
      </w:r>
    </w:p>
    <w:p w14:paraId="6520F184" w14:textId="4A235984" w:rsidR="001670AD" w:rsidRDefault="001670AD" w:rsidP="00CA4C7F">
      <w:pPr>
        <w:pStyle w:val="ParaNumbering"/>
      </w:pPr>
      <w:r>
        <w:t>On 18 May 2015, pursuant to the Court’s directions, the respondent in VID</w:t>
      </w:r>
      <w:r w:rsidR="0063205F">
        <w:t> </w:t>
      </w:r>
      <w:r>
        <w:t>898/2008 and first respondent in VID</w:t>
      </w:r>
      <w:r w:rsidR="0063205F">
        <w:t> </w:t>
      </w:r>
      <w:r>
        <w:t xml:space="preserve">512/2014 (collectively, </w:t>
      </w:r>
      <w:r w:rsidRPr="001F0C0A">
        <w:rPr>
          <w:b/>
        </w:rPr>
        <w:t>the</w:t>
      </w:r>
      <w:r>
        <w:t xml:space="preserve"> </w:t>
      </w:r>
      <w:r w:rsidRPr="001F0C0A">
        <w:rPr>
          <w:b/>
        </w:rPr>
        <w:t>respondents</w:t>
      </w:r>
      <w:r>
        <w:t xml:space="preserve">) filed joint submissions opposing </w:t>
      </w:r>
      <w:r w:rsidR="00E475C6">
        <w:t>Ms Luck</w:t>
      </w:r>
      <w:r>
        <w:t>’s application</w:t>
      </w:r>
      <w:r w:rsidR="00F96705">
        <w:t>s</w:t>
      </w:r>
      <w:r>
        <w:t xml:space="preserve"> for stay or adjournment of these appeals.</w:t>
      </w:r>
      <w:r w:rsidR="00E475C6">
        <w:t xml:space="preserve"> </w:t>
      </w:r>
      <w:r>
        <w:t>In br</w:t>
      </w:r>
      <w:r w:rsidR="00AC03E4">
        <w:t>ief, the respondents submitted:</w:t>
      </w:r>
    </w:p>
    <w:p w14:paraId="3BDE3803" w14:textId="387CE868" w:rsidR="001670AD" w:rsidRDefault="001670AD" w:rsidP="00CA4C7F">
      <w:pPr>
        <w:pStyle w:val="ListNo1"/>
      </w:pPr>
      <w:r>
        <w:t>First, no live issues involving the Constitution were raised in th</w:t>
      </w:r>
      <w:r w:rsidR="00AC03E4">
        <w:t>ese appeals.</w:t>
      </w:r>
    </w:p>
    <w:p w14:paraId="57179A83" w14:textId="12A1F590" w:rsidR="001670AD" w:rsidRDefault="001670AD" w:rsidP="00CA4C7F">
      <w:pPr>
        <w:pStyle w:val="ListNo1"/>
      </w:pPr>
      <w:r>
        <w:t xml:space="preserve">Second, s 40 of the </w:t>
      </w:r>
      <w:r>
        <w:rPr>
          <w:i/>
        </w:rPr>
        <w:t xml:space="preserve">Judiciary Act 1903 </w:t>
      </w:r>
      <w:r>
        <w:t>(</w:t>
      </w:r>
      <w:proofErr w:type="spellStart"/>
      <w:r>
        <w:t>Cth</w:t>
      </w:r>
      <w:proofErr w:type="spellEnd"/>
      <w:r>
        <w:t xml:space="preserve">) does not, in terms, prevent this Court from proceeding with the appeals: </w:t>
      </w:r>
      <w:r w:rsidRPr="00BA74FF">
        <w:rPr>
          <w:i/>
          <w:iCs/>
        </w:rPr>
        <w:t xml:space="preserve">Luck v University of Southern Queensland </w:t>
      </w:r>
      <w:r w:rsidRPr="00BA74FF">
        <w:rPr>
          <w:iCs/>
        </w:rPr>
        <w:t xml:space="preserve">[2011] </w:t>
      </w:r>
      <w:proofErr w:type="spellStart"/>
      <w:r w:rsidRPr="00BA74FF">
        <w:rPr>
          <w:iCs/>
        </w:rPr>
        <w:t>FCA</w:t>
      </w:r>
      <w:proofErr w:type="spellEnd"/>
      <w:r w:rsidRPr="00BA74FF">
        <w:rPr>
          <w:iCs/>
        </w:rPr>
        <w:t xml:space="preserve"> 1335 </w:t>
      </w:r>
      <w:r>
        <w:rPr>
          <w:iCs/>
        </w:rPr>
        <w:t xml:space="preserve">at [18]-[20] per </w:t>
      </w:r>
      <w:r w:rsidRPr="00BA74FF">
        <w:rPr>
          <w:iCs/>
        </w:rPr>
        <w:t>Kenny</w:t>
      </w:r>
      <w:r w:rsidR="001A2F3A">
        <w:rPr>
          <w:iCs/>
        </w:rPr>
        <w:t> </w:t>
      </w:r>
      <w:r w:rsidRPr="00BA74FF">
        <w:rPr>
          <w:iCs/>
        </w:rPr>
        <w:t>J</w:t>
      </w:r>
      <w:r>
        <w:rPr>
          <w:iCs/>
        </w:rPr>
        <w:t xml:space="preserve">; </w:t>
      </w:r>
      <w:proofErr w:type="spellStart"/>
      <w:r w:rsidRPr="00BA74FF">
        <w:rPr>
          <w:i/>
          <w:iCs/>
        </w:rPr>
        <w:t>Ponnambalam</w:t>
      </w:r>
      <w:proofErr w:type="spellEnd"/>
      <w:r w:rsidRPr="00BA74FF">
        <w:rPr>
          <w:i/>
          <w:iCs/>
        </w:rPr>
        <w:t xml:space="preserve"> v The State of Western </w:t>
      </w:r>
      <w:r>
        <w:rPr>
          <w:i/>
          <w:iCs/>
        </w:rPr>
        <w:t xml:space="preserve">Australia </w:t>
      </w:r>
      <w:r w:rsidRPr="00BA74FF">
        <w:rPr>
          <w:iCs/>
        </w:rPr>
        <w:t xml:space="preserve">[2013] </w:t>
      </w:r>
      <w:proofErr w:type="spellStart"/>
      <w:r w:rsidRPr="00BA74FF">
        <w:rPr>
          <w:iCs/>
        </w:rPr>
        <w:t>WASCA</w:t>
      </w:r>
      <w:proofErr w:type="spellEnd"/>
      <w:r w:rsidRPr="00BA74FF">
        <w:rPr>
          <w:iCs/>
        </w:rPr>
        <w:t xml:space="preserve"> 101 at [9]-[10] (</w:t>
      </w:r>
      <w:r w:rsidR="00A22C76">
        <w:rPr>
          <w:iCs/>
        </w:rPr>
        <w:t xml:space="preserve">per </w:t>
      </w:r>
      <w:r w:rsidRPr="00BA74FF">
        <w:rPr>
          <w:iCs/>
        </w:rPr>
        <w:t xml:space="preserve">McClure P, Buss and </w:t>
      </w:r>
      <w:proofErr w:type="spellStart"/>
      <w:r w:rsidRPr="00BA74FF">
        <w:rPr>
          <w:iCs/>
        </w:rPr>
        <w:t>Newnes</w:t>
      </w:r>
      <w:proofErr w:type="spellEnd"/>
      <w:r w:rsidR="003031DC">
        <w:rPr>
          <w:iCs/>
        </w:rPr>
        <w:t> </w:t>
      </w:r>
      <w:proofErr w:type="spellStart"/>
      <w:r w:rsidRPr="00BA74FF">
        <w:rPr>
          <w:iCs/>
        </w:rPr>
        <w:t>JJA</w:t>
      </w:r>
      <w:proofErr w:type="spellEnd"/>
      <w:r w:rsidRPr="00BA74FF">
        <w:rPr>
          <w:iCs/>
        </w:rPr>
        <w:t xml:space="preserve"> agreeing</w:t>
      </w:r>
      <w:r>
        <w:t>).</w:t>
      </w:r>
      <w:r w:rsidR="00E475C6">
        <w:t xml:space="preserve"> </w:t>
      </w:r>
      <w:r>
        <w:t xml:space="preserve">The respondents referred to the decision of the High Court in </w:t>
      </w:r>
      <w:proofErr w:type="spellStart"/>
      <w:r>
        <w:rPr>
          <w:i/>
        </w:rPr>
        <w:t>Bienstein</w:t>
      </w:r>
      <w:proofErr w:type="spellEnd"/>
      <w:r>
        <w:rPr>
          <w:i/>
        </w:rPr>
        <w:t xml:space="preserve"> v </w:t>
      </w:r>
      <w:proofErr w:type="spellStart"/>
      <w:r>
        <w:rPr>
          <w:i/>
        </w:rPr>
        <w:t>Bienstein</w:t>
      </w:r>
      <w:proofErr w:type="spellEnd"/>
      <w:r>
        <w:rPr>
          <w:i/>
        </w:rPr>
        <w:t xml:space="preserve"> </w:t>
      </w:r>
      <w:r>
        <w:t>(2003</w:t>
      </w:r>
      <w:r w:rsidRPr="00BA74FF">
        <w:t xml:space="preserve">) 195 </w:t>
      </w:r>
      <w:proofErr w:type="spellStart"/>
      <w:r w:rsidRPr="00BA74FF">
        <w:t>ALR</w:t>
      </w:r>
      <w:proofErr w:type="spellEnd"/>
      <w:r w:rsidRPr="00BA74FF">
        <w:t xml:space="preserve"> 225</w:t>
      </w:r>
      <w:r>
        <w:t>; [</w:t>
      </w:r>
      <w:r w:rsidRPr="00BA74FF">
        <w:t>2003] HCA 7</w:t>
      </w:r>
      <w:r>
        <w:t xml:space="preserve"> at [45]: “Only where</w:t>
      </w:r>
      <w:r w:rsidR="00ED4614">
        <w:t xml:space="preserve"> the</w:t>
      </w:r>
      <w:r>
        <w:t xml:space="preserve"> issues are important and require this court’s urgent decision should the court make an order for removal</w:t>
      </w:r>
      <w:r w:rsidR="003031DC">
        <w:t>”</w:t>
      </w:r>
      <w:r>
        <w:t>.</w:t>
      </w:r>
      <w:r w:rsidR="00E475C6">
        <w:t xml:space="preserve"> </w:t>
      </w:r>
      <w:r>
        <w:t>Citing the decision of Kenny</w:t>
      </w:r>
      <w:r w:rsidR="00521A30">
        <w:t> </w:t>
      </w:r>
      <w:r>
        <w:t xml:space="preserve">J in </w:t>
      </w:r>
      <w:r>
        <w:rPr>
          <w:i/>
        </w:rPr>
        <w:t>Luck v University of Southern Queensland</w:t>
      </w:r>
      <w:r w:rsidRPr="005B674E">
        <w:rPr>
          <w:i/>
          <w:iCs/>
        </w:rPr>
        <w:t xml:space="preserve"> </w:t>
      </w:r>
      <w:r w:rsidRPr="005B674E">
        <w:rPr>
          <w:iCs/>
        </w:rPr>
        <w:t xml:space="preserve">[2011] </w:t>
      </w:r>
      <w:proofErr w:type="spellStart"/>
      <w:r w:rsidRPr="005B674E">
        <w:rPr>
          <w:iCs/>
        </w:rPr>
        <w:t>FCA</w:t>
      </w:r>
      <w:proofErr w:type="spellEnd"/>
      <w:r w:rsidRPr="005B674E">
        <w:rPr>
          <w:iCs/>
        </w:rPr>
        <w:t xml:space="preserve"> 1335</w:t>
      </w:r>
      <w:r w:rsidRPr="005B674E">
        <w:rPr>
          <w:i/>
          <w:iCs/>
        </w:rPr>
        <w:t xml:space="preserve"> </w:t>
      </w:r>
      <w:r>
        <w:t>at [20], the respondents contended that it was permissible for this Court to consider the prospects of success of the removal applications, and submitted that the removal applicat</w:t>
      </w:r>
      <w:r w:rsidR="00AC03E4">
        <w:t>ions were unlikely to succeed.</w:t>
      </w:r>
    </w:p>
    <w:p w14:paraId="3F8F821C" w14:textId="5CE462B9" w:rsidR="001670AD" w:rsidRDefault="001670AD" w:rsidP="00CA4C7F">
      <w:pPr>
        <w:pStyle w:val="ListNo1"/>
      </w:pPr>
      <w:r>
        <w:t xml:space="preserve">Third, insofar as stay or adjournment was sought pending the determination of </w:t>
      </w:r>
      <w:r w:rsidR="00E475C6">
        <w:t>Ms Luck</w:t>
      </w:r>
      <w:r>
        <w:t xml:space="preserve">’s special leave application in relation to the Full Court decision in </w:t>
      </w:r>
      <w:r>
        <w:rPr>
          <w:i/>
        </w:rPr>
        <w:t xml:space="preserve">Luck v University of Southern Queensland </w:t>
      </w:r>
      <w:r>
        <w:t xml:space="preserve">[2014] </w:t>
      </w:r>
      <w:proofErr w:type="spellStart"/>
      <w:r>
        <w:t>FCAFC</w:t>
      </w:r>
      <w:proofErr w:type="spellEnd"/>
      <w:r>
        <w:t xml:space="preserve"> 135, the Constitutional issues raised in that matter did not arise in the present appeals.</w:t>
      </w:r>
    </w:p>
    <w:p w14:paraId="109FDAE2" w14:textId="6B8D2BAD" w:rsidR="00A5028B" w:rsidRDefault="00782EA4" w:rsidP="00CA4C7F">
      <w:pPr>
        <w:pStyle w:val="Heading2"/>
      </w:pPr>
      <w:r>
        <w:t>High Court application</w:t>
      </w:r>
      <w:r w:rsidR="00FB3D59">
        <w:t>s</w:t>
      </w:r>
      <w:r>
        <w:t xml:space="preserve"> to stay </w:t>
      </w:r>
      <w:r w:rsidR="00FB3D59">
        <w:t>these</w:t>
      </w:r>
      <w:r>
        <w:t xml:space="preserve"> appeal</w:t>
      </w:r>
      <w:r w:rsidR="00FB3D59">
        <w:t>s</w:t>
      </w:r>
    </w:p>
    <w:p w14:paraId="715EA3B6" w14:textId="31BC5D4A" w:rsidR="00A7060E" w:rsidRDefault="0041605C" w:rsidP="00CA4C7F">
      <w:pPr>
        <w:pStyle w:val="ParaNumbering"/>
      </w:pPr>
      <w:bookmarkStart w:id="22" w:name="_Ref419821722"/>
      <w:r>
        <w:t xml:space="preserve">On 18 May 2015, three days prior to the hearing of these </w:t>
      </w:r>
      <w:r w:rsidR="0012192A">
        <w:t>applications</w:t>
      </w:r>
      <w:r>
        <w:t>,</w:t>
      </w:r>
      <w:r w:rsidR="00E475C6">
        <w:t xml:space="preserve"> Ms Luck</w:t>
      </w:r>
      <w:r>
        <w:t xml:space="preserve"> sent an email to the Victorian Registry of this Court, copied to the Deputy Registrar of the High Court, to the respondent</w:t>
      </w:r>
      <w:r w:rsidR="00E85F90">
        <w:t>s’</w:t>
      </w:r>
      <w:r>
        <w:t xml:space="preserve"> solicitors and to the </w:t>
      </w:r>
      <w:r w:rsidR="00ED4614">
        <w:t xml:space="preserve">Chambers </w:t>
      </w:r>
      <w:r>
        <w:t xml:space="preserve">of </w:t>
      </w:r>
      <w:r w:rsidR="00E475C6">
        <w:t>Mortimer J</w:t>
      </w:r>
      <w:r>
        <w:t xml:space="preserve">, who has been case managing these </w:t>
      </w:r>
      <w:r w:rsidR="0012192A">
        <w:t>matters</w:t>
      </w:r>
      <w:r>
        <w:t>.</w:t>
      </w:r>
      <w:bookmarkEnd w:id="22"/>
    </w:p>
    <w:p w14:paraId="1669850E" w14:textId="0097CF56" w:rsidR="0041605C" w:rsidRDefault="0041605C" w:rsidP="00CA4C7F">
      <w:pPr>
        <w:pStyle w:val="ParaNumbering"/>
      </w:pPr>
      <w:r>
        <w:t>The correspondence concerned, first, bankruptcy proceedings</w:t>
      </w:r>
      <w:r w:rsidR="00FC5D88">
        <w:t xml:space="preserve"> (</w:t>
      </w:r>
      <w:proofErr w:type="spellStart"/>
      <w:r w:rsidR="00FC5D88">
        <w:t>MLG</w:t>
      </w:r>
      <w:proofErr w:type="spellEnd"/>
      <w:r w:rsidR="00FC5D88">
        <w:t> 737/2015)</w:t>
      </w:r>
      <w:r>
        <w:t xml:space="preserve"> issued in the Federal Circuit Court against </w:t>
      </w:r>
      <w:r w:rsidR="00E475C6">
        <w:t>Ms Luck</w:t>
      </w:r>
      <w:r>
        <w:t>, and a proposed adjournment of those proceedings pending a further appeal (VID</w:t>
      </w:r>
      <w:r w:rsidR="00521A30">
        <w:t> </w:t>
      </w:r>
      <w:r>
        <w:t xml:space="preserve">189/2015) </w:t>
      </w:r>
      <w:r w:rsidR="00A7060E">
        <w:t xml:space="preserve">by </w:t>
      </w:r>
      <w:r w:rsidR="00E475C6">
        <w:t>Ms Luck</w:t>
      </w:r>
      <w:r>
        <w:t xml:space="preserve"> to a Full Court of this Court, which relates to her unsuccessful attempts to have the bankruptcy notice issued against her set aside. That appeal is scheduled to be listed in the August 2015 Full Court sittings.</w:t>
      </w:r>
      <w:r w:rsidR="00E475C6">
        <w:t xml:space="preserve"> </w:t>
      </w:r>
      <w:r>
        <w:t xml:space="preserve">However, in this correspondence, </w:t>
      </w:r>
      <w:r w:rsidR="00E475C6">
        <w:t>Ms Luck</w:t>
      </w:r>
      <w:r>
        <w:t xml:space="preserve"> </w:t>
      </w:r>
      <w:r w:rsidR="00A7060E">
        <w:t xml:space="preserve">also </w:t>
      </w:r>
      <w:r>
        <w:t>sought a stay of her appeal in VID</w:t>
      </w:r>
      <w:r w:rsidR="00521A30">
        <w:t> </w:t>
      </w:r>
      <w:r>
        <w:t xml:space="preserve">189/2015, </w:t>
      </w:r>
      <w:r w:rsidRPr="00CE1D66">
        <w:t xml:space="preserve">pending her </w:t>
      </w:r>
      <w:r w:rsidRPr="00CE1D66">
        <w:lastRenderedPageBreak/>
        <w:t>special leave application from the Ful</w:t>
      </w:r>
      <w:r w:rsidR="00E85F90" w:rsidRPr="00CE1D66">
        <w:t>l Court’s decision in VID</w:t>
      </w:r>
      <w:r w:rsidR="00521A30">
        <w:t> </w:t>
      </w:r>
      <w:r w:rsidRPr="00CE1D66">
        <w:t>1158/2013</w:t>
      </w:r>
      <w:r w:rsidR="00331717">
        <w:t xml:space="preserve"> (</w:t>
      </w:r>
      <w:r w:rsidR="00331717">
        <w:rPr>
          <w:i/>
        </w:rPr>
        <w:t xml:space="preserve">Luck v University of Southern Queensland </w:t>
      </w:r>
      <w:r w:rsidR="00331717">
        <w:t xml:space="preserve">[2014] </w:t>
      </w:r>
      <w:proofErr w:type="spellStart"/>
      <w:r w:rsidR="00331717">
        <w:t>FCAFC</w:t>
      </w:r>
      <w:proofErr w:type="spellEnd"/>
      <w:r w:rsidR="00331717">
        <w:t xml:space="preserve"> 135)</w:t>
      </w:r>
      <w:r>
        <w:t>.</w:t>
      </w:r>
      <w:r w:rsidR="00A7060E">
        <w:t xml:space="preserve"> That is, although the app</w:t>
      </w:r>
      <w:r w:rsidR="002C4772">
        <w:t>e</w:t>
      </w:r>
      <w:r w:rsidR="00A7060E">
        <w:t>al in VID</w:t>
      </w:r>
      <w:r w:rsidR="00521A30">
        <w:t> </w:t>
      </w:r>
      <w:r w:rsidR="00A7060E">
        <w:t>189/2015 was give</w:t>
      </w:r>
      <w:r w:rsidR="002C4772">
        <w:t>n</w:t>
      </w:r>
      <w:r w:rsidR="00311C70">
        <w:t xml:space="preserve"> by </w:t>
      </w:r>
      <w:r w:rsidR="00E475C6">
        <w:t>Ms Luck</w:t>
      </w:r>
      <w:r w:rsidR="00311C70">
        <w:t xml:space="preserve"> as the reason</w:t>
      </w:r>
      <w:r w:rsidR="00A7060E">
        <w:t xml:space="preserve"> for adjourning the bankruptcy proceedings against her</w:t>
      </w:r>
      <w:r w:rsidR="00E475C6">
        <w:t xml:space="preserve"> </w:t>
      </w:r>
      <w:r w:rsidR="00A7060E">
        <w:t xml:space="preserve">in the Federal Circuit Court, rather than pressing on with that appeal, she sought in turn that it be stayed pending her special leave application. This is not the first time </w:t>
      </w:r>
      <w:r w:rsidR="00E475C6">
        <w:t>Ms Luck</w:t>
      </w:r>
      <w:r w:rsidR="00A7060E">
        <w:t xml:space="preserve"> has made what might be described as cascading applications for stays and adjournments in various proceedings.</w:t>
      </w:r>
    </w:p>
    <w:p w14:paraId="69222640" w14:textId="77558856" w:rsidR="0041605C" w:rsidRDefault="00E475C6" w:rsidP="00CA4C7F">
      <w:pPr>
        <w:pStyle w:val="ParaNumbering"/>
      </w:pPr>
      <w:r>
        <w:t>Ms Luck</w:t>
      </w:r>
      <w:r w:rsidR="0041605C">
        <w:t xml:space="preserve"> notes in this correspondence that </w:t>
      </w:r>
      <w:r w:rsidR="00CE1D66">
        <w:t>“</w:t>
      </w:r>
      <w:r w:rsidR="0041605C">
        <w:t xml:space="preserve">the </w:t>
      </w:r>
      <w:r w:rsidR="00CE1D66">
        <w:t>Federal</w:t>
      </w:r>
      <w:r w:rsidR="00CE1D66" w:rsidRPr="00B30ACA">
        <w:t xml:space="preserve"> </w:t>
      </w:r>
      <w:r w:rsidR="0041605C" w:rsidRPr="00B30ACA">
        <w:t xml:space="preserve">Court has refused to stay or adjourn the matter of </w:t>
      </w:r>
      <w:proofErr w:type="spellStart"/>
      <w:r w:rsidR="0041605C" w:rsidRPr="00B30ACA">
        <w:t>VID189</w:t>
      </w:r>
      <w:proofErr w:type="spellEnd"/>
      <w:r w:rsidR="0041605C" w:rsidRPr="00B30ACA">
        <w:t>/2015</w:t>
      </w:r>
      <w:r w:rsidR="0041605C">
        <w:t>”. That is a correct statement: on 4</w:t>
      </w:r>
      <w:r w:rsidR="00521A30">
        <w:t> </w:t>
      </w:r>
      <w:r w:rsidR="0041605C">
        <w:t>May 2015</w:t>
      </w:r>
      <w:r w:rsidR="00ED4614">
        <w:t>,</w:t>
      </w:r>
      <w:r w:rsidR="0041605C">
        <w:t xml:space="preserve"> Beach</w:t>
      </w:r>
      <w:r w:rsidR="00602279">
        <w:t> </w:t>
      </w:r>
      <w:r w:rsidR="0041605C">
        <w:t xml:space="preserve">J refused </w:t>
      </w:r>
      <w:r>
        <w:t>Ms Luck</w:t>
      </w:r>
      <w:r w:rsidR="0041605C">
        <w:t>’s stay and adjournment applications in VID</w:t>
      </w:r>
      <w:r w:rsidR="00602279">
        <w:t> </w:t>
      </w:r>
      <w:r w:rsidR="0041605C">
        <w:t xml:space="preserve">189/2015. </w:t>
      </w:r>
      <w:r>
        <w:t>Ms Luck</w:t>
      </w:r>
      <w:r w:rsidR="0041605C">
        <w:t xml:space="preserve"> also states however that </w:t>
      </w:r>
      <w:r w:rsidR="00CE1D66">
        <w:t>“</w:t>
      </w:r>
      <w:r w:rsidR="00A7060E">
        <w:t xml:space="preserve">the </w:t>
      </w:r>
      <w:r w:rsidR="00CE1D66">
        <w:t xml:space="preserve">Federal </w:t>
      </w:r>
      <w:r w:rsidR="0041605C" w:rsidRPr="00B30ACA">
        <w:t>Court has refused to stay or adjourn …</w:t>
      </w:r>
      <w:r w:rsidR="002C4772" w:rsidRPr="00B30ACA">
        <w:t xml:space="preserve"> </w:t>
      </w:r>
      <w:r w:rsidR="00CE1D66">
        <w:t xml:space="preserve">matters </w:t>
      </w:r>
      <w:r w:rsidR="0041605C" w:rsidRPr="00B30ACA">
        <w:t>V</w:t>
      </w:r>
      <w:r w:rsidR="00FC5D88">
        <w:t>ID</w:t>
      </w:r>
      <w:r w:rsidR="00602279">
        <w:t> </w:t>
      </w:r>
      <w:r w:rsidR="00FC5D88">
        <w:t>898/2008</w:t>
      </w:r>
      <w:r w:rsidR="00CE1D66">
        <w:t>,</w:t>
      </w:r>
      <w:r w:rsidR="00FC5D88">
        <w:t xml:space="preserve"> VID </w:t>
      </w:r>
      <w:r w:rsidR="0041605C" w:rsidRPr="00B30ACA">
        <w:t>512/2014</w:t>
      </w:r>
      <w:r w:rsidR="00CE1D66">
        <w:t xml:space="preserve"> …</w:t>
      </w:r>
      <w:r w:rsidR="0041605C">
        <w:t xml:space="preserve">”. That is not </w:t>
      </w:r>
      <w:r w:rsidR="00A7060E">
        <w:t xml:space="preserve">entirely </w:t>
      </w:r>
      <w:r w:rsidR="0041605C">
        <w:t>correct.</w:t>
      </w:r>
      <w:r w:rsidR="000854B7">
        <w:t xml:space="preserve"> We did not grant a three-</w:t>
      </w:r>
      <w:r w:rsidR="00A7060E">
        <w:t xml:space="preserve">month adjournment </w:t>
      </w:r>
      <w:r w:rsidR="00772496">
        <w:t xml:space="preserve">immediately </w:t>
      </w:r>
      <w:r w:rsidR="00A7060E">
        <w:t xml:space="preserve">to </w:t>
      </w:r>
      <w:r>
        <w:t>Ms Luck</w:t>
      </w:r>
      <w:r w:rsidR="00A7060E">
        <w:t xml:space="preserve"> prior to the hearing of the appeals</w:t>
      </w:r>
      <w:r w:rsidR="00772496">
        <w:t>,</w:t>
      </w:r>
      <w:r w:rsidR="00A7060E">
        <w:t xml:space="preserve"> as she </w:t>
      </w:r>
      <w:r w:rsidR="00772496">
        <w:t xml:space="preserve">had </w:t>
      </w:r>
      <w:r w:rsidR="00A7060E">
        <w:t>sought. However</w:t>
      </w:r>
      <w:r w:rsidR="0041605C">
        <w:t xml:space="preserve"> </w:t>
      </w:r>
      <w:r>
        <w:t>Ms Luck</w:t>
      </w:r>
      <w:r w:rsidR="0041605C">
        <w:t xml:space="preserve">’s applications for stay and adjournment were listed to be heard and determined </w:t>
      </w:r>
      <w:r w:rsidR="00CE1D66">
        <w:t>on</w:t>
      </w:r>
      <w:r w:rsidR="0041605C">
        <w:t xml:space="preserve"> 21</w:t>
      </w:r>
      <w:r w:rsidR="00602279">
        <w:t> </w:t>
      </w:r>
      <w:r w:rsidR="0041605C">
        <w:t>May 2015 and are the subject matter of this judgment.</w:t>
      </w:r>
    </w:p>
    <w:p w14:paraId="5E225FFB" w14:textId="04977909" w:rsidR="0041605C" w:rsidRDefault="0041605C" w:rsidP="00CA4C7F">
      <w:pPr>
        <w:pStyle w:val="ParaNumbering"/>
      </w:pPr>
      <w:bookmarkStart w:id="23" w:name="_Ref419821784"/>
      <w:r>
        <w:t>Further, in this corresp</w:t>
      </w:r>
      <w:r w:rsidR="000854B7">
        <w:t xml:space="preserve">ondence, </w:t>
      </w:r>
      <w:r w:rsidR="00E475C6">
        <w:t>Ms Luck</w:t>
      </w:r>
      <w:r w:rsidR="000854B7">
        <w:t xml:space="preserve"> asserts that “</w:t>
      </w:r>
      <w:r w:rsidRPr="00B30ACA">
        <w:t>I am not capable</w:t>
      </w:r>
      <w:r w:rsidR="00CE1D66">
        <w:t>,</w:t>
      </w:r>
      <w:r w:rsidRPr="00B30ACA">
        <w:t xml:space="preserve"> due to disability (medical certificate provided), at this time, of managing any appearances before the Court or undertaking work that is necessary and required to prepare for and make comprehensive and proper submissions to the Court, either written or oral</w:t>
      </w:r>
      <w:r>
        <w:t>”. That is the reason she gives for consenting to the adjournment of the bankruptcy proceedings, and</w:t>
      </w:r>
      <w:r w:rsidR="00772496">
        <w:t>,</w:t>
      </w:r>
      <w:r>
        <w:t xml:space="preserve"> we infer, </w:t>
      </w:r>
      <w:r w:rsidR="00772496">
        <w:t>it is</w:t>
      </w:r>
      <w:r>
        <w:t xml:space="preserve"> the basis on which she has agreed to the </w:t>
      </w:r>
      <w:r w:rsidR="00E85F90">
        <w:t>High Court determining her stay</w:t>
      </w:r>
      <w:r>
        <w:t xml:space="preserve"> applications on the basis of the written material.</w:t>
      </w:r>
      <w:bookmarkEnd w:id="23"/>
    </w:p>
    <w:p w14:paraId="29D63249" w14:textId="1BAFFB9D" w:rsidR="00F45D80" w:rsidRDefault="00F45D80" w:rsidP="00CA4C7F">
      <w:pPr>
        <w:pStyle w:val="ParaNumbering"/>
      </w:pPr>
      <w:r w:rsidRPr="00F45D80">
        <w:t>On 19 May 2015</w:t>
      </w:r>
      <w:r w:rsidR="00ED4614">
        <w:t>,</w:t>
      </w:r>
      <w:r w:rsidRPr="00F45D80">
        <w:t xml:space="preserve"> Nettle J heard and dismissed with costs </w:t>
      </w:r>
      <w:r w:rsidR="00E475C6">
        <w:t>Ms Luck</w:t>
      </w:r>
      <w:r w:rsidRPr="00F45D80">
        <w:t xml:space="preserve">’s applications </w:t>
      </w:r>
      <w:r w:rsidR="00CE1D66">
        <w:t xml:space="preserve">in the High Court </w:t>
      </w:r>
      <w:r w:rsidRPr="00F45D80">
        <w:t>to stay the present appeals, on the basis that he was no</w:t>
      </w:r>
      <w:r w:rsidR="002C4772">
        <w:t>t</w:t>
      </w:r>
      <w:r w:rsidRPr="00F45D80">
        <w:t xml:space="preserve"> persuaded of any need or justification for a stay: </w:t>
      </w:r>
      <w:r w:rsidRPr="00F45D80">
        <w:rPr>
          <w:i/>
        </w:rPr>
        <w:t xml:space="preserve">Luck v </w:t>
      </w:r>
      <w:r w:rsidR="00FF1F2C">
        <w:rPr>
          <w:i/>
        </w:rPr>
        <w:t>University of Southern Queensland</w:t>
      </w:r>
      <w:r w:rsidR="00FF1F2C" w:rsidRPr="00F45D80">
        <w:rPr>
          <w:i/>
        </w:rPr>
        <w:t xml:space="preserve"> </w:t>
      </w:r>
      <w:r w:rsidRPr="00F45D80">
        <w:t xml:space="preserve">[2015] </w:t>
      </w:r>
      <w:proofErr w:type="spellStart"/>
      <w:r w:rsidRPr="00F45D80">
        <w:t>HCATrans</w:t>
      </w:r>
      <w:proofErr w:type="spellEnd"/>
      <w:r w:rsidRPr="00F45D80">
        <w:t xml:space="preserve"> </w:t>
      </w:r>
      <w:r w:rsidR="00FF1F2C" w:rsidRPr="00FF1F2C">
        <w:t>125.</w:t>
      </w:r>
      <w:r w:rsidR="00E475C6">
        <w:t xml:space="preserve"> </w:t>
      </w:r>
      <w:r w:rsidRPr="008E4E1C">
        <w:t xml:space="preserve">As at the date of </w:t>
      </w:r>
      <w:r w:rsidR="00A54E7E">
        <w:t>judgment on 21</w:t>
      </w:r>
      <w:r w:rsidR="00602279">
        <w:t> </w:t>
      </w:r>
      <w:r w:rsidR="00A54E7E">
        <w:t xml:space="preserve">May 2015 and the date of </w:t>
      </w:r>
      <w:r w:rsidRPr="008E4E1C">
        <w:t xml:space="preserve">publishing these </w:t>
      </w:r>
      <w:r>
        <w:t>reasons</w:t>
      </w:r>
      <w:r w:rsidRPr="008E4E1C">
        <w:t xml:space="preserve">, </w:t>
      </w:r>
      <w:r w:rsidR="00E475C6">
        <w:t>Ms Luck</w:t>
      </w:r>
      <w:r>
        <w:t>’s</w:t>
      </w:r>
      <w:r w:rsidRPr="008E4E1C">
        <w:t xml:space="preserve"> applications to remove the</w:t>
      </w:r>
      <w:r>
        <w:t>se appeals to the High Court have</w:t>
      </w:r>
      <w:r w:rsidRPr="008E4E1C">
        <w:t xml:space="preserve"> not yet been listed for hearing</w:t>
      </w:r>
      <w:r w:rsidR="00DF3313">
        <w:t xml:space="preserve"> or determination.</w:t>
      </w:r>
    </w:p>
    <w:p w14:paraId="18746845" w14:textId="1953F290" w:rsidR="009040C4" w:rsidRPr="00BF7C63" w:rsidRDefault="00F45D80" w:rsidP="00CA4C7F">
      <w:pPr>
        <w:pStyle w:val="Heading1"/>
      </w:pPr>
      <w:r>
        <w:t>RESOLUTION OF THE STAY AND ADJOURNMENT APPLICATIONS</w:t>
      </w:r>
    </w:p>
    <w:p w14:paraId="295CEDDE" w14:textId="37AE76FA" w:rsidR="00F45D80" w:rsidRDefault="00F45D80" w:rsidP="00CA4C7F">
      <w:pPr>
        <w:pStyle w:val="ParaNumbering"/>
      </w:pPr>
      <w:r>
        <w:t xml:space="preserve">We do not consider it is in the interests of the administration of justice for the stays sought by </w:t>
      </w:r>
      <w:r w:rsidR="00E475C6">
        <w:t>Ms Luck</w:t>
      </w:r>
      <w:r>
        <w:t xml:space="preserve"> to be granted. Nor do we consider we should adjourn the appeals for the period of three months she seeks, or for any lesser period.</w:t>
      </w:r>
    </w:p>
    <w:p w14:paraId="6E3080FE" w14:textId="5B450E13" w:rsidR="00BD0DE1" w:rsidRPr="00BD0DE1" w:rsidRDefault="00BD0DE1" w:rsidP="00CA4C7F">
      <w:pPr>
        <w:pStyle w:val="Heading2"/>
      </w:pPr>
      <w:r w:rsidRPr="00BD0DE1">
        <w:lastRenderedPageBreak/>
        <w:t>The stay applications</w:t>
      </w:r>
    </w:p>
    <w:p w14:paraId="55D18203" w14:textId="0B5F5BBB" w:rsidR="00BD0DE1" w:rsidRDefault="00F7387D" w:rsidP="00CA4C7F">
      <w:pPr>
        <w:pStyle w:val="ParaNumbering"/>
      </w:pPr>
      <w:r>
        <w:t xml:space="preserve">What </w:t>
      </w:r>
      <w:r w:rsidR="00E475C6">
        <w:t>Ms Luck</w:t>
      </w:r>
      <w:r>
        <w:t xml:space="preserve"> seeks is to put these appeals on hold until the High Court has determined her removal application</w:t>
      </w:r>
      <w:r w:rsidR="00483DEA">
        <w:t>s</w:t>
      </w:r>
      <w:r>
        <w:t>. Nettle</w:t>
      </w:r>
      <w:r w:rsidR="00602279">
        <w:t> </w:t>
      </w:r>
      <w:r>
        <w:t>J found on 19</w:t>
      </w:r>
      <w:r w:rsidR="00602279">
        <w:t> </w:t>
      </w:r>
      <w:r>
        <w:t xml:space="preserve">May 2015 that there was no need or justification for such a stay. That is also our view. </w:t>
      </w:r>
      <w:r w:rsidR="00BD0DE1">
        <w:t xml:space="preserve">In </w:t>
      </w:r>
      <w:proofErr w:type="spellStart"/>
      <w:r w:rsidR="00BD0DE1" w:rsidRPr="00BD0DE1">
        <w:rPr>
          <w:i/>
        </w:rPr>
        <w:t>Birdon</w:t>
      </w:r>
      <w:proofErr w:type="spellEnd"/>
      <w:r w:rsidR="00BD0DE1" w:rsidRPr="00BD0DE1">
        <w:rPr>
          <w:i/>
        </w:rPr>
        <w:t xml:space="preserve"> Pty Ltd v </w:t>
      </w:r>
      <w:proofErr w:type="spellStart"/>
      <w:r w:rsidR="00BD0DE1" w:rsidRPr="00BD0DE1">
        <w:rPr>
          <w:i/>
        </w:rPr>
        <w:t>Houben</w:t>
      </w:r>
      <w:proofErr w:type="spellEnd"/>
      <w:r w:rsidR="00BD0DE1" w:rsidRPr="00BD0DE1">
        <w:rPr>
          <w:i/>
        </w:rPr>
        <w:t xml:space="preserve"> Marine Pty Ltd</w:t>
      </w:r>
      <w:r w:rsidR="00BD0DE1">
        <w:t xml:space="preserve"> </w:t>
      </w:r>
      <w:r w:rsidR="002C4772">
        <w:t xml:space="preserve">[2011] </w:t>
      </w:r>
      <w:proofErr w:type="spellStart"/>
      <w:r w:rsidR="002C4772">
        <w:t>FCA</w:t>
      </w:r>
      <w:proofErr w:type="spellEnd"/>
      <w:r w:rsidR="002C4772">
        <w:t xml:space="preserve"> 1217, Rares</w:t>
      </w:r>
      <w:r w:rsidR="00C440EE">
        <w:t> </w:t>
      </w:r>
      <w:r w:rsidR="002C4772">
        <w:t>J said (</w:t>
      </w:r>
      <w:r w:rsidR="00BD0DE1">
        <w:t>at [10]</w:t>
      </w:r>
      <w:r w:rsidR="002C4772">
        <w:t>):</w:t>
      </w:r>
    </w:p>
    <w:p w14:paraId="79B9DB5F" w14:textId="0FBE1DB4" w:rsidR="00BD0DE1" w:rsidRDefault="00ED4614" w:rsidP="00CA4C7F">
      <w:pPr>
        <w:pStyle w:val="Quote1"/>
        <w:widowControl/>
      </w:pPr>
      <w:r>
        <w:t xml:space="preserve">It </w:t>
      </w:r>
      <w:r w:rsidR="00BD0DE1">
        <w:t xml:space="preserve">is necessary to have regard to the orderly administration of justice in considering whether to grant interlocutory relief in aid of an application for special leave to appeal to the High Court: </w:t>
      </w:r>
      <w:r w:rsidR="00BD0DE1" w:rsidRPr="009824D4">
        <w:rPr>
          <w:i/>
        </w:rPr>
        <w:t>Paringa Mining &amp; Exploration Co plc v North Flinders Mines Ltd</w:t>
      </w:r>
      <w:r w:rsidR="00BD0DE1">
        <w:t xml:space="preserve"> (1988) 165 </w:t>
      </w:r>
      <w:proofErr w:type="spellStart"/>
      <w:r w:rsidR="00BD0DE1">
        <w:t>CLR</w:t>
      </w:r>
      <w:proofErr w:type="spellEnd"/>
      <w:r w:rsidR="00BD0DE1">
        <w:t xml:space="preserve"> 452 at 458 per Mason CJ, Brennan and </w:t>
      </w:r>
      <w:proofErr w:type="spellStart"/>
      <w:r w:rsidR="00BD0DE1">
        <w:t>Gaudron</w:t>
      </w:r>
      <w:proofErr w:type="spellEnd"/>
      <w:r w:rsidR="00BD0DE1">
        <w:t xml:space="preserve"> </w:t>
      </w:r>
      <w:proofErr w:type="spellStart"/>
      <w:r w:rsidR="00BD0DE1">
        <w:t>JJ</w:t>
      </w:r>
      <w:proofErr w:type="spellEnd"/>
      <w:r w:rsidR="00BD0DE1">
        <w:t xml:space="preserve">. The jurisdiction of this </w:t>
      </w:r>
      <w:r w:rsidR="002456FE">
        <w:t>C</w:t>
      </w:r>
      <w:r w:rsidR="00BD0DE1">
        <w:t>ourt, and the High Court, for this purpose is concurrent. The question for decision is whether or not the refusal of interim relief would render nugatory an appeal to the High Court, were special leave granted (</w:t>
      </w:r>
      <w:r w:rsidR="00BD0DE1" w:rsidRPr="009824D4">
        <w:rPr>
          <w:i/>
        </w:rPr>
        <w:t>Paringa</w:t>
      </w:r>
      <w:r w:rsidR="002456FE">
        <w:t xml:space="preserve"> 165 </w:t>
      </w:r>
      <w:proofErr w:type="spellStart"/>
      <w:r w:rsidR="002456FE">
        <w:t>CLR</w:t>
      </w:r>
      <w:proofErr w:type="spellEnd"/>
      <w:r w:rsidR="002456FE">
        <w:t xml:space="preserve"> at 459-</w:t>
      </w:r>
      <w:r w:rsidR="00BD0DE1">
        <w:t xml:space="preserve">460). The principles on which the High Court will grant such an injunction in aid of an application for special leave to appeal were also discussed in the much cited judgment of Brennan J in </w:t>
      </w:r>
      <w:r w:rsidR="00BD0DE1" w:rsidRPr="009824D4">
        <w:rPr>
          <w:i/>
        </w:rPr>
        <w:t>Jennings Construction Ltd v Burgundy Royale Investments Pty L</w:t>
      </w:r>
      <w:r w:rsidR="002456FE">
        <w:rPr>
          <w:i/>
        </w:rPr>
        <w:t>imite</w:t>
      </w:r>
      <w:r w:rsidR="00BD0DE1" w:rsidRPr="009824D4">
        <w:rPr>
          <w:i/>
        </w:rPr>
        <w:t xml:space="preserve">d </w:t>
      </w:r>
      <w:r w:rsidR="002456FE">
        <w:rPr>
          <w:i/>
        </w:rPr>
        <w:t>[</w:t>
      </w:r>
      <w:r w:rsidR="00BD0DE1" w:rsidRPr="009824D4">
        <w:rPr>
          <w:i/>
        </w:rPr>
        <w:t>No 1</w:t>
      </w:r>
      <w:r w:rsidR="002456FE">
        <w:rPr>
          <w:i/>
        </w:rPr>
        <w:t>]</w:t>
      </w:r>
      <w:r w:rsidR="00BD0DE1" w:rsidRPr="009824D4">
        <w:rPr>
          <w:i/>
        </w:rPr>
        <w:t xml:space="preserve"> </w:t>
      </w:r>
      <w:r w:rsidR="002456FE">
        <w:t xml:space="preserve">(1986) 161 </w:t>
      </w:r>
      <w:proofErr w:type="spellStart"/>
      <w:r w:rsidR="002456FE">
        <w:t>CLR</w:t>
      </w:r>
      <w:proofErr w:type="spellEnd"/>
      <w:r w:rsidR="002456FE">
        <w:t xml:space="preserve"> 681 at 683-</w:t>
      </w:r>
      <w:r w:rsidR="00BD0DE1">
        <w:t xml:space="preserve">684. Similar considerations apply to an application for a stay, as </w:t>
      </w:r>
      <w:proofErr w:type="spellStart"/>
      <w:r w:rsidR="00BD0DE1">
        <w:t>Spigelman</w:t>
      </w:r>
      <w:proofErr w:type="spellEnd"/>
      <w:r w:rsidR="00BD0DE1">
        <w:t xml:space="preserve"> CJ noted in </w:t>
      </w:r>
      <w:r w:rsidR="00BD0DE1" w:rsidRPr="009824D4">
        <w:rPr>
          <w:i/>
        </w:rPr>
        <w:t>Minister for Local Government v South Sydney City Council (No 3)</w:t>
      </w:r>
      <w:r w:rsidR="002456FE">
        <w:t xml:space="preserve"> [2002] </w:t>
      </w:r>
      <w:proofErr w:type="spellStart"/>
      <w:r w:rsidR="002456FE">
        <w:t>NSWCA</w:t>
      </w:r>
      <w:proofErr w:type="spellEnd"/>
      <w:r w:rsidR="002456FE">
        <w:t xml:space="preserve"> 327 at [10]-</w:t>
      </w:r>
      <w:r w:rsidR="00BD0DE1">
        <w:t xml:space="preserve">[13]. These considerations were summarised by </w:t>
      </w:r>
      <w:proofErr w:type="spellStart"/>
      <w:r w:rsidR="00BD0DE1">
        <w:t>Ipp</w:t>
      </w:r>
      <w:proofErr w:type="spellEnd"/>
      <w:r w:rsidR="00BD0DE1">
        <w:t xml:space="preserve"> J, with whom Pidgeon J agreed, in the Full Court of the Supreme Court of Western Australia in </w:t>
      </w:r>
      <w:r w:rsidR="00BD0DE1" w:rsidRPr="009824D4">
        <w:rPr>
          <w:i/>
        </w:rPr>
        <w:t>Hamersley Iron Pty Ltd v Lovell (No 2)</w:t>
      </w:r>
      <w:r w:rsidR="00BD0DE1">
        <w:t xml:space="preserve"> (1998) 20 WAR 79 at </w:t>
      </w:r>
      <w:proofErr w:type="spellStart"/>
      <w:r w:rsidR="00BD0DE1">
        <w:t>85D</w:t>
      </w:r>
      <w:proofErr w:type="spellEnd"/>
      <w:r w:rsidR="00176280">
        <w:t xml:space="preserve"> </w:t>
      </w:r>
      <w:r w:rsidR="00BD0DE1">
        <w:t>as follows:</w:t>
      </w:r>
    </w:p>
    <w:p w14:paraId="69905DA6" w14:textId="77777777" w:rsidR="002456FE" w:rsidRDefault="002456FE" w:rsidP="00CA4C7F">
      <w:pPr>
        <w:pStyle w:val="Quote1"/>
        <w:widowControl/>
      </w:pPr>
    </w:p>
    <w:p w14:paraId="3E89FA29" w14:textId="4F4E21C3" w:rsidR="00BD0DE1" w:rsidRDefault="00BD0DE1" w:rsidP="00CA4C7F">
      <w:pPr>
        <w:pStyle w:val="Quote2"/>
        <w:widowControl/>
      </w:pPr>
      <w:r>
        <w:t>Generally speaking, the court will only stay proceedings when it is necessary to preserve the subject matter or integrity of the litigation or where refusal of a stay could create practical difficulties in the relief available to the High Court, or where there is a real risk that it will not be possible for a successful appellant to be restored substantially to his former position if the judgment against him is executed.</w:t>
      </w:r>
    </w:p>
    <w:p w14:paraId="644EDDD6" w14:textId="77777777" w:rsidR="00C440EE" w:rsidRDefault="00C440EE" w:rsidP="00CA4C7F">
      <w:pPr>
        <w:pStyle w:val="Quote2"/>
        <w:widowControl/>
      </w:pPr>
    </w:p>
    <w:p w14:paraId="0339D75B" w14:textId="21E498A9" w:rsidR="00BD0DE1" w:rsidRPr="00F7387D" w:rsidRDefault="00BD0DE1" w:rsidP="00CA4C7F">
      <w:pPr>
        <w:pStyle w:val="ParaNumbering"/>
      </w:pPr>
      <w:r>
        <w:t xml:space="preserve">We respectfully agree with his Honour’s summary of the approach to be taken. In </w:t>
      </w:r>
      <w:proofErr w:type="spellStart"/>
      <w:r w:rsidRPr="00BD0DE1">
        <w:rPr>
          <w:i/>
        </w:rPr>
        <w:t>Birdon</w:t>
      </w:r>
      <w:proofErr w:type="spellEnd"/>
      <w:r>
        <w:t xml:space="preserve"> at [11], Rare</w:t>
      </w:r>
      <w:r w:rsidR="00176280">
        <w:t>s</w:t>
      </w:r>
      <w:r w:rsidR="00153898">
        <w:t> </w:t>
      </w:r>
      <w:r w:rsidR="00176280">
        <w:t>J also referred to s</w:t>
      </w:r>
      <w:r w:rsidR="00153898">
        <w:t> </w:t>
      </w:r>
      <w:proofErr w:type="spellStart"/>
      <w:r w:rsidR="00176280">
        <w:t>37</w:t>
      </w:r>
      <w:r>
        <w:t>M</w:t>
      </w:r>
      <w:proofErr w:type="spellEnd"/>
      <w:r>
        <w:t xml:space="preserve"> of the </w:t>
      </w:r>
      <w:r w:rsidRPr="009824D4">
        <w:rPr>
          <w:i/>
        </w:rPr>
        <w:t>Federal Court of Australia Act</w:t>
      </w:r>
      <w:r w:rsidR="00ED4614" w:rsidRPr="009824D4">
        <w:rPr>
          <w:i/>
        </w:rPr>
        <w:t xml:space="preserve"> 197</w:t>
      </w:r>
      <w:r w:rsidR="006E40E1">
        <w:rPr>
          <w:i/>
        </w:rPr>
        <w:t>6</w:t>
      </w:r>
      <w:r w:rsidR="00ED4614">
        <w:t xml:space="preserve"> (</w:t>
      </w:r>
      <w:proofErr w:type="spellStart"/>
      <w:r w:rsidR="00ED4614">
        <w:t>Cth</w:t>
      </w:r>
      <w:proofErr w:type="spellEnd"/>
      <w:r w:rsidR="00ED4614">
        <w:t>) (</w:t>
      </w:r>
      <w:r w:rsidR="00ED4614" w:rsidRPr="009824D4">
        <w:rPr>
          <w:b/>
        </w:rPr>
        <w:t xml:space="preserve">the </w:t>
      </w:r>
      <w:proofErr w:type="spellStart"/>
      <w:r w:rsidR="00ED4614" w:rsidRPr="009824D4">
        <w:rPr>
          <w:b/>
        </w:rPr>
        <w:t>FCA</w:t>
      </w:r>
      <w:proofErr w:type="spellEnd"/>
      <w:r w:rsidR="00ED4614" w:rsidRPr="009824D4">
        <w:rPr>
          <w:b/>
        </w:rPr>
        <w:t xml:space="preserve"> Act</w:t>
      </w:r>
      <w:r w:rsidR="00ED4614">
        <w:t>)</w:t>
      </w:r>
      <w:r w:rsidR="00F7387D">
        <w:t>, and the need for the Court’s powers (including</w:t>
      </w:r>
      <w:r w:rsidR="00176280">
        <w:t xml:space="preserve"> powers such as the power to gran</w:t>
      </w:r>
      <w:r w:rsidR="00F7387D">
        <w:t xml:space="preserve">t a stay) to be exercised so as to </w:t>
      </w:r>
      <w:r w:rsidR="00F7387D" w:rsidRPr="00F7387D">
        <w:rPr>
          <w:lang w:val="en"/>
        </w:rPr>
        <w:t>facilitate the just resolution of disputes according to law</w:t>
      </w:r>
      <w:r w:rsidR="00F7387D">
        <w:rPr>
          <w:lang w:val="en"/>
        </w:rPr>
        <w:t>, and to do so</w:t>
      </w:r>
      <w:r w:rsidR="00F7387D" w:rsidRPr="00F7387D">
        <w:rPr>
          <w:lang w:val="en"/>
        </w:rPr>
        <w:t xml:space="preserve"> as quickly, inexpensively and efficiently as possible. </w:t>
      </w:r>
      <w:r w:rsidR="00F7387D">
        <w:rPr>
          <w:lang w:val="en"/>
        </w:rPr>
        <w:t xml:space="preserve">As his </w:t>
      </w:r>
      <w:proofErr w:type="spellStart"/>
      <w:r w:rsidR="00F7387D">
        <w:rPr>
          <w:lang w:val="en"/>
        </w:rPr>
        <w:t>Honour</w:t>
      </w:r>
      <w:proofErr w:type="spellEnd"/>
      <w:r w:rsidR="00F7387D">
        <w:rPr>
          <w:lang w:val="en"/>
        </w:rPr>
        <w:t xml:space="preserve"> noted, pursuit of that objective requires the Court to consider the efficient and effective use of judicial resources, as well as the resources of the parties. Generally, some proportionality should be maintained between what is at stake in the proceeding and the cost and tim</w:t>
      </w:r>
      <w:r w:rsidR="00153898">
        <w:rPr>
          <w:lang w:val="en"/>
        </w:rPr>
        <w:t>e taken to resolve it.</w:t>
      </w:r>
    </w:p>
    <w:p w14:paraId="7E343076" w14:textId="3BA0AEFF" w:rsidR="00F7387D" w:rsidRDefault="00F7387D" w:rsidP="00CA4C7F">
      <w:pPr>
        <w:pStyle w:val="ParaNumbering"/>
      </w:pPr>
      <w:r>
        <w:rPr>
          <w:lang w:val="en"/>
        </w:rPr>
        <w:t xml:space="preserve">The subject matter of </w:t>
      </w:r>
      <w:proofErr w:type="spellStart"/>
      <w:r w:rsidR="00E475C6">
        <w:rPr>
          <w:lang w:val="en"/>
        </w:rPr>
        <w:t>Ms</w:t>
      </w:r>
      <w:proofErr w:type="spellEnd"/>
      <w:r w:rsidR="00E475C6">
        <w:rPr>
          <w:lang w:val="en"/>
        </w:rPr>
        <w:t> Luck</w:t>
      </w:r>
      <w:r>
        <w:rPr>
          <w:lang w:val="en"/>
        </w:rPr>
        <w:t xml:space="preserve">’s litigation, whether it is removed to the High Court </w:t>
      </w:r>
      <w:r w:rsidR="008A776D">
        <w:rPr>
          <w:lang w:val="en"/>
        </w:rPr>
        <w:t>or remains in this Court</w:t>
      </w:r>
      <w:r w:rsidR="00DD59A7">
        <w:rPr>
          <w:lang w:val="en"/>
        </w:rPr>
        <w:t xml:space="preserve"> to be dealt with on the appeals, is </w:t>
      </w:r>
      <w:r w:rsidR="00A8420D">
        <w:rPr>
          <w:lang w:val="en"/>
        </w:rPr>
        <w:t>threefold</w:t>
      </w:r>
      <w:r w:rsidR="00FD42DF">
        <w:rPr>
          <w:lang w:val="en"/>
        </w:rPr>
        <w:t>. In relation to VID </w:t>
      </w:r>
      <w:r w:rsidR="00176280">
        <w:rPr>
          <w:lang w:val="en"/>
        </w:rPr>
        <w:t>512/2014</w:t>
      </w:r>
      <w:r w:rsidR="00301756">
        <w:rPr>
          <w:lang w:val="en"/>
        </w:rPr>
        <w:t xml:space="preserve">, it is whether </w:t>
      </w:r>
      <w:r w:rsidR="00C74371">
        <w:rPr>
          <w:lang w:val="en"/>
        </w:rPr>
        <w:t>Tracey J</w:t>
      </w:r>
      <w:r w:rsidR="00301756">
        <w:rPr>
          <w:lang w:val="en"/>
        </w:rPr>
        <w:t xml:space="preserve"> was in error to make orders dismissing her proceeding </w:t>
      </w:r>
      <w:r w:rsidR="00301756">
        <w:rPr>
          <w:lang w:val="en"/>
        </w:rPr>
        <w:lastRenderedPageBreak/>
        <w:t>on the basis of an objection to competency. In relation to VID</w:t>
      </w:r>
      <w:r w:rsidR="00993BC5">
        <w:rPr>
          <w:lang w:val="en"/>
        </w:rPr>
        <w:t> </w:t>
      </w:r>
      <w:r w:rsidR="00301756">
        <w:rPr>
          <w:lang w:val="en"/>
        </w:rPr>
        <w:t xml:space="preserve">898/2008, it is whether </w:t>
      </w:r>
      <w:r w:rsidR="00C74371">
        <w:rPr>
          <w:lang w:val="en"/>
        </w:rPr>
        <w:t>Tracey J</w:t>
      </w:r>
      <w:r w:rsidR="00301756">
        <w:rPr>
          <w:lang w:val="en"/>
        </w:rPr>
        <w:t xml:space="preserve"> was in error in dismissing </w:t>
      </w:r>
      <w:proofErr w:type="spellStart"/>
      <w:r w:rsidR="00E475C6">
        <w:rPr>
          <w:lang w:val="en"/>
        </w:rPr>
        <w:t>Ms</w:t>
      </w:r>
      <w:proofErr w:type="spellEnd"/>
      <w:r w:rsidR="00E475C6">
        <w:rPr>
          <w:lang w:val="en"/>
        </w:rPr>
        <w:t> Luck</w:t>
      </w:r>
      <w:r w:rsidR="00301756">
        <w:rPr>
          <w:lang w:val="en"/>
        </w:rPr>
        <w:t xml:space="preserve">’s </w:t>
      </w:r>
      <w:r w:rsidR="00301756" w:rsidRPr="00301756">
        <w:t xml:space="preserve">application for an extension of time within which to appeal against and seek judicial review of </w:t>
      </w:r>
      <w:r w:rsidR="00301756">
        <w:t>the</w:t>
      </w:r>
      <w:r w:rsidR="00301756" w:rsidRPr="00301756">
        <w:t xml:space="preserve"> determinations made by the Administrative Appeals Tribunal on 13</w:t>
      </w:r>
      <w:r w:rsidR="00993BC5">
        <w:t> </w:t>
      </w:r>
      <w:r w:rsidR="00301756" w:rsidRPr="00301756">
        <w:t>May 2008, on the basis that the proposed appeal and application had no reasonable prospects of success</w:t>
      </w:r>
      <w:r w:rsidR="00301756">
        <w:t>.</w:t>
      </w:r>
      <w:r w:rsidR="00A8420D">
        <w:t xml:space="preserve"> Third, in relation to VID</w:t>
      </w:r>
      <w:r w:rsidR="00993BC5">
        <w:t> </w:t>
      </w:r>
      <w:r w:rsidR="00A8420D">
        <w:t>898/2008 only (given the limits on the grant of</w:t>
      </w:r>
      <w:r w:rsidR="00176280">
        <w:t xml:space="preserve"> leave to appeal in VID</w:t>
      </w:r>
      <w:r w:rsidR="00993BC5">
        <w:t> </w:t>
      </w:r>
      <w:r w:rsidR="00176280">
        <w:t>512/2014</w:t>
      </w:r>
      <w:r w:rsidR="00E34191">
        <w:t>:</w:t>
      </w:r>
      <w:r w:rsidR="00E34191" w:rsidRPr="00E34191">
        <w:t xml:space="preserve"> </w:t>
      </w:r>
      <w:r w:rsidR="00E34191">
        <w:t xml:space="preserve">see </w:t>
      </w:r>
      <w:r w:rsidR="00E34191" w:rsidRPr="000502C3">
        <w:rPr>
          <w:i/>
        </w:rPr>
        <w:t>Luck v Secretary, Department of Human Services</w:t>
      </w:r>
      <w:r w:rsidR="00E34191" w:rsidRPr="000502C3">
        <w:t xml:space="preserve"> [2014] </w:t>
      </w:r>
      <w:proofErr w:type="spellStart"/>
      <w:r w:rsidR="00E34191" w:rsidRPr="000502C3">
        <w:t>FCA</w:t>
      </w:r>
      <w:proofErr w:type="spellEnd"/>
      <w:r w:rsidR="00E34191" w:rsidRPr="000502C3">
        <w:t xml:space="preserve"> 1060</w:t>
      </w:r>
      <w:r w:rsidR="00A8420D">
        <w:t>)</w:t>
      </w:r>
      <w:r w:rsidR="007B22CA">
        <w:t>,</w:t>
      </w:r>
      <w:r w:rsidR="00A8420D">
        <w:t xml:space="preserve"> the subject matter o</w:t>
      </w:r>
      <w:r w:rsidR="00176280">
        <w:t xml:space="preserve">f the appeal extends to </w:t>
      </w:r>
      <w:r w:rsidR="00E475C6">
        <w:t>Ms Luck</w:t>
      </w:r>
      <w:r w:rsidR="00176280">
        <w:t>’</w:t>
      </w:r>
      <w:r w:rsidR="00A8420D">
        <w:t xml:space="preserve">s </w:t>
      </w:r>
      <w:r w:rsidR="00772496">
        <w:t xml:space="preserve">repeated </w:t>
      </w:r>
      <w:r w:rsidR="00A8420D">
        <w:t xml:space="preserve">contentions about why it was unlawful, </w:t>
      </w:r>
      <w:r w:rsidR="00ED4614">
        <w:t xml:space="preserve">or </w:t>
      </w:r>
      <w:r w:rsidR="00A8420D">
        <w:t xml:space="preserve">alternatively, inappropriate for </w:t>
      </w:r>
      <w:r w:rsidR="00C74371">
        <w:t>Tracey J</w:t>
      </w:r>
      <w:r w:rsidR="00A8420D">
        <w:t xml:space="preserve"> in particular to hear and determi</w:t>
      </w:r>
      <w:r w:rsidR="00176280">
        <w:t>ne the applications, because of</w:t>
      </w:r>
      <w:r w:rsidR="00A8420D">
        <w:t xml:space="preserve"> the position formerly held by </w:t>
      </w:r>
      <w:r w:rsidR="00C74371">
        <w:t>Tracey J</w:t>
      </w:r>
      <w:r w:rsidR="00A8420D">
        <w:t xml:space="preserve"> </w:t>
      </w:r>
      <w:r w:rsidR="0000765D">
        <w:t xml:space="preserve">as Judge Advocate General of </w:t>
      </w:r>
      <w:r w:rsidR="00A8420D">
        <w:t>the Australian Defence Force</w:t>
      </w:r>
      <w:r w:rsidR="0000765D">
        <w:t xml:space="preserve"> under the </w:t>
      </w:r>
      <w:r w:rsidR="0000765D">
        <w:rPr>
          <w:i/>
        </w:rPr>
        <w:t xml:space="preserve">Defence Force Discipline Act 1982 </w:t>
      </w:r>
      <w:r w:rsidR="0000765D">
        <w:t>(</w:t>
      </w:r>
      <w:proofErr w:type="spellStart"/>
      <w:r w:rsidR="0000765D">
        <w:t>Cth</w:t>
      </w:r>
      <w:proofErr w:type="spellEnd"/>
      <w:r w:rsidR="0000765D">
        <w:t>)</w:t>
      </w:r>
      <w:r w:rsidR="00993BC5">
        <w:t>.</w:t>
      </w:r>
    </w:p>
    <w:p w14:paraId="766C433E" w14:textId="0D145853" w:rsidR="00894082" w:rsidRDefault="00894082" w:rsidP="00CA4C7F">
      <w:pPr>
        <w:pStyle w:val="ParaNumbering"/>
      </w:pPr>
      <w:r>
        <w:t>A stay of the appeals pending removal is not necessary to preserve the subject matter of these appeals. The subject matter is capable of being determined in the exercise of this Court’s appellate jurisdiction and that is the ordinary forum for its determination. Removal to the High Court is exceptional.</w:t>
      </w:r>
    </w:p>
    <w:p w14:paraId="27A75ADB" w14:textId="7197CE6B" w:rsidR="003D517B" w:rsidRDefault="003D517B" w:rsidP="00CA4C7F">
      <w:pPr>
        <w:pStyle w:val="ParaNumbering"/>
      </w:pPr>
      <w:r>
        <w:t xml:space="preserve">Further, there are no practical difficulties for the High Court in considering the removal applications if a stay </w:t>
      </w:r>
      <w:r w:rsidR="005420FE">
        <w:t xml:space="preserve">of the appeals </w:t>
      </w:r>
      <w:r>
        <w:t>is not granted</w:t>
      </w:r>
      <w:r w:rsidR="005420FE">
        <w:t xml:space="preserve"> by this Court</w:t>
      </w:r>
      <w:r>
        <w:t xml:space="preserve">. The determination by </w:t>
      </w:r>
      <w:r w:rsidR="0000765D">
        <w:t>Nettle </w:t>
      </w:r>
      <w:r>
        <w:t>J on 1</w:t>
      </w:r>
      <w:r w:rsidR="0000765D">
        <w:t>9</w:t>
      </w:r>
      <w:r w:rsidR="00965C7A">
        <w:t> </w:t>
      </w:r>
      <w:r>
        <w:t>May 2015 makes this clear</w:t>
      </w:r>
      <w:r w:rsidR="00E34191">
        <w:t xml:space="preserve">: </w:t>
      </w:r>
      <w:r w:rsidR="00E34191" w:rsidRPr="00F45D80">
        <w:rPr>
          <w:i/>
        </w:rPr>
        <w:t xml:space="preserve">Luck v </w:t>
      </w:r>
      <w:r w:rsidR="00E34191">
        <w:rPr>
          <w:i/>
        </w:rPr>
        <w:t>University of Southern Queensland</w:t>
      </w:r>
      <w:r w:rsidR="00E34191" w:rsidRPr="00F45D80">
        <w:rPr>
          <w:i/>
        </w:rPr>
        <w:t xml:space="preserve"> </w:t>
      </w:r>
      <w:r w:rsidR="00E34191" w:rsidRPr="00F45D80">
        <w:t xml:space="preserve">[2015] </w:t>
      </w:r>
      <w:proofErr w:type="spellStart"/>
      <w:r w:rsidR="00E34191" w:rsidRPr="00F45D80">
        <w:t>HCATrans</w:t>
      </w:r>
      <w:proofErr w:type="spellEnd"/>
      <w:r w:rsidR="00E34191" w:rsidRPr="00F45D80">
        <w:t xml:space="preserve"> </w:t>
      </w:r>
      <w:r w:rsidR="00E34191" w:rsidRPr="00FF1F2C">
        <w:t>125</w:t>
      </w:r>
      <w:r>
        <w:t>. If the High Court considered a stay was required in order that it determine the removal applications, it would have granted one itself.</w:t>
      </w:r>
    </w:p>
    <w:p w14:paraId="18D81C8C" w14:textId="1A816F1C" w:rsidR="00097B22" w:rsidRDefault="00097B22" w:rsidP="00CA4C7F">
      <w:pPr>
        <w:pStyle w:val="ParaNumbering"/>
      </w:pPr>
      <w:r>
        <w:t>Finally</w:t>
      </w:r>
      <w:r w:rsidR="00ED4614">
        <w:t>,</w:t>
      </w:r>
      <w:r>
        <w:t xml:space="preserve"> we note the following observations by Kenny</w:t>
      </w:r>
      <w:r w:rsidR="00965C7A">
        <w:t> </w:t>
      </w:r>
      <w:r>
        <w:t xml:space="preserve">J in </w:t>
      </w:r>
      <w:r w:rsidRPr="00176280">
        <w:rPr>
          <w:i/>
        </w:rPr>
        <w:t>Luck v University of Southern Queensland</w:t>
      </w:r>
      <w:r w:rsidRPr="00B31F5C">
        <w:t xml:space="preserve"> [2011] </w:t>
      </w:r>
      <w:proofErr w:type="spellStart"/>
      <w:r w:rsidRPr="00B31F5C">
        <w:t>FCA</w:t>
      </w:r>
      <w:proofErr w:type="spellEnd"/>
      <w:r w:rsidRPr="00B31F5C">
        <w:t xml:space="preserve"> 1335</w:t>
      </w:r>
      <w:r>
        <w:t xml:space="preserve"> at [19]-[20], where </w:t>
      </w:r>
      <w:r w:rsidR="00E475C6">
        <w:t>Ms Luck</w:t>
      </w:r>
      <w:r w:rsidR="0000765D">
        <w:t xml:space="preserve"> </w:t>
      </w:r>
      <w:r>
        <w:t>also sought stays pending High Court removal applications:</w:t>
      </w:r>
    </w:p>
    <w:p w14:paraId="12B64115" w14:textId="77777777" w:rsidR="00097B22" w:rsidRDefault="00097B22" w:rsidP="00CA4C7F">
      <w:pPr>
        <w:pStyle w:val="Quote1"/>
        <w:widowControl/>
      </w:pPr>
      <w:r>
        <w:t>A</w:t>
      </w:r>
      <w:r w:rsidRPr="00B31F5C">
        <w:t xml:space="preserve">fter hearing the parties on 15 December 2011 and bearing in mind their submissions, I am of the clear view that the applications for extension of time should not be adjourned (or the proceedings stayed) whilst the removal applications are determined.  First, it is clear that the mere making of an application under s 40 of the </w:t>
      </w:r>
      <w:r w:rsidRPr="00B31F5C">
        <w:rPr>
          <w:i/>
        </w:rPr>
        <w:t>Judiciary Act 1903</w:t>
      </w:r>
      <w:r w:rsidRPr="00B31F5C">
        <w:t xml:space="preserve"> (</w:t>
      </w:r>
      <w:proofErr w:type="spellStart"/>
      <w:r w:rsidRPr="00B31F5C">
        <w:t>Cth</w:t>
      </w:r>
      <w:proofErr w:type="spellEnd"/>
      <w:r w:rsidRPr="00B31F5C">
        <w:t xml:space="preserve">) does not preclude this Court from proceeding to consider interlocutory or final issues in a proceeding in relation to which the removal application is made.  Secondly, I have borne in mind the observations of the High Court itself in </w:t>
      </w:r>
      <w:proofErr w:type="spellStart"/>
      <w:r w:rsidRPr="00B31F5C">
        <w:rPr>
          <w:i/>
        </w:rPr>
        <w:t>Bienstein</w:t>
      </w:r>
      <w:proofErr w:type="spellEnd"/>
      <w:r w:rsidRPr="00B31F5C">
        <w:rPr>
          <w:i/>
        </w:rPr>
        <w:t xml:space="preserve"> v </w:t>
      </w:r>
      <w:proofErr w:type="spellStart"/>
      <w:r w:rsidRPr="00B31F5C">
        <w:rPr>
          <w:i/>
        </w:rPr>
        <w:t>Bienstein</w:t>
      </w:r>
      <w:proofErr w:type="spellEnd"/>
      <w:r w:rsidRPr="00B31F5C">
        <w:t xml:space="preserve"> (2003) 195 </w:t>
      </w:r>
      <w:proofErr w:type="spellStart"/>
      <w:r w:rsidRPr="00B31F5C">
        <w:t>ALR</w:t>
      </w:r>
      <w:proofErr w:type="spellEnd"/>
      <w:r w:rsidRPr="00B31F5C">
        <w:t xml:space="preserve"> 225 at 234 [45], in which it was said:</w:t>
      </w:r>
    </w:p>
    <w:p w14:paraId="5F5B9375" w14:textId="77777777" w:rsidR="00E34191" w:rsidRPr="00B31F5C" w:rsidRDefault="00E34191" w:rsidP="00CA4C7F">
      <w:pPr>
        <w:pStyle w:val="Quote1"/>
        <w:widowControl/>
      </w:pPr>
    </w:p>
    <w:p w14:paraId="74EB7C8C" w14:textId="77777777" w:rsidR="00097B22" w:rsidRPr="00B31F5C" w:rsidRDefault="00097B22" w:rsidP="00CA4C7F">
      <w:pPr>
        <w:pStyle w:val="Quote2"/>
        <w:widowControl/>
      </w:pPr>
      <w:r w:rsidRPr="00B31F5C">
        <w:t xml:space="preserve">Orders for removal interfere with the processes of the courts hearing the proceedings sought to be removed.  Only where the issues are important and require this court’s urgent decision should the court make an order for removal.  …  The s 40(1) power to remove is not intended to convert this </w:t>
      </w:r>
      <w:r w:rsidRPr="00B31F5C">
        <w:lastRenderedPageBreak/>
        <w:t>court into a court exercising a general supervisory jurisdiction over lower courts.</w:t>
      </w:r>
    </w:p>
    <w:p w14:paraId="5734C91E" w14:textId="77777777" w:rsidR="00E34191" w:rsidRDefault="00E34191" w:rsidP="00CA4C7F">
      <w:pPr>
        <w:pStyle w:val="Quote1"/>
        <w:widowControl/>
      </w:pPr>
    </w:p>
    <w:p w14:paraId="0A1BD563" w14:textId="38D20379" w:rsidR="00097B22" w:rsidRDefault="00097B22" w:rsidP="00CA4C7F">
      <w:pPr>
        <w:pStyle w:val="Quote1"/>
        <w:widowControl/>
      </w:pPr>
      <w:r>
        <w:t>I</w:t>
      </w:r>
      <w:r w:rsidRPr="00B31F5C">
        <w:t xml:space="preserve">n light of this, after perusing the removal applications filed by </w:t>
      </w:r>
      <w:r w:rsidR="00E475C6">
        <w:t>Ms Luck</w:t>
      </w:r>
      <w:r w:rsidRPr="00B31F5C">
        <w:t xml:space="preserve"> in the High Court and considering her submissions, it seems to me a real likelihood that the High Court, on the removal application, might well decline to make an order </w:t>
      </w:r>
      <w:r w:rsidR="00CE1AE9">
        <w:t>for removal.</w:t>
      </w:r>
    </w:p>
    <w:p w14:paraId="175C480A" w14:textId="77777777" w:rsidR="00CE1AE9" w:rsidRDefault="00CE1AE9" w:rsidP="00CA4C7F">
      <w:pPr>
        <w:pStyle w:val="Quote1"/>
        <w:widowControl/>
      </w:pPr>
    </w:p>
    <w:p w14:paraId="04D793B6" w14:textId="65ADA0EF" w:rsidR="0057554C" w:rsidRDefault="00097B22" w:rsidP="00CA4C7F">
      <w:pPr>
        <w:pStyle w:val="ParaNumbering"/>
      </w:pPr>
      <w:r>
        <w:t xml:space="preserve">We respectfully adopt her Honour’s observations and consider them applicable to the current circumstances. We also consider </w:t>
      </w:r>
      <w:r w:rsidR="00E475C6">
        <w:t>Ms Luck</w:t>
      </w:r>
      <w:r>
        <w:t xml:space="preserve">’s removal applications have little or no prospects of success, especially given that the question of </w:t>
      </w:r>
      <w:r w:rsidR="00E475C6">
        <w:t>Ms Luck</w:t>
      </w:r>
      <w:r>
        <w:t xml:space="preserve">’s challenges to </w:t>
      </w:r>
      <w:r w:rsidR="00C74371">
        <w:t>Tracey J</w:t>
      </w:r>
      <w:r>
        <w:t xml:space="preserve"> hearing and determining her proceedings in this Court has been rejected </w:t>
      </w:r>
      <w:r w:rsidR="008103C9">
        <w:t xml:space="preserve">three times </w:t>
      </w:r>
      <w:r>
        <w:t xml:space="preserve">by Full Courts of this Court, </w:t>
      </w:r>
      <w:r w:rsidR="008103C9">
        <w:t>including recently</w:t>
      </w:r>
      <w:r>
        <w:t>: see</w:t>
      </w:r>
      <w:r w:rsidR="00E8148E" w:rsidRPr="00E8148E">
        <w:t xml:space="preserve"> </w:t>
      </w:r>
      <w:r w:rsidR="008103C9">
        <w:rPr>
          <w:i/>
        </w:rPr>
        <w:t xml:space="preserve">Luck v Chief Executive Officer, Centrelink </w:t>
      </w:r>
      <w:r w:rsidR="008103C9">
        <w:t xml:space="preserve">[2009] </w:t>
      </w:r>
      <w:proofErr w:type="spellStart"/>
      <w:r w:rsidR="008103C9">
        <w:t>FCAFC</w:t>
      </w:r>
      <w:proofErr w:type="spellEnd"/>
      <w:r w:rsidR="008103C9">
        <w:t xml:space="preserve"> 54; </w:t>
      </w:r>
      <w:r w:rsidR="008103C9">
        <w:rPr>
          <w:i/>
        </w:rPr>
        <w:t>Luck v University of Southern Queensland</w:t>
      </w:r>
      <w:r w:rsidR="008103C9" w:rsidRPr="0057554C">
        <w:t xml:space="preserve"> (2009)</w:t>
      </w:r>
      <w:r w:rsidR="008103C9">
        <w:t xml:space="preserve"> </w:t>
      </w:r>
      <w:r w:rsidR="008103C9" w:rsidRPr="005F0B94">
        <w:t xml:space="preserve">176 </w:t>
      </w:r>
      <w:proofErr w:type="spellStart"/>
      <w:r w:rsidR="008103C9" w:rsidRPr="005F0B94">
        <w:t>FCR</w:t>
      </w:r>
      <w:proofErr w:type="spellEnd"/>
      <w:r w:rsidR="008103C9" w:rsidRPr="005F0B94">
        <w:t xml:space="preserve"> </w:t>
      </w:r>
      <w:r w:rsidR="008103C9">
        <w:t>268;</w:t>
      </w:r>
      <w:r w:rsidR="008103C9">
        <w:rPr>
          <w:i/>
        </w:rPr>
        <w:t xml:space="preserve"> </w:t>
      </w:r>
      <w:r w:rsidR="008103C9">
        <w:t xml:space="preserve">[2009] </w:t>
      </w:r>
      <w:proofErr w:type="spellStart"/>
      <w:r w:rsidR="008103C9">
        <w:t>FCAFC</w:t>
      </w:r>
      <w:proofErr w:type="spellEnd"/>
      <w:r w:rsidR="008103C9">
        <w:t xml:space="preserve"> 73; </w:t>
      </w:r>
      <w:r w:rsidR="00E8148E" w:rsidRPr="0057554C">
        <w:rPr>
          <w:i/>
        </w:rPr>
        <w:t>Luck v University of Southern Queensland</w:t>
      </w:r>
      <w:r w:rsidR="00E8148E" w:rsidRPr="00E8148E">
        <w:t xml:space="preserve"> [2014] </w:t>
      </w:r>
      <w:proofErr w:type="spellStart"/>
      <w:r w:rsidR="00E8148E" w:rsidRPr="00E8148E">
        <w:t>FCAFC</w:t>
      </w:r>
      <w:proofErr w:type="spellEnd"/>
      <w:r w:rsidR="00E8148E" w:rsidRPr="00E8148E">
        <w:t xml:space="preserve"> 135</w:t>
      </w:r>
      <w:r w:rsidR="0057554C">
        <w:t>.</w:t>
      </w:r>
    </w:p>
    <w:p w14:paraId="1962BCD2" w14:textId="3BF00CAA" w:rsidR="0057554C" w:rsidRDefault="00097B22" w:rsidP="00CA4C7F">
      <w:pPr>
        <w:pStyle w:val="ParaNumbering"/>
      </w:pPr>
      <w:r>
        <w:t xml:space="preserve">Aside from the allegations concerning </w:t>
      </w:r>
      <w:r w:rsidR="00C74371">
        <w:t>Tracey J</w:t>
      </w:r>
      <w:r>
        <w:t>, there is nothing else in these two appeals which could reasonably justify removal under s</w:t>
      </w:r>
      <w:r w:rsidR="00965C7A">
        <w:t> </w:t>
      </w:r>
      <w:r>
        <w:t xml:space="preserve">40 of the </w:t>
      </w:r>
      <w:r w:rsidRPr="00262C01">
        <w:t>Judiciary Act</w:t>
      </w:r>
      <w:r>
        <w:t>.</w:t>
      </w:r>
      <w:r w:rsidR="009F16D9">
        <w:t xml:space="preserve"> </w:t>
      </w:r>
      <w:r w:rsidR="0057554C">
        <w:t xml:space="preserve">The High Court has previously determined that </w:t>
      </w:r>
      <w:r w:rsidR="00E475C6">
        <w:t>Ms Luck</w:t>
      </w:r>
      <w:r w:rsidR="0057554C">
        <w:t xml:space="preserve">’s allegations concerning </w:t>
      </w:r>
      <w:r w:rsidR="00C74371">
        <w:t>Tracey J</w:t>
      </w:r>
      <w:r w:rsidR="0057554C">
        <w:t xml:space="preserve"> are not appropriate for removal: see </w:t>
      </w:r>
      <w:r w:rsidR="0057554C" w:rsidRPr="0057554C">
        <w:rPr>
          <w:i/>
        </w:rPr>
        <w:t xml:space="preserve">Luck v University of Southern Queensland </w:t>
      </w:r>
      <w:r w:rsidR="0057554C" w:rsidRPr="0057554C">
        <w:t xml:space="preserve">[2013] </w:t>
      </w:r>
      <w:proofErr w:type="spellStart"/>
      <w:r w:rsidR="0057554C" w:rsidRPr="0057554C">
        <w:t>HCATrans</w:t>
      </w:r>
      <w:proofErr w:type="spellEnd"/>
      <w:r w:rsidR="0057554C" w:rsidRPr="0057554C">
        <w:t xml:space="preserve"> 163</w:t>
      </w:r>
      <w:r w:rsidR="0057554C">
        <w:t xml:space="preserve"> </w:t>
      </w:r>
      <w:r w:rsidR="007646CC">
        <w:t>(5</w:t>
      </w:r>
      <w:r w:rsidR="00746390">
        <w:t> </w:t>
      </w:r>
      <w:r w:rsidR="007646CC">
        <w:t xml:space="preserve">August 2013) </w:t>
      </w:r>
      <w:r w:rsidR="0057554C">
        <w:t xml:space="preserve">per </w:t>
      </w:r>
      <w:proofErr w:type="spellStart"/>
      <w:r w:rsidR="0057554C">
        <w:t>Gageler</w:t>
      </w:r>
      <w:proofErr w:type="spellEnd"/>
      <w:r w:rsidR="00746390">
        <w:t> </w:t>
      </w:r>
      <w:r w:rsidR="0057554C">
        <w:t xml:space="preserve">J, special leave to appeal from </w:t>
      </w:r>
      <w:proofErr w:type="spellStart"/>
      <w:r w:rsidR="0057554C">
        <w:t>Gageler</w:t>
      </w:r>
      <w:proofErr w:type="spellEnd"/>
      <w:r w:rsidR="00746390">
        <w:t> </w:t>
      </w:r>
      <w:r w:rsidR="0057554C">
        <w:t xml:space="preserve">J’s decision refused: </w:t>
      </w:r>
      <w:r w:rsidR="0057554C" w:rsidRPr="0057554C">
        <w:rPr>
          <w:i/>
        </w:rPr>
        <w:t xml:space="preserve">Luck v University of Southern Queensland </w:t>
      </w:r>
      <w:r w:rsidR="0057554C" w:rsidRPr="0057554C">
        <w:t xml:space="preserve">[2014] </w:t>
      </w:r>
      <w:proofErr w:type="spellStart"/>
      <w:r w:rsidR="0057554C" w:rsidRPr="0057554C">
        <w:t>HCASL</w:t>
      </w:r>
      <w:proofErr w:type="spellEnd"/>
      <w:r w:rsidR="0057554C" w:rsidRPr="0057554C">
        <w:t xml:space="preserve"> 34 (6</w:t>
      </w:r>
      <w:r w:rsidR="00A907E6">
        <w:t> </w:t>
      </w:r>
      <w:r w:rsidR="0057554C" w:rsidRPr="0057554C">
        <w:t>March 2014)</w:t>
      </w:r>
      <w:r w:rsidR="0057554C">
        <w:t>.</w:t>
      </w:r>
    </w:p>
    <w:p w14:paraId="74BD993D" w14:textId="57EC690D" w:rsidR="00097B22" w:rsidRDefault="009F16D9" w:rsidP="00CA4C7F">
      <w:pPr>
        <w:pStyle w:val="ParaNumbering"/>
      </w:pPr>
      <w:r>
        <w:t>Our views as to the prospects of success of the removal applicat</w:t>
      </w:r>
      <w:r w:rsidR="00176280">
        <w:t xml:space="preserve">ions, while not determinative, </w:t>
      </w:r>
      <w:r w:rsidR="0057554C">
        <w:t>confirm</w:t>
      </w:r>
      <w:r>
        <w:t xml:space="preserve"> our opinion that stays of these appeals should not be granted.</w:t>
      </w:r>
    </w:p>
    <w:p w14:paraId="2313DEEA" w14:textId="2726F9C5" w:rsidR="00F93201" w:rsidRPr="00F93201" w:rsidRDefault="00F93201" w:rsidP="00CA4C7F">
      <w:pPr>
        <w:pStyle w:val="Heading2"/>
      </w:pPr>
      <w:r w:rsidRPr="00F93201">
        <w:t>The adjournment applications</w:t>
      </w:r>
    </w:p>
    <w:p w14:paraId="1D48C3C6" w14:textId="0CC22749" w:rsidR="00F93201" w:rsidRDefault="00F93201" w:rsidP="00CA4C7F">
      <w:pPr>
        <w:pStyle w:val="ParaNumbering"/>
      </w:pPr>
      <w:r>
        <w:t xml:space="preserve">These applications are based on </w:t>
      </w:r>
      <w:r w:rsidR="00E475C6">
        <w:t>Ms Luck</w:t>
      </w:r>
      <w:r>
        <w:t>’s current health conditions</w:t>
      </w:r>
      <w:r w:rsidR="00176280">
        <w:t xml:space="preserve">, and her claimed </w:t>
      </w:r>
      <w:r w:rsidR="00610104">
        <w:t>inability to manage both the preparation and appearances necessary to conduct her appeals and make proper submissions.</w:t>
      </w:r>
      <w:r w:rsidR="00E475C6">
        <w:t xml:space="preserve"> </w:t>
      </w:r>
      <w:r>
        <w:t xml:space="preserve">She relies on the </w:t>
      </w:r>
      <w:r w:rsidR="00E86FED">
        <w:t>letter dated 30</w:t>
      </w:r>
      <w:r w:rsidR="00A907E6">
        <w:t> </w:t>
      </w:r>
      <w:r w:rsidR="00E86FED">
        <w:t>April 2015 from</w:t>
      </w:r>
      <w:r>
        <w:t xml:space="preserve"> Dr</w:t>
      </w:r>
      <w:r w:rsidR="00A907E6">
        <w:t> </w:t>
      </w:r>
      <w:proofErr w:type="spellStart"/>
      <w:r>
        <w:t>Le</w:t>
      </w:r>
      <w:r w:rsidR="00D66D56">
        <w:t>o</w:t>
      </w:r>
      <w:r>
        <w:t>w</w:t>
      </w:r>
      <w:proofErr w:type="spellEnd"/>
      <w:r w:rsidR="009F6862">
        <w:t>, to which we have referred above</w:t>
      </w:r>
      <w:r>
        <w:t>.</w:t>
      </w:r>
    </w:p>
    <w:p w14:paraId="56C7B942" w14:textId="41F48C63" w:rsidR="00270AC6" w:rsidRDefault="00270AC6" w:rsidP="00CA4C7F">
      <w:pPr>
        <w:pStyle w:val="ParaNumbering"/>
      </w:pPr>
      <w:r>
        <w:t>In considering an application for an adjournment, issues particular to the parties and the circumstances of the case must be considered. The Court must also determine how the grant or refusal of an adjournment will promote the overarching purpose of the civil practice and procedure provisions governing the exercise of its jurisdiction, here its appellate jurisdiction, including the objectives in s</w:t>
      </w:r>
      <w:r w:rsidR="00A907E6">
        <w:t> </w:t>
      </w:r>
      <w:proofErr w:type="spellStart"/>
      <w:r>
        <w:t>37M</w:t>
      </w:r>
      <w:proofErr w:type="spellEnd"/>
      <w:r>
        <w:t>(2)</w:t>
      </w:r>
      <w:r w:rsidR="00A64706">
        <w:t xml:space="preserve"> of the </w:t>
      </w:r>
      <w:proofErr w:type="spellStart"/>
      <w:r w:rsidR="00A64706">
        <w:t>FCA</w:t>
      </w:r>
      <w:proofErr w:type="spellEnd"/>
      <w:r w:rsidR="00A64706">
        <w:t xml:space="preserve"> Act</w:t>
      </w:r>
      <w:r>
        <w:t>, to which we have referred earlier in</w:t>
      </w:r>
      <w:r w:rsidR="00A907E6">
        <w:t xml:space="preserve"> these reasons in summary form.</w:t>
      </w:r>
    </w:p>
    <w:p w14:paraId="6A757568" w14:textId="51BB2CD8" w:rsidR="00270AC6" w:rsidRDefault="00270AC6" w:rsidP="00CA4C7F">
      <w:pPr>
        <w:pStyle w:val="ParaNumbering"/>
      </w:pPr>
      <w:r>
        <w:lastRenderedPageBreak/>
        <w:t xml:space="preserve">These objectives set out in statutory form some of the considerations earlier expressed as conditioning a discretion to adjourn a hearing. In </w:t>
      </w:r>
      <w:proofErr w:type="spellStart"/>
      <w:r>
        <w:rPr>
          <w:i/>
        </w:rPr>
        <w:t>Sali</w:t>
      </w:r>
      <w:proofErr w:type="spellEnd"/>
      <w:r>
        <w:rPr>
          <w:i/>
        </w:rPr>
        <w:t xml:space="preserve"> v </w:t>
      </w:r>
      <w:proofErr w:type="spellStart"/>
      <w:r>
        <w:rPr>
          <w:i/>
        </w:rPr>
        <w:t>SPC</w:t>
      </w:r>
      <w:proofErr w:type="spellEnd"/>
      <w:r>
        <w:rPr>
          <w:i/>
        </w:rPr>
        <w:t xml:space="preserve"> Ltd</w:t>
      </w:r>
      <w:r>
        <w:t xml:space="preserve"> (1993) </w:t>
      </w:r>
      <w:r w:rsidRPr="00BA689F">
        <w:t xml:space="preserve">116 </w:t>
      </w:r>
      <w:proofErr w:type="spellStart"/>
      <w:r w:rsidRPr="00BA689F">
        <w:t>ALR</w:t>
      </w:r>
      <w:proofErr w:type="spellEnd"/>
      <w:r w:rsidRPr="00BA689F">
        <w:t xml:space="preserve"> 625</w:t>
      </w:r>
      <w:r>
        <w:t xml:space="preserve"> at 629, Brennan, Deane and McHugh</w:t>
      </w:r>
      <w:r w:rsidR="00BC34FE">
        <w:t> </w:t>
      </w:r>
      <w:proofErr w:type="spellStart"/>
      <w:r>
        <w:t>JJ</w:t>
      </w:r>
      <w:proofErr w:type="spellEnd"/>
      <w:r>
        <w:t xml:space="preserve"> said the Court </w:t>
      </w:r>
      <w:r w:rsidR="009824D4">
        <w:t xml:space="preserve">is entitled to </w:t>
      </w:r>
      <w:r>
        <w:t>be conscious of the “</w:t>
      </w:r>
      <w:r w:rsidRPr="00BA689F">
        <w:t>effect of an adjournment on</w:t>
      </w:r>
      <w:r>
        <w:t xml:space="preserve"> </w:t>
      </w:r>
      <w:r w:rsidRPr="00BA689F">
        <w:t>court resources and the competing claims by litigants in other cases</w:t>
      </w:r>
      <w:r>
        <w:t xml:space="preserve"> </w:t>
      </w:r>
      <w:r w:rsidRPr="00BA689F">
        <w:t>awaiting hearing in the court as well as the interests of the</w:t>
      </w:r>
      <w:r>
        <w:t xml:space="preserve"> </w:t>
      </w:r>
      <w:r w:rsidRPr="00BA689F">
        <w:t>parties</w:t>
      </w:r>
      <w:r w:rsidR="00BC34FE">
        <w:t>”.</w:t>
      </w:r>
    </w:p>
    <w:p w14:paraId="4A8F8D2D" w14:textId="03F4292E" w:rsidR="00237326" w:rsidRDefault="00237326" w:rsidP="00CA4C7F">
      <w:pPr>
        <w:pStyle w:val="ParaNumbering"/>
      </w:pPr>
      <w:r>
        <w:t xml:space="preserve">In </w:t>
      </w:r>
      <w:r w:rsidRPr="00AF26AE">
        <w:rPr>
          <w:i/>
        </w:rPr>
        <w:t>Aon</w:t>
      </w:r>
      <w:r>
        <w:rPr>
          <w:i/>
        </w:rPr>
        <w:t xml:space="preserve"> Risk Services Australia Pty Ltd v Australian National University</w:t>
      </w:r>
      <w:r>
        <w:t xml:space="preserve"> (2009) 239 </w:t>
      </w:r>
      <w:proofErr w:type="spellStart"/>
      <w:r>
        <w:t>CLR</w:t>
      </w:r>
      <w:proofErr w:type="spellEnd"/>
      <w:r>
        <w:t xml:space="preserve"> 175; [2009] HCA 27</w:t>
      </w:r>
      <w:r w:rsidR="00A64706">
        <w:t>, the</w:t>
      </w:r>
      <w:r w:rsidR="00D66D56">
        <w:t xml:space="preserve"> plurality of the</w:t>
      </w:r>
      <w:r w:rsidR="00A64706">
        <w:t xml:space="preserve"> High Court</w:t>
      </w:r>
      <w:r>
        <w:t xml:space="preserve"> recognised four matters which should</w:t>
      </w:r>
      <w:r w:rsidR="00EC71A3">
        <w:t xml:space="preserve">, in the circumstances of that particular case, have been </w:t>
      </w:r>
      <w:r>
        <w:t xml:space="preserve">taken into account by </w:t>
      </w:r>
      <w:r w:rsidR="00EC71A3">
        <w:t xml:space="preserve">the </w:t>
      </w:r>
      <w:r>
        <w:t>Court when exercising its discretion</w:t>
      </w:r>
      <w:r w:rsidR="00EC71A3">
        <w:t xml:space="preserve"> whether to grant an adjournment so as to allow substantial amendments to be made to the statement of claim. Those factors were</w:t>
      </w:r>
      <w:r>
        <w:t>: the explanation for the adjournment sought (at [108])</w:t>
      </w:r>
      <w:r w:rsidR="00D66D56">
        <w:t>,</w:t>
      </w:r>
      <w:r>
        <w:t xml:space="preserve"> the parties’ choices to date in the litigation (and the consequences of those choices) (at [112])</w:t>
      </w:r>
      <w:r w:rsidR="00D66D56">
        <w:t>,</w:t>
      </w:r>
      <w:r>
        <w:t xml:space="preserve"> the detriment to other parties, and the detriment to other litigants in the Court (at [114]).</w:t>
      </w:r>
    </w:p>
    <w:p w14:paraId="37260DB1" w14:textId="613A6041" w:rsidR="00270AC6" w:rsidRDefault="00270AC6" w:rsidP="00CA4C7F">
      <w:pPr>
        <w:pStyle w:val="ParaNumbering"/>
      </w:pPr>
      <w:r>
        <w:t xml:space="preserve">In </w:t>
      </w:r>
      <w:r>
        <w:rPr>
          <w:i/>
        </w:rPr>
        <w:t xml:space="preserve">Aon </w:t>
      </w:r>
      <w:r>
        <w:t>at [5], French CJ referred to the broader considerations at work in considering an adjournment application:</w:t>
      </w:r>
    </w:p>
    <w:p w14:paraId="49E82341" w14:textId="135E9DDF" w:rsidR="00270AC6" w:rsidRDefault="00270AC6" w:rsidP="00CA4C7F">
      <w:pPr>
        <w:pStyle w:val="Quote1"/>
        <w:widowControl/>
        <w:rPr>
          <w:lang w:eastAsia="en-AU"/>
        </w:rPr>
      </w:pPr>
      <w:r>
        <w:rPr>
          <w:lang w:eastAsia="en-AU"/>
        </w:rPr>
        <w:t>In the proper exercise of the primary judge’s discretion, the applications for adjournment and amendment 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w:t>
      </w:r>
      <w:r w:rsidR="00B46153">
        <w:rPr>
          <w:lang w:eastAsia="en-AU"/>
        </w:rPr>
        <w:t>fidence in the judicial system.</w:t>
      </w:r>
    </w:p>
    <w:p w14:paraId="2FDB3161" w14:textId="77777777" w:rsidR="00B46153" w:rsidRDefault="00B46153" w:rsidP="00CA4C7F">
      <w:pPr>
        <w:pStyle w:val="Quote1"/>
        <w:widowControl/>
        <w:rPr>
          <w:rFonts w:ascii="Times-Roman" w:hAnsi="Times-Roman" w:cs="Times-Roman"/>
          <w:sz w:val="20"/>
          <w:lang w:eastAsia="en-AU"/>
        </w:rPr>
      </w:pPr>
    </w:p>
    <w:p w14:paraId="549DB561" w14:textId="0C72F26A" w:rsidR="00270AC6" w:rsidRDefault="00270AC6" w:rsidP="00CA4C7F">
      <w:pPr>
        <w:pStyle w:val="ParaNumbering"/>
      </w:pPr>
      <w:r>
        <w:t xml:space="preserve">The plurality </w:t>
      </w:r>
      <w:r w:rsidR="00271D7A">
        <w:t xml:space="preserve">in </w:t>
      </w:r>
      <w:r w:rsidR="00271D7A" w:rsidRPr="00271D7A">
        <w:rPr>
          <w:i/>
        </w:rPr>
        <w:t>Aon</w:t>
      </w:r>
      <w:r w:rsidR="00271D7A">
        <w:t xml:space="preserve"> </w:t>
      </w:r>
      <w:r>
        <w:t>expressed a similar opinion at [93]:</w:t>
      </w:r>
    </w:p>
    <w:p w14:paraId="414424AD" w14:textId="6D88F88E" w:rsidR="00270AC6" w:rsidRDefault="00A64706" w:rsidP="00CA4C7F">
      <w:pPr>
        <w:pStyle w:val="Quote1"/>
        <w:widowControl/>
        <w:rPr>
          <w:lang w:val="en"/>
        </w:rPr>
      </w:pPr>
      <w:r>
        <w:rPr>
          <w:lang w:val="en"/>
        </w:rPr>
        <w:t>[T]</w:t>
      </w:r>
      <w:r w:rsidR="00270AC6" w:rsidRPr="0038765F">
        <w:rPr>
          <w:lang w:val="en"/>
        </w:rPr>
        <w:t>he rules concerning civil litigation no longer are to be considered as directed only to the resolution of the dispute between the parties to a proceeding. The achievement of a just but timely and cost-effective resolution of a dispute has an effect upon the court and upon other litigants</w:t>
      </w:r>
      <w:r>
        <w:rPr>
          <w:lang w:val="en"/>
        </w:rPr>
        <w:t>.</w:t>
      </w:r>
    </w:p>
    <w:p w14:paraId="07022704" w14:textId="77777777" w:rsidR="00B46153" w:rsidRDefault="00B46153" w:rsidP="00CA4C7F">
      <w:pPr>
        <w:pStyle w:val="Quote1"/>
        <w:widowControl/>
      </w:pPr>
    </w:p>
    <w:p w14:paraId="698E2C1E" w14:textId="16B47A61" w:rsidR="00270AC6" w:rsidRDefault="006F2917" w:rsidP="00CA4C7F">
      <w:pPr>
        <w:pStyle w:val="ParaNumbering"/>
      </w:pPr>
      <w:r>
        <w:t>Whether examined on the basis of factors particular to the parties in these appeals, or the basis referred to at [4</w:t>
      </w:r>
      <w:r w:rsidR="00D66D56">
        <w:t>3</w:t>
      </w:r>
      <w:r>
        <w:t>]-[</w:t>
      </w:r>
      <w:r w:rsidR="00A64706">
        <w:t>46</w:t>
      </w:r>
      <w:r>
        <w:t xml:space="preserve">] above, we do not consider an adjournment should be granted to </w:t>
      </w:r>
      <w:r w:rsidR="00E475C6">
        <w:t>Ms Luck</w:t>
      </w:r>
      <w:r>
        <w:t>.</w:t>
      </w:r>
    </w:p>
    <w:p w14:paraId="2DD052CE" w14:textId="3144A378" w:rsidR="006F2917" w:rsidRDefault="006F2917" w:rsidP="00CA4C7F">
      <w:pPr>
        <w:pStyle w:val="ParaNumbering"/>
      </w:pPr>
      <w:r>
        <w:t xml:space="preserve">Her </w:t>
      </w:r>
      <w:r w:rsidR="005755CA">
        <w:t>medical</w:t>
      </w:r>
      <w:r>
        <w:t xml:space="preserve"> </w:t>
      </w:r>
      <w:r w:rsidR="005755CA">
        <w:t>evidence</w:t>
      </w:r>
      <w:r>
        <w:t xml:space="preserve"> is unpersuasive.</w:t>
      </w:r>
      <w:r w:rsidR="005755CA">
        <w:t xml:space="preserve"> </w:t>
      </w:r>
      <w:r w:rsidR="005B3B72">
        <w:t xml:space="preserve">It is not verified on affidavit, a matter which has been highlighted in earlier cases in which </w:t>
      </w:r>
      <w:r w:rsidR="00E475C6">
        <w:t>Ms Luck</w:t>
      </w:r>
      <w:r w:rsidR="005B3B72">
        <w:t xml:space="preserve"> has unsuccessfully relied on similarly worded </w:t>
      </w:r>
      <w:r w:rsidR="009F584B">
        <w:lastRenderedPageBreak/>
        <w:t xml:space="preserve">assessments </w:t>
      </w:r>
      <w:r w:rsidR="005B3B72">
        <w:t>by Dr</w:t>
      </w:r>
      <w:r w:rsidR="00BC34FE">
        <w:t> </w:t>
      </w:r>
      <w:proofErr w:type="spellStart"/>
      <w:r w:rsidR="005B3B72">
        <w:t>Leow</w:t>
      </w:r>
      <w:proofErr w:type="spellEnd"/>
      <w:r w:rsidR="005B3B72">
        <w:t xml:space="preserve">: see for example </w:t>
      </w:r>
      <w:r w:rsidR="005B3B72" w:rsidRPr="00FD42DF">
        <w:rPr>
          <w:i/>
        </w:rPr>
        <w:t xml:space="preserve">Luck v </w:t>
      </w:r>
      <w:r w:rsidR="005B3B72" w:rsidRPr="005B3B72">
        <w:rPr>
          <w:i/>
        </w:rPr>
        <w:t>University</w:t>
      </w:r>
      <w:r w:rsidR="005B3B72" w:rsidRPr="00FD42DF">
        <w:rPr>
          <w:i/>
        </w:rPr>
        <w:t xml:space="preserve"> of Southern Queensland</w:t>
      </w:r>
      <w:r w:rsidR="005B3B72">
        <w:t xml:space="preserve"> [2014] </w:t>
      </w:r>
      <w:proofErr w:type="spellStart"/>
      <w:r w:rsidR="005B3B72">
        <w:t>FCAFC</w:t>
      </w:r>
      <w:proofErr w:type="spellEnd"/>
      <w:r w:rsidR="005B3B72">
        <w:t xml:space="preserve"> 135 at [16]</w:t>
      </w:r>
      <w:r w:rsidR="005A15FB">
        <w:t xml:space="preserve">, referring to </w:t>
      </w:r>
      <w:r w:rsidR="005A15FB" w:rsidRPr="005A15FB">
        <w:rPr>
          <w:i/>
        </w:rPr>
        <w:t>Luck v University of Southern Queensland (No 2)</w:t>
      </w:r>
      <w:r w:rsidR="005A15FB" w:rsidRPr="005A15FB">
        <w:t xml:space="preserve"> [2013] </w:t>
      </w:r>
      <w:proofErr w:type="spellStart"/>
      <w:r w:rsidR="005A15FB" w:rsidRPr="005A15FB">
        <w:t>FCA</w:t>
      </w:r>
      <w:proofErr w:type="spellEnd"/>
      <w:r w:rsidR="005A15FB" w:rsidRPr="005A15FB">
        <w:t xml:space="preserve"> 1141</w:t>
      </w:r>
      <w:r w:rsidR="005A15FB">
        <w:t xml:space="preserve"> at [11]-[17] (in turn discussing </w:t>
      </w:r>
      <w:r w:rsidR="005A15FB" w:rsidRPr="001125E4">
        <w:rPr>
          <w:i/>
        </w:rPr>
        <w:t>Luck v University of Southern Queensland (No 4)</w:t>
      </w:r>
      <w:r w:rsidR="005A15FB">
        <w:t xml:space="preserve"> [2011] </w:t>
      </w:r>
      <w:proofErr w:type="spellStart"/>
      <w:r w:rsidR="005A15FB">
        <w:t>FCA</w:t>
      </w:r>
      <w:proofErr w:type="spellEnd"/>
      <w:r w:rsidR="005A15FB">
        <w:t xml:space="preserve"> 433)</w:t>
      </w:r>
      <w:r w:rsidR="005B3B72">
        <w:t>. Dr</w:t>
      </w:r>
      <w:r w:rsidR="00BC34FE">
        <w:t> </w:t>
      </w:r>
      <w:proofErr w:type="spellStart"/>
      <w:r w:rsidR="005B3B72">
        <w:t>Leow’s</w:t>
      </w:r>
      <w:proofErr w:type="spellEnd"/>
      <w:r w:rsidR="005B3B72">
        <w:t xml:space="preserve"> letter </w:t>
      </w:r>
      <w:r w:rsidR="005A15FB">
        <w:t xml:space="preserve">in this proceeding </w:t>
      </w:r>
      <w:r w:rsidR="005755CA">
        <w:t xml:space="preserve">refers to conditions </w:t>
      </w:r>
      <w:r w:rsidR="00E475C6">
        <w:t>Ms Luck</w:t>
      </w:r>
      <w:r w:rsidR="005755CA">
        <w:t xml:space="preserve"> has suffered since</w:t>
      </w:r>
      <w:r w:rsidR="005A15FB">
        <w:t xml:space="preserve"> at least</w:t>
      </w:r>
      <w:r w:rsidR="005755CA">
        <w:t xml:space="preserve"> 2013. There is nothing in the letter concerning any recent development, exacerbations, or ne</w:t>
      </w:r>
      <w:r w:rsidR="00D55F27">
        <w:t>w</w:t>
      </w:r>
      <w:r w:rsidR="005755CA">
        <w:t xml:space="preserve"> diagnoses. The treatment to which it refers appears to be treatment </w:t>
      </w:r>
      <w:r w:rsidR="00E475C6">
        <w:t>Ms Luck</w:t>
      </w:r>
      <w:r w:rsidR="005755CA">
        <w:t xml:space="preserve"> has been undergoing for some time</w:t>
      </w:r>
      <w:r w:rsidR="005B3B72">
        <w:t xml:space="preserve">, and at least since 2009: see </w:t>
      </w:r>
      <w:r w:rsidR="005B3B72" w:rsidRPr="00FD42DF">
        <w:rPr>
          <w:i/>
        </w:rPr>
        <w:t>Luck v C</w:t>
      </w:r>
      <w:r w:rsidR="002B1DD6">
        <w:rPr>
          <w:i/>
        </w:rPr>
        <w:t xml:space="preserve">hief </w:t>
      </w:r>
      <w:r w:rsidR="005B3B72" w:rsidRPr="00FD42DF">
        <w:rPr>
          <w:i/>
        </w:rPr>
        <w:t>E</w:t>
      </w:r>
      <w:r w:rsidR="002B1DD6">
        <w:rPr>
          <w:i/>
        </w:rPr>
        <w:t xml:space="preserve">xecutive </w:t>
      </w:r>
      <w:r w:rsidR="005B3B72" w:rsidRPr="00FD42DF">
        <w:rPr>
          <w:i/>
        </w:rPr>
        <w:t>O</w:t>
      </w:r>
      <w:r w:rsidR="002B1DD6">
        <w:rPr>
          <w:i/>
        </w:rPr>
        <w:t>fficer</w:t>
      </w:r>
      <w:r w:rsidR="005B3B72" w:rsidRPr="00FD42DF">
        <w:rPr>
          <w:i/>
        </w:rPr>
        <w:t>, Centrelink</w:t>
      </w:r>
      <w:r w:rsidR="005B3B72">
        <w:t xml:space="preserve"> [2009] </w:t>
      </w:r>
      <w:proofErr w:type="spellStart"/>
      <w:r w:rsidR="005B3B72">
        <w:t>FCAFC</w:t>
      </w:r>
      <w:proofErr w:type="spellEnd"/>
      <w:r w:rsidR="005B3B72">
        <w:t xml:space="preserve"> 54 at [23].</w:t>
      </w:r>
      <w:r w:rsidR="00E475C6">
        <w:t xml:space="preserve"> </w:t>
      </w:r>
      <w:r w:rsidR="005755CA">
        <w:t>It is unclear what Dr</w:t>
      </w:r>
      <w:r w:rsidR="00BC34FE">
        <w:t> </w:t>
      </w:r>
      <w:proofErr w:type="spellStart"/>
      <w:r w:rsidR="005755CA">
        <w:t>Le</w:t>
      </w:r>
      <w:r w:rsidR="00D66D56">
        <w:t>o</w:t>
      </w:r>
      <w:r w:rsidR="005755CA">
        <w:t>w</w:t>
      </w:r>
      <w:proofErr w:type="spellEnd"/>
      <w:r w:rsidR="005755CA">
        <w:t xml:space="preserve"> means by “litigation duties”. No “duty” is imposed on </w:t>
      </w:r>
      <w:r w:rsidR="00E475C6">
        <w:t>Ms Luck</w:t>
      </w:r>
      <w:r w:rsidR="005755CA">
        <w:t xml:space="preserve"> in relation to litigation: rather, she has elected to bring multiple proceedings in this Court, and in other courts, challenging a variety of decisions which generally relate to applications (such as </w:t>
      </w:r>
      <w:proofErr w:type="spellStart"/>
      <w:r w:rsidR="005755CA">
        <w:t>FOI</w:t>
      </w:r>
      <w:proofErr w:type="spellEnd"/>
      <w:r w:rsidR="005755CA">
        <w:t xml:space="preserve"> applications) she has chosen to make. </w:t>
      </w:r>
      <w:r w:rsidR="00E475C6">
        <w:t>Ms Luck</w:t>
      </w:r>
      <w:r w:rsidR="009B2E79">
        <w:t xml:space="preserve"> herself</w:t>
      </w:r>
      <w:r w:rsidR="005755CA">
        <w:t xml:space="preserve"> compounds the amount of litigation she has to deal with by applications such as </w:t>
      </w:r>
      <w:r w:rsidR="00D55F27">
        <w:t>repeated</w:t>
      </w:r>
      <w:r w:rsidR="005755CA">
        <w:t xml:space="preserve"> stay and removal</w:t>
      </w:r>
      <w:r w:rsidR="00D55F27">
        <w:t>, and special leave,</w:t>
      </w:r>
      <w:r w:rsidR="005755CA">
        <w:t xml:space="preserve"> applications to the High Court. The amount of preparation for hearings, interlocutory applications and appeals she needs to undertake is in that sense a self</w:t>
      </w:r>
      <w:r w:rsidR="00176280">
        <w:t>-</w:t>
      </w:r>
      <w:r w:rsidR="005755CA">
        <w:t>fulfilling prophecy.</w:t>
      </w:r>
      <w:r w:rsidR="00436593">
        <w:t xml:space="preserve"> </w:t>
      </w:r>
      <w:r w:rsidR="00D55F27">
        <w:t xml:space="preserve">Despite the underlying subject matter of all </w:t>
      </w:r>
      <w:r w:rsidR="00E475C6">
        <w:t>Ms Luck</w:t>
      </w:r>
      <w:r w:rsidR="00D55F27">
        <w:t xml:space="preserve">’s litigation concerning events which happened many years ago, and flowed from choices she made to make certain applications, </w:t>
      </w:r>
      <w:r w:rsidR="00436593">
        <w:t>Dr</w:t>
      </w:r>
      <w:r w:rsidR="00BC34FE">
        <w:t> </w:t>
      </w:r>
      <w:proofErr w:type="spellStart"/>
      <w:r w:rsidR="00436593">
        <w:t>Leow</w:t>
      </w:r>
      <w:proofErr w:type="spellEnd"/>
      <w:r w:rsidR="00436593">
        <w:t xml:space="preserve"> says nothing about whether she has recommended to </w:t>
      </w:r>
      <w:r w:rsidR="00E475C6">
        <w:t>Ms Luck</w:t>
      </w:r>
      <w:r w:rsidR="00436593">
        <w:t xml:space="preserve"> any </w:t>
      </w:r>
      <w:r w:rsidR="00D55F27">
        <w:t xml:space="preserve">voluntary </w:t>
      </w:r>
      <w:r w:rsidR="00436593">
        <w:t>reduction in her litigation in order to assist her to recover her health.</w:t>
      </w:r>
    </w:p>
    <w:p w14:paraId="15EDF288" w14:textId="3D5C2BFC" w:rsidR="002C4BCC" w:rsidRDefault="002C4BCC" w:rsidP="00CA4C7F">
      <w:pPr>
        <w:pStyle w:val="ParaNumbering"/>
      </w:pPr>
      <w:r>
        <w:t>There is nothing in Dr</w:t>
      </w:r>
      <w:r w:rsidR="00BC34FE">
        <w:t> </w:t>
      </w:r>
      <w:proofErr w:type="spellStart"/>
      <w:r>
        <w:t>L</w:t>
      </w:r>
      <w:r w:rsidR="000854B7">
        <w:t>e</w:t>
      </w:r>
      <w:r w:rsidR="009F584B">
        <w:t>o</w:t>
      </w:r>
      <w:r>
        <w:t>w’s</w:t>
      </w:r>
      <w:proofErr w:type="spellEnd"/>
      <w:r>
        <w:t xml:space="preserve"> </w:t>
      </w:r>
      <w:r w:rsidR="009F584B">
        <w:t xml:space="preserve">letter </w:t>
      </w:r>
      <w:r>
        <w:t xml:space="preserve">which suggests </w:t>
      </w:r>
      <w:r w:rsidR="00E475C6">
        <w:t>Ms Luck</w:t>
      </w:r>
      <w:r>
        <w:t>’s conditions have worsened, and certainly not in any way which</w:t>
      </w:r>
      <w:r w:rsidR="00E411CF">
        <w:t xml:space="preserve"> could be said to be connected</w:t>
      </w:r>
      <w:r>
        <w:t xml:space="preserve"> to what she must do </w:t>
      </w:r>
      <w:r w:rsidR="00D55F27">
        <w:t xml:space="preserve">in the month </w:t>
      </w:r>
      <w:r w:rsidR="005A15FB">
        <w:t>leading up to 21</w:t>
      </w:r>
      <w:r w:rsidR="009B51CE">
        <w:t> </w:t>
      </w:r>
      <w:r w:rsidR="005A15FB">
        <w:t xml:space="preserve">May 2015 </w:t>
      </w:r>
      <w:r>
        <w:t xml:space="preserve">to prepare for these two appeals: see generally the </w:t>
      </w:r>
      <w:r w:rsidR="00E411CF">
        <w:t>observations</w:t>
      </w:r>
      <w:r>
        <w:t xml:space="preserve"> of Lindgren</w:t>
      </w:r>
      <w:r w:rsidR="009B51CE">
        <w:t> </w:t>
      </w:r>
      <w:r>
        <w:t xml:space="preserve">J in </w:t>
      </w:r>
      <w:proofErr w:type="spellStart"/>
      <w:r w:rsidR="00E411CF" w:rsidRPr="00E411CF">
        <w:rPr>
          <w:i/>
          <w:lang w:val="en"/>
        </w:rPr>
        <w:t>NAKX</w:t>
      </w:r>
      <w:proofErr w:type="spellEnd"/>
      <w:r w:rsidR="00E411CF" w:rsidRPr="00E411CF">
        <w:rPr>
          <w:i/>
          <w:lang w:val="en"/>
        </w:rPr>
        <w:t xml:space="preserve"> v Minister for Immigration &amp; Multicultural &amp; Indigenous Affairs </w:t>
      </w:r>
      <w:r w:rsidR="00E411CF" w:rsidRPr="00E411CF">
        <w:rPr>
          <w:lang w:val="en"/>
        </w:rPr>
        <w:t xml:space="preserve">[2003] </w:t>
      </w:r>
      <w:proofErr w:type="spellStart"/>
      <w:r w:rsidR="00E411CF" w:rsidRPr="00E411CF">
        <w:rPr>
          <w:lang w:val="en"/>
        </w:rPr>
        <w:t>FCA</w:t>
      </w:r>
      <w:proofErr w:type="spellEnd"/>
      <w:r w:rsidR="00E411CF" w:rsidRPr="00E411CF">
        <w:rPr>
          <w:lang w:val="en"/>
        </w:rPr>
        <w:t xml:space="preserve"> 1559</w:t>
      </w:r>
      <w:r>
        <w:t xml:space="preserve"> at [6]</w:t>
      </w:r>
      <w:r w:rsidR="002C37A9">
        <w:t>-</w:t>
      </w:r>
      <w:r>
        <w:t>[8] where his Honour said</w:t>
      </w:r>
      <w:r w:rsidR="00176280">
        <w:t xml:space="preserve"> (</w:t>
      </w:r>
      <w:r w:rsidR="00E411CF">
        <w:t>in relation to medical certificates which certified an applicant as unfit to attend for work)</w:t>
      </w:r>
      <w:r>
        <w:t>:</w:t>
      </w:r>
    </w:p>
    <w:p w14:paraId="16ADF467" w14:textId="446215BB" w:rsidR="002C4BCC" w:rsidRDefault="002C4BCC" w:rsidP="00CA4C7F">
      <w:pPr>
        <w:pStyle w:val="Quote1"/>
        <w:widowControl/>
      </w:pPr>
      <w:r>
        <w:t xml:space="preserve">The medical certificates are quite unsatisfactory. They do not address the critical question whether, and if so why, the medical condition would prevent the appellant from travelling to the </w:t>
      </w:r>
      <w:r w:rsidR="00DE401B">
        <w:t>C</w:t>
      </w:r>
      <w:r>
        <w:t>ourt and participating effectively in a court hearing.</w:t>
      </w:r>
    </w:p>
    <w:p w14:paraId="3384DDC1" w14:textId="77777777" w:rsidR="00DE6A7D" w:rsidRDefault="00DE6A7D" w:rsidP="00CA4C7F">
      <w:pPr>
        <w:pStyle w:val="Quote1"/>
        <w:widowControl/>
      </w:pPr>
    </w:p>
    <w:p w14:paraId="43026844" w14:textId="01E87D41" w:rsidR="002C4BCC" w:rsidRDefault="002C4BCC" w:rsidP="00CA4C7F">
      <w:pPr>
        <w:pStyle w:val="Quote1"/>
        <w:widowControl/>
      </w:pPr>
      <w:r>
        <w:t>I do not accept that either of the medical conditions referred to would make the sufferer ‘unable to attend court’ — apparently each was able to attend upon the medical practitioner.</w:t>
      </w:r>
    </w:p>
    <w:p w14:paraId="61E4FBFD" w14:textId="77777777" w:rsidR="00DE401B" w:rsidRDefault="00DE401B" w:rsidP="00CA4C7F">
      <w:pPr>
        <w:pStyle w:val="Quote1"/>
        <w:widowControl/>
      </w:pPr>
    </w:p>
    <w:p w14:paraId="18CF29DE" w14:textId="4F19E3AE" w:rsidR="002C4BCC" w:rsidRDefault="002C4BCC" w:rsidP="00CA4C7F">
      <w:pPr>
        <w:pStyle w:val="Quote1"/>
        <w:widowControl/>
      </w:pPr>
      <w:r>
        <w:t>If the certificates were meant to say that the medical condition would prevent the sufferer from participating effectively in a court hearing, they do not in fact say that and do not explain why the medical condition would have that effect.</w:t>
      </w:r>
    </w:p>
    <w:p w14:paraId="789F7095" w14:textId="77777777" w:rsidR="00B46153" w:rsidRDefault="00B46153" w:rsidP="00CA4C7F">
      <w:pPr>
        <w:pStyle w:val="Quote1"/>
        <w:widowControl/>
      </w:pPr>
    </w:p>
    <w:p w14:paraId="78E6832D" w14:textId="7FE7120E" w:rsidR="00D55F27" w:rsidRDefault="00D55F27" w:rsidP="00CA4C7F">
      <w:pPr>
        <w:pStyle w:val="ParaNumbering"/>
      </w:pPr>
      <w:r>
        <w:lastRenderedPageBreak/>
        <w:t>The absence of any such</w:t>
      </w:r>
      <w:r w:rsidR="009F584B">
        <w:t xml:space="preserve"> specific</w:t>
      </w:r>
      <w:r>
        <w:t xml:space="preserve"> evidence about how her conditions are affecting preparation is particularly relevant given the extensive accommodations already made for </w:t>
      </w:r>
      <w:r w:rsidR="00E475C6">
        <w:t>Ms Luck</w:t>
      </w:r>
      <w:r>
        <w:t xml:space="preserve"> in terms of preparation, and the shifting of s</w:t>
      </w:r>
      <w:r w:rsidR="00FD42DF">
        <w:t>ome of the preparation burden (</w:t>
      </w:r>
      <w:r>
        <w:t xml:space="preserve">such as </w:t>
      </w:r>
      <w:r w:rsidR="00DE401B">
        <w:t>appeal b</w:t>
      </w:r>
      <w:r>
        <w:t>ooks) to the respondent</w:t>
      </w:r>
      <w:r w:rsidR="00DE401B">
        <w:t>s</w:t>
      </w:r>
      <w:r>
        <w:t>.</w:t>
      </w:r>
      <w:r w:rsidR="00D718D9">
        <w:t xml:space="preserve"> It is also to be noted that, inconsistently with Dr</w:t>
      </w:r>
      <w:r w:rsidR="009B51CE">
        <w:t> </w:t>
      </w:r>
      <w:proofErr w:type="spellStart"/>
      <w:r w:rsidR="00D718D9">
        <w:t>Leow’s</w:t>
      </w:r>
      <w:proofErr w:type="spellEnd"/>
      <w:r w:rsidR="00D718D9">
        <w:t xml:space="preserve"> assessment, </w:t>
      </w:r>
      <w:r w:rsidR="00E475C6">
        <w:t>Ms Luck</w:t>
      </w:r>
      <w:r w:rsidR="00D718D9">
        <w:t xml:space="preserve"> was able as recently as </w:t>
      </w:r>
      <w:r w:rsidR="0012192A">
        <w:t>8</w:t>
      </w:r>
      <w:r w:rsidR="009B51CE">
        <w:t> </w:t>
      </w:r>
      <w:r w:rsidR="0012192A">
        <w:t>May</w:t>
      </w:r>
      <w:r w:rsidR="00D718D9">
        <w:t xml:space="preserve"> 2015 to file in the High Court a </w:t>
      </w:r>
      <w:r w:rsidR="0012192A">
        <w:t xml:space="preserve">12 </w:t>
      </w:r>
      <w:r w:rsidR="00D718D9">
        <w:t>paragraph affidavit</w:t>
      </w:r>
      <w:r w:rsidR="0012192A">
        <w:t xml:space="preserve"> dated 7</w:t>
      </w:r>
      <w:r w:rsidR="009B51CE">
        <w:t> </w:t>
      </w:r>
      <w:r w:rsidR="0012192A">
        <w:t>May 2015</w:t>
      </w:r>
      <w:r w:rsidR="00D718D9">
        <w:t>, which in substance was her submission in support of her applications in that Court to stay these appeals.</w:t>
      </w:r>
    </w:p>
    <w:p w14:paraId="65643F19" w14:textId="03BED1B5" w:rsidR="001C6F86" w:rsidRDefault="0039202C" w:rsidP="00CA4C7F">
      <w:pPr>
        <w:pStyle w:val="ParaNumbering"/>
      </w:pPr>
      <w:r>
        <w:t>T</w:t>
      </w:r>
      <w:r w:rsidR="000763D0">
        <w:t xml:space="preserve">hese matters have been on foot in this Court for </w:t>
      </w:r>
      <w:r w:rsidR="00FD42DF">
        <w:t>a long time: in the case of VID </w:t>
      </w:r>
      <w:r w:rsidR="000763D0">
        <w:t>898/2008, for seven years. Their longevity in this Court is be</w:t>
      </w:r>
      <w:r w:rsidR="00176280">
        <w:t xml:space="preserve">cause of </w:t>
      </w:r>
      <w:r w:rsidR="00E475C6">
        <w:t>Ms Luck</w:t>
      </w:r>
      <w:r w:rsidR="00176280">
        <w:t>’s own decision-</w:t>
      </w:r>
      <w:r w:rsidR="000763D0">
        <w:t>making about other litigation she seeks to conduct, and appeals she seeks to bring, combined with what we view as a remarkably tolerant and generous history</w:t>
      </w:r>
      <w:r w:rsidR="00D55F27">
        <w:t xml:space="preserve"> (by various respondents and the Court) </w:t>
      </w:r>
      <w:r w:rsidR="000763D0">
        <w:t xml:space="preserve">of </w:t>
      </w:r>
      <w:r w:rsidR="00D55F27">
        <w:t>acquiescing in</w:t>
      </w:r>
      <w:r w:rsidR="000763D0">
        <w:t xml:space="preserve"> </w:t>
      </w:r>
      <w:r w:rsidR="00E475C6">
        <w:t>Ms Luck</w:t>
      </w:r>
      <w:r w:rsidR="000763D0">
        <w:t>’s requests for p</w:t>
      </w:r>
      <w:r w:rsidR="00176280">
        <w:t>ostponements, adjournments</w:t>
      </w:r>
      <w:r w:rsidR="000763D0">
        <w:t>, extensions of time and other accommodations.</w:t>
      </w:r>
      <w:r w:rsidR="00E475C6">
        <w:t xml:space="preserve"> </w:t>
      </w:r>
      <w:r w:rsidR="00D55F27">
        <w:t xml:space="preserve">What is at stake through the </w:t>
      </w:r>
      <w:r w:rsidR="00FD42DF">
        <w:t>subject matter of the appeals (</w:t>
      </w:r>
      <w:r w:rsidR="00D55F27">
        <w:t xml:space="preserve">undetermined and/or historical </w:t>
      </w:r>
      <w:proofErr w:type="spellStart"/>
      <w:r w:rsidR="00D55F27">
        <w:t>FOI</w:t>
      </w:r>
      <w:proofErr w:type="spellEnd"/>
      <w:r w:rsidR="00D55F27">
        <w:t xml:space="preserve"> applications, and issues about </w:t>
      </w:r>
      <w:r w:rsidR="00C74371">
        <w:t>Tracey J</w:t>
      </w:r>
      <w:r w:rsidR="00D55F27">
        <w:t xml:space="preserve">’s role in the </w:t>
      </w:r>
      <w:r w:rsidR="00D73883">
        <w:t xml:space="preserve">Australian Defence Force </w:t>
      </w:r>
      <w:r w:rsidR="00D55F27">
        <w:t xml:space="preserve">already determined adversely to </w:t>
      </w:r>
      <w:r w:rsidR="00E475C6">
        <w:t>Ms Luck</w:t>
      </w:r>
      <w:r w:rsidR="00D55F27">
        <w:t xml:space="preserve"> on more than one occasion) has become entirely </w:t>
      </w:r>
      <w:r w:rsidR="001C6F86">
        <w:t>disproportionate</w:t>
      </w:r>
      <w:r w:rsidR="00D55F27">
        <w:t xml:space="preserve"> to the </w:t>
      </w:r>
      <w:r w:rsidR="001C6F86">
        <w:t>resources</w:t>
      </w:r>
      <w:r w:rsidR="00D55F27">
        <w:t xml:space="preserve"> which are being consumed by </w:t>
      </w:r>
      <w:r w:rsidR="00E475C6">
        <w:t>Ms Luck</w:t>
      </w:r>
      <w:r w:rsidR="00D55F27">
        <w:t>’s litigation – both the Court</w:t>
      </w:r>
      <w:r w:rsidR="001C6F86">
        <w:t>’s publicly</w:t>
      </w:r>
      <w:r w:rsidR="00D55F27">
        <w:t xml:space="preserve"> funded </w:t>
      </w:r>
      <w:r w:rsidR="001C6F86">
        <w:t>resources</w:t>
      </w:r>
      <w:r w:rsidR="00D55F27">
        <w:t xml:space="preserve">, and the </w:t>
      </w:r>
      <w:r w:rsidR="001C6F86">
        <w:t>publicly</w:t>
      </w:r>
      <w:r w:rsidR="00D55F27">
        <w:t xml:space="preserve"> funded resources of the </w:t>
      </w:r>
      <w:r w:rsidR="001C6F86">
        <w:t>respondents</w:t>
      </w:r>
      <w:r w:rsidR="00B46153">
        <w:t>.</w:t>
      </w:r>
    </w:p>
    <w:p w14:paraId="3D2B87A9" w14:textId="5F7CA6F1" w:rsidR="005755CA" w:rsidRDefault="000763D0" w:rsidP="00CA4C7F">
      <w:pPr>
        <w:pStyle w:val="ParaNumbering"/>
      </w:pPr>
      <w:r>
        <w:t xml:space="preserve">To ensure that the resources of this Court are not unduly consumed </w:t>
      </w:r>
      <w:r w:rsidR="00D55F27">
        <w:t>with</w:t>
      </w:r>
      <w:r>
        <w:t xml:space="preserve"> the claims of one litigant over others, to ensure the Court can effectively dispose of cases before it and to ensure that some finality can be achieved to claims made in this Court, these appeals should be heard and determined.</w:t>
      </w:r>
      <w:r w:rsidR="00D837E2">
        <w:t xml:space="preserve"> Their merit does not improve with delay: either </w:t>
      </w:r>
      <w:r w:rsidR="00E475C6">
        <w:t>Ms Luck</w:t>
      </w:r>
      <w:r w:rsidR="00D837E2">
        <w:t>’s arguments are persuasive or they are not.</w:t>
      </w:r>
    </w:p>
    <w:p w14:paraId="1F707648" w14:textId="1D99755C" w:rsidR="008953E1" w:rsidRDefault="008953E1" w:rsidP="00CA4C7F">
      <w:pPr>
        <w:pStyle w:val="ParaNumbering"/>
      </w:pPr>
      <w:r>
        <w:t xml:space="preserve">Finally, given what </w:t>
      </w:r>
      <w:r w:rsidR="00E475C6">
        <w:t>Ms Luck</w:t>
      </w:r>
      <w:r>
        <w:t xml:space="preserve"> has herself said about the impact of </w:t>
      </w:r>
      <w:r w:rsidR="00176280">
        <w:t>this litigation on her own well</w:t>
      </w:r>
      <w:r>
        <w:t>being, we cannot see how it is in her own interests to further delay these appeals. She has been given considerable accommodation in the preparation of these appeals, both with longer periods for preparation and by being relieved of some tasks entirely, and having others assigned to the respondents.</w:t>
      </w:r>
      <w:r w:rsidR="00DE4C7B">
        <w:t xml:space="preserve"> We consider her arguments are as well prepared as they will ever be.</w:t>
      </w:r>
    </w:p>
    <w:p w14:paraId="7DC86708" w14:textId="7AF22B65" w:rsidR="00DE4C7B" w:rsidRDefault="00DE4C7B" w:rsidP="00CA4C7F">
      <w:pPr>
        <w:pStyle w:val="ParaNumbering"/>
      </w:pPr>
      <w:r>
        <w:t xml:space="preserve">We </w:t>
      </w:r>
      <w:r w:rsidR="009A4BC7">
        <w:t xml:space="preserve">acknowledge </w:t>
      </w:r>
      <w:r w:rsidR="00E475C6">
        <w:t>Ms Luck</w:t>
      </w:r>
      <w:r w:rsidR="0039202C">
        <w:t xml:space="preserve"> </w:t>
      </w:r>
      <w:r>
        <w:t>has not filed written submissions in VID</w:t>
      </w:r>
      <w:r w:rsidR="00B068C4">
        <w:t> </w:t>
      </w:r>
      <w:r w:rsidR="00D718D9">
        <w:t>898/2008</w:t>
      </w:r>
      <w:r>
        <w:t xml:space="preserve">, but </w:t>
      </w:r>
      <w:r w:rsidR="0039202C">
        <w:t>as part of our orders on 21</w:t>
      </w:r>
      <w:r w:rsidR="00B068C4">
        <w:t> </w:t>
      </w:r>
      <w:r w:rsidR="0039202C">
        <w:t>May 2015 we granted</w:t>
      </w:r>
      <w:r>
        <w:t xml:space="preserve"> her a further and final indulgence by giving her </w:t>
      </w:r>
      <w:r w:rsidR="00D677A1">
        <w:t>four weeks</w:t>
      </w:r>
      <w:r>
        <w:t xml:space="preserve"> </w:t>
      </w:r>
      <w:r w:rsidR="0028659C">
        <w:t>from 21</w:t>
      </w:r>
      <w:r w:rsidR="00B068C4">
        <w:t> </w:t>
      </w:r>
      <w:r w:rsidR="0028659C">
        <w:t>May 2015</w:t>
      </w:r>
      <w:r>
        <w:t xml:space="preserve"> in which to file any written submissions she wishes to make</w:t>
      </w:r>
      <w:r w:rsidR="00A50A81">
        <w:t xml:space="preserve"> in </w:t>
      </w:r>
      <w:r w:rsidR="00A50A81">
        <w:lastRenderedPageBreak/>
        <w:t>VID </w:t>
      </w:r>
      <w:r w:rsidR="00D718D9">
        <w:t>898/2008</w:t>
      </w:r>
      <w:r w:rsidR="009A4BC7">
        <w:t xml:space="preserve"> and a further two weeks from then for the respondent to respond</w:t>
      </w:r>
      <w:r>
        <w:t xml:space="preserve">. As we have said, the subject matter of these appeals are legal arguments that either </w:t>
      </w:r>
      <w:r w:rsidR="00E475C6">
        <w:t>Ms Luck</w:t>
      </w:r>
      <w:r>
        <w:t xml:space="preserve"> has run many times before, or </w:t>
      </w:r>
      <w:r w:rsidR="0028659C">
        <w:t xml:space="preserve">with </w:t>
      </w:r>
      <w:r>
        <w:t>which she has had years to come to terms</w:t>
      </w:r>
      <w:r w:rsidR="0028659C">
        <w:t>,</w:t>
      </w:r>
      <w:r>
        <w:t xml:space="preserve"> including for example having the benefit of decisions such as the leave to appeal decision from </w:t>
      </w:r>
      <w:r w:rsidR="00E475C6">
        <w:t>Mortimer J</w:t>
      </w:r>
      <w:r w:rsidR="00D677A1">
        <w:t xml:space="preserve">: see </w:t>
      </w:r>
      <w:r w:rsidR="00D677A1" w:rsidRPr="000502C3">
        <w:rPr>
          <w:i/>
        </w:rPr>
        <w:t>Luck v Secretary, Department of Human Services</w:t>
      </w:r>
      <w:r w:rsidR="00D677A1" w:rsidRPr="000502C3">
        <w:t xml:space="preserve"> [2014] </w:t>
      </w:r>
      <w:proofErr w:type="spellStart"/>
      <w:r w:rsidR="00D677A1" w:rsidRPr="000502C3">
        <w:t>FCA</w:t>
      </w:r>
      <w:proofErr w:type="spellEnd"/>
      <w:r w:rsidR="00D677A1" w:rsidRPr="000502C3">
        <w:t xml:space="preserve"> 1060</w:t>
      </w:r>
      <w:r>
        <w:t xml:space="preserve">. </w:t>
      </w:r>
      <w:r w:rsidR="00E475C6">
        <w:t>Ms Luck</w:t>
      </w:r>
      <w:r>
        <w:t>’s correspondence and material in fact shows great familiarity with the issues in these appeals.</w:t>
      </w:r>
    </w:p>
    <w:p w14:paraId="00848C44" w14:textId="09B7CFF6" w:rsidR="00DE4C7B" w:rsidRDefault="00DE4C7B" w:rsidP="00CA4C7F">
      <w:pPr>
        <w:pStyle w:val="ParaNumbering"/>
      </w:pPr>
      <w:r>
        <w:t>In our opinion</w:t>
      </w:r>
      <w:r w:rsidR="0039202C">
        <w:t>,</w:t>
      </w:r>
      <w:r>
        <w:t xml:space="preserve"> </w:t>
      </w:r>
      <w:r w:rsidR="00EC3303">
        <w:t xml:space="preserve">if </w:t>
      </w:r>
      <w:r w:rsidR="00E475C6">
        <w:t>Ms Luck</w:t>
      </w:r>
      <w:r w:rsidR="0039202C">
        <w:t xml:space="preserve"> </w:t>
      </w:r>
      <w:r w:rsidR="00EC3303">
        <w:t>is give</w:t>
      </w:r>
      <w:r w:rsidR="009A4BC7">
        <w:t>n</w:t>
      </w:r>
      <w:r w:rsidR="00EC3303">
        <w:t xml:space="preserve"> yet another extension, there is no reasonable basis to believe she cannot make </w:t>
      </w:r>
      <w:r>
        <w:t>submissions in writing. Despite what Dr</w:t>
      </w:r>
      <w:r w:rsidR="00B068C4">
        <w:t> </w:t>
      </w:r>
      <w:proofErr w:type="spellStart"/>
      <w:r>
        <w:t>Leow</w:t>
      </w:r>
      <w:proofErr w:type="spellEnd"/>
      <w:r>
        <w:t xml:space="preserve"> says, </w:t>
      </w:r>
      <w:r w:rsidR="00E475C6">
        <w:t>Ms Luck</w:t>
      </w:r>
      <w:r>
        <w:t xml:space="preserve"> has continued to file documents and correspondence at length with this Court, and the High Court. On the basis of the evidence be</w:t>
      </w:r>
      <w:r w:rsidR="00176280">
        <w:t xml:space="preserve">fore us, it seems to us </w:t>
      </w:r>
      <w:r w:rsidR="00E475C6">
        <w:t>Ms Luck</w:t>
      </w:r>
      <w:r>
        <w:t xml:space="preserve">, rather than being physically unable to do </w:t>
      </w:r>
      <w:r w:rsidR="00176280">
        <w:t>any</w:t>
      </w:r>
      <w:r>
        <w:t xml:space="preserve"> more, has elected to draw a line in the sand concerning what she will agree to do, and what she will not. That is a matter for her, but this Court will not delay the hearing and determination of her appeals any longer.</w:t>
      </w:r>
    </w:p>
    <w:p w14:paraId="0044C780" w14:textId="77777777" w:rsidR="00A54D2B" w:rsidRPr="00BF7C63" w:rsidRDefault="000F687A" w:rsidP="00CA4C7F">
      <w:pPr>
        <w:pStyle w:val="Heading1"/>
      </w:pPr>
      <w:r w:rsidRPr="00BF7C63">
        <w:t>CONCLUSION</w:t>
      </w:r>
    </w:p>
    <w:p w14:paraId="5F2DDD90" w14:textId="6C1F4C27" w:rsidR="00BD793D" w:rsidRDefault="00DE4C7B" w:rsidP="00CA4C7F">
      <w:pPr>
        <w:pStyle w:val="ParaNumbering"/>
      </w:pPr>
      <w:r>
        <w:t>The applications for stay and</w:t>
      </w:r>
      <w:r w:rsidR="00E475C6">
        <w:t xml:space="preserve"> adjournment </w:t>
      </w:r>
      <w:r w:rsidR="005819FF">
        <w:t>were accordingly</w:t>
      </w:r>
      <w:r w:rsidR="00E475C6">
        <w:t xml:space="preserve"> dismissed.</w:t>
      </w:r>
    </w:p>
    <w:p w14:paraId="5447F538" w14:textId="6838C13F" w:rsidR="001360A6" w:rsidRDefault="00DE4C7B" w:rsidP="00CA4C7F">
      <w:pPr>
        <w:pStyle w:val="ParaNumbering"/>
      </w:pPr>
      <w:r>
        <w:t>We see nothing in the material which would cause us to make anything other than the usual orders as to costs.</w:t>
      </w:r>
    </w:p>
    <w:p w14:paraId="156A7171" w14:textId="77777777" w:rsidR="00FA67A4" w:rsidRDefault="00FA67A4" w:rsidP="00815065">
      <w:pPr>
        <w:pStyle w:val="BodyText"/>
      </w:pPr>
      <w:bookmarkStart w:id="24" w:name="Certification"/>
    </w:p>
    <w:tbl>
      <w:tblPr>
        <w:tblW w:w="0" w:type="auto"/>
        <w:tblLook w:val="04A0" w:firstRow="1" w:lastRow="0" w:firstColumn="1" w:lastColumn="0" w:noHBand="0" w:noVBand="1"/>
      </w:tblPr>
      <w:tblGrid>
        <w:gridCol w:w="3794"/>
      </w:tblGrid>
      <w:tr w:rsidR="00FA67A4" w:rsidRPr="00FA67A4" w14:paraId="110D32EA" w14:textId="77777777">
        <w:tc>
          <w:tcPr>
            <w:tcW w:w="3794" w:type="dxa"/>
            <w:shd w:val="clear" w:color="auto" w:fill="auto"/>
          </w:tcPr>
          <w:p w14:paraId="2F8EB6F2" w14:textId="0A7307F5" w:rsidR="00FA67A4" w:rsidRPr="00FA67A4" w:rsidRDefault="00FA67A4" w:rsidP="00FA67A4">
            <w:pPr>
              <w:pStyle w:val="Normal1linespace"/>
            </w:pPr>
            <w:r w:rsidRPr="00FA67A4">
              <w:t xml:space="preserve">I certify that the preceding </w:t>
            </w:r>
            <w:bookmarkStart w:id="25" w:name="NumberWord"/>
            <w:r>
              <w:t>fifty-seven</w:t>
            </w:r>
            <w:bookmarkEnd w:id="25"/>
            <w:r w:rsidRPr="00FA67A4">
              <w:t xml:space="preserve"> (</w:t>
            </w:r>
            <w:bookmarkStart w:id="26" w:name="NumberNumeral"/>
            <w:r>
              <w:t>57</w:t>
            </w:r>
            <w:bookmarkEnd w:id="26"/>
            <w:r w:rsidRPr="00FA67A4">
              <w:t xml:space="preserve">) numbered </w:t>
            </w:r>
            <w:bookmarkStart w:id="27" w:name="CertPara"/>
            <w:r>
              <w:t>paragraphs are</w:t>
            </w:r>
            <w:bookmarkEnd w:id="27"/>
            <w:r w:rsidRPr="00FA67A4">
              <w:t xml:space="preserve"> a true copy of the Reasons for Judgment herein of the Honourable </w:t>
            </w:r>
            <w:bookmarkStart w:id="28" w:name="Justice"/>
            <w:r>
              <w:t>Justices Collier, Griffiths and Mortimer</w:t>
            </w:r>
            <w:bookmarkEnd w:id="28"/>
            <w:r w:rsidRPr="00FA67A4">
              <w:t>.</w:t>
            </w:r>
          </w:p>
        </w:tc>
      </w:tr>
    </w:tbl>
    <w:p w14:paraId="4266FC0C" w14:textId="77777777" w:rsidR="00FA67A4" w:rsidRDefault="00FA67A4" w:rsidP="00815065">
      <w:pPr>
        <w:pStyle w:val="BodyText"/>
      </w:pPr>
    </w:p>
    <w:p w14:paraId="41A978B9" w14:textId="46221A31" w:rsidR="00FA67A4" w:rsidRDefault="00FA67A4" w:rsidP="00815065">
      <w:pPr>
        <w:pStyle w:val="BodyText"/>
      </w:pPr>
      <w:r>
        <w:t>Associate:</w:t>
      </w:r>
    </w:p>
    <w:p w14:paraId="3560C8D5" w14:textId="77777777" w:rsidR="00D45FF9" w:rsidRDefault="00D45FF9" w:rsidP="00815065">
      <w:pPr>
        <w:pStyle w:val="BodyText"/>
      </w:pPr>
    </w:p>
    <w:p w14:paraId="325F1BDE" w14:textId="197DCECB" w:rsidR="00FA67A4" w:rsidRDefault="00FA67A4" w:rsidP="00815065">
      <w:pPr>
        <w:pStyle w:val="BodyText"/>
        <w:tabs>
          <w:tab w:val="left" w:pos="1134"/>
        </w:tabs>
      </w:pPr>
      <w:r>
        <w:t>Dated:</w:t>
      </w:r>
      <w:r>
        <w:tab/>
      </w:r>
      <w:bookmarkStart w:id="29" w:name="CertifyDated"/>
      <w:r>
        <w:t>1 June 2015</w:t>
      </w:r>
      <w:bookmarkEnd w:id="29"/>
    </w:p>
    <w:p w14:paraId="05BCEE51" w14:textId="77777777" w:rsidR="00FA67A4" w:rsidRDefault="00FA67A4" w:rsidP="00815065">
      <w:pPr>
        <w:pStyle w:val="BodyText"/>
      </w:pPr>
    </w:p>
    <w:bookmarkEnd w:id="24"/>
    <w:p w14:paraId="4614B18A" w14:textId="77777777" w:rsidR="000F3641" w:rsidRPr="00BF7C63" w:rsidRDefault="000F3641" w:rsidP="000F3641">
      <w:pPr>
        <w:pStyle w:val="BodyText"/>
      </w:pPr>
    </w:p>
    <w:sectPr w:rsidR="000F3641" w:rsidRPr="00BF7C63">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C20B" w14:textId="77777777" w:rsidR="00452A32" w:rsidRDefault="00452A32">
      <w:pPr>
        <w:spacing w:line="20" w:lineRule="exact"/>
      </w:pPr>
    </w:p>
    <w:p w14:paraId="0DD2F172" w14:textId="77777777" w:rsidR="00452A32" w:rsidRDefault="00452A32"/>
    <w:p w14:paraId="708566E5" w14:textId="77777777" w:rsidR="00452A32" w:rsidRDefault="00452A32"/>
  </w:endnote>
  <w:endnote w:type="continuationSeparator" w:id="0">
    <w:p w14:paraId="707A3624" w14:textId="77777777" w:rsidR="00452A32" w:rsidRDefault="00452A32">
      <w:r>
        <w:t xml:space="preserve"> </w:t>
      </w:r>
    </w:p>
    <w:p w14:paraId="1B7C06F4" w14:textId="77777777" w:rsidR="00452A32" w:rsidRDefault="00452A32"/>
    <w:p w14:paraId="00238C7F" w14:textId="77777777" w:rsidR="00452A32" w:rsidRDefault="00452A32"/>
  </w:endnote>
  <w:endnote w:type="continuationNotice" w:id="1">
    <w:p w14:paraId="781CE5F1" w14:textId="77777777" w:rsidR="00452A32" w:rsidRDefault="00452A32">
      <w:r>
        <w:t xml:space="preserve"> </w:t>
      </w:r>
    </w:p>
    <w:p w14:paraId="07AE3BE0" w14:textId="77777777" w:rsidR="00452A32" w:rsidRDefault="00452A32"/>
    <w:p w14:paraId="423BB473" w14:textId="77777777" w:rsidR="00452A32" w:rsidRDefault="00452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4E31" w14:textId="13A800DF" w:rsidR="00483DEA" w:rsidRDefault="00483DE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15E7" w14:textId="0C159F2A" w:rsidR="00483DEA" w:rsidRPr="00624520" w:rsidRDefault="00483DEA"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490C" w14:textId="2F36290E" w:rsidR="00483DEA" w:rsidRDefault="00483DEA"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413C2" w14:textId="77777777" w:rsidR="00452A32" w:rsidRDefault="00452A32"/>
    <w:p w14:paraId="1C46BBF1" w14:textId="77777777" w:rsidR="00452A32" w:rsidRDefault="00452A32"/>
    <w:p w14:paraId="60A4C472" w14:textId="77777777" w:rsidR="00452A32" w:rsidRDefault="00452A32"/>
  </w:footnote>
  <w:footnote w:type="continuationSeparator" w:id="0">
    <w:p w14:paraId="2B67E4EC" w14:textId="77777777" w:rsidR="00452A32" w:rsidRDefault="00452A32">
      <w:r>
        <w:continuationSeparator/>
      </w:r>
    </w:p>
    <w:p w14:paraId="4BC5EFB3" w14:textId="77777777" w:rsidR="00452A32" w:rsidRDefault="00452A32"/>
    <w:p w14:paraId="03898830" w14:textId="77777777" w:rsidR="00452A32" w:rsidRDefault="00452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6CE3" w14:textId="77777777" w:rsidR="00483DEA" w:rsidRDefault="00483DE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07B0E">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C83F" w14:textId="77777777" w:rsidR="00483DEA" w:rsidRDefault="00483DEA">
    <w:pPr>
      <w:tabs>
        <w:tab w:val="center" w:pos="4512"/>
      </w:tabs>
      <w:suppressAutoHyphens/>
    </w:pPr>
    <w:r>
      <w:tab/>
      <w:t xml:space="preserve">- </w:t>
    </w:r>
    <w:r>
      <w:fldChar w:fldCharType="begin"/>
    </w:r>
    <w:r>
      <w:instrText>page \* arabic</w:instrText>
    </w:r>
    <w:r>
      <w:fldChar w:fldCharType="separate"/>
    </w:r>
    <w:r w:rsidR="002742BD">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5A02" w14:textId="77777777" w:rsidR="00483DEA" w:rsidRDefault="00483DE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CD58" w14:textId="77777777" w:rsidR="00483DEA" w:rsidRDefault="00483D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6E29" w14:textId="77777777" w:rsidR="00483DEA" w:rsidRDefault="00483DEA">
    <w:pPr>
      <w:tabs>
        <w:tab w:val="center" w:pos="4512"/>
      </w:tabs>
      <w:suppressAutoHyphens/>
    </w:pPr>
    <w:r>
      <w:tab/>
      <w:t xml:space="preserve">- </w:t>
    </w:r>
    <w:r>
      <w:fldChar w:fldCharType="begin"/>
    </w:r>
    <w:r>
      <w:instrText>page \* arabic</w:instrText>
    </w:r>
    <w:r>
      <w:fldChar w:fldCharType="separate"/>
    </w:r>
    <w:r w:rsidR="00607B0E">
      <w:rPr>
        <w:noProof/>
      </w:rPr>
      <w:t>17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6F8B" w14:textId="77777777" w:rsidR="00483DEA" w:rsidRDefault="00483DE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F22EA"/>
    <w:multiLevelType w:val="hybridMultilevel"/>
    <w:tmpl w:val="E76A697E"/>
    <w:lvl w:ilvl="0" w:tplc="84BA5E6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B461FFB"/>
    <w:multiLevelType w:val="hybridMultilevel"/>
    <w:tmpl w:val="2220A74C"/>
    <w:lvl w:ilvl="0" w:tplc="253022EC">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DD4152A"/>
    <w:multiLevelType w:val="hybridMultilevel"/>
    <w:tmpl w:val="E75A0342"/>
    <w:lvl w:ilvl="0" w:tplc="109EF07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2665994"/>
    <w:multiLevelType w:val="hybridMultilevel"/>
    <w:tmpl w:val="468CB7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8AC588B"/>
    <w:multiLevelType w:val="hybridMultilevel"/>
    <w:tmpl w:val="B4687BF2"/>
    <w:lvl w:ilvl="0" w:tplc="00000000">
      <w:start w:val="1"/>
      <w:numFmt w:val="decimal"/>
      <w:lvlText w:val="%1"/>
      <w:lvlJc w:val="left"/>
      <w:pPr>
        <w:tabs>
          <w:tab w:val="num" w:pos="1440"/>
        </w:tabs>
        <w:ind w:left="720" w:hanging="720"/>
      </w:pPr>
      <w:rPr>
        <w:rFonts w:ascii="Times New Roman" w:hAnsi="Times New Roman" w:cs="Times New Roman"/>
        <w:i w:val="0"/>
        <w:sz w:val="20"/>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1">
    <w:nsid w:val="46962619"/>
    <w:multiLevelType w:val="hybridMultilevel"/>
    <w:tmpl w:val="99B64D2E"/>
    <w:lvl w:ilvl="0" w:tplc="1032AD5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043DBD"/>
    <w:multiLevelType w:val="multilevel"/>
    <w:tmpl w:val="28F0CA4A"/>
    <w:lvl w:ilvl="0">
      <w:start w:val="1"/>
      <w:numFmt w:val="decimal"/>
      <w:lvlText w:val="%1."/>
      <w:lvlJc w:val="left"/>
      <w:pPr>
        <w:ind w:left="1097" w:hanging="36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ADB0EA5"/>
    <w:multiLevelType w:val="hybridMultilevel"/>
    <w:tmpl w:val="9DCAE3F0"/>
    <w:lvl w:ilvl="0" w:tplc="A09282D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6C9B3201"/>
    <w:multiLevelType w:val="multilevel"/>
    <w:tmpl w:val="F6244E76"/>
    <w:lvl w:ilvl="0">
      <w:start w:val="1"/>
      <w:numFmt w:val="decimal"/>
      <w:lvlText w:val="%1."/>
      <w:lvlJc w:val="left"/>
      <w:pPr>
        <w:ind w:left="1097" w:hanging="36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30"/>
  </w:num>
  <w:num w:numId="17">
    <w:abstractNumId w:val="14"/>
  </w:num>
  <w:num w:numId="18">
    <w:abstractNumId w:val="29"/>
  </w:num>
  <w:num w:numId="19">
    <w:abstractNumId w:val="12"/>
  </w:num>
  <w:num w:numId="20">
    <w:abstractNumId w:val="19"/>
  </w:num>
  <w:num w:numId="21">
    <w:abstractNumId w:val="22"/>
  </w:num>
  <w:num w:numId="22">
    <w:abstractNumId w:val="18"/>
  </w:num>
  <w:num w:numId="23">
    <w:abstractNumId w:val="18"/>
  </w:num>
  <w:num w:numId="24">
    <w:abstractNumId w:val="24"/>
  </w:num>
  <w:num w:numId="25">
    <w:abstractNumId w:val="28"/>
  </w:num>
  <w:num w:numId="26">
    <w:abstractNumId w:val="27"/>
  </w:num>
  <w:num w:numId="27">
    <w:abstractNumId w:val="21"/>
  </w:num>
  <w:num w:numId="28">
    <w:abstractNumId w:val="10"/>
  </w:num>
  <w:num w:numId="29">
    <w:abstractNumId w:val="11"/>
  </w:num>
  <w:num w:numId="30">
    <w:abstractNumId w:val="17"/>
    <w:lvlOverride w:ilvl="0">
      <w:startOverride w:val="1"/>
    </w:lvlOverride>
  </w:num>
  <w:num w:numId="31">
    <w:abstractNumId w:val="15"/>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licant" w:val="Joel Beling"/>
    <w:docVar w:name="CounselParties" w:val="Applicant"/>
    <w:docVar w:name="CounselType" w:val="Solicitor for the "/>
    <w:docVar w:name="Division" w:val="GENERAL DIVISION"/>
    <w:docVar w:name="DocCreated" w:val="True"/>
    <w:docVar w:name="FileNumbers" w:val="VID 898 of 2008, VID 521 of 2014"/>
    <w:docVar w:name="FullCourt" w:val="True"/>
    <w:docVar w:name="HearingDate" w:val="21 May 2015"/>
    <w:docVar w:name="Judgdate" w:val="21 May 2015"/>
    <w:docVar w:name="Judge" w:val="Collier, Griffiths and Mortimer"/>
    <w:docVar w:name="JudgePlace" w:val="MELBOURNE"/>
    <w:docVar w:name="lstEntryList" w:val="-1"/>
    <w:docVar w:name="myEntryList" w:val="Counsel for the Applicant=|Solicitor for the Applicant=|Counsel for the Respondents=|Solicitor for the Respondents="/>
    <w:docVar w:name="NSD" w:val="NSD VID 898 of 2008|VID 521 of 2014"/>
    <w:docVar w:name="NumApps" w:val="2"/>
    <w:docVar w:name="NumApps_" w:val="1"/>
    <w:docVar w:name="NumJudges" w:val="Full Court"/>
    <w:docVar w:name="Parties" w:val="Respondent"/>
    <w:docVar w:name="Place_SentenceCase" w:val="Melbourne"/>
    <w:docVar w:name="Respondent" w:val="Sixty International S.A.|Norman Morcom"/>
    <w:docVar w:name="ResState" w:val="VICTORIA"/>
    <w:docVar w:name="Single" w:val="False"/>
  </w:docVars>
  <w:rsids>
    <w:rsidRoot w:val="00AD4B4A"/>
    <w:rsid w:val="000017CD"/>
    <w:rsid w:val="0000765D"/>
    <w:rsid w:val="0000781A"/>
    <w:rsid w:val="0001170E"/>
    <w:rsid w:val="0001203A"/>
    <w:rsid w:val="00016356"/>
    <w:rsid w:val="0002621C"/>
    <w:rsid w:val="0002741E"/>
    <w:rsid w:val="00032B8F"/>
    <w:rsid w:val="00035B5F"/>
    <w:rsid w:val="00036AE5"/>
    <w:rsid w:val="00042C23"/>
    <w:rsid w:val="0004612B"/>
    <w:rsid w:val="000502C3"/>
    <w:rsid w:val="00050826"/>
    <w:rsid w:val="00060074"/>
    <w:rsid w:val="000601F2"/>
    <w:rsid w:val="00063355"/>
    <w:rsid w:val="00065595"/>
    <w:rsid w:val="000663E4"/>
    <w:rsid w:val="000721FF"/>
    <w:rsid w:val="00072F9E"/>
    <w:rsid w:val="000735E6"/>
    <w:rsid w:val="000763D0"/>
    <w:rsid w:val="00077418"/>
    <w:rsid w:val="00082E1C"/>
    <w:rsid w:val="000854B7"/>
    <w:rsid w:val="000912CF"/>
    <w:rsid w:val="00097B22"/>
    <w:rsid w:val="000A0448"/>
    <w:rsid w:val="000A5134"/>
    <w:rsid w:val="000D0C0C"/>
    <w:rsid w:val="000D2137"/>
    <w:rsid w:val="000D3C44"/>
    <w:rsid w:val="000E3ED6"/>
    <w:rsid w:val="000E66F3"/>
    <w:rsid w:val="000E6FD1"/>
    <w:rsid w:val="000E735F"/>
    <w:rsid w:val="000F3641"/>
    <w:rsid w:val="000F4102"/>
    <w:rsid w:val="000F687A"/>
    <w:rsid w:val="000F6DFB"/>
    <w:rsid w:val="00105F1A"/>
    <w:rsid w:val="00112692"/>
    <w:rsid w:val="001128BD"/>
    <w:rsid w:val="001133ED"/>
    <w:rsid w:val="001165C2"/>
    <w:rsid w:val="00117F22"/>
    <w:rsid w:val="00117F5A"/>
    <w:rsid w:val="0012192A"/>
    <w:rsid w:val="00122305"/>
    <w:rsid w:val="0012539C"/>
    <w:rsid w:val="00130041"/>
    <w:rsid w:val="001340CE"/>
    <w:rsid w:val="001360A6"/>
    <w:rsid w:val="00144EFA"/>
    <w:rsid w:val="00153898"/>
    <w:rsid w:val="00154889"/>
    <w:rsid w:val="001566E1"/>
    <w:rsid w:val="00160069"/>
    <w:rsid w:val="0016117B"/>
    <w:rsid w:val="00164AAD"/>
    <w:rsid w:val="001670AD"/>
    <w:rsid w:val="00170AD8"/>
    <w:rsid w:val="001727A4"/>
    <w:rsid w:val="001738AB"/>
    <w:rsid w:val="00176280"/>
    <w:rsid w:val="0018028A"/>
    <w:rsid w:val="001835A0"/>
    <w:rsid w:val="00187BBC"/>
    <w:rsid w:val="001A249E"/>
    <w:rsid w:val="001A2F3A"/>
    <w:rsid w:val="001A54EC"/>
    <w:rsid w:val="001B0C2A"/>
    <w:rsid w:val="001B0FEF"/>
    <w:rsid w:val="001B14AC"/>
    <w:rsid w:val="001B7940"/>
    <w:rsid w:val="001C31BF"/>
    <w:rsid w:val="001C5404"/>
    <w:rsid w:val="001C6F86"/>
    <w:rsid w:val="001D1586"/>
    <w:rsid w:val="001D1AC1"/>
    <w:rsid w:val="001D2BAC"/>
    <w:rsid w:val="001D6389"/>
    <w:rsid w:val="001D7556"/>
    <w:rsid w:val="001E1109"/>
    <w:rsid w:val="001E1135"/>
    <w:rsid w:val="001E2B80"/>
    <w:rsid w:val="001E3B49"/>
    <w:rsid w:val="001E4BEA"/>
    <w:rsid w:val="001E7117"/>
    <w:rsid w:val="001E7388"/>
    <w:rsid w:val="001F0C0A"/>
    <w:rsid w:val="001F16BB"/>
    <w:rsid w:val="001F4256"/>
    <w:rsid w:val="001F741C"/>
    <w:rsid w:val="001F7ABA"/>
    <w:rsid w:val="0020324A"/>
    <w:rsid w:val="00203893"/>
    <w:rsid w:val="00217643"/>
    <w:rsid w:val="00230B18"/>
    <w:rsid w:val="00237326"/>
    <w:rsid w:val="002419A7"/>
    <w:rsid w:val="0024453A"/>
    <w:rsid w:val="00244CE4"/>
    <w:rsid w:val="002456FE"/>
    <w:rsid w:val="00246887"/>
    <w:rsid w:val="00246D67"/>
    <w:rsid w:val="00246DBE"/>
    <w:rsid w:val="00246F05"/>
    <w:rsid w:val="002535D0"/>
    <w:rsid w:val="002602C2"/>
    <w:rsid w:val="00262C01"/>
    <w:rsid w:val="00270AC6"/>
    <w:rsid w:val="00271ABD"/>
    <w:rsid w:val="00271D7A"/>
    <w:rsid w:val="002742BD"/>
    <w:rsid w:val="00274F5B"/>
    <w:rsid w:val="00280836"/>
    <w:rsid w:val="0028659C"/>
    <w:rsid w:val="002A1B50"/>
    <w:rsid w:val="002A5A2A"/>
    <w:rsid w:val="002A6DE7"/>
    <w:rsid w:val="002B0E91"/>
    <w:rsid w:val="002B1DD6"/>
    <w:rsid w:val="002B20C4"/>
    <w:rsid w:val="002B4B1B"/>
    <w:rsid w:val="002B57BF"/>
    <w:rsid w:val="002C0F8E"/>
    <w:rsid w:val="002C239E"/>
    <w:rsid w:val="002C31AD"/>
    <w:rsid w:val="002C37A9"/>
    <w:rsid w:val="002C448E"/>
    <w:rsid w:val="002C4772"/>
    <w:rsid w:val="002C4BCC"/>
    <w:rsid w:val="002C7385"/>
    <w:rsid w:val="002D2219"/>
    <w:rsid w:val="002D31F3"/>
    <w:rsid w:val="002D46B0"/>
    <w:rsid w:val="002E169A"/>
    <w:rsid w:val="002E5EEC"/>
    <w:rsid w:val="002F1E49"/>
    <w:rsid w:val="002F1F57"/>
    <w:rsid w:val="002F4718"/>
    <w:rsid w:val="002F4E9C"/>
    <w:rsid w:val="002F653D"/>
    <w:rsid w:val="00301756"/>
    <w:rsid w:val="003031DC"/>
    <w:rsid w:val="0030361A"/>
    <w:rsid w:val="003114BB"/>
    <w:rsid w:val="00311C70"/>
    <w:rsid w:val="00321CB0"/>
    <w:rsid w:val="00323833"/>
    <w:rsid w:val="00325C57"/>
    <w:rsid w:val="00331717"/>
    <w:rsid w:val="00331C21"/>
    <w:rsid w:val="00332CFA"/>
    <w:rsid w:val="00333606"/>
    <w:rsid w:val="00335D2E"/>
    <w:rsid w:val="00336242"/>
    <w:rsid w:val="00336570"/>
    <w:rsid w:val="00340839"/>
    <w:rsid w:val="003463FE"/>
    <w:rsid w:val="003558F1"/>
    <w:rsid w:val="00356632"/>
    <w:rsid w:val="00374630"/>
    <w:rsid w:val="003750B5"/>
    <w:rsid w:val="003800A7"/>
    <w:rsid w:val="003845A9"/>
    <w:rsid w:val="00386328"/>
    <w:rsid w:val="00390883"/>
    <w:rsid w:val="0039202C"/>
    <w:rsid w:val="00395B24"/>
    <w:rsid w:val="00397405"/>
    <w:rsid w:val="003A2D38"/>
    <w:rsid w:val="003A50B9"/>
    <w:rsid w:val="003B2C72"/>
    <w:rsid w:val="003B3D50"/>
    <w:rsid w:val="003B3D76"/>
    <w:rsid w:val="003B4D19"/>
    <w:rsid w:val="003B5139"/>
    <w:rsid w:val="003C0547"/>
    <w:rsid w:val="003C20FF"/>
    <w:rsid w:val="003C32D2"/>
    <w:rsid w:val="003D1C1D"/>
    <w:rsid w:val="003D517B"/>
    <w:rsid w:val="003D716F"/>
    <w:rsid w:val="003D7E76"/>
    <w:rsid w:val="003E0E35"/>
    <w:rsid w:val="003E3FBF"/>
    <w:rsid w:val="003F193E"/>
    <w:rsid w:val="004016B3"/>
    <w:rsid w:val="004073A1"/>
    <w:rsid w:val="00411E4C"/>
    <w:rsid w:val="004121C7"/>
    <w:rsid w:val="00414ACB"/>
    <w:rsid w:val="0041605C"/>
    <w:rsid w:val="00436593"/>
    <w:rsid w:val="004370BA"/>
    <w:rsid w:val="00441EA6"/>
    <w:rsid w:val="00452A32"/>
    <w:rsid w:val="0045633B"/>
    <w:rsid w:val="004626EC"/>
    <w:rsid w:val="00465143"/>
    <w:rsid w:val="00465CC1"/>
    <w:rsid w:val="00467039"/>
    <w:rsid w:val="00470981"/>
    <w:rsid w:val="00472027"/>
    <w:rsid w:val="00473F2B"/>
    <w:rsid w:val="00475731"/>
    <w:rsid w:val="00480326"/>
    <w:rsid w:val="004803A6"/>
    <w:rsid w:val="00483DEA"/>
    <w:rsid w:val="00484389"/>
    <w:rsid w:val="0049417F"/>
    <w:rsid w:val="004975FD"/>
    <w:rsid w:val="004976CC"/>
    <w:rsid w:val="004A0089"/>
    <w:rsid w:val="004A0ADA"/>
    <w:rsid w:val="004A112A"/>
    <w:rsid w:val="004A240B"/>
    <w:rsid w:val="004A42B1"/>
    <w:rsid w:val="004B1D05"/>
    <w:rsid w:val="004B3866"/>
    <w:rsid w:val="004B5B01"/>
    <w:rsid w:val="004C26E8"/>
    <w:rsid w:val="004C30BB"/>
    <w:rsid w:val="004C7DD8"/>
    <w:rsid w:val="004D53E5"/>
    <w:rsid w:val="004D5F12"/>
    <w:rsid w:val="004D66D2"/>
    <w:rsid w:val="004D7BA3"/>
    <w:rsid w:val="004E1597"/>
    <w:rsid w:val="004E1774"/>
    <w:rsid w:val="004E2BA7"/>
    <w:rsid w:val="004F0971"/>
    <w:rsid w:val="004F4B25"/>
    <w:rsid w:val="004F515E"/>
    <w:rsid w:val="004F5581"/>
    <w:rsid w:val="004F5AB5"/>
    <w:rsid w:val="004F5C6B"/>
    <w:rsid w:val="004F7842"/>
    <w:rsid w:val="00513135"/>
    <w:rsid w:val="00513296"/>
    <w:rsid w:val="0051346D"/>
    <w:rsid w:val="00513EAE"/>
    <w:rsid w:val="0051498A"/>
    <w:rsid w:val="00521A30"/>
    <w:rsid w:val="00523A01"/>
    <w:rsid w:val="005274E3"/>
    <w:rsid w:val="005318D1"/>
    <w:rsid w:val="00531B90"/>
    <w:rsid w:val="005359EB"/>
    <w:rsid w:val="00535A1A"/>
    <w:rsid w:val="005420FE"/>
    <w:rsid w:val="0054254A"/>
    <w:rsid w:val="00544542"/>
    <w:rsid w:val="005466B5"/>
    <w:rsid w:val="0055323D"/>
    <w:rsid w:val="00560613"/>
    <w:rsid w:val="00560C41"/>
    <w:rsid w:val="0057554C"/>
    <w:rsid w:val="005755CA"/>
    <w:rsid w:val="005819FF"/>
    <w:rsid w:val="005854C7"/>
    <w:rsid w:val="005930E0"/>
    <w:rsid w:val="005A15FB"/>
    <w:rsid w:val="005A4DF8"/>
    <w:rsid w:val="005B27C1"/>
    <w:rsid w:val="005B3B72"/>
    <w:rsid w:val="005B5A8A"/>
    <w:rsid w:val="005B674E"/>
    <w:rsid w:val="005B6F2A"/>
    <w:rsid w:val="005C1767"/>
    <w:rsid w:val="005C2609"/>
    <w:rsid w:val="005C42EF"/>
    <w:rsid w:val="005D3DC9"/>
    <w:rsid w:val="005D661D"/>
    <w:rsid w:val="005E0198"/>
    <w:rsid w:val="005E02F5"/>
    <w:rsid w:val="005E1490"/>
    <w:rsid w:val="005E176E"/>
    <w:rsid w:val="005E2034"/>
    <w:rsid w:val="005E35A0"/>
    <w:rsid w:val="005E5F67"/>
    <w:rsid w:val="005E64F0"/>
    <w:rsid w:val="005E7F7E"/>
    <w:rsid w:val="005F0505"/>
    <w:rsid w:val="005F0B94"/>
    <w:rsid w:val="005F5AE5"/>
    <w:rsid w:val="00601C06"/>
    <w:rsid w:val="00602279"/>
    <w:rsid w:val="006044A5"/>
    <w:rsid w:val="0060778D"/>
    <w:rsid w:val="00607B0E"/>
    <w:rsid w:val="00610104"/>
    <w:rsid w:val="006137DF"/>
    <w:rsid w:val="00613D4B"/>
    <w:rsid w:val="00616970"/>
    <w:rsid w:val="00624520"/>
    <w:rsid w:val="0062469B"/>
    <w:rsid w:val="00625705"/>
    <w:rsid w:val="00626A08"/>
    <w:rsid w:val="0063205F"/>
    <w:rsid w:val="00636871"/>
    <w:rsid w:val="00643324"/>
    <w:rsid w:val="00643DE0"/>
    <w:rsid w:val="00644E85"/>
    <w:rsid w:val="006475B9"/>
    <w:rsid w:val="00647673"/>
    <w:rsid w:val="0065573C"/>
    <w:rsid w:val="00661A80"/>
    <w:rsid w:val="00662BB0"/>
    <w:rsid w:val="006644F6"/>
    <w:rsid w:val="00674264"/>
    <w:rsid w:val="00676412"/>
    <w:rsid w:val="00683E70"/>
    <w:rsid w:val="00684182"/>
    <w:rsid w:val="006A5695"/>
    <w:rsid w:val="006B3753"/>
    <w:rsid w:val="006B3904"/>
    <w:rsid w:val="006B5B7D"/>
    <w:rsid w:val="006C08C8"/>
    <w:rsid w:val="006C5555"/>
    <w:rsid w:val="006D0ECF"/>
    <w:rsid w:val="006D420D"/>
    <w:rsid w:val="006E40E1"/>
    <w:rsid w:val="006E458A"/>
    <w:rsid w:val="006F0837"/>
    <w:rsid w:val="006F2917"/>
    <w:rsid w:val="006F6363"/>
    <w:rsid w:val="006F7F24"/>
    <w:rsid w:val="00707218"/>
    <w:rsid w:val="00707E8A"/>
    <w:rsid w:val="00710AF7"/>
    <w:rsid w:val="00712B1D"/>
    <w:rsid w:val="00714B98"/>
    <w:rsid w:val="00722204"/>
    <w:rsid w:val="007325D9"/>
    <w:rsid w:val="00734610"/>
    <w:rsid w:val="007363BC"/>
    <w:rsid w:val="00746390"/>
    <w:rsid w:val="00747724"/>
    <w:rsid w:val="00753D25"/>
    <w:rsid w:val="0075484B"/>
    <w:rsid w:val="007569F6"/>
    <w:rsid w:val="00763D52"/>
    <w:rsid w:val="007646CC"/>
    <w:rsid w:val="00772496"/>
    <w:rsid w:val="00782BAF"/>
    <w:rsid w:val="00782EA4"/>
    <w:rsid w:val="00783DD6"/>
    <w:rsid w:val="00783E75"/>
    <w:rsid w:val="007879CF"/>
    <w:rsid w:val="007929CF"/>
    <w:rsid w:val="00793896"/>
    <w:rsid w:val="007943AB"/>
    <w:rsid w:val="007A0773"/>
    <w:rsid w:val="007A3CD0"/>
    <w:rsid w:val="007B22CA"/>
    <w:rsid w:val="007B2EA7"/>
    <w:rsid w:val="007B6786"/>
    <w:rsid w:val="007C2874"/>
    <w:rsid w:val="007D1C8B"/>
    <w:rsid w:val="007D561F"/>
    <w:rsid w:val="007E1060"/>
    <w:rsid w:val="007E64D1"/>
    <w:rsid w:val="007F2415"/>
    <w:rsid w:val="00801CF5"/>
    <w:rsid w:val="00802710"/>
    <w:rsid w:val="008044AC"/>
    <w:rsid w:val="008054D8"/>
    <w:rsid w:val="00805B13"/>
    <w:rsid w:val="008103C9"/>
    <w:rsid w:val="008127E5"/>
    <w:rsid w:val="00822CFB"/>
    <w:rsid w:val="00825E35"/>
    <w:rsid w:val="008266B7"/>
    <w:rsid w:val="00831927"/>
    <w:rsid w:val="0083597B"/>
    <w:rsid w:val="00836168"/>
    <w:rsid w:val="0083623F"/>
    <w:rsid w:val="0084273D"/>
    <w:rsid w:val="00843727"/>
    <w:rsid w:val="00845A83"/>
    <w:rsid w:val="008464F4"/>
    <w:rsid w:val="008472D6"/>
    <w:rsid w:val="0085689B"/>
    <w:rsid w:val="008644D6"/>
    <w:rsid w:val="00873250"/>
    <w:rsid w:val="00875797"/>
    <w:rsid w:val="008853F6"/>
    <w:rsid w:val="00890917"/>
    <w:rsid w:val="00894082"/>
    <w:rsid w:val="008953E1"/>
    <w:rsid w:val="008A167A"/>
    <w:rsid w:val="008A776D"/>
    <w:rsid w:val="008B2BFB"/>
    <w:rsid w:val="008C004C"/>
    <w:rsid w:val="008C0209"/>
    <w:rsid w:val="008C6D50"/>
    <w:rsid w:val="008D55E6"/>
    <w:rsid w:val="008D673D"/>
    <w:rsid w:val="008D7257"/>
    <w:rsid w:val="008E6315"/>
    <w:rsid w:val="008F0C37"/>
    <w:rsid w:val="008F1C95"/>
    <w:rsid w:val="008F7764"/>
    <w:rsid w:val="009036B2"/>
    <w:rsid w:val="009040C4"/>
    <w:rsid w:val="009054CB"/>
    <w:rsid w:val="00906161"/>
    <w:rsid w:val="009063F9"/>
    <w:rsid w:val="009126E7"/>
    <w:rsid w:val="00920F6E"/>
    <w:rsid w:val="0093385D"/>
    <w:rsid w:val="009343C6"/>
    <w:rsid w:val="009420B6"/>
    <w:rsid w:val="009435B1"/>
    <w:rsid w:val="00946C12"/>
    <w:rsid w:val="009510C0"/>
    <w:rsid w:val="00957DEB"/>
    <w:rsid w:val="00962390"/>
    <w:rsid w:val="00963E16"/>
    <w:rsid w:val="00964F48"/>
    <w:rsid w:val="00964F7F"/>
    <w:rsid w:val="009653A9"/>
    <w:rsid w:val="00965C7A"/>
    <w:rsid w:val="00967091"/>
    <w:rsid w:val="00967855"/>
    <w:rsid w:val="00974A7F"/>
    <w:rsid w:val="009761C6"/>
    <w:rsid w:val="00980736"/>
    <w:rsid w:val="009824D4"/>
    <w:rsid w:val="00985235"/>
    <w:rsid w:val="00986792"/>
    <w:rsid w:val="00986FE5"/>
    <w:rsid w:val="00990CB2"/>
    <w:rsid w:val="009918B6"/>
    <w:rsid w:val="00993BC5"/>
    <w:rsid w:val="009A4388"/>
    <w:rsid w:val="009A4BC7"/>
    <w:rsid w:val="009A6C25"/>
    <w:rsid w:val="009A7347"/>
    <w:rsid w:val="009B0BA3"/>
    <w:rsid w:val="009B13FA"/>
    <w:rsid w:val="009B1E2D"/>
    <w:rsid w:val="009B2E79"/>
    <w:rsid w:val="009B51CE"/>
    <w:rsid w:val="009C13D3"/>
    <w:rsid w:val="009D4CAD"/>
    <w:rsid w:val="009E2233"/>
    <w:rsid w:val="009E3AE2"/>
    <w:rsid w:val="009E4FA6"/>
    <w:rsid w:val="009E6619"/>
    <w:rsid w:val="009E7D93"/>
    <w:rsid w:val="009F16D9"/>
    <w:rsid w:val="009F4500"/>
    <w:rsid w:val="009F4FEB"/>
    <w:rsid w:val="009F584B"/>
    <w:rsid w:val="009F6862"/>
    <w:rsid w:val="009F7526"/>
    <w:rsid w:val="009F7CE2"/>
    <w:rsid w:val="00A0198F"/>
    <w:rsid w:val="00A02B30"/>
    <w:rsid w:val="00A03EAC"/>
    <w:rsid w:val="00A11CA6"/>
    <w:rsid w:val="00A20C49"/>
    <w:rsid w:val="00A22C76"/>
    <w:rsid w:val="00A25420"/>
    <w:rsid w:val="00A33FF5"/>
    <w:rsid w:val="00A359AC"/>
    <w:rsid w:val="00A3696E"/>
    <w:rsid w:val="00A372D4"/>
    <w:rsid w:val="00A37380"/>
    <w:rsid w:val="00A42D6E"/>
    <w:rsid w:val="00A43C5F"/>
    <w:rsid w:val="00A43E3E"/>
    <w:rsid w:val="00A447FC"/>
    <w:rsid w:val="00A47C2D"/>
    <w:rsid w:val="00A47F08"/>
    <w:rsid w:val="00A5028B"/>
    <w:rsid w:val="00A50A81"/>
    <w:rsid w:val="00A54D2B"/>
    <w:rsid w:val="00A54D94"/>
    <w:rsid w:val="00A54E7E"/>
    <w:rsid w:val="00A57FFE"/>
    <w:rsid w:val="00A61BBC"/>
    <w:rsid w:val="00A64706"/>
    <w:rsid w:val="00A7060E"/>
    <w:rsid w:val="00A750B8"/>
    <w:rsid w:val="00A76EFD"/>
    <w:rsid w:val="00A8420D"/>
    <w:rsid w:val="00A907E6"/>
    <w:rsid w:val="00A92609"/>
    <w:rsid w:val="00A92D63"/>
    <w:rsid w:val="00A93E32"/>
    <w:rsid w:val="00A950B6"/>
    <w:rsid w:val="00AA36B5"/>
    <w:rsid w:val="00AA4206"/>
    <w:rsid w:val="00AB41C1"/>
    <w:rsid w:val="00AB5061"/>
    <w:rsid w:val="00AB5E2A"/>
    <w:rsid w:val="00AC03E4"/>
    <w:rsid w:val="00AC1DB3"/>
    <w:rsid w:val="00AC28B0"/>
    <w:rsid w:val="00AD03B7"/>
    <w:rsid w:val="00AD4B4A"/>
    <w:rsid w:val="00AD7079"/>
    <w:rsid w:val="00AE2142"/>
    <w:rsid w:val="00AE52D9"/>
    <w:rsid w:val="00AE6F84"/>
    <w:rsid w:val="00AE7E71"/>
    <w:rsid w:val="00AE7FEF"/>
    <w:rsid w:val="00AF7140"/>
    <w:rsid w:val="00AF7D7F"/>
    <w:rsid w:val="00B021D5"/>
    <w:rsid w:val="00B068C4"/>
    <w:rsid w:val="00B13D33"/>
    <w:rsid w:val="00B21B59"/>
    <w:rsid w:val="00B27C2F"/>
    <w:rsid w:val="00B30ACA"/>
    <w:rsid w:val="00B320C6"/>
    <w:rsid w:val="00B321B1"/>
    <w:rsid w:val="00B44B61"/>
    <w:rsid w:val="00B46153"/>
    <w:rsid w:val="00B546A2"/>
    <w:rsid w:val="00B54751"/>
    <w:rsid w:val="00B56A6D"/>
    <w:rsid w:val="00B56BD5"/>
    <w:rsid w:val="00B620BA"/>
    <w:rsid w:val="00B652CA"/>
    <w:rsid w:val="00B849AF"/>
    <w:rsid w:val="00B87075"/>
    <w:rsid w:val="00BA3DBC"/>
    <w:rsid w:val="00BA74FF"/>
    <w:rsid w:val="00BA7B40"/>
    <w:rsid w:val="00BB0F66"/>
    <w:rsid w:val="00BB2DA2"/>
    <w:rsid w:val="00BB4F69"/>
    <w:rsid w:val="00BB4F95"/>
    <w:rsid w:val="00BB56DC"/>
    <w:rsid w:val="00BB589D"/>
    <w:rsid w:val="00BC0866"/>
    <w:rsid w:val="00BC2B46"/>
    <w:rsid w:val="00BC34FE"/>
    <w:rsid w:val="00BC3AED"/>
    <w:rsid w:val="00BD0DE1"/>
    <w:rsid w:val="00BD29C5"/>
    <w:rsid w:val="00BD3081"/>
    <w:rsid w:val="00BD3F75"/>
    <w:rsid w:val="00BD4246"/>
    <w:rsid w:val="00BD52AC"/>
    <w:rsid w:val="00BD793D"/>
    <w:rsid w:val="00BE0448"/>
    <w:rsid w:val="00BE12DB"/>
    <w:rsid w:val="00BE6430"/>
    <w:rsid w:val="00BF097A"/>
    <w:rsid w:val="00BF1FB2"/>
    <w:rsid w:val="00BF7850"/>
    <w:rsid w:val="00BF7C63"/>
    <w:rsid w:val="00C04781"/>
    <w:rsid w:val="00C05C2F"/>
    <w:rsid w:val="00C24C37"/>
    <w:rsid w:val="00C25572"/>
    <w:rsid w:val="00C26CE3"/>
    <w:rsid w:val="00C32BEE"/>
    <w:rsid w:val="00C351E3"/>
    <w:rsid w:val="00C36442"/>
    <w:rsid w:val="00C440EE"/>
    <w:rsid w:val="00C5249A"/>
    <w:rsid w:val="00C56985"/>
    <w:rsid w:val="00C577A9"/>
    <w:rsid w:val="00C631BE"/>
    <w:rsid w:val="00C665F1"/>
    <w:rsid w:val="00C74371"/>
    <w:rsid w:val="00C74D4D"/>
    <w:rsid w:val="00C755EB"/>
    <w:rsid w:val="00C81A3D"/>
    <w:rsid w:val="00C82AF5"/>
    <w:rsid w:val="00C9688E"/>
    <w:rsid w:val="00CA4C7F"/>
    <w:rsid w:val="00CB6B02"/>
    <w:rsid w:val="00CB6DE2"/>
    <w:rsid w:val="00CC59E2"/>
    <w:rsid w:val="00CE1AE9"/>
    <w:rsid w:val="00CE1D66"/>
    <w:rsid w:val="00CE2B39"/>
    <w:rsid w:val="00CF524E"/>
    <w:rsid w:val="00CF56EB"/>
    <w:rsid w:val="00D01EBA"/>
    <w:rsid w:val="00D10AF8"/>
    <w:rsid w:val="00D10F21"/>
    <w:rsid w:val="00D17072"/>
    <w:rsid w:val="00D20F63"/>
    <w:rsid w:val="00D31A12"/>
    <w:rsid w:val="00D33510"/>
    <w:rsid w:val="00D375EE"/>
    <w:rsid w:val="00D446D3"/>
    <w:rsid w:val="00D45FF9"/>
    <w:rsid w:val="00D501A5"/>
    <w:rsid w:val="00D55F27"/>
    <w:rsid w:val="00D56F23"/>
    <w:rsid w:val="00D63B42"/>
    <w:rsid w:val="00D66D56"/>
    <w:rsid w:val="00D677A1"/>
    <w:rsid w:val="00D71774"/>
    <w:rsid w:val="00D718D9"/>
    <w:rsid w:val="00D73883"/>
    <w:rsid w:val="00D75E1F"/>
    <w:rsid w:val="00D837E2"/>
    <w:rsid w:val="00D841D9"/>
    <w:rsid w:val="00D86A4F"/>
    <w:rsid w:val="00D95895"/>
    <w:rsid w:val="00D9725F"/>
    <w:rsid w:val="00DA143E"/>
    <w:rsid w:val="00DA14ED"/>
    <w:rsid w:val="00DA329B"/>
    <w:rsid w:val="00DA6012"/>
    <w:rsid w:val="00DB2BE5"/>
    <w:rsid w:val="00DB3DE1"/>
    <w:rsid w:val="00DB4E7A"/>
    <w:rsid w:val="00DB716C"/>
    <w:rsid w:val="00DC77F3"/>
    <w:rsid w:val="00DD1DEB"/>
    <w:rsid w:val="00DD4236"/>
    <w:rsid w:val="00DD59A7"/>
    <w:rsid w:val="00DE11E6"/>
    <w:rsid w:val="00DE3F62"/>
    <w:rsid w:val="00DE401B"/>
    <w:rsid w:val="00DE4C7B"/>
    <w:rsid w:val="00DE62F2"/>
    <w:rsid w:val="00DE6A7D"/>
    <w:rsid w:val="00DE796E"/>
    <w:rsid w:val="00DF3313"/>
    <w:rsid w:val="00E027BC"/>
    <w:rsid w:val="00E11C9E"/>
    <w:rsid w:val="00E12EB6"/>
    <w:rsid w:val="00E14EA5"/>
    <w:rsid w:val="00E23F0F"/>
    <w:rsid w:val="00E27F4D"/>
    <w:rsid w:val="00E32633"/>
    <w:rsid w:val="00E33373"/>
    <w:rsid w:val="00E34191"/>
    <w:rsid w:val="00E35BF0"/>
    <w:rsid w:val="00E40FBD"/>
    <w:rsid w:val="00E411CF"/>
    <w:rsid w:val="00E43F83"/>
    <w:rsid w:val="00E4587C"/>
    <w:rsid w:val="00E475C6"/>
    <w:rsid w:val="00E47C18"/>
    <w:rsid w:val="00E552EA"/>
    <w:rsid w:val="00E56D53"/>
    <w:rsid w:val="00E634C2"/>
    <w:rsid w:val="00E700F2"/>
    <w:rsid w:val="00E7020E"/>
    <w:rsid w:val="00E72EFD"/>
    <w:rsid w:val="00E73EA5"/>
    <w:rsid w:val="00E76163"/>
    <w:rsid w:val="00E76E45"/>
    <w:rsid w:val="00E8148E"/>
    <w:rsid w:val="00E83AA8"/>
    <w:rsid w:val="00E83F35"/>
    <w:rsid w:val="00E853F1"/>
    <w:rsid w:val="00E85F90"/>
    <w:rsid w:val="00E86FED"/>
    <w:rsid w:val="00E948FC"/>
    <w:rsid w:val="00EA3034"/>
    <w:rsid w:val="00EA4E2E"/>
    <w:rsid w:val="00EB2CCB"/>
    <w:rsid w:val="00EB4AA6"/>
    <w:rsid w:val="00EC3303"/>
    <w:rsid w:val="00EC3C0D"/>
    <w:rsid w:val="00EC5345"/>
    <w:rsid w:val="00EC71A3"/>
    <w:rsid w:val="00ED1DBC"/>
    <w:rsid w:val="00ED4614"/>
    <w:rsid w:val="00ED7DD9"/>
    <w:rsid w:val="00EE3FD6"/>
    <w:rsid w:val="00EE6E2D"/>
    <w:rsid w:val="00EF3113"/>
    <w:rsid w:val="00EF3F84"/>
    <w:rsid w:val="00EF7714"/>
    <w:rsid w:val="00F02502"/>
    <w:rsid w:val="00F176AC"/>
    <w:rsid w:val="00F20371"/>
    <w:rsid w:val="00F22274"/>
    <w:rsid w:val="00F2536D"/>
    <w:rsid w:val="00F27714"/>
    <w:rsid w:val="00F30D07"/>
    <w:rsid w:val="00F33550"/>
    <w:rsid w:val="00F40BB1"/>
    <w:rsid w:val="00F45D80"/>
    <w:rsid w:val="00F50E34"/>
    <w:rsid w:val="00F51892"/>
    <w:rsid w:val="00F53E70"/>
    <w:rsid w:val="00F600FF"/>
    <w:rsid w:val="00F63774"/>
    <w:rsid w:val="00F6427B"/>
    <w:rsid w:val="00F65D5A"/>
    <w:rsid w:val="00F7387D"/>
    <w:rsid w:val="00F77D03"/>
    <w:rsid w:val="00F80B4D"/>
    <w:rsid w:val="00F8755A"/>
    <w:rsid w:val="00F93201"/>
    <w:rsid w:val="00F96705"/>
    <w:rsid w:val="00F96A55"/>
    <w:rsid w:val="00FA67A4"/>
    <w:rsid w:val="00FA7680"/>
    <w:rsid w:val="00FB099A"/>
    <w:rsid w:val="00FB12D1"/>
    <w:rsid w:val="00FB3351"/>
    <w:rsid w:val="00FB3477"/>
    <w:rsid w:val="00FB3D59"/>
    <w:rsid w:val="00FC588F"/>
    <w:rsid w:val="00FC5D88"/>
    <w:rsid w:val="00FD42DF"/>
    <w:rsid w:val="00FD7906"/>
    <w:rsid w:val="00FE1B30"/>
    <w:rsid w:val="00FE4CF0"/>
    <w:rsid w:val="00FE683A"/>
    <w:rsid w:val="00FE7B44"/>
    <w:rsid w:val="00FF1F2C"/>
    <w:rsid w:val="00FF5C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8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Bullet" w:uiPriority="99"/>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Revision">
    <w:name w:val="Revision"/>
    <w:hidden/>
    <w:uiPriority w:val="99"/>
    <w:semiHidden/>
    <w:rsid w:val="0012539C"/>
    <w:rPr>
      <w:sz w:val="24"/>
      <w:lang w:eastAsia="en-US"/>
    </w:rPr>
  </w:style>
  <w:style w:type="paragraph" w:styleId="ListParagraph">
    <w:name w:val="List Paragraph"/>
    <w:basedOn w:val="Normal"/>
    <w:uiPriority w:val="34"/>
    <w:qFormat/>
    <w:rsid w:val="00C82AF5"/>
    <w:pPr>
      <w:ind w:left="720"/>
      <w:contextualSpacing/>
    </w:pPr>
  </w:style>
  <w:style w:type="character" w:customStyle="1" w:styleId="BodyTextChar">
    <w:name w:val="Body Text Char"/>
    <w:basedOn w:val="DefaultParagraphFont"/>
    <w:link w:val="BodyText"/>
    <w:rsid w:val="00560C41"/>
    <w:rPr>
      <w:sz w:val="24"/>
      <w:lang w:eastAsia="en-US"/>
    </w:rPr>
  </w:style>
  <w:style w:type="character" w:customStyle="1" w:styleId="Heading4Char">
    <w:name w:val="Heading 4 Char"/>
    <w:basedOn w:val="DefaultParagraphFont"/>
    <w:link w:val="Heading4"/>
    <w:locked/>
    <w:rsid w:val="00097B22"/>
    <w:rPr>
      <w:b/>
      <w:small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Bullet" w:uiPriority="99"/>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Revision">
    <w:name w:val="Revision"/>
    <w:hidden/>
    <w:uiPriority w:val="99"/>
    <w:semiHidden/>
    <w:rsid w:val="0012539C"/>
    <w:rPr>
      <w:sz w:val="24"/>
      <w:lang w:eastAsia="en-US"/>
    </w:rPr>
  </w:style>
  <w:style w:type="paragraph" w:styleId="ListParagraph">
    <w:name w:val="List Paragraph"/>
    <w:basedOn w:val="Normal"/>
    <w:uiPriority w:val="34"/>
    <w:qFormat/>
    <w:rsid w:val="00C82AF5"/>
    <w:pPr>
      <w:ind w:left="720"/>
      <w:contextualSpacing/>
    </w:pPr>
  </w:style>
  <w:style w:type="character" w:customStyle="1" w:styleId="BodyTextChar">
    <w:name w:val="Body Text Char"/>
    <w:basedOn w:val="DefaultParagraphFont"/>
    <w:link w:val="BodyText"/>
    <w:rsid w:val="00560C41"/>
    <w:rPr>
      <w:sz w:val="24"/>
      <w:lang w:eastAsia="en-US"/>
    </w:rPr>
  </w:style>
  <w:style w:type="character" w:customStyle="1" w:styleId="Heading4Char">
    <w:name w:val="Heading 4 Char"/>
    <w:basedOn w:val="DefaultParagraphFont"/>
    <w:link w:val="Heading4"/>
    <w:locked/>
    <w:rsid w:val="00097B22"/>
    <w:rPr>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086B-08D1-470A-93B5-4A8F0025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22</Pages>
  <Words>8101</Words>
  <Characters>40417</Characters>
  <Application>Microsoft Office Word</Application>
  <DocSecurity>0</DocSecurity>
  <Lines>8083</Lines>
  <Paragraphs>3732</Paragraphs>
  <ScaleCrop>false</ScaleCrop>
  <HeadingPairs>
    <vt:vector size="2" baseType="variant">
      <vt:variant>
        <vt:lpstr>Title</vt:lpstr>
      </vt:variant>
      <vt:variant>
        <vt:i4>1</vt:i4>
      </vt:variant>
    </vt:vector>
  </HeadingPairs>
  <TitlesOfParts>
    <vt:vector size="1" baseType="lpstr">
      <vt:lpstr>Luck v Chief Executive Officer of Centrelink [2015] FCAFC 75</vt:lpstr>
    </vt:vector>
  </TitlesOfParts>
  <Company>Federal Court of Australia</Company>
  <LinksUpToDate>false</LinksUpToDate>
  <CharactersWithSpaces>44786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v Chief Executive Officer of Centrelink [2015] FCAFC 75</dc:title>
  <dc:creator>Elisha Crameri</dc:creator>
  <cp:lastModifiedBy>Anna Masters</cp:lastModifiedBy>
  <cp:revision>5</cp:revision>
  <cp:lastPrinted>2015-06-01T02:08:00Z</cp:lastPrinted>
  <dcterms:created xsi:type="dcterms:W3CDTF">2015-06-02T05:53:00Z</dcterms:created>
  <dcterms:modified xsi:type="dcterms:W3CDTF">2015-06-02T23:56:00Z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21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898 of 2008</vt:lpwstr>
  </property>
  <property fmtid="{D5CDD505-2E9C-101B-9397-08002B2CF9AE}" pid="8" name="Pages">
    <vt:lpwstr>23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