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974D3">
      <w:pPr>
        <w:pStyle w:val="MediaNeutralStyle"/>
      </w:pPr>
      <w:bookmarkStart w:id="0" w:name="MNC"/>
      <w:r>
        <w:t xml:space="preserve">SMD Drainage Pty Ltd v Berkley Insurance Company [2018] FCA </w:t>
      </w:r>
      <w:r w:rsidR="007A620A" w:rsidRPr="007A620A">
        <w:t>380</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65007">
        <w:tc>
          <w:tcPr>
            <w:tcW w:w="3085" w:type="dxa"/>
            <w:shd w:val="clear" w:color="auto" w:fill="auto"/>
          </w:tcPr>
          <w:p w:rsidR="00395B24" w:rsidRDefault="003F483B" w:rsidP="00663878">
            <w:pPr>
              <w:pStyle w:val="Normal1linespace"/>
              <w:widowControl w:val="0"/>
              <w:jc w:val="left"/>
            </w:pPr>
            <w:r>
              <w:t>File number</w:t>
            </w:r>
            <w:r w:rsidR="002C7385">
              <w:t>:</w:t>
            </w:r>
          </w:p>
        </w:tc>
        <w:tc>
          <w:tcPr>
            <w:tcW w:w="5989" w:type="dxa"/>
            <w:shd w:val="clear" w:color="auto" w:fill="auto"/>
          </w:tcPr>
          <w:p w:rsidR="00395B24" w:rsidRPr="00E974D3" w:rsidRDefault="000874F5" w:rsidP="00E974D3">
            <w:pPr>
              <w:pStyle w:val="Normal1linespace"/>
              <w:jc w:val="left"/>
            </w:pPr>
            <w:fldSimple w:instr=" REF  FileNo  \* MERGEFORMAT " w:fldLock="1">
              <w:r w:rsidR="00E974D3" w:rsidRPr="00E974D3">
                <w:t>VID 1130 of 2017</w:t>
              </w:r>
            </w:fldSimple>
          </w:p>
        </w:tc>
      </w:tr>
      <w:tr w:rsidR="00395B24" w:rsidTr="0096500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5007">
        <w:tc>
          <w:tcPr>
            <w:tcW w:w="3085" w:type="dxa"/>
            <w:shd w:val="clear" w:color="auto" w:fill="auto"/>
          </w:tcPr>
          <w:p w:rsidR="00395B24" w:rsidRDefault="003F483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974D3">
              <w:rPr>
                <w:b/>
              </w:rPr>
              <w:fldChar w:fldCharType="begin" w:fldLock="1"/>
            </w:r>
            <w:r w:rsidRPr="00E974D3">
              <w:rPr>
                <w:b/>
              </w:rPr>
              <w:instrText xml:space="preserve"> REF  Judge  \* MERGEFORMAT </w:instrText>
            </w:r>
            <w:r w:rsidRPr="00E974D3">
              <w:rPr>
                <w:b/>
              </w:rPr>
              <w:fldChar w:fldCharType="separate"/>
            </w:r>
            <w:r w:rsidR="00E974D3" w:rsidRPr="00E974D3">
              <w:rPr>
                <w:b/>
                <w:caps/>
                <w:szCs w:val="24"/>
              </w:rPr>
              <w:t xml:space="preserve">ALLSOP </w:t>
            </w:r>
            <w:r w:rsidR="00E974D3">
              <w:rPr>
                <w:b/>
                <w:caps/>
                <w:szCs w:val="24"/>
              </w:rPr>
              <w:t>C</w:t>
            </w:r>
            <w:r w:rsidR="00E974D3" w:rsidRPr="00E974D3">
              <w:rPr>
                <w:b/>
                <w:caps/>
                <w:szCs w:val="24"/>
              </w:rPr>
              <w:t>J</w:t>
            </w:r>
            <w:r w:rsidRPr="00E974D3">
              <w:rPr>
                <w:b/>
              </w:rPr>
              <w:fldChar w:fldCharType="end"/>
            </w:r>
          </w:p>
        </w:tc>
      </w:tr>
      <w:tr w:rsidR="00395B24" w:rsidTr="0096500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500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974D3" w:rsidP="00663878">
            <w:pPr>
              <w:pStyle w:val="Normal1linespace"/>
              <w:widowControl w:val="0"/>
              <w:jc w:val="left"/>
            </w:pPr>
            <w:bookmarkStart w:id="1" w:name="JudgmentDate"/>
            <w:r>
              <w:t>20 March 2018</w:t>
            </w:r>
            <w:bookmarkEnd w:id="1"/>
          </w:p>
        </w:tc>
      </w:tr>
      <w:tr w:rsidR="00395B24" w:rsidTr="0096500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500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F483B" w:rsidRDefault="00965007" w:rsidP="000874F5">
            <w:pPr>
              <w:pStyle w:val="Normal1linespace"/>
              <w:widowControl w:val="0"/>
              <w:jc w:val="left"/>
            </w:pPr>
            <w:bookmarkStart w:id="2" w:name="Catchwords"/>
            <w:r w:rsidRPr="003F483B">
              <w:rPr>
                <w:b/>
              </w:rPr>
              <w:t>INSURANCE</w:t>
            </w:r>
            <w:r>
              <w:t xml:space="preserve"> – joinder</w:t>
            </w:r>
            <w:r w:rsidR="00AB6500">
              <w:t xml:space="preserve"> of additional applicant and respondent</w:t>
            </w:r>
            <w:r>
              <w:t xml:space="preserve"> – referee for quantum issues</w:t>
            </w:r>
            <w:bookmarkEnd w:id="2"/>
          </w:p>
        </w:tc>
      </w:tr>
      <w:tr w:rsidR="000874F5" w:rsidTr="00965007">
        <w:tc>
          <w:tcPr>
            <w:tcW w:w="3085" w:type="dxa"/>
            <w:shd w:val="clear" w:color="auto" w:fill="auto"/>
          </w:tcPr>
          <w:p w:rsidR="000874F5" w:rsidRDefault="000874F5" w:rsidP="00663878">
            <w:pPr>
              <w:pStyle w:val="Normal1linespace"/>
              <w:widowControl w:val="0"/>
              <w:jc w:val="left"/>
            </w:pPr>
          </w:p>
        </w:tc>
        <w:tc>
          <w:tcPr>
            <w:tcW w:w="5989" w:type="dxa"/>
            <w:shd w:val="clear" w:color="auto" w:fill="auto"/>
          </w:tcPr>
          <w:p w:rsidR="000874F5" w:rsidRPr="003F483B" w:rsidRDefault="000874F5" w:rsidP="000874F5">
            <w:pPr>
              <w:pStyle w:val="Normal1linespace"/>
              <w:widowControl w:val="0"/>
              <w:jc w:val="left"/>
              <w:rPr>
                <w:b/>
              </w:rPr>
            </w:pPr>
          </w:p>
        </w:tc>
      </w:tr>
      <w:tr w:rsidR="00965007" w:rsidRPr="00965007" w:rsidTr="00965007">
        <w:tc>
          <w:tcPr>
            <w:tcW w:w="3085" w:type="dxa"/>
            <w:shd w:val="clear" w:color="auto" w:fill="auto"/>
          </w:tcPr>
          <w:p w:rsidR="003F483B" w:rsidRPr="00965007" w:rsidRDefault="003F483B" w:rsidP="000874F5">
            <w:pPr>
              <w:pStyle w:val="Normal1linespace"/>
              <w:jc w:val="left"/>
            </w:pPr>
            <w:bookmarkStart w:id="3" w:name="CounselTable"/>
            <w:r>
              <w:t>Cases cited:</w:t>
            </w:r>
          </w:p>
        </w:tc>
        <w:tc>
          <w:tcPr>
            <w:tcW w:w="5989" w:type="dxa"/>
            <w:shd w:val="clear" w:color="auto" w:fill="auto"/>
          </w:tcPr>
          <w:p w:rsidR="003F483B" w:rsidRPr="003F483B" w:rsidRDefault="003F483B" w:rsidP="000874F5">
            <w:pPr>
              <w:pStyle w:val="Normal1linespace"/>
              <w:jc w:val="left"/>
              <w:rPr>
                <w:i/>
              </w:rPr>
            </w:pPr>
            <w:r w:rsidRPr="003F483B">
              <w:rPr>
                <w:i/>
              </w:rPr>
              <w:t xml:space="preserve">Sheehan v Lloyds Names Munich Re Syndicate Ltd </w:t>
            </w:r>
            <w:r w:rsidRPr="003F483B">
              <w:t>[2017] FCA 1340</w:t>
            </w:r>
          </w:p>
        </w:tc>
      </w:tr>
      <w:tr w:rsidR="000874F5" w:rsidRPr="00965007" w:rsidTr="00965007">
        <w:tc>
          <w:tcPr>
            <w:tcW w:w="3085" w:type="dxa"/>
            <w:shd w:val="clear" w:color="auto" w:fill="auto"/>
          </w:tcPr>
          <w:p w:rsidR="000874F5" w:rsidRDefault="000874F5" w:rsidP="000874F5">
            <w:pPr>
              <w:pStyle w:val="Normal1linespace"/>
              <w:jc w:val="left"/>
            </w:pPr>
          </w:p>
        </w:tc>
        <w:tc>
          <w:tcPr>
            <w:tcW w:w="5989" w:type="dxa"/>
            <w:shd w:val="clear" w:color="auto" w:fill="auto"/>
          </w:tcPr>
          <w:p w:rsidR="000874F5" w:rsidRPr="003F483B" w:rsidRDefault="000874F5" w:rsidP="000874F5">
            <w:pPr>
              <w:pStyle w:val="Normal1linespace"/>
              <w:jc w:val="left"/>
              <w:rPr>
                <w:i/>
              </w:rPr>
            </w:pPr>
          </w:p>
        </w:tc>
      </w:tr>
      <w:tr w:rsidR="00965007" w:rsidRPr="00965007" w:rsidTr="00965007">
        <w:tc>
          <w:tcPr>
            <w:tcW w:w="3085" w:type="dxa"/>
            <w:shd w:val="clear" w:color="auto" w:fill="auto"/>
          </w:tcPr>
          <w:p w:rsidR="00965007" w:rsidRPr="00965007" w:rsidRDefault="00965007" w:rsidP="00965007">
            <w:pPr>
              <w:pStyle w:val="Normal1linespace"/>
              <w:jc w:val="left"/>
            </w:pPr>
            <w:bookmarkStart w:id="4" w:name="CounselDate" w:colFirst="0" w:colLast="2"/>
            <w:r w:rsidRPr="00965007">
              <w:t>Date of hearing:</w:t>
            </w:r>
          </w:p>
        </w:tc>
        <w:tc>
          <w:tcPr>
            <w:tcW w:w="5989" w:type="dxa"/>
            <w:shd w:val="clear" w:color="auto" w:fill="auto"/>
          </w:tcPr>
          <w:p w:rsidR="00965007" w:rsidRPr="00965007" w:rsidRDefault="00965007" w:rsidP="00965007">
            <w:pPr>
              <w:pStyle w:val="Normal1linespace"/>
              <w:jc w:val="left"/>
            </w:pPr>
            <w:bookmarkStart w:id="5" w:name="HearingDate"/>
            <w:r>
              <w:t>20 March 2018</w:t>
            </w:r>
            <w:bookmarkEnd w:id="5"/>
          </w:p>
        </w:tc>
      </w:tr>
      <w:tr w:rsidR="00965007" w:rsidRPr="00965007" w:rsidTr="00965007">
        <w:tc>
          <w:tcPr>
            <w:tcW w:w="3085" w:type="dxa"/>
            <w:shd w:val="clear" w:color="auto" w:fill="auto"/>
          </w:tcPr>
          <w:p w:rsidR="00965007" w:rsidRPr="00965007" w:rsidRDefault="00965007" w:rsidP="00965007">
            <w:pPr>
              <w:pStyle w:val="Normal1linespace"/>
              <w:jc w:val="left"/>
            </w:pPr>
          </w:p>
        </w:tc>
        <w:tc>
          <w:tcPr>
            <w:tcW w:w="5989" w:type="dxa"/>
            <w:shd w:val="clear" w:color="auto" w:fill="auto"/>
          </w:tcPr>
          <w:p w:rsidR="00965007" w:rsidRPr="00965007" w:rsidRDefault="00965007" w:rsidP="00965007">
            <w:pPr>
              <w:pStyle w:val="Normal1linespace"/>
              <w:jc w:val="left"/>
            </w:pPr>
          </w:p>
        </w:tc>
      </w:tr>
      <w:bookmarkEnd w:id="4"/>
      <w:tr w:rsidR="00965007" w:rsidTr="00965007">
        <w:tc>
          <w:tcPr>
            <w:tcW w:w="3085" w:type="dxa"/>
            <w:shd w:val="clear" w:color="auto" w:fill="auto"/>
          </w:tcPr>
          <w:p w:rsidR="00965007" w:rsidRDefault="00965007" w:rsidP="00965007">
            <w:pPr>
              <w:pStyle w:val="Normal1linespace"/>
              <w:widowControl w:val="0"/>
              <w:jc w:val="left"/>
            </w:pPr>
            <w:r>
              <w:t>Registry:</w:t>
            </w:r>
          </w:p>
        </w:tc>
        <w:tc>
          <w:tcPr>
            <w:tcW w:w="5989" w:type="dxa"/>
            <w:shd w:val="clear" w:color="auto" w:fill="auto"/>
          </w:tcPr>
          <w:p w:rsidR="00965007" w:rsidRPr="00F17599" w:rsidRDefault="000874F5" w:rsidP="00965007">
            <w:pPr>
              <w:pStyle w:val="Normal1linespace"/>
              <w:widowControl w:val="0"/>
              <w:jc w:val="left"/>
            </w:pPr>
            <w:fldSimple w:instr=" DOCPROPERTY  Registry ">
              <w:r w:rsidR="00965007">
                <w:t>New South Wales</w:t>
              </w:r>
            </w:fldSimple>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pPr>
          </w:p>
        </w:tc>
      </w:tr>
      <w:tr w:rsidR="00965007" w:rsidTr="00965007">
        <w:tc>
          <w:tcPr>
            <w:tcW w:w="3085" w:type="dxa"/>
            <w:shd w:val="clear" w:color="auto" w:fill="auto"/>
          </w:tcPr>
          <w:p w:rsidR="00965007" w:rsidRDefault="00965007" w:rsidP="00965007">
            <w:pPr>
              <w:pStyle w:val="Normal1linespace"/>
              <w:widowControl w:val="0"/>
              <w:jc w:val="left"/>
            </w:pPr>
            <w:r>
              <w:t>Division:</w:t>
            </w:r>
          </w:p>
        </w:tc>
        <w:tc>
          <w:tcPr>
            <w:tcW w:w="5989" w:type="dxa"/>
            <w:shd w:val="clear" w:color="auto" w:fill="auto"/>
          </w:tcPr>
          <w:p w:rsidR="00965007" w:rsidRPr="00F17599" w:rsidRDefault="000874F5" w:rsidP="00965007">
            <w:pPr>
              <w:pStyle w:val="Normal1linespace"/>
              <w:widowControl w:val="0"/>
              <w:jc w:val="left"/>
            </w:pPr>
            <w:fldSimple w:instr=" DOCPROPERTY  Division ">
              <w:r w:rsidR="00965007">
                <w:t>General Division</w:t>
              </w:r>
            </w:fldSimple>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Pr="00F17599" w:rsidRDefault="00965007" w:rsidP="00965007">
            <w:pPr>
              <w:pStyle w:val="Normal1linespace"/>
              <w:widowControl w:val="0"/>
              <w:jc w:val="left"/>
              <w:rPr>
                <w:b/>
              </w:rPr>
            </w:pPr>
          </w:p>
        </w:tc>
      </w:tr>
      <w:tr w:rsidR="00965007" w:rsidTr="00965007">
        <w:tc>
          <w:tcPr>
            <w:tcW w:w="3085" w:type="dxa"/>
            <w:shd w:val="clear" w:color="auto" w:fill="auto"/>
          </w:tcPr>
          <w:p w:rsidR="00965007" w:rsidRDefault="00965007" w:rsidP="00965007">
            <w:pPr>
              <w:pStyle w:val="Normal1linespace"/>
              <w:widowControl w:val="0"/>
              <w:jc w:val="left"/>
            </w:pPr>
            <w:r>
              <w:t>National Practice Area:</w:t>
            </w:r>
          </w:p>
        </w:tc>
        <w:tc>
          <w:tcPr>
            <w:tcW w:w="5989" w:type="dxa"/>
            <w:shd w:val="clear" w:color="auto" w:fill="auto"/>
          </w:tcPr>
          <w:p w:rsidR="00965007" w:rsidRPr="00F17599" w:rsidRDefault="000874F5" w:rsidP="00965007">
            <w:pPr>
              <w:pStyle w:val="Normal1linespace"/>
              <w:widowControl w:val="0"/>
              <w:jc w:val="left"/>
              <w:rPr>
                <w:b/>
              </w:rPr>
            </w:pPr>
            <w:fldSimple w:instr=" DOCPROPERTY  &quot;Practice Area&quot;  \* MERGEFORMAT ">
              <w:r w:rsidR="00965007">
                <w:t>Commercial and Corporations</w:t>
              </w:r>
            </w:fldSimple>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pPr>
          </w:p>
        </w:tc>
      </w:tr>
      <w:tr w:rsidR="00965007" w:rsidTr="00965007">
        <w:tc>
          <w:tcPr>
            <w:tcW w:w="3085" w:type="dxa"/>
            <w:shd w:val="clear" w:color="auto" w:fill="auto"/>
          </w:tcPr>
          <w:p w:rsidR="00965007" w:rsidRDefault="00965007" w:rsidP="00965007">
            <w:pPr>
              <w:pStyle w:val="Normal1linespace"/>
              <w:widowControl w:val="0"/>
              <w:jc w:val="left"/>
            </w:pPr>
            <w:r>
              <w:t>Sub-area:</w:t>
            </w:r>
          </w:p>
        </w:tc>
        <w:tc>
          <w:tcPr>
            <w:tcW w:w="5989" w:type="dxa"/>
            <w:shd w:val="clear" w:color="auto" w:fill="auto"/>
          </w:tcPr>
          <w:p w:rsidR="00965007" w:rsidRDefault="000874F5" w:rsidP="00965007">
            <w:pPr>
              <w:pStyle w:val="Normal1linespace"/>
              <w:widowControl w:val="0"/>
              <w:jc w:val="left"/>
              <w:rPr>
                <w:bCs/>
                <w:lang w:val="en-US"/>
              </w:rPr>
            </w:pPr>
            <w:fldSimple w:instr=" DOCPROPERTY  &quot;Sub Area&quot;  \* MERGEFORMAT ">
              <w:r w:rsidR="00965007" w:rsidRPr="00965007">
                <w:rPr>
                  <w:bCs/>
                  <w:lang w:val="en-US"/>
                </w:rPr>
                <w:t xml:space="preserve">Commercial Contracts, </w:t>
              </w:r>
              <w:r w:rsidR="00965007">
                <w:t>Banking, Finance and Insurance</w:t>
              </w:r>
            </w:fldSimple>
          </w:p>
          <w:p w:rsidR="00965007" w:rsidRPr="00435936" w:rsidRDefault="00965007" w:rsidP="00965007">
            <w:pPr>
              <w:pStyle w:val="Normal1linespace"/>
              <w:widowControl w:val="0"/>
              <w:jc w:val="left"/>
            </w:pPr>
            <w:r>
              <w:rPr>
                <w:bCs/>
                <w:lang w:val="en-US"/>
              </w:rPr>
              <w:t xml:space="preserve">Insurance List </w:t>
            </w:r>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rPr>
                <w:b/>
              </w:rPr>
            </w:pPr>
          </w:p>
        </w:tc>
      </w:tr>
      <w:tr w:rsidR="00965007" w:rsidTr="00965007">
        <w:tc>
          <w:tcPr>
            <w:tcW w:w="3085" w:type="dxa"/>
            <w:shd w:val="clear" w:color="auto" w:fill="auto"/>
          </w:tcPr>
          <w:p w:rsidR="00965007" w:rsidRDefault="00965007" w:rsidP="00965007">
            <w:pPr>
              <w:pStyle w:val="Normal1linespace"/>
              <w:widowControl w:val="0"/>
              <w:jc w:val="left"/>
            </w:pPr>
            <w:r>
              <w:t>Category:</w:t>
            </w:r>
          </w:p>
        </w:tc>
        <w:tc>
          <w:tcPr>
            <w:tcW w:w="5989" w:type="dxa"/>
            <w:shd w:val="clear" w:color="auto" w:fill="auto"/>
          </w:tcPr>
          <w:p w:rsidR="00965007" w:rsidRDefault="00965007" w:rsidP="00965007">
            <w:pPr>
              <w:pStyle w:val="Normal1linespace"/>
              <w:widowControl w:val="0"/>
              <w:jc w:val="left"/>
            </w:pPr>
            <w:r w:rsidRPr="00965007">
              <w:t xml:space="preserve">Catchwords </w:t>
            </w:r>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pPr>
          </w:p>
        </w:tc>
      </w:tr>
      <w:tr w:rsidR="00965007" w:rsidTr="00965007">
        <w:tc>
          <w:tcPr>
            <w:tcW w:w="3085" w:type="dxa"/>
            <w:shd w:val="clear" w:color="auto" w:fill="auto"/>
          </w:tcPr>
          <w:p w:rsidR="00965007" w:rsidRDefault="00965007" w:rsidP="00965007">
            <w:pPr>
              <w:pStyle w:val="Normal1linespace"/>
              <w:widowControl w:val="0"/>
              <w:jc w:val="left"/>
            </w:pPr>
            <w:r>
              <w:t>Number of paragraphs:</w:t>
            </w:r>
          </w:p>
        </w:tc>
        <w:tc>
          <w:tcPr>
            <w:tcW w:w="5989" w:type="dxa"/>
            <w:shd w:val="clear" w:color="auto" w:fill="auto"/>
          </w:tcPr>
          <w:p w:rsidR="00965007" w:rsidRDefault="00965007" w:rsidP="00965007">
            <w:pPr>
              <w:pStyle w:val="Normal1linespace"/>
              <w:widowControl w:val="0"/>
              <w:jc w:val="left"/>
            </w:pPr>
            <w:bookmarkStart w:id="6" w:name="PlaceCategoryParagraphs"/>
            <w:r>
              <w:t>10</w:t>
            </w:r>
            <w:bookmarkEnd w:id="6"/>
          </w:p>
        </w:tc>
      </w:tr>
      <w:tr w:rsidR="00965007" w:rsidTr="00965007">
        <w:tc>
          <w:tcPr>
            <w:tcW w:w="3085" w:type="dxa"/>
            <w:shd w:val="clear" w:color="auto" w:fill="auto"/>
          </w:tcPr>
          <w:p w:rsidR="00965007" w:rsidRDefault="00965007"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pPr>
          </w:p>
        </w:tc>
      </w:tr>
      <w:tr w:rsidR="00965007" w:rsidTr="00965007">
        <w:tc>
          <w:tcPr>
            <w:tcW w:w="3085" w:type="dxa"/>
            <w:shd w:val="clear" w:color="auto" w:fill="auto"/>
          </w:tcPr>
          <w:p w:rsidR="00965007" w:rsidRDefault="00965007" w:rsidP="00965007">
            <w:pPr>
              <w:pStyle w:val="Normal1linespace"/>
              <w:widowControl w:val="0"/>
              <w:jc w:val="left"/>
            </w:pPr>
            <w:bookmarkStart w:id="7" w:name="Counsel" w:colFirst="0" w:colLast="2"/>
            <w:r>
              <w:t>Counsel for the Applicants:</w:t>
            </w:r>
          </w:p>
        </w:tc>
        <w:tc>
          <w:tcPr>
            <w:tcW w:w="5989" w:type="dxa"/>
            <w:shd w:val="clear" w:color="auto" w:fill="auto"/>
          </w:tcPr>
          <w:p w:rsidR="00965007" w:rsidRDefault="00965007" w:rsidP="00965007">
            <w:pPr>
              <w:pStyle w:val="Normal1linespace"/>
              <w:widowControl w:val="0"/>
              <w:jc w:val="left"/>
            </w:pPr>
            <w:bookmarkStart w:id="8" w:name="AppCounsel"/>
            <w:bookmarkEnd w:id="8"/>
            <w:r>
              <w:t>Mr J Richardson</w:t>
            </w:r>
          </w:p>
        </w:tc>
      </w:tr>
      <w:tr w:rsidR="00965007" w:rsidTr="00965007">
        <w:tc>
          <w:tcPr>
            <w:tcW w:w="3085" w:type="dxa"/>
            <w:shd w:val="clear" w:color="auto" w:fill="auto"/>
          </w:tcPr>
          <w:p w:rsidR="0082024D" w:rsidRDefault="0082024D" w:rsidP="00965007">
            <w:pPr>
              <w:pStyle w:val="Normal1linespace"/>
              <w:widowControl w:val="0"/>
              <w:jc w:val="left"/>
            </w:pPr>
          </w:p>
        </w:tc>
        <w:tc>
          <w:tcPr>
            <w:tcW w:w="5989" w:type="dxa"/>
            <w:shd w:val="clear" w:color="auto" w:fill="auto"/>
          </w:tcPr>
          <w:p w:rsidR="00965007" w:rsidRDefault="00965007" w:rsidP="00965007">
            <w:pPr>
              <w:pStyle w:val="Normal1linespace"/>
              <w:widowControl w:val="0"/>
              <w:jc w:val="left"/>
            </w:pPr>
          </w:p>
        </w:tc>
      </w:tr>
      <w:tr w:rsidR="0082024D" w:rsidTr="00965007">
        <w:tc>
          <w:tcPr>
            <w:tcW w:w="3085" w:type="dxa"/>
            <w:shd w:val="clear" w:color="auto" w:fill="auto"/>
          </w:tcPr>
          <w:p w:rsidR="0082024D" w:rsidRDefault="0082024D" w:rsidP="00965007">
            <w:pPr>
              <w:pStyle w:val="Normal1linespace"/>
              <w:widowControl w:val="0"/>
              <w:jc w:val="left"/>
            </w:pPr>
            <w:r>
              <w:t>Solicitor for the Applicants:</w:t>
            </w:r>
          </w:p>
        </w:tc>
        <w:tc>
          <w:tcPr>
            <w:tcW w:w="5989" w:type="dxa"/>
            <w:shd w:val="clear" w:color="auto" w:fill="auto"/>
          </w:tcPr>
          <w:p w:rsidR="0082024D" w:rsidRDefault="0082024D" w:rsidP="00965007">
            <w:pPr>
              <w:pStyle w:val="Normal1linespace"/>
              <w:widowControl w:val="0"/>
              <w:jc w:val="left"/>
            </w:pPr>
            <w:proofErr w:type="spellStart"/>
            <w:r>
              <w:t>Ligeti</w:t>
            </w:r>
            <w:proofErr w:type="spellEnd"/>
            <w:r>
              <w:t xml:space="preserve"> Partners Lawyers</w:t>
            </w:r>
          </w:p>
        </w:tc>
      </w:tr>
      <w:tr w:rsidR="0082024D" w:rsidTr="00965007">
        <w:tc>
          <w:tcPr>
            <w:tcW w:w="3085" w:type="dxa"/>
            <w:shd w:val="clear" w:color="auto" w:fill="auto"/>
          </w:tcPr>
          <w:p w:rsidR="0082024D" w:rsidRDefault="0082024D" w:rsidP="00965007">
            <w:pPr>
              <w:pStyle w:val="Normal1linespace"/>
              <w:widowControl w:val="0"/>
              <w:jc w:val="left"/>
            </w:pPr>
          </w:p>
        </w:tc>
        <w:tc>
          <w:tcPr>
            <w:tcW w:w="5989" w:type="dxa"/>
            <w:shd w:val="clear" w:color="auto" w:fill="auto"/>
          </w:tcPr>
          <w:p w:rsidR="0082024D" w:rsidRDefault="0082024D" w:rsidP="00965007">
            <w:pPr>
              <w:pStyle w:val="Normal1linespace"/>
              <w:widowControl w:val="0"/>
              <w:jc w:val="left"/>
            </w:pPr>
          </w:p>
        </w:tc>
      </w:tr>
      <w:tr w:rsidR="00965007" w:rsidTr="0082024D">
        <w:trPr>
          <w:trHeight w:val="277"/>
        </w:trPr>
        <w:tc>
          <w:tcPr>
            <w:tcW w:w="3085" w:type="dxa"/>
            <w:shd w:val="clear" w:color="auto" w:fill="auto"/>
          </w:tcPr>
          <w:p w:rsidR="00965007" w:rsidRDefault="00965007" w:rsidP="00965007">
            <w:pPr>
              <w:pStyle w:val="Normal1linespace"/>
              <w:widowControl w:val="0"/>
              <w:jc w:val="left"/>
            </w:pPr>
            <w:r>
              <w:t>Solicitor for the Respondent:</w:t>
            </w:r>
          </w:p>
        </w:tc>
        <w:tc>
          <w:tcPr>
            <w:tcW w:w="5989" w:type="dxa"/>
            <w:shd w:val="clear" w:color="auto" w:fill="auto"/>
          </w:tcPr>
          <w:p w:rsidR="00965007" w:rsidRDefault="00965007" w:rsidP="00965007">
            <w:pPr>
              <w:pStyle w:val="Normal1linespace"/>
              <w:widowControl w:val="0"/>
              <w:jc w:val="left"/>
            </w:pPr>
            <w:r>
              <w:t>Ms S Fountain of DLA Piper</w:t>
            </w:r>
          </w:p>
        </w:tc>
      </w:tr>
      <w:bookmarkEnd w:id="7"/>
      <w:bookmarkEnd w:id="3"/>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974D3" w:rsidP="00F92355">
            <w:pPr>
              <w:pStyle w:val="NormalHeadings"/>
              <w:jc w:val="right"/>
            </w:pPr>
            <w:bookmarkStart w:id="9" w:name="FileNo"/>
            <w:r>
              <w:t>VID 1130 of 2017</w:t>
            </w:r>
            <w:bookmarkEnd w:id="9"/>
          </w:p>
        </w:tc>
      </w:tr>
      <w:tr w:rsidR="00A76C13" w:rsidTr="00F461A4">
        <w:tc>
          <w:tcPr>
            <w:tcW w:w="9242" w:type="dxa"/>
            <w:gridSpan w:val="3"/>
          </w:tcPr>
          <w:p w:rsidR="00A76C13" w:rsidRPr="00A76C13" w:rsidRDefault="00E974D3" w:rsidP="00E974D3">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E974D3" w:rsidRDefault="00E974D3" w:rsidP="00E974D3">
            <w:pPr>
              <w:pStyle w:val="NormalHeadings"/>
              <w:jc w:val="left"/>
            </w:pPr>
            <w:bookmarkStart w:id="12" w:name="Applicant"/>
            <w:r>
              <w:t>SMD DRAINAGE PTY LTD</w:t>
            </w:r>
          </w:p>
          <w:p w:rsidR="00E974D3" w:rsidRDefault="00E974D3" w:rsidP="00E974D3">
            <w:pPr>
              <w:pStyle w:val="PartyType"/>
            </w:pPr>
            <w:r>
              <w:t>First Applicant</w:t>
            </w:r>
          </w:p>
          <w:p w:rsidR="00E974D3" w:rsidRDefault="00E974D3" w:rsidP="005041F0">
            <w:pPr>
              <w:pStyle w:val="NormalHeadings"/>
              <w:jc w:val="left"/>
            </w:pPr>
          </w:p>
          <w:p w:rsidR="00E974D3" w:rsidRDefault="00E974D3" w:rsidP="00E974D3">
            <w:pPr>
              <w:pStyle w:val="NormalHeadings"/>
              <w:jc w:val="left"/>
            </w:pPr>
            <w:r>
              <w:t>DUVALL PTY LTD ACN 075 806 996</w:t>
            </w:r>
          </w:p>
          <w:p w:rsidR="00E974D3" w:rsidRDefault="00E974D3" w:rsidP="00E974D3">
            <w:pPr>
              <w:pStyle w:val="PartyType"/>
            </w:pPr>
            <w:r>
              <w:t>Second Applicant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E974D3" w:rsidRDefault="00E974D3" w:rsidP="00E974D3">
            <w:pPr>
              <w:pStyle w:val="NormalHeadings"/>
              <w:jc w:val="left"/>
            </w:pPr>
            <w:bookmarkStart w:id="13" w:name="Respondent"/>
            <w:r>
              <w:t>BERKLEY INSURANCE COMPANY ACN 115 005 788</w:t>
            </w:r>
          </w:p>
          <w:p w:rsidR="00E974D3" w:rsidRDefault="00E974D3" w:rsidP="00E974D3">
            <w:pPr>
              <w:pStyle w:val="PartyType"/>
            </w:pPr>
            <w:r>
              <w:t>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974D3">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E974D3">
            <w:pPr>
              <w:pStyle w:val="NormalHeadings"/>
              <w:jc w:val="left"/>
              <w:rPr>
                <w:caps/>
                <w:szCs w:val="24"/>
              </w:rPr>
            </w:pPr>
            <w:bookmarkStart w:id="16" w:name="Judge"/>
            <w:r>
              <w:rPr>
                <w:caps/>
                <w:szCs w:val="24"/>
              </w:rPr>
              <w:t>ALLSOP CJ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974D3">
            <w:pPr>
              <w:pStyle w:val="NormalHeadings"/>
              <w:jc w:val="left"/>
              <w:rPr>
                <w:caps/>
                <w:szCs w:val="24"/>
              </w:rPr>
            </w:pPr>
            <w:bookmarkStart w:id="17" w:name="Judgment_Dated"/>
            <w:r>
              <w:rPr>
                <w:caps/>
                <w:szCs w:val="24"/>
              </w:rPr>
              <w:t>20 MARCH 2018</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15B86" w:rsidRDefault="00215B86" w:rsidP="00941D5C">
      <w:pPr>
        <w:pStyle w:val="Order1"/>
      </w:pPr>
      <w:bookmarkStart w:id="18" w:name="Order_Start_Text"/>
      <w:bookmarkEnd w:id="18"/>
      <w:r>
        <w:t xml:space="preserve">Pursuant to rule 9.05 of the </w:t>
      </w:r>
      <w:r w:rsidRPr="00941D5C">
        <w:rPr>
          <w:i/>
        </w:rPr>
        <w:t>Federal Court Rules 2011</w:t>
      </w:r>
      <w:r>
        <w:t xml:space="preserve"> (Cth), </w:t>
      </w:r>
      <w:proofErr w:type="spellStart"/>
      <w:r>
        <w:t>Peatling</w:t>
      </w:r>
      <w:proofErr w:type="spellEnd"/>
      <w:r>
        <w:t xml:space="preserve"> Group Vic Pty Ltd be joined to the proceeding as an applicant;</w:t>
      </w:r>
    </w:p>
    <w:p w:rsidR="00215B86" w:rsidRDefault="00215B86" w:rsidP="00941D5C">
      <w:pPr>
        <w:pStyle w:val="Order1"/>
      </w:pPr>
      <w:r>
        <w:t xml:space="preserve">Pursuant to rule 9.05 of the </w:t>
      </w:r>
      <w:r w:rsidRPr="00941D5C">
        <w:rPr>
          <w:i/>
        </w:rPr>
        <w:t>Federal Court Rules 2011</w:t>
      </w:r>
      <w:r>
        <w:t xml:space="preserve"> (Cth), CGU Insurance Limited be joined to the proceeding as a respondent;</w:t>
      </w:r>
    </w:p>
    <w:p w:rsidR="00215B86" w:rsidRDefault="00215B86" w:rsidP="00941D5C">
      <w:pPr>
        <w:pStyle w:val="Order1"/>
      </w:pPr>
      <w:r>
        <w:t>Costs of the application be costs in the cause of the first and second applicants and first respondent;</w:t>
      </w:r>
    </w:p>
    <w:p w:rsidR="00965007" w:rsidRDefault="00215B86" w:rsidP="00941D5C">
      <w:pPr>
        <w:pStyle w:val="Order1"/>
      </w:pPr>
      <w:r>
        <w:t>The applicant serve the originating process and current defence-relevant papers in these proceedings upon CGU as soon as possible, including the terms of this judgment when it is settled and provided</w:t>
      </w:r>
      <w:r w:rsidR="00965007">
        <w:t xml:space="preserve"> to the current applicants; and</w:t>
      </w:r>
    </w:p>
    <w:p w:rsidR="00941D5C" w:rsidRDefault="00941D5C" w:rsidP="00941D5C">
      <w:pPr>
        <w:pStyle w:val="Order1"/>
      </w:pPr>
      <w:r>
        <w:t xml:space="preserve">The parties, including the newly joined parties, </w:t>
      </w:r>
      <w:proofErr w:type="gramStart"/>
      <w:r>
        <w:t>be</w:t>
      </w:r>
      <w:proofErr w:type="gramEnd"/>
      <w:r>
        <w:t xml:space="preserve"> granted leave to apply on three days' notice by contacting my associate if they need to approach the Court for any matter prior the case management hearing of 1 May 2018.</w:t>
      </w:r>
    </w:p>
    <w:p w:rsidR="00636871" w:rsidRDefault="00636871" w:rsidP="00941D5C">
      <w:pPr>
        <w:pStyle w:val="Order1"/>
        <w:numPr>
          <w:ilvl w:val="0"/>
          <w:numId w:val="0"/>
        </w:numPr>
        <w:ind w:left="720"/>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011DEF" w:rsidRPr="00793DAF" w:rsidRDefault="00011DEF" w:rsidP="00045BB7">
      <w:pPr>
        <w:pStyle w:val="NormalHeadings"/>
        <w:spacing w:line="480" w:lineRule="auto"/>
        <w:jc w:val="center"/>
        <w:rPr>
          <w:szCs w:val="28"/>
        </w:rPr>
      </w:pPr>
      <w:r w:rsidRPr="00793DAF">
        <w:rPr>
          <w:szCs w:val="28"/>
        </w:rPr>
        <w:t>(Revised from the transcript)</w:t>
      </w:r>
    </w:p>
    <w:p w:rsidR="00395B24" w:rsidRPr="00EA03CE" w:rsidRDefault="00E974D3" w:rsidP="005E0510">
      <w:pPr>
        <w:pStyle w:val="NormalHeadings"/>
        <w:spacing w:line="360" w:lineRule="auto"/>
        <w:jc w:val="left"/>
        <w:rPr>
          <w:sz w:val="26"/>
          <w:szCs w:val="26"/>
        </w:rPr>
      </w:pPr>
      <w:r>
        <w:rPr>
          <w:sz w:val="26"/>
          <w:szCs w:val="26"/>
        </w:rPr>
        <w:t>ALLSOP CJ</w:t>
      </w:r>
      <w:r w:rsidR="00484F6D" w:rsidRPr="00EA03CE">
        <w:rPr>
          <w:sz w:val="26"/>
          <w:szCs w:val="26"/>
        </w:rPr>
        <w:t>:</w:t>
      </w:r>
    </w:p>
    <w:p w:rsidR="00E974D3" w:rsidRDefault="00E974D3" w:rsidP="00E974D3">
      <w:pPr>
        <w:pStyle w:val="ParaNumbering"/>
      </w:pPr>
      <w:r>
        <w:t>This is an application to amend proceedings to join an applicant and a respondent.  The matter is in the Insurance List.  It arises out of a fire at a business of the current applicants, being a drainage business.  The current respondent, Berkley Insurance Company (</w:t>
      </w:r>
      <w:r w:rsidRPr="00661321">
        <w:rPr>
          <w:b/>
        </w:rPr>
        <w:t>Berkley</w:t>
      </w:r>
      <w:r>
        <w:t xml:space="preserve">), is the material-damaged insurer of the applicants.  The matter came into the Insurance List in late last year.  There was </w:t>
      </w:r>
      <w:proofErr w:type="gramStart"/>
      <w:r>
        <w:t>a certain</w:t>
      </w:r>
      <w:proofErr w:type="gramEnd"/>
      <w:r>
        <w:t xml:space="preserve"> urgency in the application because the business of the applicants had been critically affected by the fire and the associated destruction of equipment.  At that time, the respondent had not paid any monies, and it was investigating the claim.  There was a usual exclusion in the policy of any claim for any fire or damage that had been caused by employees of the company.</w:t>
      </w:r>
    </w:p>
    <w:p w:rsidR="00E974D3" w:rsidRDefault="00E974D3" w:rsidP="00E974D3">
      <w:pPr>
        <w:pStyle w:val="ParaNumbering"/>
      </w:pPr>
      <w:r>
        <w:t>Investigations have continued, and early this year, an interim payment was made by Berkley of a significant sum of money under the policy which reflected the conclusion of its investigations in the respects just identified and its acceptance of liability to the proper level dictated by the policy.  Therefore, the continuing debates between the current applicants and Berkley turn on questions of fact and quantum.</w:t>
      </w:r>
    </w:p>
    <w:p w:rsidR="00E974D3" w:rsidRDefault="00E974D3" w:rsidP="00E974D3">
      <w:pPr>
        <w:pStyle w:val="ParaNumbering"/>
      </w:pPr>
      <w:r>
        <w:t>In the meantime, the applicants, and in particular, a third company related to the applicants, have been dealing with another insurer, CGU Insurance Limited (</w:t>
      </w:r>
      <w:r w:rsidRPr="00661321">
        <w:rPr>
          <w:b/>
        </w:rPr>
        <w:t>CGU</w:t>
      </w:r>
      <w:r>
        <w:t>)</w:t>
      </w:r>
      <w:proofErr w:type="gramStart"/>
      <w:r>
        <w:t xml:space="preserve">. </w:t>
      </w:r>
      <w:proofErr w:type="gramEnd"/>
      <w:r>
        <w:t>CGU is the industrial special risk insurer, or loss of profits insurer</w:t>
      </w:r>
      <w:r w:rsidR="009F5E22">
        <w:t>;</w:t>
      </w:r>
      <w:r>
        <w:t xml:space="preserve"> such insurance sitting on top of Berkley’s material damage policy.  It was anticipated by the applicants that </w:t>
      </w:r>
      <w:proofErr w:type="gramStart"/>
      <w:r>
        <w:t>CGU  and</w:t>
      </w:r>
      <w:proofErr w:type="gramEnd"/>
      <w:r>
        <w:t xml:space="preserve"> the applicants would resolve their differences satisfactorily without litigation.  However, the applicants have come to the view that they will need to bring CGU to Court.</w:t>
      </w:r>
    </w:p>
    <w:p w:rsidR="00E974D3" w:rsidRDefault="00E974D3" w:rsidP="00E974D3">
      <w:pPr>
        <w:pStyle w:val="ParaNumbering"/>
      </w:pPr>
      <w:r>
        <w:t xml:space="preserve">CGU is, of course, not present today, not being party to the proceedings.  On the evidence filed before </w:t>
      </w:r>
      <w:proofErr w:type="gramStart"/>
      <w:r>
        <w:t xml:space="preserve">me, that is the affidavit of Heath Walter </w:t>
      </w:r>
      <w:proofErr w:type="spellStart"/>
      <w:r>
        <w:t>Peatling</w:t>
      </w:r>
      <w:proofErr w:type="spellEnd"/>
      <w:r>
        <w:t xml:space="preserve"> sworn 16 March 2018</w:t>
      </w:r>
      <w:r w:rsidR="00A44D2F">
        <w:t xml:space="preserve"> which I will take as read,</w:t>
      </w:r>
      <w:proofErr w:type="gramEnd"/>
      <w:r w:rsidR="00A44D2F">
        <w:t xml:space="preserve"> i</w:t>
      </w:r>
      <w:r>
        <w:t xml:space="preserve">t is appropriate to join </w:t>
      </w:r>
      <w:proofErr w:type="spellStart"/>
      <w:r>
        <w:t>Peatling</w:t>
      </w:r>
      <w:proofErr w:type="spellEnd"/>
      <w:r>
        <w:t xml:space="preserve"> Group Vic </w:t>
      </w:r>
      <w:r w:rsidR="00A44D2F">
        <w:t xml:space="preserve">Pty Ltd </w:t>
      </w:r>
      <w:r>
        <w:t>as an applicant to the proceedings</w:t>
      </w:r>
      <w:r w:rsidR="009F5E22">
        <w:t xml:space="preserve"> </w:t>
      </w:r>
      <w:r>
        <w:t>and it is</w:t>
      </w:r>
      <w:r w:rsidR="00A44D2F">
        <w:t xml:space="preserve"> also</w:t>
      </w:r>
      <w:r>
        <w:t xml:space="preserve"> appropriate and convenient to order the joinder of CGU to the proceedings as a second respondent.</w:t>
      </w:r>
    </w:p>
    <w:p w:rsidR="00E974D3" w:rsidRDefault="00E974D3" w:rsidP="00E974D3">
      <w:pPr>
        <w:pStyle w:val="ParaNumbering"/>
      </w:pPr>
      <w:r>
        <w:t>There is a mediation scheduled between the current applicants and Berkley in April</w:t>
      </w:r>
      <w:r w:rsidR="00A44D2F">
        <w:t xml:space="preserve"> 2018</w:t>
      </w:r>
      <w:r>
        <w:t xml:space="preserve">.  It is anticipated and hoped that CGU will participate in that mediation.  If it be the case that </w:t>
      </w:r>
      <w:r>
        <w:lastRenderedPageBreak/>
        <w:t>CGU is not willing to participate in that mediation, the parties have general liberty to apply to bring the matter back for discussion as to the appropriate way forward with any mediation that does involve CGU.  Likewise, I will not make orders for the filing of a concise statement or statement of claim or the filing of any concise statement in answer or defence by CGU.  The parties have been in discussion with each other for some time and probably know what divides them already.</w:t>
      </w:r>
    </w:p>
    <w:p w:rsidR="00E974D3" w:rsidRDefault="00E974D3" w:rsidP="00E974D3">
      <w:pPr>
        <w:pStyle w:val="ParaNumbering"/>
      </w:pPr>
      <w:r>
        <w:t xml:space="preserve">The matter is listed for a case management hearing on 1 May 2018.  In the event that the mediation fails, I would expect the applicants, including the new applicant, to have provided to CGU a draft concise statement, at the very least such that CGU </w:t>
      </w:r>
      <w:r w:rsidR="00A44D2F">
        <w:t xml:space="preserve">is </w:t>
      </w:r>
      <w:r>
        <w:t xml:space="preserve">in a position on 1 May to discuss the issues in the case and the way to resolve this </w:t>
      </w:r>
      <w:r w:rsidR="00A44D2F">
        <w:t xml:space="preserve">case </w:t>
      </w:r>
      <w:r>
        <w:t>in the most cost</w:t>
      </w:r>
      <w:r w:rsidR="00A44D2F">
        <w:t>-</w:t>
      </w:r>
      <w:r>
        <w:t>efficient and effective way.  I’m informed by Mr Richardson, who appears for the applicants, that there will be or may well be construction issues in the CGU policy and also, perhaps</w:t>
      </w:r>
      <w:r w:rsidR="00A44D2F">
        <w:t>,</w:t>
      </w:r>
      <w:r>
        <w:t xml:space="preserve"> issues of fact as to which policy applies which may affect the nature of th</w:t>
      </w:r>
      <w:r w:rsidR="00A44D2F">
        <w:t>is</w:t>
      </w:r>
      <w:r>
        <w:t xml:space="preserve"> construction issue.</w:t>
      </w:r>
    </w:p>
    <w:p w:rsidR="00E974D3" w:rsidRDefault="00E974D3" w:rsidP="00B16436">
      <w:pPr>
        <w:pStyle w:val="ParaNumbering"/>
      </w:pPr>
      <w:r>
        <w:t>If the matter does not settle at mediation, I’ve indicated to the current parties my view that any quantum issue will be sent to an appropriate referee.  If there are construction issues, it may well be that appropriate declarations as to the meaning of the policy should be made prior to that reference.  I would urge the parties to consult and confer with each other as to an appropriate person to undertake the reference should mediation fail.  There are a number of recent judgments of the Court in relation to referees</w:t>
      </w:r>
      <w:r w:rsidR="00B16436">
        <w:t xml:space="preserve">: see e.g. </w:t>
      </w:r>
      <w:r w:rsidR="00B16436">
        <w:rPr>
          <w:i/>
        </w:rPr>
        <w:t xml:space="preserve">Sheehan v </w:t>
      </w:r>
      <w:r w:rsidR="00B16436" w:rsidRPr="00B16436">
        <w:rPr>
          <w:i/>
        </w:rPr>
        <w:t xml:space="preserve">Lloyds Names Munich Re Syndicate Ltd </w:t>
      </w:r>
      <w:r w:rsidR="00B16436" w:rsidRPr="00661321">
        <w:t>[2017] FCA 1340</w:t>
      </w:r>
      <w:proofErr w:type="gramStart"/>
      <w:r>
        <w:t>.</w:t>
      </w:r>
      <w:r w:rsidR="00A44D2F">
        <w:t xml:space="preserve"> </w:t>
      </w:r>
      <w:proofErr w:type="gramEnd"/>
      <w:r>
        <w:t xml:space="preserve">One of the particular advantages of the use of that process is that the parties can minimise heavy expenditure in competing expert evidence if they can agree upon a referee whose qualifications and standing they all agree upon and are willing to rely upon.  </w:t>
      </w:r>
      <w:r w:rsidR="00A44D2F">
        <w:t xml:space="preserve">Such use of a referee does not meant that there can </w:t>
      </w:r>
      <w:r>
        <w:t>never be any challenge to the conclusions</w:t>
      </w:r>
      <w:r w:rsidR="00A44D2F">
        <w:t xml:space="preserve"> of the referee</w:t>
      </w:r>
      <w:r>
        <w:t>.  The bas</w:t>
      </w:r>
      <w:r w:rsidR="00A44D2F">
        <w:t>e</w:t>
      </w:r>
      <w:r>
        <w:t>s for challenge</w:t>
      </w:r>
      <w:r w:rsidR="00A44D2F">
        <w:t>s</w:t>
      </w:r>
      <w:r>
        <w:t xml:space="preserve"> </w:t>
      </w:r>
      <w:r w:rsidR="00A44D2F">
        <w:t xml:space="preserve">of </w:t>
      </w:r>
      <w:r>
        <w:t>referees</w:t>
      </w:r>
      <w:r w:rsidR="00A44D2F">
        <w:t>’</w:t>
      </w:r>
      <w:r>
        <w:t xml:space="preserve"> conclusions are well known</w:t>
      </w:r>
      <w:r w:rsidR="00A44D2F">
        <w:t>.</w:t>
      </w:r>
      <w:r>
        <w:t xml:space="preserve"> </w:t>
      </w:r>
      <w:r w:rsidR="00A44D2F">
        <w:t xml:space="preserve"> </w:t>
      </w:r>
      <w:r>
        <w:t xml:space="preserve">Certainly, questions of law are heard de novo, and questions of fact have a certain hurdle.  </w:t>
      </w:r>
    </w:p>
    <w:p w:rsidR="00E974D3" w:rsidRDefault="00E974D3" w:rsidP="00E974D3">
      <w:pPr>
        <w:pStyle w:val="ParaNumbering"/>
      </w:pPr>
      <w:r>
        <w:t xml:space="preserve">However, the parties can contest findings by the referee at the adoption hearing without necessarily </w:t>
      </w:r>
      <w:r w:rsidR="00A44D2F">
        <w:t xml:space="preserve">having </w:t>
      </w:r>
      <w:r>
        <w:t xml:space="preserve">to spend extremely large amounts of money that are often required to fund, if I may use the expression, duelling experts.  With these comments, I would urge the parties in their mediation </w:t>
      </w:r>
      <w:r w:rsidR="00A44D2F">
        <w:t>to,</w:t>
      </w:r>
      <w:r>
        <w:t xml:space="preserve"> even if they cannot resolve the matter</w:t>
      </w:r>
      <w:r w:rsidR="00A44D2F">
        <w:t>,</w:t>
      </w:r>
      <w:r>
        <w:t xml:space="preserve"> at least light upon the name of someone that they are content to investigate the matter and report to the Court as to quantum.</w:t>
      </w:r>
    </w:p>
    <w:p w:rsidR="00A44D2F" w:rsidRDefault="00A44D2F" w:rsidP="00E974D3">
      <w:pPr>
        <w:pStyle w:val="ParaNumbering"/>
      </w:pPr>
      <w:r>
        <w:lastRenderedPageBreak/>
        <w:t xml:space="preserve">There may also be issues between the parties as to payment for amounts of money that must nevertheless </w:t>
      </w:r>
      <w:proofErr w:type="gramStart"/>
      <w:r>
        <w:t>be owing</w:t>
      </w:r>
      <w:proofErr w:type="gramEnd"/>
      <w:r>
        <w:t xml:space="preserve">.  There may also be issues that concern CGU that need to be dealt with prior to the mediation, or at least prior to the case management hearing on 1 May.  Therefore, I will grant the parties, including the newly joined parties, liberty to apply on three days’ notice should they need to approach the Court for any </w:t>
      </w:r>
      <w:proofErr w:type="gramStart"/>
      <w:r>
        <w:t>matter.</w:t>
      </w:r>
      <w:proofErr w:type="gramEnd"/>
    </w:p>
    <w:p w:rsidR="00E974D3" w:rsidRDefault="00E974D3" w:rsidP="00E974D3">
      <w:pPr>
        <w:pStyle w:val="ParaNumbering"/>
      </w:pPr>
      <w:r>
        <w:t>With those comments and those reasons, I make orders in accordance with the interlocutory application dated March 2018 and filed by the applicants to the effect that:</w:t>
      </w:r>
    </w:p>
    <w:p w:rsidR="00E974D3" w:rsidRDefault="00E974D3" w:rsidP="00661321">
      <w:pPr>
        <w:pStyle w:val="ListNo1"/>
      </w:pPr>
      <w:r>
        <w:t xml:space="preserve">Pursuant to rule 9.05 of the </w:t>
      </w:r>
      <w:r w:rsidRPr="00661321">
        <w:rPr>
          <w:i/>
        </w:rPr>
        <w:t>Federal Court Rules</w:t>
      </w:r>
      <w:r w:rsidR="00A44D2F">
        <w:rPr>
          <w:i/>
        </w:rPr>
        <w:t xml:space="preserve"> 2011 </w:t>
      </w:r>
      <w:r w:rsidR="00A44D2F">
        <w:t>(Cth)</w:t>
      </w:r>
      <w:r>
        <w:t xml:space="preserve">, </w:t>
      </w:r>
      <w:proofErr w:type="spellStart"/>
      <w:r>
        <w:t>Peatling</w:t>
      </w:r>
      <w:proofErr w:type="spellEnd"/>
      <w:r>
        <w:t xml:space="preserve"> Group Vic Pty Ltd be joined to the proceeding as an applicant</w:t>
      </w:r>
      <w:r w:rsidR="00A44D2F">
        <w:t>;</w:t>
      </w:r>
    </w:p>
    <w:p w:rsidR="00E974D3" w:rsidRDefault="00E974D3" w:rsidP="00661321">
      <w:pPr>
        <w:pStyle w:val="ListNo1"/>
      </w:pPr>
      <w:r>
        <w:t xml:space="preserve">Pursuant to rule 9.05 of the </w:t>
      </w:r>
      <w:r w:rsidRPr="00661321">
        <w:rPr>
          <w:i/>
        </w:rPr>
        <w:t>Federal Court Rules</w:t>
      </w:r>
      <w:r w:rsidR="00A44D2F">
        <w:rPr>
          <w:i/>
        </w:rPr>
        <w:t xml:space="preserve"> 2011 </w:t>
      </w:r>
      <w:r w:rsidR="00A44D2F">
        <w:t>(Cth)</w:t>
      </w:r>
      <w:r>
        <w:t xml:space="preserve">, CGU Insurance Limited be joined to </w:t>
      </w:r>
      <w:r w:rsidR="00A44D2F">
        <w:t>t</w:t>
      </w:r>
      <w:r>
        <w:t>he proceeding as a respondent</w:t>
      </w:r>
      <w:r w:rsidR="00A44D2F">
        <w:t>;</w:t>
      </w:r>
    </w:p>
    <w:p w:rsidR="00E974D3" w:rsidRDefault="00E974D3" w:rsidP="00661321">
      <w:pPr>
        <w:pStyle w:val="ListNo1"/>
      </w:pPr>
      <w:r>
        <w:t>Costs of the application be costs in the cause of the first and second applicants and first respondent</w:t>
      </w:r>
      <w:r w:rsidR="00A44D2F">
        <w:t>;</w:t>
      </w:r>
    </w:p>
    <w:p w:rsidR="00A44D2F" w:rsidRDefault="00A44D2F" w:rsidP="00661321">
      <w:pPr>
        <w:pStyle w:val="ListNo1"/>
      </w:pPr>
      <w:r>
        <w:t>T</w:t>
      </w:r>
      <w:r w:rsidR="00E974D3">
        <w:t xml:space="preserve">he applicant serve the </w:t>
      </w:r>
      <w:r w:rsidR="00215B86">
        <w:t xml:space="preserve">originating </w:t>
      </w:r>
      <w:r w:rsidR="00E974D3">
        <w:t>process and current defence</w:t>
      </w:r>
      <w:r w:rsidR="00215B86">
        <w:t>-</w:t>
      </w:r>
      <w:r w:rsidR="00E974D3">
        <w:t>relevant papers in the</w:t>
      </w:r>
      <w:r w:rsidR="00215B86">
        <w:t>se</w:t>
      </w:r>
      <w:r w:rsidR="00E974D3">
        <w:t xml:space="preserve"> proceedings upon CGU as soon as possible, including the terms of th</w:t>
      </w:r>
      <w:r w:rsidR="00215B86">
        <w:t>is</w:t>
      </w:r>
      <w:r w:rsidR="00E974D3">
        <w:t xml:space="preserve"> judgment when it is settled and provided to the current applicants</w:t>
      </w:r>
      <w:r w:rsidR="00215B86">
        <w:t>; and</w:t>
      </w:r>
    </w:p>
    <w:p w:rsidR="00484F6D" w:rsidRDefault="00E974D3" w:rsidP="00E974D3">
      <w:pPr>
        <w:pStyle w:val="ListNo1"/>
      </w:pPr>
      <w:r>
        <w:t>The parties, including the newly joined parties, have liberty to apply on three days’ notice by contacting my associate</w:t>
      </w:r>
      <w:r w:rsidR="00215B86">
        <w:t xml:space="preserve"> if they need to approach the Court for any matter prior the case management hearing of 1 May 2018.</w:t>
      </w:r>
      <w:r>
        <w:t xml:space="preserve">  </w:t>
      </w:r>
    </w:p>
    <w:p w:rsidR="00965007" w:rsidRDefault="00965007" w:rsidP="00965007">
      <w:pPr>
        <w:pStyle w:val="BodyText"/>
        <w:spacing w:line="240" w:lineRule="auto"/>
      </w:pPr>
      <w:bookmarkStart w:id="20" w:name="Certification"/>
    </w:p>
    <w:tbl>
      <w:tblPr>
        <w:tblW w:w="0" w:type="auto"/>
        <w:tblLook w:val="04A0" w:firstRow="1" w:lastRow="0" w:firstColumn="1" w:lastColumn="0" w:noHBand="0" w:noVBand="1"/>
      </w:tblPr>
      <w:tblGrid>
        <w:gridCol w:w="3794"/>
      </w:tblGrid>
      <w:tr w:rsidR="00965007" w:rsidRPr="00965007">
        <w:tc>
          <w:tcPr>
            <w:tcW w:w="3794" w:type="dxa"/>
            <w:shd w:val="clear" w:color="auto" w:fill="auto"/>
          </w:tcPr>
          <w:p w:rsidR="00965007" w:rsidRPr="00965007" w:rsidRDefault="00965007" w:rsidP="00965007">
            <w:pPr>
              <w:spacing w:line="240" w:lineRule="auto"/>
            </w:pPr>
            <w:r w:rsidRPr="00965007">
              <w:t xml:space="preserve">I certify that the preceding </w:t>
            </w:r>
            <w:bookmarkStart w:id="21" w:name="NumberWord"/>
            <w:r>
              <w:t>ten</w:t>
            </w:r>
            <w:bookmarkEnd w:id="21"/>
            <w:r w:rsidRPr="00965007">
              <w:t xml:space="preserve"> (</w:t>
            </w:r>
            <w:bookmarkStart w:id="22" w:name="NumberNumeral"/>
            <w:r>
              <w:t>10</w:t>
            </w:r>
            <w:bookmarkEnd w:id="22"/>
            <w:r w:rsidRPr="00965007">
              <w:t xml:space="preserve">) numbered </w:t>
            </w:r>
            <w:bookmarkStart w:id="23" w:name="CertPara"/>
            <w:r>
              <w:t>paragraphs are</w:t>
            </w:r>
            <w:bookmarkEnd w:id="23"/>
            <w:r w:rsidRPr="00965007">
              <w:t xml:space="preserve"> a true copy of the Reasons for Judgment herein of the Honourable </w:t>
            </w:r>
            <w:bookmarkStart w:id="24" w:name="Justice"/>
            <w:r>
              <w:t>Chief Justice Allsop</w:t>
            </w:r>
            <w:bookmarkEnd w:id="24"/>
            <w:r w:rsidRPr="00965007">
              <w:t>.</w:t>
            </w:r>
          </w:p>
        </w:tc>
      </w:tr>
    </w:tbl>
    <w:p w:rsidR="00965007" w:rsidRDefault="00965007" w:rsidP="00965007">
      <w:pPr>
        <w:pStyle w:val="BodyText"/>
        <w:spacing w:line="240" w:lineRule="auto"/>
      </w:pPr>
    </w:p>
    <w:p w:rsidR="00965007" w:rsidRDefault="00965007" w:rsidP="00965007">
      <w:pPr>
        <w:pStyle w:val="BodyText"/>
        <w:spacing w:line="240" w:lineRule="auto"/>
      </w:pPr>
    </w:p>
    <w:p w:rsidR="00965007" w:rsidRDefault="00965007" w:rsidP="00965007">
      <w:pPr>
        <w:pStyle w:val="BodyText"/>
        <w:spacing w:line="240" w:lineRule="auto"/>
      </w:pPr>
    </w:p>
    <w:p w:rsidR="00965007" w:rsidRDefault="00965007" w:rsidP="00965007">
      <w:pPr>
        <w:pStyle w:val="BodyText"/>
        <w:spacing w:line="240" w:lineRule="auto"/>
      </w:pPr>
      <w:r>
        <w:t>Associate:</w:t>
      </w:r>
      <w:r w:rsidR="00070AF1">
        <w:t xml:space="preserve">      </w:t>
      </w:r>
      <w:bookmarkStart w:id="25" w:name="_GoBack"/>
      <w:bookmarkEnd w:id="25"/>
    </w:p>
    <w:p w:rsidR="00965007" w:rsidRDefault="00965007" w:rsidP="00965007">
      <w:pPr>
        <w:pStyle w:val="BodyText"/>
        <w:spacing w:line="240" w:lineRule="auto"/>
      </w:pPr>
    </w:p>
    <w:p w:rsidR="00965007" w:rsidRDefault="00965007" w:rsidP="00965007">
      <w:pPr>
        <w:pStyle w:val="BodyText"/>
        <w:tabs>
          <w:tab w:val="left" w:pos="1134"/>
        </w:tabs>
        <w:spacing w:line="240" w:lineRule="auto"/>
      </w:pPr>
      <w:r>
        <w:t>Dated:</w:t>
      </w:r>
      <w:r>
        <w:tab/>
      </w:r>
      <w:bookmarkStart w:id="26" w:name="CertifyDated"/>
      <w:r>
        <w:t>2</w:t>
      </w:r>
      <w:r w:rsidR="00793DAF">
        <w:t>1</w:t>
      </w:r>
      <w:r>
        <w:t xml:space="preserve"> March 2018</w:t>
      </w:r>
      <w:bookmarkEnd w:id="26"/>
    </w:p>
    <w:p w:rsidR="00965007" w:rsidRDefault="00965007" w:rsidP="00965007">
      <w:pPr>
        <w:pStyle w:val="BodyText"/>
        <w:spacing w:line="240" w:lineRule="auto"/>
      </w:pPr>
    </w:p>
    <w:bookmarkEnd w:id="20"/>
    <w:p w:rsidR="00965007" w:rsidRDefault="00965007" w:rsidP="00965007">
      <w:pPr>
        <w:pStyle w:val="BodyText"/>
      </w:pPr>
    </w:p>
    <w:sectPr w:rsidR="0096500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D3" w:rsidRDefault="00E974D3">
      <w:pPr>
        <w:spacing w:line="20" w:lineRule="exact"/>
      </w:pPr>
    </w:p>
    <w:p w:rsidR="00E974D3" w:rsidRDefault="00E974D3"/>
    <w:p w:rsidR="00E974D3" w:rsidRDefault="00E974D3"/>
  </w:endnote>
  <w:endnote w:type="continuationSeparator" w:id="0">
    <w:p w:rsidR="00E974D3" w:rsidRDefault="00E974D3">
      <w:r>
        <w:t xml:space="preserve"> </w:t>
      </w:r>
    </w:p>
    <w:p w:rsidR="00E974D3" w:rsidRDefault="00E974D3"/>
    <w:p w:rsidR="00E974D3" w:rsidRDefault="00E974D3"/>
  </w:endnote>
  <w:endnote w:type="continuationNotice" w:id="1">
    <w:p w:rsidR="00E974D3" w:rsidRDefault="00E974D3">
      <w:r>
        <w:t xml:space="preserve"> </w:t>
      </w:r>
    </w:p>
    <w:p w:rsidR="00E974D3" w:rsidRDefault="00E974D3"/>
    <w:p w:rsidR="00E974D3" w:rsidRDefault="00E97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D3" w:rsidRDefault="00E974D3"/>
    <w:p w:rsidR="00E974D3" w:rsidRDefault="00E974D3"/>
    <w:p w:rsidR="00E974D3" w:rsidRDefault="00E974D3"/>
  </w:footnote>
  <w:footnote w:type="continuationSeparator" w:id="0">
    <w:p w:rsidR="00E974D3" w:rsidRDefault="00E974D3">
      <w:r>
        <w:continuationSeparator/>
      </w:r>
    </w:p>
    <w:p w:rsidR="00E974D3" w:rsidRDefault="00E974D3"/>
    <w:p w:rsidR="00E974D3" w:rsidRDefault="00E97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296664">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F73954">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SMD Drainage Pty Ltd|Duvall Pty Ltd ACN 075 806 99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130 of 2017"/>
    <w:docVar w:name="HearingDate" w:val="20 March 2018"/>
    <w:docVar w:name="Initiators" w:val="(and another named in the Schedule)"/>
    <w:docVar w:name="Judgdate" w:val="20 March 2018"/>
    <w:docVar w:name="Judge" w:val="Allsop"/>
    <w:docVar w:name="Justices" w:val="Justice"/>
    <w:docVar w:name="lstEntryList" w:val="-1"/>
    <w:docVar w:name="myEntryList" w:val="Counsel for the Applicants=Mr J Richardson|Solicitor for the Respondent=Ms S Fountain of DLA Piper"/>
    <w:docVar w:name="NSD" w:val="NSD "/>
    <w:docVar w:name="NumApps" w:val="2"/>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Berkley Insurance Company ACN 115 005 788"/>
    <w:docVar w:name="ResState" w:val="New South Wales"/>
    <w:docVar w:name="SubArea" w:val="Commercial Contracts, Banking, Finance and Insurance  (C &amp; C)"/>
  </w:docVars>
  <w:rsids>
    <w:rsidRoot w:val="00E974D3"/>
    <w:rsid w:val="00004E6B"/>
    <w:rsid w:val="00011DEF"/>
    <w:rsid w:val="0001469E"/>
    <w:rsid w:val="00015993"/>
    <w:rsid w:val="00022289"/>
    <w:rsid w:val="00032F9F"/>
    <w:rsid w:val="00041C07"/>
    <w:rsid w:val="00045BB7"/>
    <w:rsid w:val="00055719"/>
    <w:rsid w:val="0005641B"/>
    <w:rsid w:val="00070AF1"/>
    <w:rsid w:val="00081497"/>
    <w:rsid w:val="000874F5"/>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15B86"/>
    <w:rsid w:val="00224537"/>
    <w:rsid w:val="00235956"/>
    <w:rsid w:val="00247C9A"/>
    <w:rsid w:val="0025160C"/>
    <w:rsid w:val="002535D0"/>
    <w:rsid w:val="002539B3"/>
    <w:rsid w:val="00257C3E"/>
    <w:rsid w:val="002602C2"/>
    <w:rsid w:val="002666C9"/>
    <w:rsid w:val="00270136"/>
    <w:rsid w:val="00274F5B"/>
    <w:rsid w:val="00280836"/>
    <w:rsid w:val="00282E1A"/>
    <w:rsid w:val="0029021D"/>
    <w:rsid w:val="0029113B"/>
    <w:rsid w:val="002934C0"/>
    <w:rsid w:val="00296664"/>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3F483B"/>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1321"/>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93DAF"/>
    <w:rsid w:val="007A620A"/>
    <w:rsid w:val="007A6F28"/>
    <w:rsid w:val="007B03C6"/>
    <w:rsid w:val="007B0DB1"/>
    <w:rsid w:val="007D2EF8"/>
    <w:rsid w:val="007D561F"/>
    <w:rsid w:val="007D7FD2"/>
    <w:rsid w:val="007E13D9"/>
    <w:rsid w:val="007E4DB6"/>
    <w:rsid w:val="007E7CD4"/>
    <w:rsid w:val="00801800"/>
    <w:rsid w:val="00801B5B"/>
    <w:rsid w:val="0082024D"/>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1D5C"/>
    <w:rsid w:val="00942BA2"/>
    <w:rsid w:val="00944C86"/>
    <w:rsid w:val="00957DE8"/>
    <w:rsid w:val="00960ECB"/>
    <w:rsid w:val="009615D6"/>
    <w:rsid w:val="00965007"/>
    <w:rsid w:val="00967855"/>
    <w:rsid w:val="00980736"/>
    <w:rsid w:val="00981A39"/>
    <w:rsid w:val="00987097"/>
    <w:rsid w:val="009B046C"/>
    <w:rsid w:val="009B13FA"/>
    <w:rsid w:val="009B1E2D"/>
    <w:rsid w:val="009C59FB"/>
    <w:rsid w:val="009C6F3B"/>
    <w:rsid w:val="009E4FA6"/>
    <w:rsid w:val="009E7D93"/>
    <w:rsid w:val="009F5C33"/>
    <w:rsid w:val="009F5E22"/>
    <w:rsid w:val="00A03EAC"/>
    <w:rsid w:val="00A11CA6"/>
    <w:rsid w:val="00A20C49"/>
    <w:rsid w:val="00A269CA"/>
    <w:rsid w:val="00A359AC"/>
    <w:rsid w:val="00A41413"/>
    <w:rsid w:val="00A44D2F"/>
    <w:rsid w:val="00A45FB1"/>
    <w:rsid w:val="00A46CCC"/>
    <w:rsid w:val="00A51CFE"/>
    <w:rsid w:val="00A76C13"/>
    <w:rsid w:val="00A92E79"/>
    <w:rsid w:val="00A950B6"/>
    <w:rsid w:val="00AB41C1"/>
    <w:rsid w:val="00AB6500"/>
    <w:rsid w:val="00AD12A8"/>
    <w:rsid w:val="00AF3577"/>
    <w:rsid w:val="00AF35F9"/>
    <w:rsid w:val="00B05C7D"/>
    <w:rsid w:val="00B16436"/>
    <w:rsid w:val="00B346C3"/>
    <w:rsid w:val="00B4471C"/>
    <w:rsid w:val="00B451A6"/>
    <w:rsid w:val="00B722DE"/>
    <w:rsid w:val="00B76C44"/>
    <w:rsid w:val="00B83F87"/>
    <w:rsid w:val="00BA2EFA"/>
    <w:rsid w:val="00BA3DBC"/>
    <w:rsid w:val="00BB2DA2"/>
    <w:rsid w:val="00BB56DC"/>
    <w:rsid w:val="00BD376B"/>
    <w:rsid w:val="00BE183D"/>
    <w:rsid w:val="00BF5D7A"/>
    <w:rsid w:val="00C36442"/>
    <w:rsid w:val="00C400CE"/>
    <w:rsid w:val="00C410FD"/>
    <w:rsid w:val="00C539FB"/>
    <w:rsid w:val="00CA246D"/>
    <w:rsid w:val="00CB5636"/>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974D3"/>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3954"/>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9F5E2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9F5E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5</Pages>
  <Words>1473</Words>
  <Characters>7438</Characters>
  <Application>Microsoft Office Word</Application>
  <DocSecurity>0</DocSecurity>
  <Lines>218</Lines>
  <Paragraphs>92</Paragraphs>
  <ScaleCrop>false</ScaleCrop>
  <HeadingPairs>
    <vt:vector size="2" baseType="variant">
      <vt:variant>
        <vt:lpstr>Title</vt:lpstr>
      </vt:variant>
      <vt:variant>
        <vt:i4>1</vt:i4>
      </vt:variant>
    </vt:vector>
  </HeadingPairs>
  <TitlesOfParts>
    <vt:vector size="1" baseType="lpstr">
      <vt:lpstr>SMD Drainage Pty Ltd v Berkley Insurance Company [2018] FCA 380</vt:lpstr>
    </vt:vector>
  </TitlesOfParts>
  <Company>Federal Court of Australia</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 Drainage Pty Ltd v Berkley Insurance Company [2018] FCA 380</dc:title>
  <dc:creator>ibuild</dc:creator>
  <cp:lastModifiedBy>Anna Masters</cp:lastModifiedBy>
  <cp:revision>3</cp:revision>
  <cp:lastPrinted>2018-03-21T01:06:00Z</cp:lastPrinted>
  <dcterms:created xsi:type="dcterms:W3CDTF">2018-03-21T05:40:00Z</dcterms:created>
  <dcterms:modified xsi:type="dcterms:W3CDTF">2018-03-21T05:40:00Z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20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