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:rsidR="00395B24" w:rsidRDefault="00395B24">
      <w:pPr>
        <w:pStyle w:val="NormalHeadings"/>
        <w:jc w:val="center"/>
        <w:rPr>
          <w:sz w:val="32"/>
        </w:rPr>
      </w:pPr>
    </w:p>
    <w:p w:rsidR="00395B24" w:rsidRDefault="00CB38DE">
      <w:pPr>
        <w:pStyle w:val="MediaNeutralStyle"/>
      </w:pPr>
      <w:bookmarkStart w:id="0" w:name="MNC"/>
      <w:r>
        <w:t xml:space="preserve">SZVJU v Minister for Immigration and Border Protection [2017] FCA </w:t>
      </w:r>
      <w:r w:rsidR="00BE731D">
        <w:t>489</w:t>
      </w:r>
      <w:r w:rsidR="002C7385">
        <w:t xml:space="preserve"> </w:t>
      </w:r>
      <w:bookmarkEnd w:id="0"/>
    </w:p>
    <w:p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:rsidTr="00375046">
        <w:tc>
          <w:tcPr>
            <w:tcW w:w="3085" w:type="dxa"/>
            <w:shd w:val="clear" w:color="auto" w:fill="auto"/>
          </w:tcPr>
          <w:p w:rsidR="00395B24" w:rsidRDefault="002C7385" w:rsidP="002539B3">
            <w:pPr>
              <w:pStyle w:val="Normal1linespace"/>
              <w:widowControl w:val="0"/>
              <w:spacing w:after="60"/>
              <w:jc w:val="left"/>
            </w:pPr>
            <w:r>
              <w:t>Appeal from:</w:t>
            </w:r>
          </w:p>
        </w:tc>
        <w:tc>
          <w:tcPr>
            <w:tcW w:w="5989" w:type="dxa"/>
            <w:shd w:val="clear" w:color="auto" w:fill="auto"/>
          </w:tcPr>
          <w:p w:rsidR="00395B24" w:rsidRDefault="00CB38DE" w:rsidP="002539B3">
            <w:pPr>
              <w:pStyle w:val="CasesLegislationAppealFrom"/>
              <w:spacing w:after="60"/>
            </w:pPr>
            <w:bookmarkStart w:id="1" w:name="AppealFrom"/>
            <w:r>
              <w:rPr>
                <w:i/>
              </w:rPr>
              <w:t>SZVJU v Minister for Immigration and Border Protection</w:t>
            </w:r>
            <w:r>
              <w:t xml:space="preserve"> [2016] FCCA 3110</w:t>
            </w:r>
            <w:r w:rsidR="009264B3">
              <w:t xml:space="preserve"> </w:t>
            </w:r>
            <w:bookmarkEnd w:id="1"/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2C7385" w:rsidP="00CB38DE">
            <w:pPr>
              <w:pStyle w:val="Normal1linespace"/>
              <w:widowControl w:val="0"/>
              <w:jc w:val="left"/>
            </w:pPr>
            <w:r>
              <w:t>File number:</w:t>
            </w:r>
          </w:p>
        </w:tc>
        <w:tc>
          <w:tcPr>
            <w:tcW w:w="5989" w:type="dxa"/>
            <w:shd w:val="clear" w:color="auto" w:fill="auto"/>
          </w:tcPr>
          <w:p w:rsidR="00395B24" w:rsidRPr="006551B5" w:rsidRDefault="008279F2" w:rsidP="006551B5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6551B5" w:rsidRPr="006551B5">
              <w:t>NSD 2095 of 2016</w:t>
            </w:r>
            <w:r>
              <w:fldChar w:fldCharType="end"/>
            </w: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CB38DE" w:rsidP="00CB38DE">
            <w:pPr>
              <w:pStyle w:val="Normal1linespace"/>
              <w:widowControl w:val="0"/>
              <w:jc w:val="left"/>
            </w:pPr>
            <w:r>
              <w:t>Judge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6551B5">
              <w:rPr>
                <w:b/>
              </w:rPr>
              <w:fldChar w:fldCharType="begin" w:fldLock="1"/>
            </w:r>
            <w:r w:rsidRPr="006551B5">
              <w:rPr>
                <w:b/>
              </w:rPr>
              <w:instrText xml:space="preserve"> REF  Judge  \* MERGEFORMAT </w:instrText>
            </w:r>
            <w:r w:rsidRPr="006551B5">
              <w:rPr>
                <w:b/>
              </w:rPr>
              <w:fldChar w:fldCharType="separate"/>
            </w:r>
            <w:r w:rsidR="006551B5" w:rsidRPr="006551B5">
              <w:rPr>
                <w:b/>
                <w:caps/>
                <w:szCs w:val="24"/>
              </w:rPr>
              <w:t>TRACEY J</w:t>
            </w:r>
            <w:r w:rsidRPr="006551B5">
              <w:rPr>
                <w:b/>
              </w:rPr>
              <w:fldChar w:fldCharType="end"/>
            </w: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5E2922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 xml:space="preserve">10 </w:t>
            </w:r>
            <w:r w:rsidR="006551B5">
              <w:t>May 2017</w:t>
            </w:r>
            <w:bookmarkEnd w:id="2"/>
          </w:p>
        </w:tc>
      </w:tr>
      <w:tr w:rsidR="00F76A3B" w:rsidTr="00375046">
        <w:tc>
          <w:tcPr>
            <w:tcW w:w="3085" w:type="dxa"/>
            <w:shd w:val="clear" w:color="auto" w:fill="auto"/>
          </w:tcPr>
          <w:p w:rsidR="00F76A3B" w:rsidRDefault="00F76A3B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F76A3B" w:rsidRDefault="00F76A3B" w:rsidP="00663878">
            <w:pPr>
              <w:pStyle w:val="Normal1linespace"/>
              <w:widowControl w:val="0"/>
              <w:jc w:val="left"/>
            </w:pPr>
          </w:p>
        </w:tc>
      </w:tr>
      <w:tr w:rsidR="00F76A3B" w:rsidTr="00375046">
        <w:tc>
          <w:tcPr>
            <w:tcW w:w="3085" w:type="dxa"/>
            <w:shd w:val="clear" w:color="auto" w:fill="auto"/>
          </w:tcPr>
          <w:p w:rsidR="00F76A3B" w:rsidRDefault="00F76A3B" w:rsidP="00663878">
            <w:pPr>
              <w:pStyle w:val="Normal1linespace"/>
              <w:widowControl w:val="0"/>
              <w:jc w:val="left"/>
            </w:pPr>
            <w:r>
              <w:t>Date of publication of reasons:</w:t>
            </w:r>
          </w:p>
        </w:tc>
        <w:tc>
          <w:tcPr>
            <w:tcW w:w="5989" w:type="dxa"/>
            <w:shd w:val="clear" w:color="auto" w:fill="auto"/>
          </w:tcPr>
          <w:p w:rsidR="00F76A3B" w:rsidRDefault="00C10876" w:rsidP="007511C9">
            <w:pPr>
              <w:pStyle w:val="Normal1linespace"/>
              <w:widowControl w:val="0"/>
              <w:jc w:val="left"/>
            </w:pPr>
            <w:r>
              <w:t>1</w:t>
            </w:r>
            <w:r w:rsidR="007511C9">
              <w:t>5</w:t>
            </w:r>
            <w:r>
              <w:t xml:space="preserve"> </w:t>
            </w:r>
            <w:r w:rsidR="00F76A3B">
              <w:t>May 2017</w:t>
            </w: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:rsidR="00395B24" w:rsidRPr="00FB3833" w:rsidRDefault="001C3253" w:rsidP="002545AF">
            <w:pPr>
              <w:pStyle w:val="Normal1linespace"/>
              <w:widowControl w:val="0"/>
              <w:jc w:val="left"/>
              <w:rPr>
                <w:b/>
              </w:rPr>
            </w:pPr>
            <w:bookmarkStart w:id="3" w:name="Catchwords"/>
            <w:r>
              <w:rPr>
                <w:b/>
              </w:rPr>
              <w:t>MIGRATION</w:t>
            </w:r>
            <w:r w:rsidR="00CD3263" w:rsidRPr="00496177">
              <w:t xml:space="preserve"> </w:t>
            </w:r>
            <w:r w:rsidR="00CD3263">
              <w:t>–</w:t>
            </w:r>
            <w:r>
              <w:t xml:space="preserve"> appeal from </w:t>
            </w:r>
            <w:r w:rsidR="002545AF">
              <w:t xml:space="preserve">a </w:t>
            </w:r>
            <w:r>
              <w:t>decision of the</w:t>
            </w:r>
            <w:r w:rsidR="00CD3263">
              <w:t xml:space="preserve"> Fede</w:t>
            </w:r>
            <w:r w:rsidR="00B676A2">
              <w:t>ral Circuit Court – whether the Court erred in dismissing an application for judicial review of a decision of the Refugee Review Tribunal – where the Tribunal affirmed a decision of the Minister’s delegate to refuse to grant Protection (Class </w:t>
            </w:r>
            <w:r w:rsidR="00CD3263">
              <w:t>X</w:t>
            </w:r>
            <w:r w:rsidR="00B676A2">
              <w:t>A</w:t>
            </w:r>
            <w:r w:rsidR="00CD3263">
              <w:t>) visas</w:t>
            </w:r>
            <w:r w:rsidR="00496177">
              <w:t xml:space="preserve"> – where the Tribunal made adverse credibility findings</w:t>
            </w:r>
            <w:r w:rsidR="002C7385" w:rsidRPr="00FB3833">
              <w:rPr>
                <w:b/>
              </w:rPr>
              <w:t xml:space="preserve"> </w:t>
            </w:r>
            <w:bookmarkEnd w:id="3"/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Pr="00F16A1D" w:rsidRDefault="002C7385" w:rsidP="00663878">
            <w:pPr>
              <w:pStyle w:val="Normal1linespace"/>
              <w:widowControl w:val="0"/>
              <w:jc w:val="left"/>
            </w:pPr>
            <w:r w:rsidRPr="00F16A1D">
              <w:t>Legislation:</w:t>
            </w:r>
          </w:p>
        </w:tc>
        <w:tc>
          <w:tcPr>
            <w:tcW w:w="5989" w:type="dxa"/>
            <w:shd w:val="clear" w:color="auto" w:fill="auto"/>
          </w:tcPr>
          <w:p w:rsidR="00395B24" w:rsidRPr="00B676A2" w:rsidRDefault="005E2922" w:rsidP="00F16A1D">
            <w:pPr>
              <w:pStyle w:val="CasesLegislationAppealFrom"/>
              <w:spacing w:after="60"/>
            </w:pPr>
            <w:bookmarkStart w:id="4" w:name="Legislation"/>
            <w:r w:rsidRPr="00F16A1D">
              <w:rPr>
                <w:i/>
              </w:rPr>
              <w:t>Migration Act 1958</w:t>
            </w:r>
            <w:r w:rsidR="00375046" w:rsidRPr="00F16A1D">
              <w:t xml:space="preserve"> (Cth</w:t>
            </w:r>
            <w:r w:rsidR="00384541" w:rsidRPr="00F16A1D">
              <w:t>)</w:t>
            </w:r>
            <w:r w:rsidR="00384541" w:rsidRPr="00B676A2">
              <w:t xml:space="preserve"> </w:t>
            </w:r>
            <w:r w:rsidR="00384541" w:rsidRPr="00F16A1D">
              <w:t xml:space="preserve">ss 36(2)(a), 36(2)(aa), </w:t>
            </w:r>
            <w:r w:rsidR="00384541" w:rsidRPr="00B676A2">
              <w:t>36(2)(c)</w:t>
            </w:r>
            <w:bookmarkEnd w:id="4"/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Pr="0023626B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375046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:rsidR="00A274AD" w:rsidRPr="0023626B" w:rsidRDefault="00A274AD" w:rsidP="00D82620">
            <w:pPr>
              <w:pStyle w:val="CasesLegislationAppealFrom"/>
              <w:spacing w:after="60"/>
              <w:rPr>
                <w:i/>
              </w:rPr>
            </w:pPr>
            <w:bookmarkStart w:id="5" w:name="Cases_Cited"/>
            <w:r w:rsidRPr="004B2C91">
              <w:rPr>
                <w:i/>
              </w:rPr>
              <w:t xml:space="preserve">SZGIZ v Minister for Immigration and </w:t>
            </w:r>
            <w:r w:rsidRPr="004B2C91">
              <w:t>Citizenship (2013) 212 FCR 235</w:t>
            </w:r>
            <w:r w:rsidR="00732335" w:rsidRPr="0023626B">
              <w:t>; [2013] FCAFC 71</w:t>
            </w:r>
          </w:p>
          <w:p w:rsidR="00395B24" w:rsidRPr="0023626B" w:rsidRDefault="00CB38DE" w:rsidP="00D82620">
            <w:pPr>
              <w:pStyle w:val="CasesLegislationAppealFrom"/>
              <w:spacing w:after="60"/>
            </w:pPr>
            <w:r w:rsidRPr="0023626B">
              <w:rPr>
                <w:i/>
              </w:rPr>
              <w:t>SZVJU v Minister for Immigration and Border Protection</w:t>
            </w:r>
            <w:r w:rsidRPr="0023626B">
              <w:t xml:space="preserve"> [2016] FCCA 3110</w:t>
            </w:r>
            <w:r w:rsidR="002C7385" w:rsidRPr="0023626B">
              <w:t xml:space="preserve"> </w:t>
            </w:r>
            <w:bookmarkEnd w:id="5"/>
          </w:p>
        </w:tc>
      </w:tr>
      <w:tr w:rsidR="00375046" w:rsidRPr="00375046" w:rsidTr="00375046">
        <w:tc>
          <w:tcPr>
            <w:tcW w:w="3085" w:type="dxa"/>
            <w:shd w:val="clear" w:color="auto" w:fill="auto"/>
          </w:tcPr>
          <w:p w:rsidR="00375046" w:rsidRPr="00375046" w:rsidRDefault="00375046" w:rsidP="00375046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Pr="00375046" w:rsidRDefault="00375046" w:rsidP="00375046">
            <w:pPr>
              <w:pStyle w:val="Normal1linespace"/>
              <w:jc w:val="left"/>
            </w:pPr>
          </w:p>
        </w:tc>
      </w:tr>
      <w:tr w:rsidR="00375046" w:rsidRPr="00375046" w:rsidTr="00375046">
        <w:tc>
          <w:tcPr>
            <w:tcW w:w="3085" w:type="dxa"/>
            <w:shd w:val="clear" w:color="auto" w:fill="auto"/>
          </w:tcPr>
          <w:p w:rsidR="00375046" w:rsidRPr="00375046" w:rsidRDefault="00375046" w:rsidP="00375046">
            <w:pPr>
              <w:pStyle w:val="Normal1linespace"/>
              <w:jc w:val="left"/>
            </w:pPr>
            <w:bookmarkStart w:id="6" w:name="CounselDate" w:colFirst="0" w:colLast="2"/>
            <w:r w:rsidRPr="00375046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375046" w:rsidRPr="00375046" w:rsidRDefault="00B12593" w:rsidP="00375046">
            <w:pPr>
              <w:pStyle w:val="Normal1linespace"/>
              <w:jc w:val="left"/>
            </w:pPr>
            <w:bookmarkStart w:id="7" w:name="HearingDate"/>
            <w:r>
              <w:t>10 M</w:t>
            </w:r>
            <w:r w:rsidR="00F76A3B">
              <w:t>ay</w:t>
            </w:r>
            <w:r>
              <w:t xml:space="preserve"> 2017</w:t>
            </w:r>
            <w:bookmarkEnd w:id="7"/>
          </w:p>
        </w:tc>
      </w:tr>
      <w:tr w:rsidR="00375046" w:rsidRPr="00375046" w:rsidTr="00375046">
        <w:tc>
          <w:tcPr>
            <w:tcW w:w="3085" w:type="dxa"/>
            <w:shd w:val="clear" w:color="auto" w:fill="auto"/>
          </w:tcPr>
          <w:p w:rsidR="00375046" w:rsidRPr="00375046" w:rsidRDefault="00375046" w:rsidP="00375046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Pr="00375046" w:rsidRDefault="00375046" w:rsidP="00375046">
            <w:pPr>
              <w:pStyle w:val="Normal1linespace"/>
              <w:jc w:val="left"/>
            </w:pPr>
          </w:p>
        </w:tc>
      </w:tr>
      <w:bookmarkEnd w:id="6"/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:rsidR="00375046" w:rsidRPr="00F17599" w:rsidRDefault="00634FDE" w:rsidP="00375046">
            <w:pPr>
              <w:pStyle w:val="Normal1linespace"/>
              <w:widowControl w:val="0"/>
              <w:jc w:val="left"/>
            </w:pPr>
            <w:fldSimple w:instr=" DOCPROPERTY  Registry ">
              <w:r w:rsidR="00375046">
                <w:t>New South Wales</w:t>
              </w:r>
            </w:fldSimple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:rsidR="00375046" w:rsidRPr="00F17599" w:rsidRDefault="00634FDE" w:rsidP="00375046">
            <w:pPr>
              <w:pStyle w:val="Normal1linespace"/>
              <w:widowControl w:val="0"/>
              <w:jc w:val="left"/>
            </w:pPr>
            <w:fldSimple w:instr=" DOCPROPERTY  Division ">
              <w:r w:rsidR="00375046">
                <w:t>General Division</w:t>
              </w:r>
            </w:fldSimple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Pr="00F17599" w:rsidRDefault="00375046" w:rsidP="00375046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:rsidR="00375046" w:rsidRPr="00F17599" w:rsidRDefault="00634FDE" w:rsidP="00375046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375046">
                <w:t>Administrative and Constitutional Law and Human Rights</w:t>
              </w:r>
            </w:fldSimple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5989" w:type="dxa"/>
            <w:shd w:val="clear" w:color="auto" w:fill="auto"/>
          </w:tcPr>
          <w:p w:rsidR="00375046" w:rsidRDefault="0012684D" w:rsidP="00375046">
            <w:pPr>
              <w:pStyle w:val="Normal1linespace"/>
              <w:widowControl w:val="0"/>
              <w:jc w:val="left"/>
            </w:pPr>
            <w:r>
              <w:t>Catchwords</w:t>
            </w: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375046" w:rsidRDefault="00B12593" w:rsidP="00375046">
            <w:pPr>
              <w:pStyle w:val="Normal1linespace"/>
              <w:widowControl w:val="0"/>
              <w:jc w:val="left"/>
            </w:pPr>
            <w:bookmarkStart w:id="8" w:name="PlaceCategoryParagraphs"/>
            <w:r>
              <w:t>18</w:t>
            </w:r>
            <w:bookmarkEnd w:id="8"/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</w:tr>
      <w:tr w:rsidR="00B12593" w:rsidTr="00B12593">
        <w:tc>
          <w:tcPr>
            <w:tcW w:w="3085" w:type="dxa"/>
            <w:shd w:val="clear" w:color="auto" w:fill="auto"/>
          </w:tcPr>
          <w:p w:rsidR="00B12593" w:rsidRDefault="00B12593" w:rsidP="00B12593">
            <w:pPr>
              <w:pStyle w:val="Normal1linespace"/>
              <w:widowControl w:val="0"/>
              <w:jc w:val="left"/>
            </w:pPr>
            <w:bookmarkStart w:id="9" w:name="Counsel" w:colFirst="0" w:colLast="2"/>
            <w:r>
              <w:t>Counsel for the First and Second Appellants:</w:t>
            </w:r>
          </w:p>
        </w:tc>
        <w:tc>
          <w:tcPr>
            <w:tcW w:w="5989" w:type="dxa"/>
            <w:shd w:val="clear" w:color="auto" w:fill="auto"/>
          </w:tcPr>
          <w:p w:rsidR="00B12593" w:rsidRDefault="00B12593" w:rsidP="00B12593">
            <w:pPr>
              <w:pStyle w:val="Normal1linespace"/>
              <w:widowControl w:val="0"/>
              <w:jc w:val="left"/>
            </w:pPr>
            <w:bookmarkStart w:id="10" w:name="AppCounsel"/>
            <w:bookmarkEnd w:id="10"/>
            <w:r>
              <w:t>The First and Second Appellants appeared in person with the assistance of an interpreter</w:t>
            </w:r>
          </w:p>
        </w:tc>
      </w:tr>
      <w:bookmarkEnd w:id="9"/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B12593" w:rsidP="00375046">
            <w:pPr>
              <w:pStyle w:val="Normal1linespace"/>
              <w:widowControl w:val="0"/>
              <w:jc w:val="left"/>
            </w:pPr>
            <w:r>
              <w:t>Counsel for the First Respondent:</w:t>
            </w:r>
          </w:p>
        </w:tc>
        <w:tc>
          <w:tcPr>
            <w:tcW w:w="5989" w:type="dxa"/>
            <w:shd w:val="clear" w:color="auto" w:fill="auto"/>
          </w:tcPr>
          <w:p w:rsidR="00375046" w:rsidRDefault="00B12593" w:rsidP="00375046">
            <w:pPr>
              <w:pStyle w:val="Normal1linespace"/>
              <w:widowControl w:val="0"/>
              <w:jc w:val="left"/>
            </w:pPr>
            <w:r>
              <w:t>Mr MJ Smith</w:t>
            </w:r>
          </w:p>
        </w:tc>
      </w:tr>
      <w:tr w:rsidR="00D128A9" w:rsidTr="00375046">
        <w:tc>
          <w:tcPr>
            <w:tcW w:w="3085" w:type="dxa"/>
            <w:shd w:val="clear" w:color="auto" w:fill="auto"/>
          </w:tcPr>
          <w:p w:rsidR="00D128A9" w:rsidRDefault="00D128A9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D128A9" w:rsidRDefault="00D128A9" w:rsidP="00375046">
            <w:pPr>
              <w:pStyle w:val="Normal1linespace"/>
              <w:widowControl w:val="0"/>
              <w:jc w:val="left"/>
            </w:pPr>
          </w:p>
        </w:tc>
      </w:tr>
      <w:tr w:rsidR="00D128A9" w:rsidTr="00375046">
        <w:tc>
          <w:tcPr>
            <w:tcW w:w="3085" w:type="dxa"/>
            <w:shd w:val="clear" w:color="auto" w:fill="auto"/>
          </w:tcPr>
          <w:p w:rsidR="00D128A9" w:rsidRDefault="00D128A9" w:rsidP="00375046">
            <w:pPr>
              <w:pStyle w:val="Normal1linespace"/>
              <w:widowControl w:val="0"/>
              <w:jc w:val="left"/>
            </w:pPr>
            <w:r>
              <w:t>Solicitor for the First Respondent:</w:t>
            </w:r>
          </w:p>
        </w:tc>
        <w:tc>
          <w:tcPr>
            <w:tcW w:w="5989" w:type="dxa"/>
            <w:shd w:val="clear" w:color="auto" w:fill="auto"/>
          </w:tcPr>
          <w:p w:rsidR="00D128A9" w:rsidRDefault="00D128A9" w:rsidP="00375046">
            <w:pPr>
              <w:pStyle w:val="Normal1linespace"/>
              <w:widowControl w:val="0"/>
              <w:jc w:val="left"/>
            </w:pPr>
            <w:r w:rsidRPr="00D128A9">
              <w:t>DLA Piper Australia</w:t>
            </w:r>
          </w:p>
        </w:tc>
      </w:tr>
      <w:tr w:rsidR="00375046" w:rsidTr="00375046">
        <w:tc>
          <w:tcPr>
            <w:tcW w:w="3085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75046" w:rsidRDefault="00375046" w:rsidP="00375046">
            <w:pPr>
              <w:pStyle w:val="Normal1linespace"/>
              <w:widowControl w:val="0"/>
              <w:jc w:val="left"/>
            </w:pPr>
          </w:p>
        </w:tc>
      </w:tr>
      <w:tr w:rsidR="00B12593" w:rsidTr="00375046">
        <w:tc>
          <w:tcPr>
            <w:tcW w:w="3085" w:type="dxa"/>
            <w:shd w:val="clear" w:color="auto" w:fill="auto"/>
          </w:tcPr>
          <w:p w:rsidR="00B12593" w:rsidDel="00B12593" w:rsidRDefault="00B12593" w:rsidP="00375046">
            <w:pPr>
              <w:pStyle w:val="Normal1linespace"/>
              <w:widowControl w:val="0"/>
              <w:jc w:val="left"/>
            </w:pPr>
            <w:r>
              <w:t>Counsel for the Second Respondent:</w:t>
            </w:r>
          </w:p>
        </w:tc>
        <w:tc>
          <w:tcPr>
            <w:tcW w:w="5989" w:type="dxa"/>
            <w:shd w:val="clear" w:color="auto" w:fill="auto"/>
          </w:tcPr>
          <w:p w:rsidR="00B12593" w:rsidDel="00B12593" w:rsidRDefault="00B12593" w:rsidP="00375046">
            <w:pPr>
              <w:pStyle w:val="Normal1linespace"/>
              <w:widowControl w:val="0"/>
              <w:jc w:val="left"/>
            </w:pPr>
            <w:r>
              <w:t>The Second Respondent filed a submitting notice, save as to costs</w:t>
            </w:r>
          </w:p>
        </w:tc>
      </w:tr>
    </w:tbl>
    <w:p w:rsidR="00395B24" w:rsidRDefault="00395B24">
      <w:pPr>
        <w:pStyle w:val="Normal1linespace"/>
        <w:sectPr w:rsidR="00395B24">
          <w:footerReference w:type="first" r:id="rId9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8C7167" w:rsidRPr="00DB0858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DB0858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RPr="00DB0858" w:rsidTr="00E81DA6">
        <w:tc>
          <w:tcPr>
            <w:tcW w:w="6912" w:type="dxa"/>
            <w:gridSpan w:val="2"/>
          </w:tcPr>
          <w:p w:rsidR="00A46CCC" w:rsidRPr="00DB0858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Pr="00DB0858" w:rsidRDefault="006551B5" w:rsidP="00F92355">
            <w:pPr>
              <w:pStyle w:val="NormalHeadings"/>
              <w:jc w:val="right"/>
            </w:pPr>
            <w:bookmarkStart w:id="11" w:name="FileNo"/>
            <w:r w:rsidRPr="00DB0858">
              <w:t>NSD 2095 of 2016</w:t>
            </w:r>
            <w:bookmarkEnd w:id="11"/>
          </w:p>
        </w:tc>
      </w:tr>
      <w:tr w:rsidR="00A76C13" w:rsidRPr="00DB0858" w:rsidTr="00F461A4">
        <w:tc>
          <w:tcPr>
            <w:tcW w:w="9242" w:type="dxa"/>
            <w:gridSpan w:val="3"/>
          </w:tcPr>
          <w:p w:rsidR="00A76C13" w:rsidRPr="00DB0858" w:rsidRDefault="006551B5" w:rsidP="006551B5">
            <w:pPr>
              <w:pStyle w:val="NormalHeadings"/>
              <w:jc w:val="left"/>
            </w:pPr>
            <w:bookmarkStart w:id="12" w:name="InTheMatterOf"/>
            <w:r w:rsidRPr="00DB0858">
              <w:t xml:space="preserve"> </w:t>
            </w:r>
            <w:bookmarkEnd w:id="12"/>
          </w:p>
        </w:tc>
      </w:tr>
      <w:tr w:rsidR="00A46CCC" w:rsidRPr="00DB0858" w:rsidTr="005041F0">
        <w:trPr>
          <w:trHeight w:val="386"/>
        </w:trPr>
        <w:tc>
          <w:tcPr>
            <w:tcW w:w="2376" w:type="dxa"/>
          </w:tcPr>
          <w:p w:rsidR="00A46CCC" w:rsidRPr="00DB0858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3" w:name="Parties"/>
            <w:r w:rsidRPr="00DB0858"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6551B5" w:rsidRPr="00DB0858" w:rsidRDefault="006551B5" w:rsidP="006551B5">
            <w:pPr>
              <w:pStyle w:val="NormalHeadings"/>
              <w:jc w:val="left"/>
            </w:pPr>
            <w:bookmarkStart w:id="14" w:name="Applicant"/>
            <w:r w:rsidRPr="00DB0858">
              <w:t>SZVJU</w:t>
            </w:r>
          </w:p>
          <w:p w:rsidR="006551B5" w:rsidRPr="00DB0858" w:rsidRDefault="006551B5" w:rsidP="006551B5">
            <w:pPr>
              <w:pStyle w:val="PartyType"/>
            </w:pPr>
            <w:r w:rsidRPr="00DB0858">
              <w:t>First Appellant</w:t>
            </w:r>
          </w:p>
          <w:p w:rsidR="006551B5" w:rsidRPr="00DB0858" w:rsidRDefault="006551B5" w:rsidP="006551B5">
            <w:pPr>
              <w:pStyle w:val="NormalHeadings"/>
              <w:jc w:val="left"/>
            </w:pPr>
          </w:p>
          <w:p w:rsidR="006551B5" w:rsidRPr="00DB0858" w:rsidRDefault="006551B5" w:rsidP="006551B5">
            <w:pPr>
              <w:pStyle w:val="NormalHeadings"/>
              <w:jc w:val="left"/>
            </w:pPr>
            <w:r w:rsidRPr="00DB0858">
              <w:t>SZVJV</w:t>
            </w:r>
          </w:p>
          <w:p w:rsidR="006551B5" w:rsidRPr="00DB0858" w:rsidRDefault="006551B5" w:rsidP="006551B5">
            <w:pPr>
              <w:pStyle w:val="PartyType"/>
            </w:pPr>
            <w:r w:rsidRPr="00DB0858">
              <w:t>Second Appellant</w:t>
            </w:r>
          </w:p>
          <w:bookmarkEnd w:id="14"/>
          <w:p w:rsidR="00A46CCC" w:rsidRPr="00DB0858" w:rsidRDefault="00A46CCC" w:rsidP="006551B5">
            <w:pPr>
              <w:pStyle w:val="NormalHeadings"/>
              <w:jc w:val="left"/>
            </w:pPr>
          </w:p>
        </w:tc>
      </w:tr>
      <w:tr w:rsidR="00A46CCC" w:rsidRPr="00DB0858" w:rsidTr="005041F0">
        <w:trPr>
          <w:trHeight w:val="386"/>
        </w:trPr>
        <w:tc>
          <w:tcPr>
            <w:tcW w:w="2376" w:type="dxa"/>
          </w:tcPr>
          <w:p w:rsidR="00A46CCC" w:rsidRPr="00DB0858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 w:rsidRPr="00DB0858"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6551B5" w:rsidRPr="00DB0858" w:rsidRDefault="006551B5" w:rsidP="006551B5">
            <w:pPr>
              <w:pStyle w:val="NormalHeadings"/>
              <w:jc w:val="left"/>
            </w:pPr>
            <w:bookmarkStart w:id="15" w:name="Respondent"/>
            <w:r w:rsidRPr="00DB0858">
              <w:t>MINISTER FOR IMMIGRATION AND BORDER PROTECTION</w:t>
            </w:r>
          </w:p>
          <w:p w:rsidR="006551B5" w:rsidRPr="00DB0858" w:rsidRDefault="006551B5" w:rsidP="006551B5">
            <w:pPr>
              <w:pStyle w:val="PartyType"/>
            </w:pPr>
            <w:r w:rsidRPr="00DB0858">
              <w:t>First Respondent</w:t>
            </w:r>
          </w:p>
          <w:p w:rsidR="006551B5" w:rsidRPr="00DB0858" w:rsidRDefault="006551B5" w:rsidP="006551B5">
            <w:pPr>
              <w:pStyle w:val="NormalHeadings"/>
              <w:jc w:val="left"/>
            </w:pPr>
          </w:p>
          <w:p w:rsidR="006551B5" w:rsidRPr="00DB0858" w:rsidRDefault="006551B5" w:rsidP="006551B5">
            <w:pPr>
              <w:pStyle w:val="NormalHeadings"/>
              <w:jc w:val="left"/>
            </w:pPr>
            <w:r w:rsidRPr="00DB0858">
              <w:t>ADMINISTRATIVE APPEALS TRIBUNAL</w:t>
            </w:r>
          </w:p>
          <w:p w:rsidR="006551B5" w:rsidRPr="00DB0858" w:rsidRDefault="006551B5" w:rsidP="006551B5">
            <w:pPr>
              <w:pStyle w:val="PartyType"/>
            </w:pPr>
            <w:r w:rsidRPr="00DB0858">
              <w:t>Second Respondent</w:t>
            </w:r>
          </w:p>
          <w:bookmarkEnd w:id="15"/>
          <w:p w:rsidR="00A46CCC" w:rsidRPr="00DB0858" w:rsidRDefault="00A46CCC" w:rsidP="006551B5">
            <w:pPr>
              <w:pStyle w:val="NormalHeadings"/>
              <w:jc w:val="left"/>
            </w:pPr>
          </w:p>
        </w:tc>
      </w:tr>
    </w:tbl>
    <w:p w:rsidR="00395B24" w:rsidRPr="00DB0858" w:rsidRDefault="00395B24">
      <w:pPr>
        <w:pStyle w:val="NormalHeadings"/>
      </w:pPr>
      <w:bookmarkStart w:id="16" w:name="CrossClaimPosition"/>
      <w:bookmarkEnd w:id="13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:rsidRPr="00DB0858">
        <w:tc>
          <w:tcPr>
            <w:tcW w:w="2376" w:type="dxa"/>
          </w:tcPr>
          <w:p w:rsidR="00395B24" w:rsidRPr="00DB0858" w:rsidRDefault="006551B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7" w:name="JudgeText"/>
            <w:r w:rsidRPr="00DB0858">
              <w:rPr>
                <w:caps/>
                <w:szCs w:val="24"/>
              </w:rPr>
              <w:t>JUDGE</w:t>
            </w:r>
            <w:bookmarkEnd w:id="17"/>
            <w:r w:rsidR="002C7385" w:rsidRPr="00DB0858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Pr="00DB0858" w:rsidRDefault="006551B5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e"/>
            <w:r w:rsidRPr="00DB0858">
              <w:rPr>
                <w:caps/>
                <w:szCs w:val="24"/>
              </w:rPr>
              <w:t>TRACEY J</w:t>
            </w:r>
            <w:bookmarkEnd w:id="18"/>
          </w:p>
        </w:tc>
      </w:tr>
      <w:tr w:rsidR="00395B24" w:rsidRPr="00DB0858">
        <w:tc>
          <w:tcPr>
            <w:tcW w:w="2376" w:type="dxa"/>
          </w:tcPr>
          <w:p w:rsidR="00395B24" w:rsidRPr="00DB0858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 w:rsidRPr="00DB0858"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Pr="00DB0858" w:rsidRDefault="005E2922">
            <w:pPr>
              <w:pStyle w:val="NormalHeadings"/>
              <w:jc w:val="left"/>
              <w:rPr>
                <w:caps/>
                <w:szCs w:val="24"/>
              </w:rPr>
            </w:pPr>
            <w:bookmarkStart w:id="19" w:name="Judgment_Dated"/>
            <w:r w:rsidRPr="00DB0858">
              <w:rPr>
                <w:caps/>
                <w:szCs w:val="24"/>
              </w:rPr>
              <w:t>10</w:t>
            </w:r>
            <w:r w:rsidR="006551B5" w:rsidRPr="00DB0858">
              <w:rPr>
                <w:caps/>
                <w:szCs w:val="24"/>
              </w:rPr>
              <w:t xml:space="preserve"> MAY 2017</w:t>
            </w:r>
            <w:bookmarkEnd w:id="19"/>
          </w:p>
        </w:tc>
      </w:tr>
    </w:tbl>
    <w:p w:rsidR="00395B24" w:rsidRPr="00DB0858" w:rsidRDefault="00395B24">
      <w:pPr>
        <w:pStyle w:val="NormalHeadings"/>
        <w:rPr>
          <w:b w:val="0"/>
        </w:rPr>
      </w:pPr>
    </w:p>
    <w:p w:rsidR="008D1617" w:rsidRPr="00DB0858" w:rsidRDefault="008D1617">
      <w:pPr>
        <w:pStyle w:val="NormalHeadings"/>
        <w:rPr>
          <w:b w:val="0"/>
        </w:rPr>
      </w:pPr>
    </w:p>
    <w:p w:rsidR="00395B24" w:rsidRPr="00DB0858" w:rsidRDefault="002C7385">
      <w:pPr>
        <w:pStyle w:val="NormalHeadings"/>
      </w:pPr>
      <w:r w:rsidRPr="00DB0858">
        <w:t>THE COURT ORDERS THAT:</w:t>
      </w:r>
    </w:p>
    <w:p w:rsidR="00395B24" w:rsidRPr="00DB0858" w:rsidRDefault="00395B24">
      <w:pPr>
        <w:pStyle w:val="NormalHeadings"/>
      </w:pPr>
    </w:p>
    <w:p w:rsidR="00395B24" w:rsidRPr="00DB0858" w:rsidRDefault="0089190D" w:rsidP="00274F5B">
      <w:pPr>
        <w:pStyle w:val="Order1"/>
      </w:pPr>
      <w:bookmarkStart w:id="20" w:name="Order_Start_Text"/>
      <w:bookmarkEnd w:id="20"/>
      <w:r w:rsidRPr="00DB0858">
        <w:t>The appeal</w:t>
      </w:r>
      <w:r w:rsidR="00E54352" w:rsidRPr="00DB0858">
        <w:t>s</w:t>
      </w:r>
      <w:r w:rsidRPr="00DB0858">
        <w:t xml:space="preserve"> </w:t>
      </w:r>
      <w:proofErr w:type="gramStart"/>
      <w:r w:rsidRPr="00DB0858">
        <w:t>be</w:t>
      </w:r>
      <w:proofErr w:type="gramEnd"/>
      <w:r w:rsidRPr="00DB0858">
        <w:t xml:space="preserve"> dismissed.</w:t>
      </w:r>
    </w:p>
    <w:p w:rsidR="0089190D" w:rsidRPr="00DB0858" w:rsidRDefault="00E54352" w:rsidP="00274F5B">
      <w:pPr>
        <w:pStyle w:val="Order1"/>
      </w:pPr>
      <w:r w:rsidRPr="00DB0858">
        <w:t>The appellants pay the first respondent’s costs of the appeal.</w:t>
      </w:r>
    </w:p>
    <w:p w:rsidR="00636871" w:rsidRPr="00DB0858" w:rsidRDefault="00636871" w:rsidP="002B0E91">
      <w:pPr>
        <w:pStyle w:val="BodyText"/>
      </w:pPr>
    </w:p>
    <w:p w:rsidR="00395B24" w:rsidRPr="00DB0858" w:rsidRDefault="00395B24" w:rsidP="002B0E91">
      <w:pPr>
        <w:pStyle w:val="BodyText"/>
      </w:pPr>
    </w:p>
    <w:p w:rsidR="00395B24" w:rsidRPr="00DB0858" w:rsidRDefault="002C7385" w:rsidP="004D53E5">
      <w:pPr>
        <w:pStyle w:val="SingleSpace"/>
      </w:pPr>
      <w:r w:rsidRPr="00DB0858">
        <w:t>Note:</w:t>
      </w:r>
      <w:r w:rsidRPr="00DB0858">
        <w:tab/>
        <w:t xml:space="preserve">Entry of orders is dealt with in Rule 39.32 of the </w:t>
      </w:r>
      <w:r w:rsidRPr="00DB0858">
        <w:rPr>
          <w:i/>
        </w:rPr>
        <w:t>Federal Court Rules 2011</w:t>
      </w:r>
      <w:r w:rsidRPr="00DB0858">
        <w:t>.</w:t>
      </w:r>
    </w:p>
    <w:p w:rsidR="00395B24" w:rsidRPr="00DB0858" w:rsidRDefault="00395B24" w:rsidP="002B0E91">
      <w:pPr>
        <w:pStyle w:val="BodyText"/>
      </w:pPr>
    </w:p>
    <w:p w:rsidR="00395B24" w:rsidRPr="00DB0858" w:rsidRDefault="00395B24" w:rsidP="001F2DBC">
      <w:pPr>
        <w:pStyle w:val="BodyText"/>
      </w:pPr>
    </w:p>
    <w:p w:rsidR="0092590B" w:rsidRPr="00DB0858" w:rsidRDefault="0092590B" w:rsidP="002B0E91">
      <w:pPr>
        <w:pStyle w:val="BodyText"/>
      </w:pPr>
    </w:p>
    <w:p w:rsidR="00395B24" w:rsidRPr="00DB0858" w:rsidRDefault="00395B24">
      <w:pPr>
        <w:pStyle w:val="NormalHeadings"/>
        <w:spacing w:before="240" w:after="120"/>
        <w:rPr>
          <w:b w:val="0"/>
        </w:rPr>
        <w:sectPr w:rsidR="00395B24" w:rsidRPr="00DB0858" w:rsidSect="0092590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Pr="00DB0858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1" w:name="ReasonsPage"/>
      <w:bookmarkEnd w:id="21"/>
      <w:r w:rsidRPr="00DB0858">
        <w:rPr>
          <w:sz w:val="28"/>
          <w:szCs w:val="28"/>
        </w:rPr>
        <w:lastRenderedPageBreak/>
        <w:t>REASONS FOR JUDGMENT</w:t>
      </w:r>
    </w:p>
    <w:p w:rsidR="00395B24" w:rsidRPr="00DB0858" w:rsidRDefault="00E54352" w:rsidP="005E0510">
      <w:pPr>
        <w:pStyle w:val="NormalHeadings"/>
        <w:spacing w:line="360" w:lineRule="auto"/>
        <w:jc w:val="left"/>
        <w:rPr>
          <w:sz w:val="26"/>
          <w:szCs w:val="26"/>
        </w:rPr>
      </w:pPr>
      <w:r w:rsidRPr="00DB0858">
        <w:rPr>
          <w:sz w:val="26"/>
          <w:szCs w:val="26"/>
        </w:rPr>
        <w:t>TRACEY J:</w:t>
      </w:r>
    </w:p>
    <w:p w:rsidR="00484F6D" w:rsidRPr="00DB0858" w:rsidRDefault="00CB38DE" w:rsidP="006551B5">
      <w:pPr>
        <w:pStyle w:val="ParaNumbering"/>
      </w:pPr>
      <w:r w:rsidRPr="00DB0858">
        <w:t xml:space="preserve">This is an appeal from the Federal Circuit Court (“the FCC”): see </w:t>
      </w:r>
      <w:r w:rsidRPr="00DB0858">
        <w:rPr>
          <w:i/>
        </w:rPr>
        <w:t>SZVJU v Minister for Immigration and Border Protection</w:t>
      </w:r>
      <w:r w:rsidR="007266F5" w:rsidRPr="00DB0858">
        <w:t xml:space="preserve"> [2016] FCCA 3110.  The FCC</w:t>
      </w:r>
      <w:r w:rsidRPr="00DB0858">
        <w:t xml:space="preserve"> dismissed an application for judicial review of a decision of the Refugee Review Tribunal </w:t>
      </w:r>
      <w:r w:rsidR="00B676A2" w:rsidRPr="00DB0858">
        <w:t xml:space="preserve">(“the Tribunal”) </w:t>
      </w:r>
      <w:r w:rsidRPr="00DB0858">
        <w:t>(now the Administrative Appeals Tribunal</w:t>
      </w:r>
      <w:r w:rsidR="00A6669B" w:rsidRPr="00DB0858">
        <w:t>)</w:t>
      </w:r>
      <w:r w:rsidRPr="00DB0858">
        <w:t xml:space="preserve"> in which it had affirmed a decision of a delegate of the Minister not to grant the appellants’ </w:t>
      </w:r>
      <w:r w:rsidR="00251FC3" w:rsidRPr="00DB0858">
        <w:t>P</w:t>
      </w:r>
      <w:r w:rsidRPr="00DB0858">
        <w:t xml:space="preserve">rotection </w:t>
      </w:r>
      <w:r w:rsidR="00251FC3" w:rsidRPr="00DB0858">
        <w:t xml:space="preserve">(Class XA) </w:t>
      </w:r>
      <w:r w:rsidRPr="00DB0858">
        <w:t>visas.</w:t>
      </w:r>
    </w:p>
    <w:p w:rsidR="00CB38DE" w:rsidRPr="00DB0858" w:rsidRDefault="00CB38DE" w:rsidP="006551B5">
      <w:pPr>
        <w:pStyle w:val="ParaNumbering"/>
      </w:pPr>
      <w:r w:rsidRPr="00DB0858">
        <w:t xml:space="preserve">The </w:t>
      </w:r>
      <w:r w:rsidR="00732335" w:rsidRPr="00DB0858">
        <w:t xml:space="preserve">first and second </w:t>
      </w:r>
      <w:r w:rsidRPr="00DB0858">
        <w:t>appellants, who are Chinese citizens, entered Australia in 2002 and 2007 respectively.  Following their arrivals</w:t>
      </w:r>
      <w:r w:rsidR="00B12593" w:rsidRPr="00DB0858">
        <w:t>,</w:t>
      </w:r>
      <w:r w:rsidRPr="00DB0858">
        <w:t xml:space="preserve"> each made applications for protection visas.  </w:t>
      </w:r>
      <w:r w:rsidR="005A0BE2" w:rsidRPr="00DB0858">
        <w:t>SZVJU claimed to fear persecution in China because he was a Falun Gong practitioner.  SZ</w:t>
      </w:r>
      <w:r w:rsidR="008A2718" w:rsidRPr="00DB0858">
        <w:t>V</w:t>
      </w:r>
      <w:r w:rsidR="005A0BE2" w:rsidRPr="00DB0858">
        <w:t>JV</w:t>
      </w:r>
      <w:r w:rsidR="005A0BE2" w:rsidRPr="00DB0858">
        <w:rPr>
          <w:i/>
        </w:rPr>
        <w:t xml:space="preserve"> </w:t>
      </w:r>
      <w:r w:rsidR="005A0BE2" w:rsidRPr="00DB0858">
        <w:t xml:space="preserve">claimed to fear persecution because she was a Christian.  </w:t>
      </w:r>
      <w:r w:rsidRPr="00DB0858">
        <w:t>Each application was refused.  The refusals were affirmed by the former Tribunal.</w:t>
      </w:r>
    </w:p>
    <w:p w:rsidR="00CB38DE" w:rsidRPr="00DB0858" w:rsidRDefault="00CB38DE" w:rsidP="00B676A2">
      <w:pPr>
        <w:pStyle w:val="ParaNumbering"/>
      </w:pPr>
      <w:r w:rsidRPr="00DB0858">
        <w:t>Each application had been made under s 36(2</w:t>
      </w:r>
      <w:proofErr w:type="gramStart"/>
      <w:r w:rsidRPr="00DB0858">
        <w:t>)(</w:t>
      </w:r>
      <w:proofErr w:type="gramEnd"/>
      <w:r w:rsidRPr="00DB0858">
        <w:t xml:space="preserve">a) of the </w:t>
      </w:r>
      <w:r w:rsidRPr="00DB0858">
        <w:rPr>
          <w:i/>
        </w:rPr>
        <w:t>Migration Act 1958</w:t>
      </w:r>
      <w:r w:rsidR="005E2922" w:rsidRPr="00DB0858">
        <w:t xml:space="preserve"> (Cth) (“the </w:t>
      </w:r>
      <w:r w:rsidRPr="00DB0858">
        <w:t>Act”).  This paragraph incorporated the criteria, prescribed by the Refugee</w:t>
      </w:r>
      <w:r w:rsidR="005171BE">
        <w:t>s</w:t>
      </w:r>
      <w:r w:rsidR="00A6669B" w:rsidRPr="00DB0858">
        <w:t xml:space="preserve"> Convention</w:t>
      </w:r>
      <w:r w:rsidR="00172562">
        <w:t xml:space="preserve"> as amended by the Refugees Protocol</w:t>
      </w:r>
      <w:r w:rsidR="00A6669B" w:rsidRPr="00DB0858">
        <w:t xml:space="preserve">, for establishing </w:t>
      </w:r>
      <w:r w:rsidRPr="00DB0858">
        <w:t xml:space="preserve">refugee status.  </w:t>
      </w:r>
    </w:p>
    <w:p w:rsidR="00CB38DE" w:rsidRPr="00DB0858" w:rsidRDefault="000379E8" w:rsidP="006551B5">
      <w:pPr>
        <w:pStyle w:val="ParaNumbering"/>
      </w:pPr>
      <w:r w:rsidRPr="00DB0858">
        <w:t>On 24 March 2012</w:t>
      </w:r>
      <w:r w:rsidR="002545AF">
        <w:t>,</w:t>
      </w:r>
      <w:r w:rsidRPr="00DB0858">
        <w:t xml:space="preserve"> amendments to the Act came into force.  They </w:t>
      </w:r>
      <w:r w:rsidR="00C10876">
        <w:t>introduced</w:t>
      </w:r>
      <w:r w:rsidR="00C10876" w:rsidRPr="00DB0858">
        <w:t xml:space="preserve"> </w:t>
      </w:r>
      <w:r w:rsidR="00A6669B" w:rsidRPr="00DB0858">
        <w:t>a new s </w:t>
      </w:r>
      <w:r w:rsidRPr="00DB0858">
        <w:t>36(2</w:t>
      </w:r>
      <w:proofErr w:type="gramStart"/>
      <w:r w:rsidRPr="00DB0858">
        <w:t>)(</w:t>
      </w:r>
      <w:proofErr w:type="gramEnd"/>
      <w:r w:rsidRPr="00DB0858">
        <w:t>aa) which added a criterion (“</w:t>
      </w:r>
      <w:r w:rsidR="00A6669B" w:rsidRPr="00DB0858">
        <w:t>the comple</w:t>
      </w:r>
      <w:r w:rsidRPr="00DB0858">
        <w:t>mentary protection criterion”) for</w:t>
      </w:r>
      <w:r w:rsidR="00A274AD" w:rsidRPr="00DB0858">
        <w:t xml:space="preserve"> the granting of</w:t>
      </w:r>
      <w:r w:rsidRPr="00DB0858">
        <w:t xml:space="preserve"> protection visas.  </w:t>
      </w:r>
    </w:p>
    <w:p w:rsidR="00A274AD" w:rsidRPr="00DB0858" w:rsidRDefault="000379E8" w:rsidP="0023626B">
      <w:pPr>
        <w:pStyle w:val="ParaNumbering"/>
      </w:pPr>
      <w:r w:rsidRPr="00DB0858">
        <w:t>On 24 February 2014</w:t>
      </w:r>
      <w:r w:rsidR="00251FC3" w:rsidRPr="00DB0858">
        <w:t>,</w:t>
      </w:r>
      <w:r w:rsidRPr="00DB0858">
        <w:t xml:space="preserve"> the app</w:t>
      </w:r>
      <w:r w:rsidR="00A274AD" w:rsidRPr="00DB0858">
        <w:t>ellants</w:t>
      </w:r>
      <w:r w:rsidRPr="00DB0858">
        <w:t xml:space="preserve"> reapplied for protection visas.  SZVJU did so</w:t>
      </w:r>
      <w:r w:rsidR="00384541" w:rsidRPr="00DB0858">
        <w:t xml:space="preserve"> pursuant to s 36(2)(aa)</w:t>
      </w:r>
      <w:r w:rsidRPr="00DB0858">
        <w:t xml:space="preserve"> on the basis that he feared harm on return to China because of a dispute relating to compensation for a house which he claimed to own and which had been demolished in order that a road might be built.  SZVJV made her application </w:t>
      </w:r>
      <w:r w:rsidR="00384541" w:rsidRPr="00DB0858">
        <w:t>under s 36(2</w:t>
      </w:r>
      <w:proofErr w:type="gramStart"/>
      <w:r w:rsidR="00384541" w:rsidRPr="00DB0858">
        <w:t>)(</w:t>
      </w:r>
      <w:proofErr w:type="gramEnd"/>
      <w:r w:rsidR="00384541" w:rsidRPr="00DB0858">
        <w:t xml:space="preserve">c) </w:t>
      </w:r>
      <w:r w:rsidRPr="00DB0858">
        <w:t xml:space="preserve">as a member of the same family unit as SZVJU but made no separate </w:t>
      </w:r>
      <w:r w:rsidR="00251FC3" w:rsidRPr="00DB0858">
        <w:t xml:space="preserve">protection </w:t>
      </w:r>
      <w:r w:rsidRPr="00DB0858">
        <w:t xml:space="preserve">claims of her own.  </w:t>
      </w:r>
      <w:r w:rsidR="00A274AD" w:rsidRPr="00DB0858">
        <w:t xml:space="preserve">They were able to make this second application consistently with the decision of a Full Court of this Court in </w:t>
      </w:r>
      <w:r w:rsidR="00A274AD" w:rsidRPr="00DB0858">
        <w:rPr>
          <w:i/>
        </w:rPr>
        <w:t>SZGIZ v Minister for Immigration and Citizenship</w:t>
      </w:r>
      <w:r w:rsidR="00A274AD" w:rsidRPr="00DB0858">
        <w:t xml:space="preserve"> (2013) 212 FCR 235</w:t>
      </w:r>
      <w:r w:rsidR="001C3253" w:rsidRPr="00DB0858">
        <w:t xml:space="preserve">; </w:t>
      </w:r>
      <w:r w:rsidR="00732335" w:rsidRPr="00DB0858">
        <w:t>[2013] FCAFC 71</w:t>
      </w:r>
      <w:r w:rsidR="00A274AD" w:rsidRPr="00DB0858">
        <w:t xml:space="preserve">.  </w:t>
      </w:r>
      <w:r w:rsidR="005A0BE2" w:rsidRPr="00DB0858">
        <w:t xml:space="preserve">The Court there held that a former unsuccessful </w:t>
      </w:r>
      <w:r w:rsidR="00384541" w:rsidRPr="00DB0858">
        <w:t xml:space="preserve">protection </w:t>
      </w:r>
      <w:r w:rsidR="005A0BE2" w:rsidRPr="00DB0858">
        <w:t>visa applicant could make a second valid application</w:t>
      </w:r>
      <w:r w:rsidR="00384541" w:rsidRPr="00DB0858">
        <w:t>,</w:t>
      </w:r>
      <w:r w:rsidR="005A0BE2" w:rsidRPr="00DB0858">
        <w:t xml:space="preserve"> provided that application was based on a different criterion from that on which the original application had been made.</w:t>
      </w:r>
    </w:p>
    <w:p w:rsidR="000379E8" w:rsidRPr="00DB0858" w:rsidRDefault="00C10876" w:rsidP="006551B5">
      <w:pPr>
        <w:pStyle w:val="ParaNumbering"/>
      </w:pPr>
      <w:r>
        <w:t>A</w:t>
      </w:r>
      <w:r w:rsidR="000379E8" w:rsidRPr="007C0C53">
        <w:t xml:space="preserve"> delegate of the Minister refused the </w:t>
      </w:r>
      <w:r w:rsidR="00731DA6" w:rsidRPr="007C0C53">
        <w:t xml:space="preserve">new </w:t>
      </w:r>
      <w:r w:rsidR="000379E8" w:rsidRPr="007C0C53">
        <w:t>applications.  The appellants</w:t>
      </w:r>
      <w:r w:rsidR="000379E8" w:rsidRPr="00DB0858">
        <w:t xml:space="preserve"> sought review of th</w:t>
      </w:r>
      <w:r w:rsidR="002545AF">
        <w:t>ose</w:t>
      </w:r>
      <w:r w:rsidR="000379E8" w:rsidRPr="00DB0858">
        <w:t xml:space="preserve"> decisions in the Tribunal.  </w:t>
      </w:r>
      <w:r>
        <w:t>T</w:t>
      </w:r>
      <w:r w:rsidR="000379E8" w:rsidRPr="00DB0858">
        <w:t>he Tribunal affirmed the delegate’s decisions.</w:t>
      </w:r>
    </w:p>
    <w:p w:rsidR="000379E8" w:rsidRPr="00DB0858" w:rsidRDefault="000379E8" w:rsidP="006551B5">
      <w:pPr>
        <w:pStyle w:val="ParaNumbering"/>
      </w:pPr>
      <w:r w:rsidRPr="00DB0858">
        <w:lastRenderedPageBreak/>
        <w:t xml:space="preserve">The appellants then sought judicial review in the FCC.  </w:t>
      </w:r>
      <w:r w:rsidR="005A0BE2" w:rsidRPr="00DB0858">
        <w:t>The application relied on</w:t>
      </w:r>
      <w:r w:rsidRPr="00DB0858">
        <w:t xml:space="preserve"> three grounds</w:t>
      </w:r>
      <w:r w:rsidR="005A0BE2" w:rsidRPr="00DB0858">
        <w:t>.</w:t>
      </w:r>
      <w:r w:rsidRPr="00DB0858">
        <w:t xml:space="preserve">  It was contended that the Tribunal’s decision:</w:t>
      </w:r>
    </w:p>
    <w:p w:rsidR="000379E8" w:rsidRPr="00DB0858" w:rsidRDefault="00251FC3" w:rsidP="00C10876">
      <w:pPr>
        <w:pStyle w:val="FCBullets"/>
      </w:pPr>
      <w:r w:rsidRPr="00DB0858">
        <w:t>w</w:t>
      </w:r>
      <w:r w:rsidR="000379E8" w:rsidRPr="00DB0858">
        <w:t>as affected by procedural unfairness</w:t>
      </w:r>
      <w:r w:rsidRPr="00DB0858">
        <w:t>;</w:t>
      </w:r>
    </w:p>
    <w:p w:rsidR="00C10876" w:rsidRDefault="00C10876" w:rsidP="00C10876">
      <w:pPr>
        <w:pStyle w:val="FCBullets"/>
      </w:pPr>
      <w:r>
        <w:t>gave rise to an apprehension of bias; and</w:t>
      </w:r>
    </w:p>
    <w:p w:rsidR="000379E8" w:rsidRPr="00DB0858" w:rsidRDefault="00251FC3" w:rsidP="00C10876">
      <w:pPr>
        <w:pStyle w:val="FCBullets"/>
      </w:pPr>
      <w:proofErr w:type="gramStart"/>
      <w:r w:rsidRPr="00DB0858">
        <w:t>failed</w:t>
      </w:r>
      <w:proofErr w:type="gramEnd"/>
      <w:r w:rsidRPr="00DB0858">
        <w:t xml:space="preserve"> to take into account relevant considerations</w:t>
      </w:r>
      <w:r w:rsidR="00C10876">
        <w:t>.</w:t>
      </w:r>
    </w:p>
    <w:p w:rsidR="000379E8" w:rsidRPr="00DB0858" w:rsidRDefault="000379E8" w:rsidP="000379E8">
      <w:pPr>
        <w:pStyle w:val="NoNum"/>
      </w:pPr>
      <w:r w:rsidRPr="00DB0858">
        <w:t>None of these grounds was particularised.  Additional complaints of legal error were made in written and oral submissions before the FCC.</w:t>
      </w:r>
    </w:p>
    <w:p w:rsidR="000379E8" w:rsidRPr="00F16A1D" w:rsidRDefault="000379E8" w:rsidP="000379E8">
      <w:pPr>
        <w:pStyle w:val="ParaNumbering"/>
      </w:pPr>
      <w:r w:rsidRPr="00F16A1D">
        <w:t>The FCC found that no jurisdictional error had been made by the Tribunal.  It dismissed the appellants</w:t>
      </w:r>
      <w:r w:rsidR="00A6669B" w:rsidRPr="00F16A1D">
        <w:t>’</w:t>
      </w:r>
      <w:r w:rsidRPr="00F16A1D">
        <w:t xml:space="preserve"> application.</w:t>
      </w:r>
    </w:p>
    <w:p w:rsidR="000379E8" w:rsidRPr="00F16A1D" w:rsidRDefault="000379E8" w:rsidP="000379E8">
      <w:pPr>
        <w:pStyle w:val="ParaNumbering"/>
      </w:pPr>
      <w:r w:rsidRPr="00F16A1D">
        <w:t xml:space="preserve">It is not necessary to summarise the FCC’s reasons for refusing the appellants’ application.  This is because the </w:t>
      </w:r>
      <w:r w:rsidR="00C10876">
        <w:t xml:space="preserve">grounds contained in the </w:t>
      </w:r>
      <w:r w:rsidRPr="00F16A1D">
        <w:t xml:space="preserve">appellants’ </w:t>
      </w:r>
      <w:r w:rsidR="00A6669B" w:rsidRPr="00F16A1D">
        <w:t>notice of appeal in</w:t>
      </w:r>
      <w:r w:rsidR="009355B5" w:rsidRPr="00F16A1D">
        <w:t xml:space="preserve"> this Court do not</w:t>
      </w:r>
      <w:r w:rsidR="00C10876">
        <w:t>, in terms,</w:t>
      </w:r>
      <w:r w:rsidR="009355B5" w:rsidRPr="00F16A1D">
        <w:t xml:space="preserve"> challenge any of the material findings</w:t>
      </w:r>
      <w:r w:rsidR="00C10876">
        <w:t xml:space="preserve"> made by the FCC</w:t>
      </w:r>
      <w:r w:rsidR="009355B5" w:rsidRPr="00F16A1D">
        <w:t xml:space="preserve">.  </w:t>
      </w:r>
    </w:p>
    <w:p w:rsidR="009355B5" w:rsidRPr="00DB0858" w:rsidRDefault="009355B5" w:rsidP="000379E8">
      <w:pPr>
        <w:pStyle w:val="ParaNumbering"/>
      </w:pPr>
      <w:r w:rsidRPr="00DB0858">
        <w:t>Th</w:t>
      </w:r>
      <w:r w:rsidR="008A2718" w:rsidRPr="00DB0858">
        <w:t>e appellants’ notice of appeal co</w:t>
      </w:r>
      <w:r w:rsidRPr="00DB0858">
        <w:t>ntains six grounds.  They are: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1.</w:t>
      </w:r>
      <w:r w:rsidRPr="00DB0858">
        <w:tab/>
        <w:t xml:space="preserve">The </w:t>
      </w:r>
      <w:r w:rsidR="00FC04BE" w:rsidRPr="00F16A1D">
        <w:t xml:space="preserve">… </w:t>
      </w:r>
      <w:r w:rsidR="00A6669B" w:rsidRPr="00DB0858">
        <w:t>[Minister</w:t>
      </w:r>
      <w:r w:rsidR="002545AF">
        <w:t xml:space="preserve"> and</w:t>
      </w:r>
      <w:r w:rsidRPr="00DB0858">
        <w:t xml:space="preserve"> the </w:t>
      </w:r>
      <w:r w:rsidR="00A6669B" w:rsidRPr="00DB0858">
        <w:t>Tribunal]</w:t>
      </w:r>
      <w:r w:rsidRPr="00DB0858">
        <w:t xml:space="preserve"> have not taken all the relevant information into consideration of the second protection visa</w:t>
      </w:r>
      <w:r w:rsidR="00FC04BE" w:rsidRPr="00F16A1D">
        <w:t xml:space="preserve"> [sic]</w:t>
      </w:r>
      <w:r w:rsidRPr="00DB0858">
        <w:t>.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2.</w:t>
      </w:r>
      <w:r w:rsidRPr="00DB0858">
        <w:tab/>
        <w:t xml:space="preserve">The </w:t>
      </w:r>
      <w:r w:rsidR="00FC04BE" w:rsidRPr="00DB0858">
        <w:t xml:space="preserve">… </w:t>
      </w:r>
      <w:r w:rsidR="00A6669B" w:rsidRPr="00DB0858">
        <w:t>[Minister</w:t>
      </w:r>
      <w:r w:rsidRPr="00DB0858">
        <w:t xml:space="preserve"> and the </w:t>
      </w:r>
      <w:r w:rsidR="00A6669B" w:rsidRPr="00DB0858">
        <w:t>Tribunal]</w:t>
      </w:r>
      <w:r w:rsidRPr="00DB0858">
        <w:t xml:space="preserve"> have not been aware </w:t>
      </w:r>
      <w:r w:rsidR="00FC04BE" w:rsidRPr="00DB0858">
        <w:t xml:space="preserve">[that] </w:t>
      </w:r>
      <w:r w:rsidRPr="00DB0858">
        <w:t xml:space="preserve">the activities taken by the applicant in Australia will pose the </w:t>
      </w:r>
      <w:r w:rsidR="00FC04BE" w:rsidRPr="00DB0858">
        <w:t xml:space="preserve">[sic] </w:t>
      </w:r>
      <w:r w:rsidRPr="00DB0858">
        <w:t>serious harm to the applicants if they return to their country.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3.</w:t>
      </w:r>
      <w:r w:rsidRPr="00DB0858">
        <w:tab/>
        <w:t xml:space="preserve">The applicants have </w:t>
      </w:r>
      <w:r w:rsidR="00742961">
        <w:t>[sic</w:t>
      </w:r>
      <w:r w:rsidR="00FC04BE" w:rsidRPr="00DB0858">
        <w:t xml:space="preserve">] </w:t>
      </w:r>
      <w:proofErr w:type="spellStart"/>
      <w:r w:rsidRPr="00DB0858">
        <w:t>well founded</w:t>
      </w:r>
      <w:proofErr w:type="spellEnd"/>
      <w:r w:rsidRPr="00DB0858">
        <w:t xml:space="preserve"> fear existed to prevent them going back to their country, that </w:t>
      </w:r>
      <w:proofErr w:type="gramStart"/>
      <w:r w:rsidRPr="00DB0858">
        <w:t xml:space="preserve">the </w:t>
      </w:r>
      <w:r w:rsidR="00FC04BE" w:rsidRPr="00DB0858">
        <w:t xml:space="preserve"> …</w:t>
      </w:r>
      <w:proofErr w:type="gramEnd"/>
      <w:r w:rsidR="00FC04BE" w:rsidRPr="00DB0858">
        <w:t xml:space="preserve"> </w:t>
      </w:r>
      <w:r w:rsidR="002545AF">
        <w:t xml:space="preserve">[Minister and the </w:t>
      </w:r>
      <w:r w:rsidR="00FC04BE" w:rsidRPr="00DB0858">
        <w:t>Tribunal]</w:t>
      </w:r>
      <w:r w:rsidRPr="00DB0858">
        <w:t xml:space="preserve"> should look at.  During the whole course of the hearing, it was not mentioned by the respondents.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4.</w:t>
      </w:r>
      <w:r w:rsidRPr="00DB0858">
        <w:tab/>
        <w:t>The applicants were not treated fairly in the assessment of their protection visa.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5.</w:t>
      </w:r>
      <w:r w:rsidRPr="00DB0858">
        <w:tab/>
        <w:t xml:space="preserve">The </w:t>
      </w:r>
      <w:r w:rsidR="00FC04BE" w:rsidRPr="00DB0858">
        <w:t xml:space="preserve">… </w:t>
      </w:r>
      <w:r w:rsidR="00A6669B" w:rsidRPr="00DB0858">
        <w:t>[FCC]</w:t>
      </w:r>
      <w:r w:rsidRPr="00DB0858">
        <w:t xml:space="preserve"> did not understand the explanation made by the applicants and made the judgement personally.</w:t>
      </w:r>
    </w:p>
    <w:p w:rsidR="009355B5" w:rsidRPr="00DB0858" w:rsidRDefault="009355B5" w:rsidP="009355B5">
      <w:pPr>
        <w:pStyle w:val="Quote1"/>
        <w:ind w:left="1418" w:hanging="709"/>
      </w:pPr>
      <w:r w:rsidRPr="00DB0858">
        <w:t>6.</w:t>
      </w:r>
      <w:r w:rsidRPr="00DB0858">
        <w:tab/>
        <w:t xml:space="preserve">The </w:t>
      </w:r>
      <w:r w:rsidR="00FC04BE" w:rsidRPr="00DB0858">
        <w:t xml:space="preserve">… </w:t>
      </w:r>
      <w:r w:rsidR="00A6669B" w:rsidRPr="00DB0858">
        <w:t>[Minister</w:t>
      </w:r>
      <w:r w:rsidRPr="00DB0858">
        <w:t xml:space="preserve">, the </w:t>
      </w:r>
      <w:r w:rsidR="00A6669B" w:rsidRPr="00DB0858">
        <w:t>Tribunal</w:t>
      </w:r>
      <w:r w:rsidRPr="00DB0858">
        <w:t xml:space="preserve"> and the </w:t>
      </w:r>
      <w:r w:rsidR="00A6669B" w:rsidRPr="00DB0858">
        <w:t>FCC]</w:t>
      </w:r>
      <w:r w:rsidRPr="00DB0858">
        <w:t xml:space="preserve"> did not give the applicants the opportunities to make themselves clear, and these respondents have questioned the applicants’ credibility based on their submission, which is unfair to the applicants.</w:t>
      </w:r>
    </w:p>
    <w:p w:rsidR="009355B5" w:rsidRPr="00DB0858" w:rsidRDefault="00A6669B" w:rsidP="009355B5">
      <w:pPr>
        <w:pStyle w:val="ParaNumbering"/>
      </w:pPr>
      <w:r w:rsidRPr="00DB0858">
        <w:t>No particulars were provided by way of elaboration of these grounds.  No written submissions were filed by the appellants.</w:t>
      </w:r>
    </w:p>
    <w:p w:rsidR="00A6669B" w:rsidRPr="00DB0858" w:rsidRDefault="00A6669B" w:rsidP="009355B5">
      <w:pPr>
        <w:pStyle w:val="ParaNumbering"/>
      </w:pPr>
      <w:r w:rsidRPr="00DB0858">
        <w:t xml:space="preserve">The appellants appeared in person at </w:t>
      </w:r>
      <w:r w:rsidR="00C10876">
        <w:t xml:space="preserve">the </w:t>
      </w:r>
      <w:r w:rsidRPr="00DB0858">
        <w:t>hearing</w:t>
      </w:r>
      <w:r w:rsidR="00C10876">
        <w:t xml:space="preserve"> of their appeal</w:t>
      </w:r>
      <w:r w:rsidRPr="00DB0858">
        <w:t>.  They had the assistance of an interpreter.</w:t>
      </w:r>
    </w:p>
    <w:p w:rsidR="00A6669B" w:rsidRPr="00DB0858" w:rsidRDefault="0089190D" w:rsidP="009355B5">
      <w:pPr>
        <w:pStyle w:val="ParaNumbering"/>
        <w:rPr>
          <w:i/>
        </w:rPr>
      </w:pPr>
      <w:r w:rsidRPr="00DB0858">
        <w:lastRenderedPageBreak/>
        <w:t>SZVJV</w:t>
      </w:r>
      <w:r w:rsidRPr="00DB0858">
        <w:rPr>
          <w:i/>
        </w:rPr>
        <w:t xml:space="preserve"> </w:t>
      </w:r>
      <w:r w:rsidRPr="00DB0858">
        <w:t>made submissions on behalf of both appellants.  She said that</w:t>
      </w:r>
      <w:r w:rsidR="00D54065" w:rsidRPr="00DB0858">
        <w:t xml:space="preserve"> the D</w:t>
      </w:r>
      <w:r w:rsidRPr="00DB0858">
        <w:t xml:space="preserve">epartment and the Tribunal had treated them unfairly; the assessments of their claims </w:t>
      </w:r>
      <w:r w:rsidR="00E54352" w:rsidRPr="00DB0858">
        <w:t>had been</w:t>
      </w:r>
      <w:r w:rsidRPr="00DB0858">
        <w:t xml:space="preserve"> very brief and the hearing before the Tribunal was also brief.</w:t>
      </w:r>
      <w:r w:rsidR="00E54352" w:rsidRPr="00DB0858">
        <w:t xml:space="preserve"> </w:t>
      </w:r>
      <w:r w:rsidRPr="00DB0858">
        <w:t xml:space="preserve"> Their honest</w:t>
      </w:r>
      <w:r w:rsidR="00E54352" w:rsidRPr="00DB0858">
        <w:t>y</w:t>
      </w:r>
      <w:r w:rsidRPr="00DB0858">
        <w:t xml:space="preserve"> had been questioned and </w:t>
      </w:r>
      <w:r w:rsidR="00E54352" w:rsidRPr="00DB0858">
        <w:t>they had formed the view that</w:t>
      </w:r>
      <w:r w:rsidR="004B0C76" w:rsidRPr="00DB0858">
        <w:t xml:space="preserve"> no</w:t>
      </w:r>
      <w:r w:rsidR="00E54352" w:rsidRPr="00DB0858">
        <w:t xml:space="preserve"> matter what they said, they would not be believed.  They complained that the Tribunal had not considered the complementary protection cr</w:t>
      </w:r>
      <w:r w:rsidR="00D54065" w:rsidRPr="00DB0858">
        <w:t>iterion</w:t>
      </w:r>
      <w:r w:rsidR="00E54352" w:rsidRPr="00DB0858">
        <w:t xml:space="preserve"> for the granting of a protection visa and had not given full consideration to their case.</w:t>
      </w:r>
    </w:p>
    <w:p w:rsidR="00E54352" w:rsidRPr="00DB0858" w:rsidRDefault="00E54352" w:rsidP="009355B5">
      <w:pPr>
        <w:pStyle w:val="ParaNumbering"/>
      </w:pPr>
      <w:r w:rsidRPr="00DB0858">
        <w:t>I am conscious that the appellants are not legally represented and are unfamiliar with the Australian legal system.  I sought to explain to them that the FCC had a limited judicial review jurisdiction which prevented it from undertaking a further assessment of their claims.</w:t>
      </w:r>
    </w:p>
    <w:p w:rsidR="00E54352" w:rsidRPr="00DB0858" w:rsidRDefault="00E54352" w:rsidP="009355B5">
      <w:pPr>
        <w:pStyle w:val="ParaNumbering"/>
      </w:pPr>
      <w:r w:rsidRPr="00DB0858">
        <w:t>I am prepared to assume, in the appellants’ favour, that their complaints, made orally today, are covered by their grounds of appeal.  I am further prepared to assume, in their favour, that, where possible, the grounds can be construed as a complaint that the FCC</w:t>
      </w:r>
      <w:r w:rsidR="00D54065" w:rsidRPr="00DB0858">
        <w:t xml:space="preserve"> sh</w:t>
      </w:r>
      <w:r w:rsidRPr="00DB0858">
        <w:t>ould have but did not find jurisdiction</w:t>
      </w:r>
      <w:r w:rsidR="00D54065" w:rsidRPr="00DB0858">
        <w:t>al</w:t>
      </w:r>
      <w:r w:rsidRPr="00DB0858">
        <w:t xml:space="preserve"> error on the part of the Tribunal.</w:t>
      </w:r>
    </w:p>
    <w:p w:rsidR="00E54352" w:rsidRPr="00DB0858" w:rsidRDefault="00E54352" w:rsidP="009355B5">
      <w:pPr>
        <w:pStyle w:val="ParaNumbering"/>
      </w:pPr>
      <w:r w:rsidRPr="00DB0858">
        <w:t xml:space="preserve">It was for the appellants to persuade the Tribunal that the </w:t>
      </w:r>
      <w:r w:rsidR="004B0C76" w:rsidRPr="00DB0858">
        <w:t xml:space="preserve">first appellant </w:t>
      </w:r>
      <w:r w:rsidRPr="00DB0858">
        <w:t>satisfied the complementary protection criterion</w:t>
      </w:r>
      <w:r w:rsidR="004B0C76" w:rsidRPr="00DB0858">
        <w:t>, and that the second appellant was thus eligible for a protection visa as a member his family unit</w:t>
      </w:r>
      <w:r w:rsidRPr="00DB0858">
        <w:t xml:space="preserve">.  </w:t>
      </w:r>
      <w:r w:rsidR="003349AC" w:rsidRPr="00DB0858">
        <w:t xml:space="preserve">At the Tribunal hearing, the appellants had the opportunity to explain all the facts on which their claims were based.  </w:t>
      </w:r>
      <w:r w:rsidRPr="00DB0858">
        <w:t xml:space="preserve">It is clear from the Tribunal’s reasons that it considered the appellants’ claims.  It accepted some of them but rejected others because of inconsistencies which it identified.  </w:t>
      </w:r>
      <w:r w:rsidR="006C6F06">
        <w:t xml:space="preserve">The Tribunal’s reasons also demonstrate that </w:t>
      </w:r>
      <w:r w:rsidR="00172562">
        <w:t xml:space="preserve">it </w:t>
      </w:r>
      <w:r w:rsidR="006C6F06">
        <w:t>had regard to</w:t>
      </w:r>
      <w:r w:rsidR="00C10876">
        <w:t>, and accepted some of,</w:t>
      </w:r>
      <w:r w:rsidR="006C6F06">
        <w:t xml:space="preserve"> the explanations given for certain inconsistencies, and gave notice of the possibility that it would make adverse credibility findings.  </w:t>
      </w:r>
      <w:r w:rsidRPr="00DB0858">
        <w:t xml:space="preserve">The </w:t>
      </w:r>
      <w:r w:rsidR="006C6F06">
        <w:t xml:space="preserve">Tribunal’s </w:t>
      </w:r>
      <w:r w:rsidRPr="00DB0858">
        <w:t xml:space="preserve">findings were open </w:t>
      </w:r>
      <w:r w:rsidR="006C6F06">
        <w:t xml:space="preserve">to it </w:t>
      </w:r>
      <w:r w:rsidRPr="00DB0858">
        <w:t>and were not challenged in the grounds of review r</w:t>
      </w:r>
      <w:r w:rsidR="00D54065" w:rsidRPr="00DB0858">
        <w:t>elied on in the FCC, although or</w:t>
      </w:r>
      <w:r w:rsidRPr="00DB0858">
        <w:t>al submissions were made to this effect.</w:t>
      </w:r>
      <w:r w:rsidR="002D283A">
        <w:t xml:space="preserve">   </w:t>
      </w:r>
    </w:p>
    <w:p w:rsidR="00E54352" w:rsidRPr="00DB0858" w:rsidRDefault="00E54352" w:rsidP="009355B5">
      <w:pPr>
        <w:pStyle w:val="ParaNumbering"/>
      </w:pPr>
      <w:r w:rsidRPr="00DB0858">
        <w:t xml:space="preserve">I have carefully examined the reasons for decision of the Tribunal and the FCC.  The FCC’s reasons disclose no appealable error.  </w:t>
      </w:r>
    </w:p>
    <w:p w:rsidR="00E54352" w:rsidRPr="00DB0858" w:rsidRDefault="00E54352" w:rsidP="009355B5">
      <w:pPr>
        <w:pStyle w:val="ParaNumbering"/>
      </w:pPr>
      <w:r w:rsidRPr="00DB0858">
        <w:t>The appeal must be dismissed with costs.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375046" w:rsidRPr="00375046">
        <w:tc>
          <w:tcPr>
            <w:tcW w:w="3794" w:type="dxa"/>
            <w:shd w:val="clear" w:color="auto" w:fill="auto"/>
          </w:tcPr>
          <w:p w:rsidR="00375046" w:rsidRPr="00375046" w:rsidRDefault="00375046" w:rsidP="00FC04BE">
            <w:pPr>
              <w:pStyle w:val="Normal1linespace"/>
            </w:pPr>
            <w:bookmarkStart w:id="22" w:name="Certification"/>
            <w:r w:rsidRPr="00DB0858">
              <w:t xml:space="preserve">I certify that the preceding </w:t>
            </w:r>
            <w:bookmarkStart w:id="23" w:name="NumberWord"/>
            <w:r w:rsidR="00B12593" w:rsidRPr="00DB0858">
              <w:t>eighteen</w:t>
            </w:r>
            <w:bookmarkEnd w:id="23"/>
            <w:r w:rsidRPr="00DB0858">
              <w:t xml:space="preserve"> (</w:t>
            </w:r>
            <w:bookmarkStart w:id="24" w:name="NumberNumeral"/>
            <w:r w:rsidR="00B12593" w:rsidRPr="00DB0858">
              <w:t>18</w:t>
            </w:r>
            <w:bookmarkEnd w:id="24"/>
            <w:r w:rsidRPr="00DB0858">
              <w:t xml:space="preserve">) numbered </w:t>
            </w:r>
            <w:bookmarkStart w:id="25" w:name="CertPara"/>
            <w:r w:rsidR="00B12593" w:rsidRPr="00DB0858">
              <w:t>paragraphs are</w:t>
            </w:r>
            <w:bookmarkEnd w:id="25"/>
            <w:r w:rsidRPr="00DB0858">
              <w:t xml:space="preserve"> a true copy of the Reasons for Judgment herein of the Honourable </w:t>
            </w:r>
            <w:bookmarkStart w:id="26" w:name="Justice"/>
            <w:r w:rsidR="00B12593" w:rsidRPr="00DB0858">
              <w:t>Justice Tracey</w:t>
            </w:r>
            <w:bookmarkEnd w:id="26"/>
            <w:r w:rsidRPr="00DB0858">
              <w:t>.</w:t>
            </w:r>
          </w:p>
        </w:tc>
      </w:tr>
    </w:tbl>
    <w:p w:rsidR="008279F2" w:rsidRPr="008279F2" w:rsidRDefault="008279F2" w:rsidP="007461A5">
      <w:pPr>
        <w:pStyle w:val="BodyText"/>
        <w:spacing w:line="240" w:lineRule="auto"/>
        <w:rPr>
          <w:sz w:val="16"/>
        </w:rPr>
      </w:pPr>
    </w:p>
    <w:p w:rsidR="00375046" w:rsidRDefault="00375046" w:rsidP="007461A5">
      <w:pPr>
        <w:pStyle w:val="BodyText"/>
        <w:spacing w:line="240" w:lineRule="auto"/>
      </w:pPr>
      <w:r>
        <w:t>Associate:</w:t>
      </w:r>
      <w:r w:rsidR="00CD3263">
        <w:t xml:space="preserve">  </w:t>
      </w:r>
      <w:bookmarkStart w:id="27" w:name="_GoBack"/>
      <w:bookmarkEnd w:id="27"/>
    </w:p>
    <w:p w:rsidR="00375046" w:rsidRPr="00E54352" w:rsidRDefault="00375046" w:rsidP="007461A5">
      <w:pPr>
        <w:pStyle w:val="BodyText"/>
        <w:tabs>
          <w:tab w:val="left" w:pos="1134"/>
        </w:tabs>
        <w:spacing w:line="240" w:lineRule="auto"/>
      </w:pPr>
      <w:r w:rsidRPr="00C10876">
        <w:t>Dated:</w:t>
      </w:r>
      <w:r w:rsidRPr="00C10876">
        <w:tab/>
      </w:r>
      <w:bookmarkStart w:id="28" w:name="CertifyDated"/>
      <w:r w:rsidR="00C10876" w:rsidRPr="00C10876">
        <w:t>1</w:t>
      </w:r>
      <w:r w:rsidR="007511C9">
        <w:t>5</w:t>
      </w:r>
      <w:r w:rsidR="00B12593" w:rsidRPr="00C10876">
        <w:t xml:space="preserve"> May 2017</w:t>
      </w:r>
      <w:bookmarkEnd w:id="22"/>
      <w:bookmarkEnd w:id="28"/>
    </w:p>
    <w:sectPr w:rsidR="00375046" w:rsidRPr="00E5435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B5" w:rsidRDefault="006551B5">
      <w:pPr>
        <w:spacing w:line="20" w:lineRule="exact"/>
      </w:pPr>
    </w:p>
    <w:p w:rsidR="006551B5" w:rsidRDefault="006551B5"/>
    <w:p w:rsidR="006551B5" w:rsidRDefault="006551B5"/>
  </w:endnote>
  <w:endnote w:type="continuationSeparator" w:id="0">
    <w:p w:rsidR="006551B5" w:rsidRDefault="006551B5">
      <w:r>
        <w:t xml:space="preserve"> </w:t>
      </w:r>
    </w:p>
    <w:p w:rsidR="006551B5" w:rsidRDefault="006551B5"/>
    <w:p w:rsidR="006551B5" w:rsidRDefault="006551B5"/>
  </w:endnote>
  <w:endnote w:type="continuationNotice" w:id="1">
    <w:p w:rsidR="006551B5" w:rsidRDefault="006551B5">
      <w:r>
        <w:t xml:space="preserve"> </w:t>
      </w:r>
    </w:p>
    <w:p w:rsidR="006551B5" w:rsidRDefault="006551B5"/>
    <w:p w:rsidR="006551B5" w:rsidRDefault="00655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Pr="00624520" w:rsidRDefault="00395B24" w:rsidP="00624520">
    <w:pPr>
      <w:pStyle w:val="Footer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9" w:rsidRDefault="002F1E49" w:rsidP="002F1E49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B5" w:rsidRDefault="006551B5"/>
    <w:p w:rsidR="006551B5" w:rsidRDefault="006551B5"/>
    <w:p w:rsidR="006551B5" w:rsidRDefault="006551B5"/>
  </w:footnote>
  <w:footnote w:type="continuationSeparator" w:id="0">
    <w:p w:rsidR="006551B5" w:rsidRDefault="006551B5">
      <w:r>
        <w:continuationSeparator/>
      </w:r>
    </w:p>
    <w:p w:rsidR="006551B5" w:rsidRDefault="006551B5"/>
    <w:p w:rsidR="006551B5" w:rsidRDefault="006551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F93963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8279F2">
      <w:rPr>
        <w:noProof/>
      </w:rPr>
      <w:t>3</w:t>
    </w:r>
    <w: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AE3DD1"/>
    <w:multiLevelType w:val="singleLevel"/>
    <w:tmpl w:val="97AC2BDE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i w:val="0"/>
        <w:sz w:val="20"/>
      </w:rPr>
    </w:lvl>
  </w:abstractNum>
  <w:abstractNum w:abstractNumId="18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>
    <w:nsid w:val="494817A7"/>
    <w:multiLevelType w:val="multilevel"/>
    <w:tmpl w:val="0F0EC90E"/>
    <w:numStyleLink w:val="FCListNo"/>
  </w:abstractNum>
  <w:abstractNum w:abstractNumId="23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AndAnother" w:val="True"/>
    <w:docVar w:name="APPAndOthers" w:val="False"/>
    <w:docVar w:name="Appellant" w:val="SZVJU|SZVJV"/>
    <w:docVar w:name="CounselParties" w:val="Respondent"/>
    <w:docVar w:name="CounselType" w:val="Counsel for the 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General Division"/>
    <w:docVar w:name="DocCreated" w:val="True"/>
    <w:docVar w:name="FileNumbers" w:val="NSD 2095 of 2016"/>
    <w:docVar w:name="HearingDate" w:val="10 MAY 2017"/>
    <w:docVar w:name="Initiators" w:val="(and another named in the Schedule)"/>
    <w:docVar w:name="Judgdate" w:val="## May 2017"/>
    <w:docVar w:name="Judge" w:val="TRACEY"/>
    <w:docVar w:name="Justices" w:val="Justice"/>
    <w:docVar w:name="lstEntryList" w:val="-1"/>
    <w:docVar w:name="myEntryList" w:val="Counsel for the First Appellant=The Appellants appeared in person with the assistance of an interpreter|Counsel for the First Respondent=Mr # Smith|Counsel for the Second Respondent=The Second Respondent filed a submitting notice, save as to costs"/>
    <w:docVar w:name="NSD" w:val="NSD "/>
    <w:docVar w:name="NumApps" w:val="2"/>
    <w:docVar w:name="NumApps_" w:val="2"/>
    <w:docVar w:name="NumCrossResps" w:val="0"/>
    <w:docVar w:name="NumDefs" w:val="2"/>
    <w:docVar w:name="NumOthers" w:val="0"/>
    <w:docVar w:name="OtherNum" w:val="0"/>
    <w:docVar w:name="Parties1" w:val="Appellant"/>
    <w:docVar w:name="Parties2" w:val="Respondent"/>
    <w:docVar w:name="Parties3" w:val="Cross-Appellant"/>
    <w:docVar w:name="Parties4" w:val="Cross-Defendant"/>
    <w:docVar w:name="Parties5" w:val="Intervener"/>
    <w:docVar w:name="PracticeArea" w:val="Administrative and Constitutional Law and Human Rights"/>
    <w:docVar w:name="RESAndAnother" w:val="True"/>
    <w:docVar w:name="RESAndOthers" w:val="False"/>
    <w:docVar w:name="Respondent" w:val="MINISTER FOR IMMIGRATION AND BORDER PROTECTION|ADMINISTRATIVE APPEALS TRIBUNAL"/>
    <w:docVar w:name="ResState" w:val="New South Wales"/>
    <w:docVar w:name="SubArea" w:val="[none]"/>
  </w:docVars>
  <w:rsids>
    <w:rsidRoot w:val="006551B5"/>
    <w:rsid w:val="0001469E"/>
    <w:rsid w:val="00015993"/>
    <w:rsid w:val="00022289"/>
    <w:rsid w:val="00032F9F"/>
    <w:rsid w:val="000379E8"/>
    <w:rsid w:val="00041C07"/>
    <w:rsid w:val="00045BB7"/>
    <w:rsid w:val="00055719"/>
    <w:rsid w:val="0005641B"/>
    <w:rsid w:val="00056F3F"/>
    <w:rsid w:val="000625C9"/>
    <w:rsid w:val="00081497"/>
    <w:rsid w:val="000A2E76"/>
    <w:rsid w:val="000A4807"/>
    <w:rsid w:val="000A4BE4"/>
    <w:rsid w:val="000C023E"/>
    <w:rsid w:val="000C5195"/>
    <w:rsid w:val="000C62EF"/>
    <w:rsid w:val="000D2137"/>
    <w:rsid w:val="000D3FD2"/>
    <w:rsid w:val="000E7BAE"/>
    <w:rsid w:val="000F133D"/>
    <w:rsid w:val="000F4BAB"/>
    <w:rsid w:val="0010536B"/>
    <w:rsid w:val="0011145C"/>
    <w:rsid w:val="001128BD"/>
    <w:rsid w:val="0011419D"/>
    <w:rsid w:val="0012684D"/>
    <w:rsid w:val="00132054"/>
    <w:rsid w:val="00172562"/>
    <w:rsid w:val="001727A4"/>
    <w:rsid w:val="0017376C"/>
    <w:rsid w:val="001738AB"/>
    <w:rsid w:val="001765E0"/>
    <w:rsid w:val="00177759"/>
    <w:rsid w:val="00183CFE"/>
    <w:rsid w:val="00185E6B"/>
    <w:rsid w:val="00187BBC"/>
    <w:rsid w:val="001932F3"/>
    <w:rsid w:val="001A4309"/>
    <w:rsid w:val="001B1053"/>
    <w:rsid w:val="001B14AC"/>
    <w:rsid w:val="001B31E4"/>
    <w:rsid w:val="001B7940"/>
    <w:rsid w:val="001C3253"/>
    <w:rsid w:val="001C37CA"/>
    <w:rsid w:val="001D4303"/>
    <w:rsid w:val="001D6746"/>
    <w:rsid w:val="001E3B49"/>
    <w:rsid w:val="001E7388"/>
    <w:rsid w:val="001F13DD"/>
    <w:rsid w:val="001F2DBC"/>
    <w:rsid w:val="0020258D"/>
    <w:rsid w:val="0020262C"/>
    <w:rsid w:val="00224537"/>
    <w:rsid w:val="00235956"/>
    <w:rsid w:val="0023626B"/>
    <w:rsid w:val="00247C9A"/>
    <w:rsid w:val="0025160C"/>
    <w:rsid w:val="00251FC3"/>
    <w:rsid w:val="002535D0"/>
    <w:rsid w:val="002539B3"/>
    <w:rsid w:val="002545AF"/>
    <w:rsid w:val="00257C3E"/>
    <w:rsid w:val="002602C2"/>
    <w:rsid w:val="002666C9"/>
    <w:rsid w:val="00270136"/>
    <w:rsid w:val="00274F5B"/>
    <w:rsid w:val="00280836"/>
    <w:rsid w:val="00282E1A"/>
    <w:rsid w:val="0029113B"/>
    <w:rsid w:val="002934C0"/>
    <w:rsid w:val="002A1B50"/>
    <w:rsid w:val="002B0E91"/>
    <w:rsid w:val="002B6779"/>
    <w:rsid w:val="002B71C0"/>
    <w:rsid w:val="002B7A34"/>
    <w:rsid w:val="002C31AD"/>
    <w:rsid w:val="002C540F"/>
    <w:rsid w:val="002C7385"/>
    <w:rsid w:val="002D283A"/>
    <w:rsid w:val="002D2DBB"/>
    <w:rsid w:val="002D54A6"/>
    <w:rsid w:val="002E6A7A"/>
    <w:rsid w:val="002F1E49"/>
    <w:rsid w:val="002F4E9C"/>
    <w:rsid w:val="00307965"/>
    <w:rsid w:val="0031256C"/>
    <w:rsid w:val="00314D6C"/>
    <w:rsid w:val="00316D2A"/>
    <w:rsid w:val="00322A7C"/>
    <w:rsid w:val="003349AC"/>
    <w:rsid w:val="003402D3"/>
    <w:rsid w:val="00340BFC"/>
    <w:rsid w:val="00343ABC"/>
    <w:rsid w:val="003463FE"/>
    <w:rsid w:val="003554B3"/>
    <w:rsid w:val="00356632"/>
    <w:rsid w:val="00366EBC"/>
    <w:rsid w:val="00375046"/>
    <w:rsid w:val="00384541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D2650"/>
    <w:rsid w:val="003D560C"/>
    <w:rsid w:val="003E5874"/>
    <w:rsid w:val="003F193E"/>
    <w:rsid w:val="003F34F1"/>
    <w:rsid w:val="0041129B"/>
    <w:rsid w:val="00411AE8"/>
    <w:rsid w:val="00413B74"/>
    <w:rsid w:val="00435C5F"/>
    <w:rsid w:val="00441E98"/>
    <w:rsid w:val="004532F7"/>
    <w:rsid w:val="00466B52"/>
    <w:rsid w:val="00472027"/>
    <w:rsid w:val="004804CF"/>
    <w:rsid w:val="00484962"/>
    <w:rsid w:val="00484F6D"/>
    <w:rsid w:val="0049338A"/>
    <w:rsid w:val="00493916"/>
    <w:rsid w:val="0049417F"/>
    <w:rsid w:val="00496177"/>
    <w:rsid w:val="004B0C76"/>
    <w:rsid w:val="004B2C91"/>
    <w:rsid w:val="004B3EFA"/>
    <w:rsid w:val="004C2A87"/>
    <w:rsid w:val="004C492B"/>
    <w:rsid w:val="004C4ED3"/>
    <w:rsid w:val="004D2EA5"/>
    <w:rsid w:val="004D32A6"/>
    <w:rsid w:val="004D53E5"/>
    <w:rsid w:val="00501A12"/>
    <w:rsid w:val="0051346D"/>
    <w:rsid w:val="00513EAE"/>
    <w:rsid w:val="00516806"/>
    <w:rsid w:val="005171BE"/>
    <w:rsid w:val="00525A49"/>
    <w:rsid w:val="00535613"/>
    <w:rsid w:val="005359EB"/>
    <w:rsid w:val="0054254A"/>
    <w:rsid w:val="005466B5"/>
    <w:rsid w:val="005629B3"/>
    <w:rsid w:val="00573AC4"/>
    <w:rsid w:val="005801FC"/>
    <w:rsid w:val="00595016"/>
    <w:rsid w:val="00597AAE"/>
    <w:rsid w:val="005A0BE2"/>
    <w:rsid w:val="005A222C"/>
    <w:rsid w:val="005A4DF8"/>
    <w:rsid w:val="005B1426"/>
    <w:rsid w:val="005C0A8E"/>
    <w:rsid w:val="005C1767"/>
    <w:rsid w:val="005C42EF"/>
    <w:rsid w:val="005D0135"/>
    <w:rsid w:val="005E02F5"/>
    <w:rsid w:val="005E0510"/>
    <w:rsid w:val="005E176E"/>
    <w:rsid w:val="005E218E"/>
    <w:rsid w:val="005E2922"/>
    <w:rsid w:val="005E35A0"/>
    <w:rsid w:val="005F0D1B"/>
    <w:rsid w:val="005F1865"/>
    <w:rsid w:val="006007BD"/>
    <w:rsid w:val="006013C8"/>
    <w:rsid w:val="0060270D"/>
    <w:rsid w:val="00604611"/>
    <w:rsid w:val="00611586"/>
    <w:rsid w:val="00621887"/>
    <w:rsid w:val="00624520"/>
    <w:rsid w:val="00632BB7"/>
    <w:rsid w:val="00634FDE"/>
    <w:rsid w:val="00635B36"/>
    <w:rsid w:val="00636871"/>
    <w:rsid w:val="00640F4E"/>
    <w:rsid w:val="00643DE0"/>
    <w:rsid w:val="00644E85"/>
    <w:rsid w:val="006551B5"/>
    <w:rsid w:val="0066063F"/>
    <w:rsid w:val="00662BB0"/>
    <w:rsid w:val="00663878"/>
    <w:rsid w:val="00667773"/>
    <w:rsid w:val="00670743"/>
    <w:rsid w:val="00690EE2"/>
    <w:rsid w:val="006A0E20"/>
    <w:rsid w:val="006A5695"/>
    <w:rsid w:val="006B3904"/>
    <w:rsid w:val="006B5B7D"/>
    <w:rsid w:val="006C6F06"/>
    <w:rsid w:val="006C76B0"/>
    <w:rsid w:val="006D0ECF"/>
    <w:rsid w:val="006D4C92"/>
    <w:rsid w:val="006D4EB6"/>
    <w:rsid w:val="006E35BF"/>
    <w:rsid w:val="006E7850"/>
    <w:rsid w:val="007028D9"/>
    <w:rsid w:val="00707218"/>
    <w:rsid w:val="00712B1D"/>
    <w:rsid w:val="007266F5"/>
    <w:rsid w:val="00731DA6"/>
    <w:rsid w:val="00732335"/>
    <w:rsid w:val="007325D9"/>
    <w:rsid w:val="007360CA"/>
    <w:rsid w:val="00742961"/>
    <w:rsid w:val="007461A5"/>
    <w:rsid w:val="007511C9"/>
    <w:rsid w:val="007552BD"/>
    <w:rsid w:val="0078003A"/>
    <w:rsid w:val="00780771"/>
    <w:rsid w:val="007929CF"/>
    <w:rsid w:val="007A6F28"/>
    <w:rsid w:val="007B03C6"/>
    <w:rsid w:val="007B0DB1"/>
    <w:rsid w:val="007C0C53"/>
    <w:rsid w:val="007D2EF8"/>
    <w:rsid w:val="007D561F"/>
    <w:rsid w:val="007D7FD2"/>
    <w:rsid w:val="007E13D9"/>
    <w:rsid w:val="007E4DB6"/>
    <w:rsid w:val="007E7CD4"/>
    <w:rsid w:val="007F22ED"/>
    <w:rsid w:val="00801800"/>
    <w:rsid w:val="00801B5B"/>
    <w:rsid w:val="0082053F"/>
    <w:rsid w:val="008276B4"/>
    <w:rsid w:val="008279F2"/>
    <w:rsid w:val="00831927"/>
    <w:rsid w:val="00841BD3"/>
    <w:rsid w:val="0084273D"/>
    <w:rsid w:val="00844E3F"/>
    <w:rsid w:val="00845A83"/>
    <w:rsid w:val="008712BB"/>
    <w:rsid w:val="0089190D"/>
    <w:rsid w:val="008A2484"/>
    <w:rsid w:val="008A2718"/>
    <w:rsid w:val="008C26D9"/>
    <w:rsid w:val="008C6D50"/>
    <w:rsid w:val="008C7167"/>
    <w:rsid w:val="008C7503"/>
    <w:rsid w:val="008D1617"/>
    <w:rsid w:val="008E6315"/>
    <w:rsid w:val="008F11E0"/>
    <w:rsid w:val="008F78BC"/>
    <w:rsid w:val="008F7B63"/>
    <w:rsid w:val="008F7D6A"/>
    <w:rsid w:val="009054CB"/>
    <w:rsid w:val="00912F94"/>
    <w:rsid w:val="0092590B"/>
    <w:rsid w:val="00925E60"/>
    <w:rsid w:val="009264B3"/>
    <w:rsid w:val="009355B5"/>
    <w:rsid w:val="00942BA2"/>
    <w:rsid w:val="00944C86"/>
    <w:rsid w:val="00957DE8"/>
    <w:rsid w:val="00960ECB"/>
    <w:rsid w:val="009615D6"/>
    <w:rsid w:val="00967855"/>
    <w:rsid w:val="00980736"/>
    <w:rsid w:val="00981A39"/>
    <w:rsid w:val="00987097"/>
    <w:rsid w:val="009B046C"/>
    <w:rsid w:val="009B13FA"/>
    <w:rsid w:val="009B1E2D"/>
    <w:rsid w:val="009C59FB"/>
    <w:rsid w:val="009C5B1A"/>
    <w:rsid w:val="009C6F3B"/>
    <w:rsid w:val="009E4FA6"/>
    <w:rsid w:val="009E7D93"/>
    <w:rsid w:val="009F5C33"/>
    <w:rsid w:val="00A03EAC"/>
    <w:rsid w:val="00A11CA6"/>
    <w:rsid w:val="00A20C49"/>
    <w:rsid w:val="00A269CA"/>
    <w:rsid w:val="00A274AD"/>
    <w:rsid w:val="00A359AC"/>
    <w:rsid w:val="00A41413"/>
    <w:rsid w:val="00A45FB1"/>
    <w:rsid w:val="00A46CCC"/>
    <w:rsid w:val="00A51CFE"/>
    <w:rsid w:val="00A6669B"/>
    <w:rsid w:val="00A70BBA"/>
    <w:rsid w:val="00A76C13"/>
    <w:rsid w:val="00A92E79"/>
    <w:rsid w:val="00A950B6"/>
    <w:rsid w:val="00AB41C1"/>
    <w:rsid w:val="00AD12A8"/>
    <w:rsid w:val="00AF3577"/>
    <w:rsid w:val="00AF35F9"/>
    <w:rsid w:val="00B05C7D"/>
    <w:rsid w:val="00B12593"/>
    <w:rsid w:val="00B346C3"/>
    <w:rsid w:val="00B4028D"/>
    <w:rsid w:val="00B4471C"/>
    <w:rsid w:val="00B451A6"/>
    <w:rsid w:val="00B4725A"/>
    <w:rsid w:val="00B676A2"/>
    <w:rsid w:val="00B722DE"/>
    <w:rsid w:val="00B76C44"/>
    <w:rsid w:val="00B83F87"/>
    <w:rsid w:val="00BA2EFA"/>
    <w:rsid w:val="00BA3DBC"/>
    <w:rsid w:val="00BB2DA2"/>
    <w:rsid w:val="00BB56DC"/>
    <w:rsid w:val="00BE183D"/>
    <w:rsid w:val="00BE731D"/>
    <w:rsid w:val="00BF5D7A"/>
    <w:rsid w:val="00BF7B71"/>
    <w:rsid w:val="00C10876"/>
    <w:rsid w:val="00C112A8"/>
    <w:rsid w:val="00C36442"/>
    <w:rsid w:val="00C400CE"/>
    <w:rsid w:val="00C410FD"/>
    <w:rsid w:val="00C539FB"/>
    <w:rsid w:val="00C67BFB"/>
    <w:rsid w:val="00CA246D"/>
    <w:rsid w:val="00CB38DE"/>
    <w:rsid w:val="00CB5636"/>
    <w:rsid w:val="00CD3263"/>
    <w:rsid w:val="00CE752C"/>
    <w:rsid w:val="00D045DD"/>
    <w:rsid w:val="00D10F21"/>
    <w:rsid w:val="00D128A9"/>
    <w:rsid w:val="00D34040"/>
    <w:rsid w:val="00D34E69"/>
    <w:rsid w:val="00D375EE"/>
    <w:rsid w:val="00D41036"/>
    <w:rsid w:val="00D54065"/>
    <w:rsid w:val="00D62699"/>
    <w:rsid w:val="00D82620"/>
    <w:rsid w:val="00D9725F"/>
    <w:rsid w:val="00DA01B1"/>
    <w:rsid w:val="00DA11A2"/>
    <w:rsid w:val="00DA14ED"/>
    <w:rsid w:val="00DB0858"/>
    <w:rsid w:val="00DB21B8"/>
    <w:rsid w:val="00DB2EF1"/>
    <w:rsid w:val="00DB3DE1"/>
    <w:rsid w:val="00DB5DA0"/>
    <w:rsid w:val="00DB716C"/>
    <w:rsid w:val="00DC5C85"/>
    <w:rsid w:val="00DD4236"/>
    <w:rsid w:val="00DD44F1"/>
    <w:rsid w:val="00DE3067"/>
    <w:rsid w:val="00E027BC"/>
    <w:rsid w:val="00E14EA5"/>
    <w:rsid w:val="00E21133"/>
    <w:rsid w:val="00E2327E"/>
    <w:rsid w:val="00E264B7"/>
    <w:rsid w:val="00E266EF"/>
    <w:rsid w:val="00E47428"/>
    <w:rsid w:val="00E54352"/>
    <w:rsid w:val="00E622A4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A03CE"/>
    <w:rsid w:val="00EA23E5"/>
    <w:rsid w:val="00EA4E2E"/>
    <w:rsid w:val="00EB2CCB"/>
    <w:rsid w:val="00EC57A7"/>
    <w:rsid w:val="00ED0817"/>
    <w:rsid w:val="00ED7DD9"/>
    <w:rsid w:val="00EE16A4"/>
    <w:rsid w:val="00EE3EAC"/>
    <w:rsid w:val="00EF3113"/>
    <w:rsid w:val="00EF3F84"/>
    <w:rsid w:val="00F16A1D"/>
    <w:rsid w:val="00F176AC"/>
    <w:rsid w:val="00F261C1"/>
    <w:rsid w:val="00F27714"/>
    <w:rsid w:val="00F3276E"/>
    <w:rsid w:val="00F33D3C"/>
    <w:rsid w:val="00F37A91"/>
    <w:rsid w:val="00F44DA4"/>
    <w:rsid w:val="00F45CF5"/>
    <w:rsid w:val="00F47DB0"/>
    <w:rsid w:val="00F50E34"/>
    <w:rsid w:val="00F53EF7"/>
    <w:rsid w:val="00F54BF2"/>
    <w:rsid w:val="00F76A3B"/>
    <w:rsid w:val="00F92355"/>
    <w:rsid w:val="00F93963"/>
    <w:rsid w:val="00F94291"/>
    <w:rsid w:val="00FB3833"/>
    <w:rsid w:val="00FB7982"/>
    <w:rsid w:val="00FC04BE"/>
    <w:rsid w:val="00FC0734"/>
    <w:rsid w:val="00FC0FC5"/>
    <w:rsid w:val="00FC588F"/>
    <w:rsid w:val="00FC640A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FC04BE"/>
    <w:rPr>
      <w:sz w:val="24"/>
      <w:lang w:eastAsia="en-US"/>
    </w:rPr>
  </w:style>
  <w:style w:type="paragraph" w:customStyle="1" w:styleId="subsection">
    <w:name w:val="subsection"/>
    <w:basedOn w:val="Normal"/>
    <w:rsid w:val="00E264B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AU"/>
    </w:rPr>
  </w:style>
  <w:style w:type="paragraph" w:customStyle="1" w:styleId="paragraph">
    <w:name w:val="paragraph"/>
    <w:basedOn w:val="Normal"/>
    <w:rsid w:val="00E264B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FC04BE"/>
    <w:rPr>
      <w:sz w:val="24"/>
      <w:lang w:eastAsia="en-US"/>
    </w:rPr>
  </w:style>
  <w:style w:type="paragraph" w:customStyle="1" w:styleId="subsection">
    <w:name w:val="subsection"/>
    <w:basedOn w:val="Normal"/>
    <w:rsid w:val="00E264B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AU"/>
    </w:rPr>
  </w:style>
  <w:style w:type="paragraph" w:customStyle="1" w:styleId="paragraph">
    <w:name w:val="paragraph"/>
    <w:basedOn w:val="Normal"/>
    <w:rsid w:val="00E264B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1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238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0a\AppData\Roaming\Microsoft\Templates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AD3A-4056-4EC1-B661-4F16977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6</Pages>
  <Words>1423</Words>
  <Characters>7616</Characters>
  <Application>Microsoft Office Word</Application>
  <DocSecurity>0</DocSecurity>
  <Lines>238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SZVJU v Minister for Immigration and Border Protection [2017] FCA 489</vt:lpstr>
    </vt:vector>
  </TitlesOfParts>
  <Company>Federal Court of Australia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SZVJU v Minister for Immigration and Border Protection [2017] FCA 489</dc:title>
  <dc:creator>ibuild</dc:creator>
  <cp:lastModifiedBy>Anna Masters</cp:lastModifiedBy>
  <cp:revision>3</cp:revision>
  <cp:lastPrinted>2017-05-12T04:21:00Z</cp:lastPrinted>
  <dcterms:created xsi:type="dcterms:W3CDTF">2017-05-15T01:22:00Z</dcterms:created>
  <dcterms:modified xsi:type="dcterms:W3CDTF">2017-05-15T01:22:00Z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Judge" linkTarget="Judge">
    <vt:lpwstr>TRACEY J</vt:lpwstr>
  </property>
  <property fmtid="{D5CDD505-2E9C-101B-9397-08002B2CF9AE}" pid="4" name="Judgment_dated" linkTarget="Judgment_dated">
    <vt:lpwstr>10 MAY 2017</vt:lpwstr>
  </property>
  <property fmtid="{D5CDD505-2E9C-101B-9397-08002B2CF9AE}" pid="5" name="Distribution">
    <vt:lpwstr>GENERAL DISTRIBUTION</vt:lpwstr>
  </property>
  <property fmtid="{D5CDD505-2E9C-101B-9397-08002B2CF9AE}" pid="6" name="MNC">
    <vt:lpwstr> </vt:lpwstr>
  </property>
  <property fmtid="{D5CDD505-2E9C-101B-9397-08002B2CF9AE}" pid="7" name="Pages">
    <vt:lpwstr>3</vt:lpwstr>
  </property>
  <property fmtid="{D5CDD505-2E9C-101B-9397-08002B2CF9AE}" pid="8" name="Parties">
    <vt:lpwstr> </vt:lpwstr>
  </property>
  <property fmtid="{D5CDD505-2E9C-101B-9397-08002B2CF9AE}" pid="9" name="Place">
    <vt:lpwstr>SYDNEY</vt:lpwstr>
  </property>
  <property fmtid="{D5CDD505-2E9C-101B-9397-08002B2CF9AE}" pid="10" name="Respondent">
    <vt:lpwstr> </vt:lpwstr>
  </property>
  <property fmtid="{D5CDD505-2E9C-101B-9397-08002B2CF9AE}" pid="11" name="State" linkTarget="State">
    <vt:lpwstr>NEW SOUTH WALES</vt:lpwstr>
  </property>
  <property fmtid="{D5CDD505-2E9C-101B-9397-08002B2CF9AE}" pid="12" name="Year">
    <vt:lpwstr>2006</vt:lpwstr>
  </property>
  <property fmtid="{D5CDD505-2E9C-101B-9397-08002B2CF9AE}" pid="13" name="Judgment Template">
    <vt:lpwstr>True</vt:lpwstr>
  </property>
  <property fmtid="{D5CDD505-2E9C-101B-9397-08002B2CF9AE}" pid="14" name="VERSION">
    <vt:lpwstr>15.9</vt:lpwstr>
  </property>
  <property fmtid="{D5CDD505-2E9C-101B-9397-08002B2CF9AE}" pid="15" name="Registry">
    <vt:lpwstr>New South Wales</vt:lpwstr>
  </property>
  <property fmtid="{D5CDD505-2E9C-101B-9397-08002B2CF9AE}" pid="16" name="Division">
    <vt:lpwstr>General Division</vt:lpwstr>
  </property>
  <property fmtid="{D5CDD505-2E9C-101B-9397-08002B2CF9AE}" pid="17" name="FileNo">
    <vt:lpwstr>&lt;FILE NO&gt;</vt:lpwstr>
  </property>
  <property fmtid="{D5CDD505-2E9C-101B-9397-08002B2CF9AE}" pid="18" name="Practice Area">
    <vt:lpwstr>Administrative and Constitutional Law and Human Rights</vt:lpwstr>
  </property>
  <property fmtid="{D5CDD505-2E9C-101B-9397-08002B2CF9AE}" pid="19" name="Sub Area">
    <vt:lpwstr>Delete these rows - not required</vt:lpwstr>
  </property>
  <property fmtid="{D5CDD505-2E9C-101B-9397-08002B2CF9AE}" pid="20" name="Legislation">
    <vt:lpwstr>Legislation</vt:lpwstr>
  </property>
  <property fmtid="{D5CDD505-2E9C-101B-9397-08002B2CF9AE}" pid="21" name="Catchwords">
    <vt:lpwstr>Catchwords</vt:lpwstr>
  </property>
  <property fmtid="{D5CDD505-2E9C-101B-9397-08002B2CF9AE}" pid="22" name="Words_Phrases">
    <vt:lpwstr>WordsPhrases</vt:lpwstr>
  </property>
  <property fmtid="{D5CDD505-2E9C-101B-9397-08002B2CF9AE}" pid="23" name="Cases_Cited">
    <vt:lpwstr>CasesCited</vt:lpwstr>
  </property>
  <property fmtid="{D5CDD505-2E9C-101B-9397-08002B2CF9AE}" pid="24" name="File_Number">
    <vt:lpwstr>Num</vt:lpwstr>
  </property>
</Properties>
</file>