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353BDD">
      <w:pPr>
        <w:pStyle w:val="MediaNeutralStyle"/>
      </w:pPr>
      <w:bookmarkStart w:id="0" w:name="MNC"/>
      <w:r>
        <w:t xml:space="preserve">CCC15 v Minister for Immigration and Border Protection [2017] FCA </w:t>
      </w:r>
      <w:r w:rsidR="004F5AA1">
        <w:t>201</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AE62AD">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7B6D8E" w:rsidP="00EE7999">
            <w:pPr>
              <w:pStyle w:val="CasesLegislationAppealFrom"/>
              <w:spacing w:after="60"/>
            </w:pPr>
            <w:bookmarkStart w:id="1" w:name="AppealFrom"/>
            <w:r>
              <w:rPr>
                <w:i/>
              </w:rPr>
              <w:t xml:space="preserve">CCC15 v </w:t>
            </w:r>
            <w:r w:rsidRPr="007B6D8E">
              <w:rPr>
                <w:i/>
              </w:rPr>
              <w:t xml:space="preserve">Minister for Immigration </w:t>
            </w:r>
            <w:r w:rsidR="00EE7999">
              <w:rPr>
                <w:i/>
              </w:rPr>
              <w:t>&amp;</w:t>
            </w:r>
            <w:r w:rsidRPr="007B6D8E">
              <w:rPr>
                <w:i/>
              </w:rPr>
              <w:t xml:space="preserve"> Anor</w:t>
            </w:r>
            <w:r>
              <w:t xml:space="preserve"> [2016] FCCA 2335</w:t>
            </w:r>
            <w:r w:rsidR="009264B3">
              <w:t xml:space="preserve"> </w:t>
            </w:r>
            <w:bookmarkEnd w:id="1"/>
          </w:p>
        </w:tc>
      </w:tr>
      <w:tr w:rsidR="00395B24" w:rsidTr="00AE62A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62AD">
        <w:tc>
          <w:tcPr>
            <w:tcW w:w="3085" w:type="dxa"/>
            <w:shd w:val="clear" w:color="auto" w:fill="auto"/>
          </w:tcPr>
          <w:p w:rsidR="00395B24" w:rsidRDefault="00353BDD" w:rsidP="00663878">
            <w:pPr>
              <w:pStyle w:val="Normal1linespace"/>
              <w:widowControl w:val="0"/>
              <w:jc w:val="left"/>
            </w:pPr>
            <w:r>
              <w:t>File number</w:t>
            </w:r>
            <w:r w:rsidR="002C7385">
              <w:t>:</w:t>
            </w:r>
          </w:p>
        </w:tc>
        <w:tc>
          <w:tcPr>
            <w:tcW w:w="5989" w:type="dxa"/>
            <w:shd w:val="clear" w:color="auto" w:fill="auto"/>
          </w:tcPr>
          <w:p w:rsidR="00395B24" w:rsidRPr="00353BDD" w:rsidRDefault="007039B0" w:rsidP="00353BDD">
            <w:pPr>
              <w:pStyle w:val="Normal1linespace"/>
              <w:jc w:val="left"/>
            </w:pPr>
            <w:r>
              <w:fldChar w:fldCharType="begin" w:fldLock="1"/>
            </w:r>
            <w:r>
              <w:instrText xml:space="preserve"> REF  FileNo  \* MERGEFORMAT </w:instrText>
            </w:r>
            <w:r>
              <w:fldChar w:fldCharType="separate"/>
            </w:r>
            <w:r w:rsidR="00353BDD" w:rsidRPr="00353BDD">
              <w:t>NSD 1672 of 2016</w:t>
            </w:r>
            <w:r>
              <w:fldChar w:fldCharType="end"/>
            </w:r>
          </w:p>
        </w:tc>
      </w:tr>
      <w:tr w:rsidR="00395B24" w:rsidTr="00AE62A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62AD">
        <w:tc>
          <w:tcPr>
            <w:tcW w:w="3085" w:type="dxa"/>
            <w:shd w:val="clear" w:color="auto" w:fill="auto"/>
          </w:tcPr>
          <w:p w:rsidR="00395B24" w:rsidRDefault="00353BDD"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353BDD">
              <w:rPr>
                <w:b/>
              </w:rPr>
              <w:fldChar w:fldCharType="begin" w:fldLock="1"/>
            </w:r>
            <w:r w:rsidRPr="00353BDD">
              <w:rPr>
                <w:b/>
              </w:rPr>
              <w:instrText xml:space="preserve"> REF  Judge  \* MERGEFORMAT </w:instrText>
            </w:r>
            <w:r w:rsidRPr="00353BDD">
              <w:rPr>
                <w:b/>
              </w:rPr>
              <w:fldChar w:fldCharType="separate"/>
            </w:r>
            <w:r w:rsidR="00353BDD" w:rsidRPr="00353BDD">
              <w:rPr>
                <w:b/>
                <w:caps/>
                <w:szCs w:val="24"/>
              </w:rPr>
              <w:t>BROMBERG  J</w:t>
            </w:r>
            <w:r w:rsidRPr="00353BDD">
              <w:rPr>
                <w:b/>
              </w:rPr>
              <w:fldChar w:fldCharType="end"/>
            </w:r>
          </w:p>
        </w:tc>
      </w:tr>
      <w:tr w:rsidR="00395B24" w:rsidTr="00AE62A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62AD">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353BDD" w:rsidP="00663878">
            <w:pPr>
              <w:pStyle w:val="Normal1linespace"/>
              <w:widowControl w:val="0"/>
              <w:jc w:val="left"/>
            </w:pPr>
            <w:bookmarkStart w:id="2" w:name="JudgmentDate"/>
            <w:r>
              <w:t>2 March 2017</w:t>
            </w:r>
            <w:bookmarkEnd w:id="2"/>
          </w:p>
        </w:tc>
      </w:tr>
      <w:tr w:rsidR="00395B24" w:rsidTr="00AE62A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62AD">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8734D8" w:rsidP="00663878">
            <w:pPr>
              <w:pStyle w:val="Normal1linespace"/>
              <w:widowControl w:val="0"/>
              <w:jc w:val="left"/>
            </w:pPr>
            <w:bookmarkStart w:id="3" w:name="Catchwords"/>
            <w:r>
              <w:rPr>
                <w:b/>
              </w:rPr>
              <w:t>MIGRATION</w:t>
            </w:r>
            <w:r>
              <w:t xml:space="preserve"> – Protection (Class XA) visa – appeal from the Federal Circuit Court of Australia (“FCC”) – whether the judgment of the FCC was affected by actual or apprehended bias – no basis for suggesting actual bias – where the reasons for judgment indicate that the primary judge listened to the transcript of the Tribunal hearing and addressed each of the appellant’s complaints about the conduct of the hearing – no basis for suggesting that a fair-minded lay observer might reasonably apprehend that the primary judge might not have brought an impartial mind to the resolution of the question before him – appeal dismissed</w:t>
            </w:r>
            <w:r w:rsidR="002C7385">
              <w:t xml:space="preserve"> </w:t>
            </w:r>
            <w:bookmarkEnd w:id="3"/>
          </w:p>
        </w:tc>
      </w:tr>
      <w:tr w:rsidR="00395B24" w:rsidTr="00AE62A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62AD">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D04E33" w:rsidP="00D82620">
            <w:pPr>
              <w:pStyle w:val="CasesLegislationAppealFrom"/>
              <w:spacing w:after="60"/>
            </w:pPr>
            <w:bookmarkStart w:id="4" w:name="Legislation"/>
            <w:r w:rsidRPr="007B6D8E">
              <w:rPr>
                <w:rFonts w:eastAsia="Times New Roman"/>
                <w:i/>
                <w:szCs w:val="24"/>
              </w:rPr>
              <w:t xml:space="preserve">Migration Act 1958 </w:t>
            </w:r>
            <w:r w:rsidRPr="007B6D8E">
              <w:rPr>
                <w:rFonts w:eastAsia="Times New Roman"/>
                <w:szCs w:val="24"/>
              </w:rPr>
              <w:t>(Cth)</w:t>
            </w:r>
            <w:r>
              <w:rPr>
                <w:rFonts w:eastAsia="Times New Roman"/>
                <w:szCs w:val="24"/>
              </w:rPr>
              <w:t xml:space="preserve"> s 474</w:t>
            </w:r>
            <w:r w:rsidR="002C7385">
              <w:t xml:space="preserve"> </w:t>
            </w:r>
            <w:bookmarkEnd w:id="4"/>
          </w:p>
        </w:tc>
      </w:tr>
      <w:tr w:rsidR="00395B24" w:rsidTr="00AE62A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62AD">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A5294" w:rsidRDefault="009A5294" w:rsidP="00D82620">
            <w:pPr>
              <w:pStyle w:val="CasesLegislationAppealFrom"/>
              <w:spacing w:after="60"/>
            </w:pPr>
            <w:bookmarkStart w:id="5" w:name="Cases_Cited"/>
            <w:r>
              <w:rPr>
                <w:i/>
              </w:rPr>
              <w:t xml:space="preserve">CCC15 v </w:t>
            </w:r>
            <w:r w:rsidRPr="007B6D8E">
              <w:rPr>
                <w:i/>
              </w:rPr>
              <w:t>Minister for Immigration and Anor</w:t>
            </w:r>
            <w:r>
              <w:t xml:space="preserve"> [2016] FCCA 2335</w:t>
            </w:r>
          </w:p>
          <w:p w:rsidR="009A5294" w:rsidRDefault="009A5294" w:rsidP="00D82620">
            <w:pPr>
              <w:pStyle w:val="CasesLegislationAppealFrom"/>
              <w:spacing w:after="60"/>
              <w:rPr>
                <w:rFonts w:eastAsia="Times New Roman"/>
                <w:szCs w:val="24"/>
              </w:rPr>
            </w:pPr>
            <w:r w:rsidRPr="00D42C32">
              <w:rPr>
                <w:rFonts w:eastAsia="Times New Roman"/>
                <w:i/>
                <w:szCs w:val="24"/>
              </w:rPr>
              <w:t xml:space="preserve">Minister for Immigration and Multicultural Affairs v </w:t>
            </w:r>
            <w:proofErr w:type="spellStart"/>
            <w:r w:rsidRPr="00D42C32">
              <w:rPr>
                <w:rFonts w:eastAsia="Times New Roman"/>
                <w:i/>
                <w:szCs w:val="24"/>
              </w:rPr>
              <w:t>Jia</w:t>
            </w:r>
            <w:proofErr w:type="spellEnd"/>
            <w:r>
              <w:rPr>
                <w:rFonts w:eastAsia="Times New Roman"/>
                <w:szCs w:val="24"/>
              </w:rPr>
              <w:t xml:space="preserve"> (2001) 20</w:t>
            </w:r>
            <w:r w:rsidRPr="00D42C32">
              <w:rPr>
                <w:rFonts w:eastAsia="Times New Roman"/>
                <w:szCs w:val="24"/>
              </w:rPr>
              <w:t>5 CLR 507</w:t>
            </w:r>
          </w:p>
          <w:p w:rsidR="009A5294" w:rsidRDefault="009A5294" w:rsidP="00D82620">
            <w:pPr>
              <w:pStyle w:val="CasesLegislationAppealFrom"/>
              <w:spacing w:after="60"/>
              <w:rPr>
                <w:rFonts w:eastAsia="Times New Roman"/>
                <w:szCs w:val="24"/>
              </w:rPr>
            </w:pPr>
            <w:r w:rsidRPr="007B6D8E">
              <w:rPr>
                <w:rFonts w:eastAsia="Times New Roman"/>
                <w:i/>
                <w:szCs w:val="24"/>
              </w:rPr>
              <w:t>Plaintiff S157/2002 v Commonwealth</w:t>
            </w:r>
            <w:r w:rsidRPr="007B6D8E">
              <w:rPr>
                <w:rFonts w:eastAsia="Times New Roman"/>
                <w:szCs w:val="24"/>
              </w:rPr>
              <w:t xml:space="preserve"> (2003) 21</w:t>
            </w:r>
            <w:r>
              <w:rPr>
                <w:rFonts w:eastAsia="Times New Roman"/>
                <w:szCs w:val="24"/>
              </w:rPr>
              <w:t>1 CLR 476</w:t>
            </w:r>
          </w:p>
          <w:p w:rsidR="009A5294" w:rsidRDefault="009A5294" w:rsidP="00D82620">
            <w:pPr>
              <w:pStyle w:val="CasesLegislationAppealFrom"/>
              <w:spacing w:after="60"/>
            </w:pPr>
            <w:r>
              <w:rPr>
                <w:rFonts w:eastAsia="Times New Roman"/>
                <w:bCs/>
                <w:i/>
                <w:szCs w:val="24"/>
              </w:rPr>
              <w:t xml:space="preserve">Re Refugee Review Tribunal; </w:t>
            </w:r>
            <w:r w:rsidRPr="00D42C32">
              <w:rPr>
                <w:rFonts w:eastAsia="Times New Roman"/>
                <w:bCs/>
                <w:i/>
                <w:szCs w:val="24"/>
              </w:rPr>
              <w:t>Ex Parte H</w:t>
            </w:r>
            <w:r w:rsidRPr="00D42C32">
              <w:rPr>
                <w:rFonts w:eastAsia="Times New Roman"/>
                <w:bCs/>
                <w:szCs w:val="24"/>
              </w:rPr>
              <w:t xml:space="preserve"> [2001] </w:t>
            </w:r>
            <w:r w:rsidR="008734D8">
              <w:rPr>
                <w:rFonts w:eastAsia="Times New Roman"/>
                <w:bCs/>
                <w:szCs w:val="24"/>
              </w:rPr>
              <w:t>HCA 28</w:t>
            </w:r>
            <w:r w:rsidRPr="00D42C32">
              <w:rPr>
                <w:rFonts w:eastAsia="Times New Roman"/>
                <w:szCs w:val="24"/>
              </w:rPr>
              <w:t xml:space="preserve"> </w:t>
            </w:r>
            <w:r>
              <w:t xml:space="preserve"> </w:t>
            </w:r>
          </w:p>
          <w:p w:rsidR="005F4BDF" w:rsidRDefault="009A5294" w:rsidP="00D82620">
            <w:pPr>
              <w:pStyle w:val="CasesLegislationAppealFrom"/>
              <w:spacing w:after="60"/>
              <w:rPr>
                <w:rFonts w:eastAsia="Times New Roman"/>
                <w:bCs/>
                <w:i/>
                <w:szCs w:val="24"/>
              </w:rPr>
            </w:pPr>
            <w:r w:rsidRPr="007B6D8E">
              <w:rPr>
                <w:rFonts w:eastAsia="Times New Roman"/>
                <w:i/>
                <w:szCs w:val="24"/>
              </w:rPr>
              <w:t>SLMB v Minister for Immigration &amp; Multicultural &amp; Indigenous Affairs</w:t>
            </w:r>
            <w:r w:rsidRPr="007B6D8E">
              <w:rPr>
                <w:rFonts w:eastAsia="Times New Roman"/>
                <w:szCs w:val="24"/>
              </w:rPr>
              <w:t xml:space="preserve"> </w:t>
            </w:r>
            <w:r>
              <w:rPr>
                <w:rFonts w:eastAsia="Times New Roman"/>
                <w:szCs w:val="24"/>
              </w:rPr>
              <w:t>[2004] FCAFC 129</w:t>
            </w:r>
            <w:r w:rsidR="005F4BDF" w:rsidRPr="00D42C32">
              <w:rPr>
                <w:rFonts w:eastAsia="Times New Roman"/>
                <w:bCs/>
                <w:i/>
                <w:szCs w:val="24"/>
              </w:rPr>
              <w:t xml:space="preserve"> </w:t>
            </w:r>
          </w:p>
          <w:p w:rsidR="00395B24" w:rsidRPr="005F4BDF" w:rsidRDefault="005F4BDF" w:rsidP="00D82620">
            <w:pPr>
              <w:pStyle w:val="CasesLegislationAppealFrom"/>
              <w:spacing w:after="60"/>
              <w:rPr>
                <w:rFonts w:eastAsia="Times New Roman"/>
                <w:szCs w:val="24"/>
              </w:rPr>
            </w:pPr>
            <w:r w:rsidRPr="00D42C32">
              <w:rPr>
                <w:rFonts w:eastAsia="Times New Roman"/>
                <w:bCs/>
                <w:i/>
                <w:szCs w:val="24"/>
              </w:rPr>
              <w:t>VAAD v Minister for Immigration &amp; Multicultural &amp; Indigenous Affairs</w:t>
            </w:r>
            <w:r w:rsidRPr="00D42C32">
              <w:rPr>
                <w:rFonts w:eastAsia="Times New Roman"/>
                <w:bCs/>
                <w:szCs w:val="24"/>
              </w:rPr>
              <w:t xml:space="preserve"> [2005] FCAFC 117</w:t>
            </w:r>
            <w:bookmarkEnd w:id="5"/>
          </w:p>
        </w:tc>
      </w:tr>
      <w:tr w:rsidR="00AE62AD" w:rsidRPr="00AE62AD" w:rsidTr="00AE62AD">
        <w:tc>
          <w:tcPr>
            <w:tcW w:w="3085" w:type="dxa"/>
            <w:shd w:val="clear" w:color="auto" w:fill="auto"/>
          </w:tcPr>
          <w:p w:rsidR="00AE62AD" w:rsidRPr="00AE62AD" w:rsidRDefault="00AE62AD" w:rsidP="00AE62AD">
            <w:pPr>
              <w:pStyle w:val="Normal1linespace"/>
              <w:jc w:val="left"/>
            </w:pPr>
          </w:p>
        </w:tc>
        <w:tc>
          <w:tcPr>
            <w:tcW w:w="5989" w:type="dxa"/>
            <w:shd w:val="clear" w:color="auto" w:fill="auto"/>
          </w:tcPr>
          <w:p w:rsidR="00AE62AD" w:rsidRPr="00AE62AD" w:rsidRDefault="00AE62AD" w:rsidP="00AE62AD">
            <w:pPr>
              <w:pStyle w:val="Normal1linespace"/>
              <w:jc w:val="left"/>
            </w:pPr>
          </w:p>
        </w:tc>
      </w:tr>
      <w:tr w:rsidR="00AE62AD" w:rsidRPr="00AE62AD" w:rsidTr="00AE62AD">
        <w:tc>
          <w:tcPr>
            <w:tcW w:w="3085" w:type="dxa"/>
            <w:shd w:val="clear" w:color="auto" w:fill="auto"/>
          </w:tcPr>
          <w:p w:rsidR="00AE62AD" w:rsidRPr="00AE62AD" w:rsidRDefault="00AE62AD" w:rsidP="00AE62AD">
            <w:pPr>
              <w:pStyle w:val="Normal1linespace"/>
              <w:jc w:val="left"/>
            </w:pPr>
            <w:bookmarkStart w:id="6" w:name="CounselDate" w:colFirst="0" w:colLast="2"/>
            <w:r w:rsidRPr="00AE62AD">
              <w:t>Date of hearing:</w:t>
            </w:r>
          </w:p>
        </w:tc>
        <w:tc>
          <w:tcPr>
            <w:tcW w:w="5989" w:type="dxa"/>
            <w:shd w:val="clear" w:color="auto" w:fill="auto"/>
          </w:tcPr>
          <w:p w:rsidR="00AE62AD" w:rsidRPr="00AE62AD" w:rsidRDefault="00AE62AD" w:rsidP="00AE62AD">
            <w:pPr>
              <w:pStyle w:val="Normal1linespace"/>
              <w:jc w:val="left"/>
            </w:pPr>
            <w:bookmarkStart w:id="7" w:name="HearingDate"/>
            <w:r>
              <w:t>2 March 2017</w:t>
            </w:r>
            <w:bookmarkEnd w:id="7"/>
          </w:p>
        </w:tc>
      </w:tr>
      <w:tr w:rsidR="00AE62AD" w:rsidRPr="00AE62AD" w:rsidTr="00AE62AD">
        <w:tc>
          <w:tcPr>
            <w:tcW w:w="3085" w:type="dxa"/>
            <w:shd w:val="clear" w:color="auto" w:fill="auto"/>
          </w:tcPr>
          <w:p w:rsidR="00AE62AD" w:rsidRPr="00AE62AD" w:rsidRDefault="00AE62AD" w:rsidP="00AE62AD">
            <w:pPr>
              <w:pStyle w:val="Normal1linespace"/>
              <w:jc w:val="left"/>
            </w:pPr>
          </w:p>
        </w:tc>
        <w:tc>
          <w:tcPr>
            <w:tcW w:w="5989" w:type="dxa"/>
            <w:shd w:val="clear" w:color="auto" w:fill="auto"/>
          </w:tcPr>
          <w:p w:rsidR="00AE62AD" w:rsidRPr="00AE62AD" w:rsidRDefault="00AE62AD" w:rsidP="00AE62AD">
            <w:pPr>
              <w:pStyle w:val="Normal1linespace"/>
              <w:jc w:val="left"/>
            </w:pPr>
          </w:p>
        </w:tc>
      </w:tr>
      <w:bookmarkEnd w:id="6"/>
      <w:tr w:rsidR="00AE62AD" w:rsidTr="00AE62AD">
        <w:tc>
          <w:tcPr>
            <w:tcW w:w="3085" w:type="dxa"/>
            <w:shd w:val="clear" w:color="auto" w:fill="auto"/>
          </w:tcPr>
          <w:p w:rsidR="00AE62AD" w:rsidRDefault="00AE62AD" w:rsidP="00AE62AD">
            <w:pPr>
              <w:pStyle w:val="Normal1linespace"/>
              <w:widowControl w:val="0"/>
              <w:jc w:val="left"/>
            </w:pPr>
            <w:r>
              <w:t>Registry:</w:t>
            </w:r>
          </w:p>
        </w:tc>
        <w:tc>
          <w:tcPr>
            <w:tcW w:w="5989" w:type="dxa"/>
            <w:shd w:val="clear" w:color="auto" w:fill="auto"/>
          </w:tcPr>
          <w:p w:rsidR="00AE62AD" w:rsidRPr="00F17599" w:rsidRDefault="007039B0" w:rsidP="00AE62AD">
            <w:pPr>
              <w:pStyle w:val="Normal1linespace"/>
              <w:widowControl w:val="0"/>
              <w:jc w:val="left"/>
            </w:pPr>
            <w:r>
              <w:fldChar w:fldCharType="begin"/>
            </w:r>
            <w:r>
              <w:instrText xml:space="preserve"> DOCPROPERTY  Registry </w:instrText>
            </w:r>
            <w:r>
              <w:fldChar w:fldCharType="separate"/>
            </w:r>
            <w:r w:rsidR="00AE62AD">
              <w:t>New South Wales</w:t>
            </w:r>
            <w:r>
              <w:fldChar w:fldCharType="end"/>
            </w:r>
          </w:p>
        </w:tc>
      </w:tr>
      <w:tr w:rsidR="00AE62AD" w:rsidTr="00AE62AD">
        <w:tc>
          <w:tcPr>
            <w:tcW w:w="3085" w:type="dxa"/>
            <w:shd w:val="clear" w:color="auto" w:fill="auto"/>
          </w:tcPr>
          <w:p w:rsidR="00AE62AD" w:rsidRDefault="00AE62AD" w:rsidP="00AE62AD">
            <w:pPr>
              <w:pStyle w:val="Normal1linespace"/>
              <w:widowControl w:val="0"/>
              <w:jc w:val="left"/>
            </w:pPr>
          </w:p>
        </w:tc>
        <w:tc>
          <w:tcPr>
            <w:tcW w:w="5989" w:type="dxa"/>
            <w:shd w:val="clear" w:color="auto" w:fill="auto"/>
          </w:tcPr>
          <w:p w:rsidR="00AE62AD" w:rsidRDefault="00AE62AD" w:rsidP="00AE62AD">
            <w:pPr>
              <w:pStyle w:val="Normal1linespace"/>
              <w:widowControl w:val="0"/>
              <w:jc w:val="left"/>
            </w:pPr>
          </w:p>
        </w:tc>
      </w:tr>
      <w:tr w:rsidR="00AE62AD" w:rsidTr="00AE62AD">
        <w:tc>
          <w:tcPr>
            <w:tcW w:w="3085" w:type="dxa"/>
            <w:shd w:val="clear" w:color="auto" w:fill="auto"/>
          </w:tcPr>
          <w:p w:rsidR="00AE62AD" w:rsidRDefault="00AE62AD" w:rsidP="00AE62AD">
            <w:pPr>
              <w:pStyle w:val="Normal1linespace"/>
              <w:widowControl w:val="0"/>
              <w:jc w:val="left"/>
            </w:pPr>
            <w:r>
              <w:t>Division:</w:t>
            </w:r>
          </w:p>
        </w:tc>
        <w:tc>
          <w:tcPr>
            <w:tcW w:w="5989" w:type="dxa"/>
            <w:shd w:val="clear" w:color="auto" w:fill="auto"/>
          </w:tcPr>
          <w:p w:rsidR="00AE62AD" w:rsidRPr="00F17599" w:rsidRDefault="007039B0" w:rsidP="00AE62AD">
            <w:pPr>
              <w:pStyle w:val="Normal1linespace"/>
              <w:widowControl w:val="0"/>
              <w:jc w:val="left"/>
            </w:pPr>
            <w:r>
              <w:fldChar w:fldCharType="begin"/>
            </w:r>
            <w:r>
              <w:instrText xml:space="preserve"> DOCPROPERTY  Division </w:instrText>
            </w:r>
            <w:r>
              <w:fldChar w:fldCharType="separate"/>
            </w:r>
            <w:r w:rsidR="00AE62AD">
              <w:t>General Division</w:t>
            </w:r>
            <w:r>
              <w:fldChar w:fldCharType="end"/>
            </w:r>
          </w:p>
        </w:tc>
      </w:tr>
      <w:tr w:rsidR="00AE62AD" w:rsidTr="00AE62AD">
        <w:tc>
          <w:tcPr>
            <w:tcW w:w="3085" w:type="dxa"/>
            <w:shd w:val="clear" w:color="auto" w:fill="auto"/>
          </w:tcPr>
          <w:p w:rsidR="00AE62AD" w:rsidRDefault="00AE62AD" w:rsidP="00AE62AD">
            <w:pPr>
              <w:pStyle w:val="Normal1linespace"/>
              <w:widowControl w:val="0"/>
              <w:jc w:val="left"/>
            </w:pPr>
          </w:p>
        </w:tc>
        <w:tc>
          <w:tcPr>
            <w:tcW w:w="5989" w:type="dxa"/>
            <w:shd w:val="clear" w:color="auto" w:fill="auto"/>
          </w:tcPr>
          <w:p w:rsidR="00AE62AD" w:rsidRPr="00F17599" w:rsidRDefault="00AE62AD" w:rsidP="00AE62AD">
            <w:pPr>
              <w:pStyle w:val="Normal1linespace"/>
              <w:widowControl w:val="0"/>
              <w:jc w:val="left"/>
              <w:rPr>
                <w:b/>
              </w:rPr>
            </w:pPr>
          </w:p>
        </w:tc>
      </w:tr>
      <w:tr w:rsidR="00AE62AD" w:rsidTr="00AE62AD">
        <w:tc>
          <w:tcPr>
            <w:tcW w:w="3085" w:type="dxa"/>
            <w:shd w:val="clear" w:color="auto" w:fill="auto"/>
          </w:tcPr>
          <w:p w:rsidR="00AE62AD" w:rsidRDefault="00AE62AD" w:rsidP="00AE62AD">
            <w:pPr>
              <w:pStyle w:val="Normal1linespace"/>
              <w:widowControl w:val="0"/>
              <w:jc w:val="left"/>
            </w:pPr>
            <w:r>
              <w:t>National Practice Area:</w:t>
            </w:r>
          </w:p>
        </w:tc>
        <w:tc>
          <w:tcPr>
            <w:tcW w:w="5989" w:type="dxa"/>
            <w:shd w:val="clear" w:color="auto" w:fill="auto"/>
          </w:tcPr>
          <w:p w:rsidR="00AE62AD" w:rsidRPr="00F17599" w:rsidRDefault="007039B0" w:rsidP="00AE62AD">
            <w:pPr>
              <w:pStyle w:val="Normal1linespace"/>
              <w:widowControl w:val="0"/>
              <w:jc w:val="left"/>
              <w:rPr>
                <w:b/>
              </w:rPr>
            </w:pPr>
            <w:r>
              <w:fldChar w:fldCharType="begin"/>
            </w:r>
            <w:r>
              <w:instrText xml:space="preserve"> DOCPROPERTY  "Practice Area"  \* MERGEFORMAT </w:instrText>
            </w:r>
            <w:r>
              <w:fldChar w:fldCharType="separate"/>
            </w:r>
            <w:r w:rsidR="00AE62AD">
              <w:t>Administrative and Constitutional Law and Human Rights</w:t>
            </w:r>
            <w:r>
              <w:fldChar w:fldCharType="end"/>
            </w:r>
          </w:p>
        </w:tc>
      </w:tr>
      <w:tr w:rsidR="00AE62AD" w:rsidTr="00AE62AD">
        <w:tc>
          <w:tcPr>
            <w:tcW w:w="3085" w:type="dxa"/>
            <w:shd w:val="clear" w:color="auto" w:fill="auto"/>
          </w:tcPr>
          <w:p w:rsidR="00AE62AD" w:rsidRDefault="00AE62AD" w:rsidP="00AE62AD">
            <w:pPr>
              <w:pStyle w:val="Normal1linespace"/>
              <w:widowControl w:val="0"/>
              <w:jc w:val="left"/>
            </w:pPr>
          </w:p>
        </w:tc>
        <w:tc>
          <w:tcPr>
            <w:tcW w:w="5989" w:type="dxa"/>
            <w:shd w:val="clear" w:color="auto" w:fill="auto"/>
          </w:tcPr>
          <w:p w:rsidR="00AE62AD" w:rsidRDefault="00AE62AD" w:rsidP="00AE62AD">
            <w:pPr>
              <w:pStyle w:val="Normal1linespace"/>
              <w:widowControl w:val="0"/>
              <w:jc w:val="left"/>
            </w:pPr>
          </w:p>
        </w:tc>
      </w:tr>
      <w:tr w:rsidR="00AE62AD" w:rsidTr="00AE62AD">
        <w:tc>
          <w:tcPr>
            <w:tcW w:w="3085" w:type="dxa"/>
            <w:shd w:val="clear" w:color="auto" w:fill="auto"/>
          </w:tcPr>
          <w:p w:rsidR="00AE62AD" w:rsidRDefault="00AE62AD" w:rsidP="00AE62AD">
            <w:pPr>
              <w:pStyle w:val="Normal1linespace"/>
              <w:widowControl w:val="0"/>
              <w:jc w:val="left"/>
            </w:pPr>
            <w:r>
              <w:lastRenderedPageBreak/>
              <w:t>Category:</w:t>
            </w:r>
          </w:p>
        </w:tc>
        <w:tc>
          <w:tcPr>
            <w:tcW w:w="5989" w:type="dxa"/>
            <w:shd w:val="clear" w:color="auto" w:fill="auto"/>
          </w:tcPr>
          <w:p w:rsidR="00AE62AD" w:rsidRDefault="005B2D06" w:rsidP="00AE62AD">
            <w:pPr>
              <w:pStyle w:val="Normal1linespace"/>
              <w:widowControl w:val="0"/>
              <w:jc w:val="left"/>
            </w:pPr>
            <w:r>
              <w:t>Catchwords</w:t>
            </w:r>
          </w:p>
        </w:tc>
      </w:tr>
      <w:tr w:rsidR="00AE62AD" w:rsidTr="00AE62AD">
        <w:tc>
          <w:tcPr>
            <w:tcW w:w="3085" w:type="dxa"/>
            <w:shd w:val="clear" w:color="auto" w:fill="auto"/>
          </w:tcPr>
          <w:p w:rsidR="00AE62AD" w:rsidRDefault="00AE62AD" w:rsidP="00AE62AD">
            <w:pPr>
              <w:pStyle w:val="Normal1linespace"/>
              <w:widowControl w:val="0"/>
              <w:jc w:val="left"/>
            </w:pPr>
          </w:p>
        </w:tc>
        <w:tc>
          <w:tcPr>
            <w:tcW w:w="5989" w:type="dxa"/>
            <w:shd w:val="clear" w:color="auto" w:fill="auto"/>
          </w:tcPr>
          <w:p w:rsidR="00AE62AD" w:rsidRDefault="00AE62AD" w:rsidP="00AE62AD">
            <w:pPr>
              <w:pStyle w:val="Normal1linespace"/>
              <w:widowControl w:val="0"/>
              <w:jc w:val="left"/>
            </w:pPr>
          </w:p>
        </w:tc>
      </w:tr>
      <w:tr w:rsidR="00AE62AD" w:rsidTr="00AE62AD">
        <w:tc>
          <w:tcPr>
            <w:tcW w:w="3085" w:type="dxa"/>
            <w:shd w:val="clear" w:color="auto" w:fill="auto"/>
          </w:tcPr>
          <w:p w:rsidR="00AE62AD" w:rsidRDefault="00AE62AD" w:rsidP="00AE62AD">
            <w:pPr>
              <w:pStyle w:val="Normal1linespace"/>
              <w:widowControl w:val="0"/>
              <w:jc w:val="left"/>
            </w:pPr>
            <w:r>
              <w:t>Number of paragraphs:</w:t>
            </w:r>
          </w:p>
        </w:tc>
        <w:tc>
          <w:tcPr>
            <w:tcW w:w="5989" w:type="dxa"/>
            <w:shd w:val="clear" w:color="auto" w:fill="auto"/>
          </w:tcPr>
          <w:p w:rsidR="00AE62AD" w:rsidRDefault="00D96B36" w:rsidP="00D96B36">
            <w:pPr>
              <w:pStyle w:val="Normal1linespace"/>
              <w:widowControl w:val="0"/>
              <w:jc w:val="left"/>
            </w:pPr>
            <w:bookmarkStart w:id="8" w:name="PlaceCategoryParagraphs"/>
            <w:r>
              <w:t>25</w:t>
            </w:r>
            <w:bookmarkEnd w:id="8"/>
          </w:p>
        </w:tc>
      </w:tr>
      <w:tr w:rsidR="00AE62AD" w:rsidTr="00AE62AD">
        <w:tc>
          <w:tcPr>
            <w:tcW w:w="3085" w:type="dxa"/>
            <w:shd w:val="clear" w:color="auto" w:fill="auto"/>
          </w:tcPr>
          <w:p w:rsidR="00AE62AD" w:rsidRDefault="00AE62AD" w:rsidP="00AE62AD">
            <w:pPr>
              <w:pStyle w:val="Normal1linespace"/>
              <w:widowControl w:val="0"/>
              <w:jc w:val="left"/>
            </w:pPr>
          </w:p>
        </w:tc>
        <w:tc>
          <w:tcPr>
            <w:tcW w:w="5989" w:type="dxa"/>
            <w:shd w:val="clear" w:color="auto" w:fill="auto"/>
          </w:tcPr>
          <w:p w:rsidR="00AE62AD" w:rsidRDefault="00AE62AD" w:rsidP="00AE62AD">
            <w:pPr>
              <w:pStyle w:val="Normal1linespace"/>
              <w:widowControl w:val="0"/>
              <w:jc w:val="left"/>
            </w:pPr>
          </w:p>
        </w:tc>
      </w:tr>
      <w:tr w:rsidR="00AE62AD" w:rsidTr="00AE62AD">
        <w:tc>
          <w:tcPr>
            <w:tcW w:w="3085" w:type="dxa"/>
            <w:shd w:val="clear" w:color="auto" w:fill="auto"/>
          </w:tcPr>
          <w:p w:rsidR="00AE62AD" w:rsidRDefault="00AE62AD" w:rsidP="00AE62AD">
            <w:pPr>
              <w:pStyle w:val="Normal1linespace"/>
              <w:widowControl w:val="0"/>
              <w:jc w:val="left"/>
            </w:pPr>
            <w:bookmarkStart w:id="9" w:name="Counsel" w:colFirst="0" w:colLast="2"/>
            <w:r>
              <w:t>Counsel for the Appellant:</w:t>
            </w:r>
          </w:p>
        </w:tc>
        <w:tc>
          <w:tcPr>
            <w:tcW w:w="5989" w:type="dxa"/>
            <w:shd w:val="clear" w:color="auto" w:fill="auto"/>
          </w:tcPr>
          <w:p w:rsidR="00AE62AD" w:rsidRDefault="00AE62AD" w:rsidP="00AE62AD">
            <w:pPr>
              <w:pStyle w:val="Normal1linespace"/>
              <w:widowControl w:val="0"/>
              <w:jc w:val="left"/>
            </w:pPr>
            <w:bookmarkStart w:id="10" w:name="AppCounsel"/>
            <w:bookmarkEnd w:id="10"/>
            <w:r>
              <w:t>The Appellant appeared in person assisted by an interpreter</w:t>
            </w:r>
          </w:p>
        </w:tc>
      </w:tr>
      <w:tr w:rsidR="00AE62AD" w:rsidTr="00AE62AD">
        <w:tc>
          <w:tcPr>
            <w:tcW w:w="3085" w:type="dxa"/>
            <w:shd w:val="clear" w:color="auto" w:fill="auto"/>
          </w:tcPr>
          <w:p w:rsidR="00AE62AD" w:rsidRDefault="00AE62AD" w:rsidP="00AE62AD">
            <w:pPr>
              <w:pStyle w:val="Normal1linespace"/>
              <w:widowControl w:val="0"/>
              <w:jc w:val="left"/>
            </w:pPr>
          </w:p>
        </w:tc>
        <w:tc>
          <w:tcPr>
            <w:tcW w:w="5989" w:type="dxa"/>
            <w:shd w:val="clear" w:color="auto" w:fill="auto"/>
          </w:tcPr>
          <w:p w:rsidR="00AE62AD" w:rsidRDefault="00AE62AD" w:rsidP="00AE62AD">
            <w:pPr>
              <w:pStyle w:val="Normal1linespace"/>
              <w:widowControl w:val="0"/>
              <w:jc w:val="left"/>
            </w:pPr>
          </w:p>
        </w:tc>
      </w:tr>
      <w:tr w:rsidR="00AE62AD" w:rsidTr="00AE62AD">
        <w:tc>
          <w:tcPr>
            <w:tcW w:w="3085" w:type="dxa"/>
            <w:shd w:val="clear" w:color="auto" w:fill="auto"/>
          </w:tcPr>
          <w:p w:rsidR="00AE62AD" w:rsidRDefault="00AE62AD" w:rsidP="00AE62AD">
            <w:pPr>
              <w:pStyle w:val="Normal1linespace"/>
              <w:widowControl w:val="0"/>
              <w:jc w:val="left"/>
            </w:pPr>
            <w:r>
              <w:t>Solicitor for the First Respondent:</w:t>
            </w:r>
          </w:p>
        </w:tc>
        <w:tc>
          <w:tcPr>
            <w:tcW w:w="5989" w:type="dxa"/>
            <w:shd w:val="clear" w:color="auto" w:fill="auto"/>
          </w:tcPr>
          <w:p w:rsidR="00AE62AD" w:rsidRDefault="00AE62AD" w:rsidP="00AE62AD">
            <w:pPr>
              <w:pStyle w:val="Normal1linespace"/>
              <w:widowControl w:val="0"/>
              <w:jc w:val="left"/>
            </w:pPr>
            <w:r>
              <w:t>Mr J Pinder of Minter</w:t>
            </w:r>
            <w:r w:rsidR="00EE7999">
              <w:t xml:space="preserve"> </w:t>
            </w:r>
            <w:r>
              <w:t>Ellison</w:t>
            </w:r>
          </w:p>
        </w:tc>
      </w:tr>
      <w:tr w:rsidR="005B2D06" w:rsidTr="00AE62AD">
        <w:tc>
          <w:tcPr>
            <w:tcW w:w="3085" w:type="dxa"/>
            <w:shd w:val="clear" w:color="auto" w:fill="auto"/>
          </w:tcPr>
          <w:p w:rsidR="005B2D06" w:rsidRDefault="005B2D06" w:rsidP="00AE62AD">
            <w:pPr>
              <w:pStyle w:val="Normal1linespace"/>
              <w:widowControl w:val="0"/>
              <w:jc w:val="left"/>
            </w:pPr>
          </w:p>
        </w:tc>
        <w:tc>
          <w:tcPr>
            <w:tcW w:w="5989" w:type="dxa"/>
            <w:shd w:val="clear" w:color="auto" w:fill="auto"/>
          </w:tcPr>
          <w:p w:rsidR="005B2D06" w:rsidRDefault="005B2D06" w:rsidP="00AE62AD">
            <w:pPr>
              <w:pStyle w:val="Normal1linespace"/>
              <w:widowControl w:val="0"/>
              <w:jc w:val="left"/>
            </w:pPr>
          </w:p>
        </w:tc>
      </w:tr>
      <w:tr w:rsidR="00AE62AD" w:rsidTr="00AE62AD">
        <w:tc>
          <w:tcPr>
            <w:tcW w:w="3085" w:type="dxa"/>
            <w:shd w:val="clear" w:color="auto" w:fill="auto"/>
          </w:tcPr>
          <w:p w:rsidR="00AE62AD" w:rsidRDefault="00AE62AD" w:rsidP="00AE62AD">
            <w:pPr>
              <w:pStyle w:val="Normal1linespace"/>
              <w:widowControl w:val="0"/>
              <w:jc w:val="left"/>
            </w:pPr>
            <w:r>
              <w:t>Counsel for the Second Respondent:</w:t>
            </w:r>
          </w:p>
        </w:tc>
        <w:tc>
          <w:tcPr>
            <w:tcW w:w="5989" w:type="dxa"/>
            <w:shd w:val="clear" w:color="auto" w:fill="auto"/>
          </w:tcPr>
          <w:p w:rsidR="00AE62AD" w:rsidRDefault="00AE62AD" w:rsidP="00AE62AD">
            <w:pPr>
              <w:pStyle w:val="Normal1linespace"/>
              <w:widowControl w:val="0"/>
              <w:jc w:val="left"/>
            </w:pPr>
            <w:r>
              <w:t>The Second Respondent filed a submitting notice, save as to costs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353BDD" w:rsidP="00F92355">
            <w:pPr>
              <w:pStyle w:val="NormalHeadings"/>
              <w:jc w:val="right"/>
            </w:pPr>
            <w:bookmarkStart w:id="11" w:name="FileNo"/>
            <w:r>
              <w:t>NSD 1672 of 2016</w:t>
            </w:r>
            <w:bookmarkEnd w:id="11"/>
          </w:p>
        </w:tc>
      </w:tr>
      <w:tr w:rsidR="00A76C13" w:rsidTr="00F461A4">
        <w:tc>
          <w:tcPr>
            <w:tcW w:w="9242" w:type="dxa"/>
            <w:gridSpan w:val="3"/>
          </w:tcPr>
          <w:p w:rsidR="00A76C13" w:rsidRPr="00A76C13" w:rsidRDefault="00353BDD" w:rsidP="00353BDD">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353BDD" w:rsidRDefault="00353BDD" w:rsidP="00353BDD">
            <w:pPr>
              <w:pStyle w:val="NormalHeadings"/>
              <w:jc w:val="left"/>
            </w:pPr>
            <w:bookmarkStart w:id="14" w:name="Applicant"/>
            <w:r>
              <w:t>CCC15</w:t>
            </w:r>
          </w:p>
          <w:p w:rsidR="00353BDD" w:rsidRDefault="00353BDD" w:rsidP="00353BDD">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353BDD" w:rsidRDefault="00353BDD" w:rsidP="00353BDD">
            <w:pPr>
              <w:pStyle w:val="NormalHeadings"/>
              <w:jc w:val="left"/>
            </w:pPr>
            <w:bookmarkStart w:id="15" w:name="Respondent"/>
            <w:r>
              <w:t xml:space="preserve">MINISTER FOR IMMIGRATION AND BORDER PROTECTION </w:t>
            </w:r>
          </w:p>
          <w:p w:rsidR="00353BDD" w:rsidRDefault="00353BDD" w:rsidP="00353BDD">
            <w:pPr>
              <w:pStyle w:val="PartyType"/>
            </w:pPr>
            <w:r>
              <w:t>First Respondent</w:t>
            </w:r>
          </w:p>
          <w:p w:rsidR="00353BDD" w:rsidRDefault="00353BDD" w:rsidP="005041F0">
            <w:pPr>
              <w:pStyle w:val="NormalHeadings"/>
              <w:jc w:val="left"/>
              <w:rPr>
                <w:szCs w:val="24"/>
              </w:rPr>
            </w:pPr>
          </w:p>
          <w:p w:rsidR="00353BDD" w:rsidRDefault="00353BDD" w:rsidP="00353BDD">
            <w:pPr>
              <w:pStyle w:val="NormalHeadings"/>
              <w:jc w:val="left"/>
            </w:pPr>
            <w:r>
              <w:t>ADMINISTRATIVE APPEALS TRIBUNAL</w:t>
            </w:r>
          </w:p>
          <w:p w:rsidR="00353BDD" w:rsidRDefault="00353BDD" w:rsidP="00353BDD">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353BDD">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353BDD">
            <w:pPr>
              <w:pStyle w:val="NormalHeadings"/>
              <w:jc w:val="left"/>
              <w:rPr>
                <w:caps/>
                <w:szCs w:val="24"/>
              </w:rPr>
            </w:pPr>
            <w:bookmarkStart w:id="18" w:name="Judge"/>
            <w:r>
              <w:rPr>
                <w:caps/>
                <w:szCs w:val="24"/>
              </w:rPr>
              <w:t>BROMBERG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53BDD">
            <w:pPr>
              <w:pStyle w:val="NormalHeadings"/>
              <w:jc w:val="left"/>
              <w:rPr>
                <w:caps/>
                <w:szCs w:val="24"/>
              </w:rPr>
            </w:pPr>
            <w:bookmarkStart w:id="19" w:name="Judgment_Dated"/>
            <w:r>
              <w:rPr>
                <w:caps/>
                <w:szCs w:val="24"/>
              </w:rPr>
              <w:t>2 MARCH 2017</w:t>
            </w:r>
            <w:bookmarkEnd w:id="19"/>
          </w:p>
        </w:tc>
      </w:tr>
    </w:tbl>
    <w:p w:rsidR="00395B24" w:rsidRDefault="00395B24">
      <w:pPr>
        <w:pStyle w:val="NormalHeadings"/>
        <w:rPr>
          <w:b w:val="0"/>
        </w:rPr>
      </w:pPr>
    </w:p>
    <w:p w:rsidR="008D1617" w:rsidRDefault="008D1617">
      <w:pPr>
        <w:pStyle w:val="NormalHeadings"/>
        <w:rPr>
          <w:b w:val="0"/>
        </w:rPr>
      </w:pPr>
    </w:p>
    <w:p w:rsidR="00E10F0D" w:rsidRDefault="002C7385" w:rsidP="00E10F0D">
      <w:pPr>
        <w:pStyle w:val="NormalHeadings"/>
      </w:pPr>
      <w:r>
        <w:t>THE COURT ORDERS THAT:</w:t>
      </w:r>
      <w:bookmarkStart w:id="20" w:name="Order_Start_Text"/>
      <w:bookmarkEnd w:id="20"/>
    </w:p>
    <w:p w:rsidR="00E10F0D" w:rsidRPr="00E10F0D" w:rsidRDefault="00E10F0D" w:rsidP="00E10F0D">
      <w:pPr>
        <w:pStyle w:val="NormalHeadings"/>
      </w:pPr>
    </w:p>
    <w:p w:rsidR="00E10F0D" w:rsidRDefault="00E10F0D" w:rsidP="00E10F0D">
      <w:pPr>
        <w:pStyle w:val="Order1"/>
      </w:pPr>
      <w:r>
        <w:t>The appeal is dismissed.</w:t>
      </w:r>
    </w:p>
    <w:p w:rsidR="00E10F0D" w:rsidRDefault="00E10F0D" w:rsidP="00E10F0D">
      <w:pPr>
        <w:pStyle w:val="Order1"/>
      </w:pPr>
      <w:r>
        <w:t>The appellant pay the first respondent’s costs as agreed or taxed.</w:t>
      </w:r>
    </w:p>
    <w:p w:rsidR="00395B24" w:rsidRDefault="00395B24" w:rsidP="00E10F0D">
      <w:pPr>
        <w:pStyle w:val="Order1"/>
        <w:numPr>
          <w:ilvl w:val="0"/>
          <w:numId w:val="0"/>
        </w:numPr>
        <w:ind w:left="720"/>
      </w:pP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353BDD" w:rsidP="005E0510">
      <w:pPr>
        <w:pStyle w:val="NormalHeadings"/>
        <w:spacing w:line="360" w:lineRule="auto"/>
        <w:jc w:val="left"/>
        <w:rPr>
          <w:sz w:val="26"/>
          <w:szCs w:val="26"/>
        </w:rPr>
      </w:pPr>
      <w:r>
        <w:rPr>
          <w:sz w:val="26"/>
          <w:szCs w:val="26"/>
        </w:rPr>
        <w:t>BROMBERG J</w:t>
      </w:r>
      <w:r w:rsidR="00484F6D" w:rsidRPr="00EA03CE">
        <w:rPr>
          <w:sz w:val="26"/>
          <w:szCs w:val="26"/>
        </w:rPr>
        <w:t>:</w:t>
      </w:r>
    </w:p>
    <w:p w:rsidR="007B6D8E" w:rsidRDefault="00E10F0D" w:rsidP="007B6D8E">
      <w:pPr>
        <w:pStyle w:val="ParaNumbering"/>
      </w:pPr>
      <w:r w:rsidRPr="00E10F0D">
        <w:t xml:space="preserve">The appellant is a citizen of Lebanon who arrived in Australia on 23 February 2008 on a student visa.  On 18 June 2013, the appellant lodged an application for a </w:t>
      </w:r>
      <w:r w:rsidR="009F348F">
        <w:t>P</w:t>
      </w:r>
      <w:r w:rsidRPr="00E10F0D">
        <w:t>rotection (</w:t>
      </w:r>
      <w:r w:rsidR="009F348F">
        <w:t>Class </w:t>
      </w:r>
      <w:r w:rsidRPr="00E10F0D">
        <w:t>XA) visa</w:t>
      </w:r>
      <w:r w:rsidR="009F348F">
        <w:t xml:space="preserve"> (“</w:t>
      </w:r>
      <w:r w:rsidR="009F348F" w:rsidRPr="009F348F">
        <w:rPr>
          <w:b/>
        </w:rPr>
        <w:t>visa</w:t>
      </w:r>
      <w:r w:rsidR="009F348F">
        <w:t>”)</w:t>
      </w:r>
      <w:r w:rsidRPr="00E10F0D">
        <w:t>.  On 18 Jul</w:t>
      </w:r>
      <w:r w:rsidR="007B6D8E">
        <w:t>y 2014, a delegate of the first</w:t>
      </w:r>
      <w:r w:rsidR="008734D8">
        <w:t xml:space="preserve"> respondent</w:t>
      </w:r>
      <w:r w:rsidR="007B6D8E">
        <w:t xml:space="preserve"> (</w:t>
      </w:r>
      <w:r w:rsidRPr="00E10F0D">
        <w:t>“</w:t>
      </w:r>
      <w:r w:rsidRPr="007B6D8E">
        <w:rPr>
          <w:b/>
        </w:rPr>
        <w:t>Minister</w:t>
      </w:r>
      <w:r w:rsidRPr="00E10F0D">
        <w:t>”</w:t>
      </w:r>
      <w:r w:rsidR="007B6D8E">
        <w:t>)</w:t>
      </w:r>
      <w:r w:rsidRPr="00E10F0D">
        <w:t xml:space="preserve"> refused the appellant’s application.  On 21 Septem</w:t>
      </w:r>
      <w:r w:rsidR="007B6D8E">
        <w:t>ber 2015, the second respondent (</w:t>
      </w:r>
      <w:r w:rsidRPr="00E10F0D">
        <w:t>“</w:t>
      </w:r>
      <w:r w:rsidRPr="007B6D8E">
        <w:rPr>
          <w:b/>
        </w:rPr>
        <w:t>Tribunal</w:t>
      </w:r>
      <w:r w:rsidRPr="00E10F0D">
        <w:t>”</w:t>
      </w:r>
      <w:r w:rsidR="007B6D8E">
        <w:t xml:space="preserve">) </w:t>
      </w:r>
      <w:r w:rsidRPr="00E10F0D">
        <w:t>affirmed the delegate’s decision.  The appellant sought judicial review of the Tribunal’s decision in the Federal Circuit Court</w:t>
      </w:r>
      <w:r w:rsidR="008734D8">
        <w:t xml:space="preserve"> of Australia</w:t>
      </w:r>
      <w:r w:rsidRPr="00E10F0D">
        <w:t xml:space="preserve">.  The subject of this appeal is the primary judge’s dismissal of that application on 15 September 2016.  The primary judge’s judgment is published as </w:t>
      </w:r>
      <w:r w:rsidR="007B6D8E">
        <w:rPr>
          <w:i/>
        </w:rPr>
        <w:t xml:space="preserve">CCC15 v </w:t>
      </w:r>
      <w:r w:rsidRPr="007B6D8E">
        <w:rPr>
          <w:i/>
        </w:rPr>
        <w:t xml:space="preserve">Minister for Immigration </w:t>
      </w:r>
      <w:r w:rsidR="00EE7999">
        <w:rPr>
          <w:i/>
        </w:rPr>
        <w:t>&amp;</w:t>
      </w:r>
      <w:r w:rsidR="007B6D8E" w:rsidRPr="007B6D8E">
        <w:rPr>
          <w:i/>
        </w:rPr>
        <w:t xml:space="preserve"> Anor</w:t>
      </w:r>
      <w:r w:rsidR="007B6D8E">
        <w:t xml:space="preserve"> [2016] FCCA 2335.  </w:t>
      </w:r>
    </w:p>
    <w:p w:rsidR="00E10F0D" w:rsidRPr="00E10F0D" w:rsidRDefault="00E10F0D" w:rsidP="007B6D8E">
      <w:pPr>
        <w:pStyle w:val="ParaNumbering"/>
      </w:pPr>
      <w:r w:rsidRPr="007B6D8E">
        <w:rPr>
          <w:rFonts w:eastAsia="Times New Roman"/>
          <w:szCs w:val="24"/>
        </w:rPr>
        <w:t>The task of the primary judge was to determine whether the Tribunal’s decision was a</w:t>
      </w:r>
      <w:r w:rsidR="007B6D8E">
        <w:rPr>
          <w:rFonts w:eastAsia="Times New Roman"/>
          <w:szCs w:val="24"/>
        </w:rPr>
        <w:t>ffected by jurisdictional error: s </w:t>
      </w:r>
      <w:r w:rsidRPr="007B6D8E">
        <w:rPr>
          <w:rFonts w:eastAsia="Times New Roman"/>
          <w:szCs w:val="24"/>
        </w:rPr>
        <w:t xml:space="preserve">474 of the </w:t>
      </w:r>
      <w:r w:rsidRPr="007B6D8E">
        <w:rPr>
          <w:rFonts w:eastAsia="Times New Roman"/>
          <w:i/>
          <w:szCs w:val="24"/>
        </w:rPr>
        <w:t xml:space="preserve">Migration Act 1958 </w:t>
      </w:r>
      <w:r w:rsidRPr="007B6D8E">
        <w:rPr>
          <w:rFonts w:eastAsia="Times New Roman"/>
          <w:szCs w:val="24"/>
        </w:rPr>
        <w:t>(Cth)</w:t>
      </w:r>
      <w:r w:rsidR="008734D8">
        <w:rPr>
          <w:rFonts w:eastAsia="Times New Roman"/>
          <w:szCs w:val="24"/>
        </w:rPr>
        <w:t xml:space="preserve"> (“</w:t>
      </w:r>
      <w:r w:rsidR="008734D8">
        <w:rPr>
          <w:rFonts w:eastAsia="Times New Roman"/>
          <w:b/>
          <w:szCs w:val="24"/>
        </w:rPr>
        <w:t>Migration Act</w:t>
      </w:r>
      <w:r w:rsidR="008734D8">
        <w:rPr>
          <w:rFonts w:eastAsia="Times New Roman"/>
          <w:szCs w:val="24"/>
        </w:rPr>
        <w:t>”)</w:t>
      </w:r>
      <w:r w:rsidR="007B6D8E">
        <w:rPr>
          <w:rFonts w:eastAsia="Times New Roman"/>
          <w:szCs w:val="24"/>
        </w:rPr>
        <w:t xml:space="preserve"> and </w:t>
      </w:r>
      <w:r w:rsidR="007B6D8E" w:rsidRPr="007B6D8E">
        <w:rPr>
          <w:rFonts w:eastAsia="Times New Roman"/>
          <w:i/>
          <w:szCs w:val="24"/>
        </w:rPr>
        <w:t>Plaintiff S157/</w:t>
      </w:r>
      <w:r w:rsidRPr="007B6D8E">
        <w:rPr>
          <w:rFonts w:eastAsia="Times New Roman"/>
          <w:i/>
          <w:szCs w:val="24"/>
        </w:rPr>
        <w:t>2002 v Commonwealth</w:t>
      </w:r>
      <w:r w:rsidRPr="007B6D8E">
        <w:rPr>
          <w:rFonts w:eastAsia="Times New Roman"/>
          <w:szCs w:val="24"/>
        </w:rPr>
        <w:t xml:space="preserve"> (2003) 21</w:t>
      </w:r>
      <w:r w:rsidR="007B6D8E">
        <w:rPr>
          <w:rFonts w:eastAsia="Times New Roman"/>
          <w:szCs w:val="24"/>
        </w:rPr>
        <w:t>1 CLR 476.</w:t>
      </w:r>
      <w:r w:rsidRPr="007B6D8E">
        <w:rPr>
          <w:rFonts w:eastAsia="Times New Roman"/>
          <w:szCs w:val="24"/>
        </w:rPr>
        <w:t xml:space="preserve"> The task of this </w:t>
      </w:r>
      <w:r w:rsidR="007B6D8E">
        <w:rPr>
          <w:rFonts w:eastAsia="Times New Roman"/>
          <w:szCs w:val="24"/>
        </w:rPr>
        <w:t>C</w:t>
      </w:r>
      <w:r w:rsidRPr="007B6D8E">
        <w:rPr>
          <w:rFonts w:eastAsia="Times New Roman"/>
          <w:szCs w:val="24"/>
        </w:rPr>
        <w:t>ourt is to determine whether the primary judge’s judgment i</w:t>
      </w:r>
      <w:r w:rsidR="007B6D8E">
        <w:rPr>
          <w:rFonts w:eastAsia="Times New Roman"/>
          <w:szCs w:val="24"/>
        </w:rPr>
        <w:t xml:space="preserve">s affected by </w:t>
      </w:r>
      <w:proofErr w:type="spellStart"/>
      <w:r w:rsidR="007B6D8E">
        <w:rPr>
          <w:rFonts w:eastAsia="Times New Roman"/>
          <w:szCs w:val="24"/>
        </w:rPr>
        <w:t>appellable</w:t>
      </w:r>
      <w:proofErr w:type="spellEnd"/>
      <w:r w:rsidR="007B6D8E">
        <w:rPr>
          <w:rFonts w:eastAsia="Times New Roman"/>
          <w:szCs w:val="24"/>
        </w:rPr>
        <w:t xml:space="preserve"> error: </w:t>
      </w:r>
      <w:r w:rsidRPr="007B6D8E">
        <w:rPr>
          <w:rFonts w:eastAsia="Times New Roman"/>
          <w:i/>
          <w:szCs w:val="24"/>
        </w:rPr>
        <w:t>SLMB v Minister for Immigration &amp; Multicultural &amp; Indigenous Affairs</w:t>
      </w:r>
      <w:r w:rsidRPr="007B6D8E">
        <w:rPr>
          <w:rFonts w:eastAsia="Times New Roman"/>
          <w:szCs w:val="24"/>
        </w:rPr>
        <w:t xml:space="preserve"> </w:t>
      </w:r>
      <w:r w:rsidR="007B6D8E">
        <w:rPr>
          <w:rFonts w:eastAsia="Times New Roman"/>
          <w:szCs w:val="24"/>
        </w:rPr>
        <w:t>[2004] FCAFC 129 at [11] (</w:t>
      </w:r>
      <w:r w:rsidRPr="007B6D8E">
        <w:rPr>
          <w:rFonts w:eastAsia="Times New Roman"/>
          <w:szCs w:val="24"/>
        </w:rPr>
        <w:t xml:space="preserve">Branson, Finn and Finkelstein JJ).  </w:t>
      </w:r>
    </w:p>
    <w:p w:rsidR="006640E0" w:rsidRPr="006640E0" w:rsidRDefault="00E10F0D" w:rsidP="00E10F0D">
      <w:pPr>
        <w:pStyle w:val="ParaNumbering"/>
      </w:pPr>
      <w:r w:rsidRPr="00E10F0D">
        <w:rPr>
          <w:rFonts w:eastAsia="Times New Roman"/>
          <w:szCs w:val="24"/>
        </w:rPr>
        <w:t>The appellant’s claim for a protection visa was ba</w:t>
      </w:r>
      <w:r w:rsidR="007B6D8E">
        <w:rPr>
          <w:rFonts w:eastAsia="Times New Roman"/>
          <w:szCs w:val="24"/>
        </w:rPr>
        <w:t xml:space="preserve">sed on his alleged bisexuality </w:t>
      </w:r>
      <w:r w:rsidRPr="00E10F0D">
        <w:rPr>
          <w:rFonts w:eastAsia="Times New Roman"/>
          <w:szCs w:val="24"/>
        </w:rPr>
        <w:t>and his asserted fear that, if he was to live o</w:t>
      </w:r>
      <w:r w:rsidR="007B6D8E">
        <w:rPr>
          <w:rFonts w:eastAsia="Times New Roman"/>
          <w:szCs w:val="24"/>
        </w:rPr>
        <w:t>penly as a bisexual in Lebanon</w:t>
      </w:r>
      <w:r w:rsidR="008734D8">
        <w:rPr>
          <w:rFonts w:eastAsia="Times New Roman"/>
          <w:szCs w:val="24"/>
        </w:rPr>
        <w:t>,</w:t>
      </w:r>
      <w:r w:rsidR="007B6D8E">
        <w:rPr>
          <w:rFonts w:eastAsia="Times New Roman"/>
          <w:szCs w:val="24"/>
        </w:rPr>
        <w:t xml:space="preserve"> </w:t>
      </w:r>
      <w:r w:rsidRPr="00E10F0D">
        <w:rPr>
          <w:rFonts w:eastAsia="Times New Roman"/>
          <w:szCs w:val="24"/>
        </w:rPr>
        <w:t>he would be harmed by his relatives, others in the c</w:t>
      </w:r>
      <w:r w:rsidR="006640E0">
        <w:rPr>
          <w:rFonts w:eastAsia="Times New Roman"/>
          <w:szCs w:val="24"/>
        </w:rPr>
        <w:t>ommunity</w:t>
      </w:r>
      <w:r w:rsidR="007B6D8E">
        <w:rPr>
          <w:rFonts w:eastAsia="Times New Roman"/>
          <w:szCs w:val="24"/>
        </w:rPr>
        <w:t xml:space="preserve"> including the police</w:t>
      </w:r>
      <w:r w:rsidR="006640E0">
        <w:rPr>
          <w:rFonts w:eastAsia="Times New Roman"/>
          <w:szCs w:val="24"/>
        </w:rPr>
        <w:t>,</w:t>
      </w:r>
      <w:r w:rsidR="007B6D8E">
        <w:rPr>
          <w:rFonts w:eastAsia="Times New Roman"/>
          <w:szCs w:val="24"/>
        </w:rPr>
        <w:t xml:space="preserve"> </w:t>
      </w:r>
      <w:r w:rsidRPr="00E10F0D">
        <w:rPr>
          <w:rFonts w:eastAsia="Times New Roman"/>
          <w:szCs w:val="24"/>
        </w:rPr>
        <w:t>and possibly beaten or raped.  The appellant presented multiple submissions to</w:t>
      </w:r>
      <w:r w:rsidR="006B0D22">
        <w:rPr>
          <w:rFonts w:eastAsia="Times New Roman"/>
          <w:szCs w:val="24"/>
        </w:rPr>
        <w:t xml:space="preserve"> the delegate and the Tribunal </w:t>
      </w:r>
      <w:r w:rsidR="006640E0">
        <w:rPr>
          <w:rFonts w:eastAsia="Times New Roman"/>
          <w:szCs w:val="24"/>
        </w:rPr>
        <w:t xml:space="preserve">as well as medical reports.  He </w:t>
      </w:r>
      <w:r w:rsidRPr="00E10F0D">
        <w:rPr>
          <w:rFonts w:eastAsia="Times New Roman"/>
          <w:szCs w:val="24"/>
        </w:rPr>
        <w:t xml:space="preserve">also appeared at a hearing before the Tribunal.  </w:t>
      </w:r>
    </w:p>
    <w:p w:rsidR="00E10F0D" w:rsidRPr="00E10F0D" w:rsidRDefault="00E10F0D" w:rsidP="00E10F0D">
      <w:pPr>
        <w:pStyle w:val="ParaNumbering"/>
      </w:pPr>
      <w:r w:rsidRPr="00E10F0D">
        <w:rPr>
          <w:rFonts w:eastAsia="Times New Roman"/>
          <w:szCs w:val="24"/>
        </w:rPr>
        <w:t>The manner in which the Tribunal dealt with the appellant’s claims is helpfully summarised in the submissions of the Minister</w:t>
      </w:r>
      <w:r w:rsidR="006640E0">
        <w:rPr>
          <w:rFonts w:eastAsia="Times New Roman"/>
          <w:szCs w:val="24"/>
        </w:rPr>
        <w:t xml:space="preserve"> which I will here recount</w:t>
      </w:r>
      <w:r w:rsidRPr="00E10F0D">
        <w:rPr>
          <w:rFonts w:eastAsia="Times New Roman"/>
          <w:szCs w:val="24"/>
        </w:rPr>
        <w:t xml:space="preserve">.  </w:t>
      </w:r>
    </w:p>
    <w:p w:rsidR="00E10F0D" w:rsidRPr="00E10F0D" w:rsidRDefault="00E10F0D" w:rsidP="006B0D22">
      <w:pPr>
        <w:pStyle w:val="ParaNumbering"/>
      </w:pPr>
      <w:r w:rsidRPr="00E10F0D">
        <w:rPr>
          <w:rFonts w:eastAsia="Times New Roman"/>
          <w:szCs w:val="24"/>
        </w:rPr>
        <w:t>The Tribunal considered the medical evid</w:t>
      </w:r>
      <w:r w:rsidR="006B0D22">
        <w:rPr>
          <w:rFonts w:eastAsia="Times New Roman"/>
          <w:szCs w:val="24"/>
        </w:rPr>
        <w:t>ence submitted by the appellant</w:t>
      </w:r>
      <w:r w:rsidRPr="00E10F0D">
        <w:rPr>
          <w:rFonts w:eastAsia="Times New Roman"/>
          <w:szCs w:val="24"/>
        </w:rPr>
        <w:t xml:space="preserve"> but did not accept that the appellant had provided a truthful account to those whom were treating him.  It found that the appellant had fabricated his claims about his sexuality and sexual history.  In making that finding, the Tribunal considered it </w:t>
      </w:r>
      <w:r w:rsidR="008734D8">
        <w:rPr>
          <w:rFonts w:eastAsia="Times New Roman"/>
          <w:szCs w:val="24"/>
        </w:rPr>
        <w:t>“</w:t>
      </w:r>
      <w:r w:rsidRPr="00E10F0D">
        <w:rPr>
          <w:rFonts w:eastAsia="Times New Roman"/>
          <w:szCs w:val="24"/>
        </w:rPr>
        <w:t>striking</w:t>
      </w:r>
      <w:r w:rsidR="008734D8">
        <w:rPr>
          <w:rFonts w:eastAsia="Times New Roman"/>
          <w:szCs w:val="24"/>
        </w:rPr>
        <w:t>”</w:t>
      </w:r>
      <w:r w:rsidRPr="00E10F0D">
        <w:rPr>
          <w:rFonts w:eastAsia="Times New Roman"/>
          <w:szCs w:val="24"/>
        </w:rPr>
        <w:t xml:space="preserve"> that the appellant had failed to mention to those treating him that his brother had been shot.  The Tribunal found the appellant’s evidence about being unable to study because of his father’s reaction to being told about the appellant’s sexuality to be inconsistent with his evidence that he was unable to study because of the shooting of his brother.  The appellant’s evidence was that he only told his father about </w:t>
      </w:r>
      <w:r w:rsidRPr="00E10F0D">
        <w:rPr>
          <w:rFonts w:eastAsia="Times New Roman"/>
          <w:szCs w:val="24"/>
        </w:rPr>
        <w:lastRenderedPageBreak/>
        <w:t>his sexuality a few weeks before his father retu</w:t>
      </w:r>
      <w:r w:rsidR="008734D8">
        <w:rPr>
          <w:rFonts w:eastAsia="Times New Roman"/>
          <w:szCs w:val="24"/>
        </w:rPr>
        <w:t>rned to Lebanon on 26 May 2013—</w:t>
      </w:r>
      <w:r w:rsidRPr="006B0D22">
        <w:rPr>
          <w:rFonts w:eastAsia="Times New Roman"/>
          <w:szCs w:val="24"/>
        </w:rPr>
        <w:t>that is</w:t>
      </w:r>
      <w:r w:rsidR="008734D8">
        <w:rPr>
          <w:rFonts w:eastAsia="Times New Roman"/>
          <w:szCs w:val="24"/>
        </w:rPr>
        <w:t>, in late April or early May.  Whereas, h</w:t>
      </w:r>
      <w:r w:rsidRPr="006B0D22">
        <w:rPr>
          <w:rFonts w:eastAsia="Times New Roman"/>
          <w:szCs w:val="24"/>
        </w:rPr>
        <w:t>e told the Tribunal that he had not st</w:t>
      </w:r>
      <w:r w:rsidR="006B0D22">
        <w:rPr>
          <w:rFonts w:eastAsia="Times New Roman"/>
          <w:szCs w:val="24"/>
        </w:rPr>
        <w:t xml:space="preserve">udied from January to May 2013 </w:t>
      </w:r>
      <w:r w:rsidRPr="006B0D22">
        <w:rPr>
          <w:rFonts w:eastAsia="Times New Roman"/>
          <w:szCs w:val="24"/>
        </w:rPr>
        <w:t xml:space="preserve">following the shooting.  The Tribunal found that his non-attendance at class was not caused by his father’s reaction to his sexuality.  The Tribunal also observed that the period of the appellant’s depression noted in the medical records was not congruent with the time the appellant claimed to have told his father about his sexuality.  The reference in the medical records about the appellant experiencing social isolation was also, so the Tribunal found, inconsistent with the appellant’s evidence about the support he received from his friends.  </w:t>
      </w:r>
    </w:p>
    <w:p w:rsidR="00E10F0D" w:rsidRPr="00E10F0D" w:rsidRDefault="00E10F0D" w:rsidP="00E10F0D">
      <w:pPr>
        <w:pStyle w:val="ParaNumbering"/>
      </w:pPr>
      <w:r w:rsidRPr="00E10F0D">
        <w:rPr>
          <w:rFonts w:eastAsia="Times New Roman"/>
          <w:szCs w:val="24"/>
        </w:rPr>
        <w:t>The Tribunal also found that the appellant had given inconsistent evidence about the number of homosexual relationships he had had in Lebanon, and also about whether he had a sexual relationship with a girl in Lebanon, and that it did not accept his explanation for those</w:t>
      </w:r>
      <w:r w:rsidR="006640E0">
        <w:rPr>
          <w:rFonts w:eastAsia="Times New Roman"/>
          <w:szCs w:val="24"/>
        </w:rPr>
        <w:t xml:space="preserve"> inconsistencies.  The Tribunal </w:t>
      </w:r>
      <w:r w:rsidRPr="00E10F0D">
        <w:rPr>
          <w:rFonts w:eastAsia="Times New Roman"/>
          <w:szCs w:val="24"/>
        </w:rPr>
        <w:t xml:space="preserve">found that the various accounts of where the appellant engaged in sexual </w:t>
      </w:r>
      <w:r w:rsidR="006B0D22">
        <w:rPr>
          <w:rFonts w:eastAsia="Times New Roman"/>
          <w:szCs w:val="24"/>
        </w:rPr>
        <w:t>relationships were inconsistent</w:t>
      </w:r>
      <w:r w:rsidRPr="00E10F0D">
        <w:rPr>
          <w:rFonts w:eastAsia="Times New Roman"/>
          <w:szCs w:val="24"/>
        </w:rPr>
        <w:t xml:space="preserve"> as he had altered the location of where he claimed to have engaged in those activities.  The Tribunal also found the appellant’s claim that it was safe to have his ongoing and regular secret homosexual relationships in Lebanon in close proximity to his relatives inconsistent with his claim that he had not engaged in any sexual activities in Australia for fear that someone would see him.  </w:t>
      </w:r>
    </w:p>
    <w:p w:rsidR="00E10F0D" w:rsidRPr="00E10F0D" w:rsidRDefault="00E10F0D" w:rsidP="00E10F0D">
      <w:pPr>
        <w:pStyle w:val="ParaNumbering"/>
      </w:pPr>
      <w:r w:rsidRPr="00E10F0D">
        <w:rPr>
          <w:rFonts w:eastAsia="Times New Roman"/>
          <w:szCs w:val="24"/>
        </w:rPr>
        <w:t>The Tribunal came to the view that the appell</w:t>
      </w:r>
      <w:r w:rsidR="006B0D22">
        <w:rPr>
          <w:rFonts w:eastAsia="Times New Roman"/>
          <w:szCs w:val="24"/>
        </w:rPr>
        <w:t xml:space="preserve">ant was not a credible witness </w:t>
      </w:r>
      <w:r w:rsidRPr="00E10F0D">
        <w:rPr>
          <w:rFonts w:eastAsia="Times New Roman"/>
          <w:szCs w:val="24"/>
        </w:rPr>
        <w:t xml:space="preserve">and that the appellant’s claims for protection were fabricated.  It therefore did not accept that there was a real chance the appellant would suffer serious harm in the reasonably foreseeable future for a </w:t>
      </w:r>
      <w:r w:rsidR="006640E0">
        <w:rPr>
          <w:rFonts w:eastAsia="Times New Roman"/>
          <w:szCs w:val="24"/>
        </w:rPr>
        <w:t>C</w:t>
      </w:r>
      <w:r w:rsidRPr="00E10F0D">
        <w:rPr>
          <w:rFonts w:eastAsia="Times New Roman"/>
          <w:szCs w:val="24"/>
        </w:rPr>
        <w:t>onvention reason if he were returned to Lebanon.  Accordingly, the Tribunal was not satisfied that the appellant was a person in respect of whom Australia has protectio</w:t>
      </w:r>
      <w:r w:rsidR="00430F4D">
        <w:rPr>
          <w:rFonts w:eastAsia="Times New Roman"/>
          <w:szCs w:val="24"/>
        </w:rPr>
        <w:t>n obligations under the Refugee</w:t>
      </w:r>
      <w:r w:rsidRPr="00E10F0D">
        <w:rPr>
          <w:rFonts w:eastAsia="Times New Roman"/>
          <w:szCs w:val="24"/>
        </w:rPr>
        <w:t xml:space="preserve"> Convention.   </w:t>
      </w:r>
    </w:p>
    <w:p w:rsidR="006640E0" w:rsidRPr="006640E0" w:rsidRDefault="00E10F0D" w:rsidP="006640E0">
      <w:pPr>
        <w:pStyle w:val="ParaNumbering"/>
      </w:pPr>
      <w:r w:rsidRPr="00E10F0D">
        <w:rPr>
          <w:rFonts w:eastAsia="Times New Roman"/>
          <w:szCs w:val="24"/>
        </w:rPr>
        <w:t>On the judicial review application before the Federal Circuit C</w:t>
      </w:r>
      <w:r w:rsidR="006B0D22">
        <w:rPr>
          <w:rFonts w:eastAsia="Times New Roman"/>
          <w:szCs w:val="24"/>
        </w:rPr>
        <w:t xml:space="preserve">ourt, the appellant raised </w:t>
      </w:r>
      <w:r w:rsidRPr="00E10F0D">
        <w:rPr>
          <w:rFonts w:eastAsia="Times New Roman"/>
          <w:szCs w:val="24"/>
        </w:rPr>
        <w:t>two grounds.  The first was that the Tri</w:t>
      </w:r>
      <w:r w:rsidR="006B0D22">
        <w:rPr>
          <w:rFonts w:eastAsia="Times New Roman"/>
          <w:szCs w:val="24"/>
        </w:rPr>
        <w:t xml:space="preserve">bunal misunderstood his claims </w:t>
      </w:r>
      <w:r w:rsidRPr="00E10F0D">
        <w:rPr>
          <w:rFonts w:eastAsia="Times New Roman"/>
          <w:szCs w:val="24"/>
        </w:rPr>
        <w:t xml:space="preserve">and misapplied the law.  In respect of that ground, the primary judge found that the allegations made in the </w:t>
      </w:r>
      <w:r w:rsidR="006B0D22">
        <w:rPr>
          <w:rFonts w:eastAsia="Times New Roman"/>
          <w:szCs w:val="24"/>
        </w:rPr>
        <w:t xml:space="preserve">ground were patently incorrect </w:t>
      </w:r>
      <w:r w:rsidRPr="00E10F0D">
        <w:rPr>
          <w:rFonts w:eastAsia="Times New Roman"/>
          <w:szCs w:val="24"/>
        </w:rPr>
        <w:t>in light of the reasons given by the Tribunal for its decision.  In my view, the primary judge was undoubtedly correct in reaching that conclusion.  There was, in essence, only</w:t>
      </w:r>
      <w:r w:rsidR="006B0D22">
        <w:rPr>
          <w:rFonts w:eastAsia="Times New Roman"/>
          <w:szCs w:val="24"/>
        </w:rPr>
        <w:t xml:space="preserve"> one claim before the Tribunal </w:t>
      </w:r>
      <w:r w:rsidRPr="00E10F0D">
        <w:rPr>
          <w:rFonts w:eastAsia="Times New Roman"/>
          <w:szCs w:val="24"/>
        </w:rPr>
        <w:t>and that was a claim, as I have said, based on the ap</w:t>
      </w:r>
      <w:r w:rsidR="006640E0">
        <w:rPr>
          <w:rFonts w:eastAsia="Times New Roman"/>
          <w:szCs w:val="24"/>
        </w:rPr>
        <w:t xml:space="preserve">pellant’s alleged bisexuality.  </w:t>
      </w:r>
      <w:r w:rsidR="006B0D22" w:rsidRPr="006640E0">
        <w:rPr>
          <w:rFonts w:eastAsia="Times New Roman"/>
          <w:szCs w:val="24"/>
        </w:rPr>
        <w:t>There can be no doubt</w:t>
      </w:r>
      <w:r w:rsidR="00430F4D">
        <w:rPr>
          <w:rFonts w:eastAsia="Times New Roman"/>
          <w:szCs w:val="24"/>
        </w:rPr>
        <w:t>,</w:t>
      </w:r>
      <w:r w:rsidR="006B0D22" w:rsidRPr="006640E0">
        <w:rPr>
          <w:rFonts w:eastAsia="Times New Roman"/>
          <w:szCs w:val="24"/>
        </w:rPr>
        <w:t xml:space="preserve"> </w:t>
      </w:r>
      <w:r w:rsidRPr="006640E0">
        <w:rPr>
          <w:rFonts w:eastAsia="Times New Roman"/>
          <w:szCs w:val="24"/>
        </w:rPr>
        <w:t>from a fair read</w:t>
      </w:r>
      <w:r w:rsidR="006B0D22" w:rsidRPr="006640E0">
        <w:rPr>
          <w:rFonts w:eastAsia="Times New Roman"/>
          <w:szCs w:val="24"/>
        </w:rPr>
        <w:t xml:space="preserve">ing of the Tribunal’s </w:t>
      </w:r>
      <w:r w:rsidR="006B0D22" w:rsidRPr="006640E0">
        <w:rPr>
          <w:rFonts w:eastAsia="Times New Roman"/>
          <w:szCs w:val="24"/>
        </w:rPr>
        <w:lastRenderedPageBreak/>
        <w:t>decision</w:t>
      </w:r>
      <w:r w:rsidR="00430F4D">
        <w:rPr>
          <w:rFonts w:eastAsia="Times New Roman"/>
          <w:szCs w:val="24"/>
        </w:rPr>
        <w:t>,</w:t>
      </w:r>
      <w:r w:rsidR="006B0D22" w:rsidRPr="006640E0">
        <w:rPr>
          <w:rFonts w:eastAsia="Times New Roman"/>
          <w:szCs w:val="24"/>
        </w:rPr>
        <w:t xml:space="preserve"> </w:t>
      </w:r>
      <w:r w:rsidRPr="006640E0">
        <w:rPr>
          <w:rFonts w:eastAsia="Times New Roman"/>
          <w:szCs w:val="24"/>
        </w:rPr>
        <w:t xml:space="preserve">that the Tribunal did not misunderstand that claim, and there is no basis for suggesting that the law was misapplied in relation to it.  </w:t>
      </w:r>
    </w:p>
    <w:p w:rsidR="006B0D22" w:rsidRPr="006B0D22" w:rsidRDefault="00E10F0D" w:rsidP="00E10F0D">
      <w:pPr>
        <w:pStyle w:val="ParaNumbering"/>
      </w:pPr>
      <w:r w:rsidRPr="00430F4D">
        <w:rPr>
          <w:rFonts w:eastAsia="Times New Roman"/>
          <w:szCs w:val="24"/>
        </w:rPr>
        <w:t xml:space="preserve">The second ground before the Federal Circuit Court was that the member of the Tribunal was biased and rude.  In the reasons of the primary judge, his Honour identified each of the particular allegations </w:t>
      </w:r>
      <w:r w:rsidR="006640E0" w:rsidRPr="00430F4D">
        <w:rPr>
          <w:rFonts w:eastAsia="Times New Roman"/>
          <w:szCs w:val="24"/>
        </w:rPr>
        <w:t>relied upon by</w:t>
      </w:r>
      <w:r w:rsidRPr="00430F4D">
        <w:rPr>
          <w:rFonts w:eastAsia="Times New Roman"/>
          <w:szCs w:val="24"/>
        </w:rPr>
        <w:t xml:space="preserve"> the appellant </w:t>
      </w:r>
      <w:r w:rsidR="006640E0" w:rsidRPr="00430F4D">
        <w:rPr>
          <w:rFonts w:eastAsia="Times New Roman"/>
          <w:szCs w:val="24"/>
        </w:rPr>
        <w:t>to allege</w:t>
      </w:r>
      <w:r w:rsidRPr="00430F4D">
        <w:rPr>
          <w:rFonts w:eastAsia="Times New Roman"/>
          <w:szCs w:val="24"/>
        </w:rPr>
        <w:t xml:space="preserve"> that the Tribunal</w:t>
      </w:r>
      <w:r w:rsidR="006438DC" w:rsidRPr="00430F4D">
        <w:rPr>
          <w:rFonts w:eastAsia="Times New Roman"/>
          <w:szCs w:val="24"/>
        </w:rPr>
        <w:t>’s</w:t>
      </w:r>
      <w:r w:rsidRPr="00430F4D">
        <w:rPr>
          <w:rFonts w:eastAsia="Times New Roman"/>
          <w:szCs w:val="24"/>
        </w:rPr>
        <w:t xml:space="preserve"> decision was affected by actual bias or a reasonable apprehension of bias.  Those allegations were as follows:  </w:t>
      </w:r>
    </w:p>
    <w:p w:rsidR="006B0D22" w:rsidRDefault="00E10F0D" w:rsidP="006B0D22">
      <w:pPr>
        <w:pStyle w:val="ListNo1"/>
      </w:pPr>
      <w:r w:rsidRPr="00E10F0D">
        <w:t xml:space="preserve">that the Tribunal </w:t>
      </w:r>
      <w:r w:rsidR="006438DC">
        <w:t>m</w:t>
      </w:r>
      <w:r w:rsidRPr="00E10F0D">
        <w:t xml:space="preserve">ember spoke loudly;  </w:t>
      </w:r>
    </w:p>
    <w:p w:rsidR="006B0D22" w:rsidRDefault="00E10F0D" w:rsidP="006B0D22">
      <w:pPr>
        <w:pStyle w:val="ListNo1"/>
      </w:pPr>
      <w:r w:rsidRPr="00E10F0D">
        <w:t xml:space="preserve">that the Tribunal </w:t>
      </w:r>
      <w:r w:rsidR="006438DC">
        <w:t>m</w:t>
      </w:r>
      <w:r w:rsidRPr="00E10F0D">
        <w:t xml:space="preserve">ember spoke with a rude or arrogant tone of voice; </w:t>
      </w:r>
    </w:p>
    <w:p w:rsidR="006B0D22" w:rsidRDefault="00E10F0D" w:rsidP="006B0D22">
      <w:pPr>
        <w:pStyle w:val="ListNo1"/>
      </w:pPr>
      <w:r w:rsidRPr="00E10F0D">
        <w:t xml:space="preserve">that the Tribunal </w:t>
      </w:r>
      <w:r w:rsidR="006438DC">
        <w:t>m</w:t>
      </w:r>
      <w:r w:rsidRPr="00E10F0D">
        <w:t xml:space="preserve">ember banged her hand on the table;  </w:t>
      </w:r>
    </w:p>
    <w:p w:rsidR="006B0D22" w:rsidRDefault="00E10F0D" w:rsidP="006B0D22">
      <w:pPr>
        <w:pStyle w:val="ListNo1"/>
      </w:pPr>
      <w:r w:rsidRPr="00E10F0D">
        <w:t xml:space="preserve">that the Tribunal </w:t>
      </w:r>
      <w:r w:rsidR="006438DC">
        <w:t>m</w:t>
      </w:r>
      <w:r w:rsidRPr="00E10F0D">
        <w:t xml:space="preserve">ember threw papers </w:t>
      </w:r>
      <w:r w:rsidR="00E12774">
        <w:t>on the table</w:t>
      </w:r>
      <w:r w:rsidRPr="00E10F0D">
        <w:t xml:space="preserve">;  </w:t>
      </w:r>
    </w:p>
    <w:p w:rsidR="006B0D22" w:rsidRDefault="00E10F0D" w:rsidP="006B0D22">
      <w:pPr>
        <w:pStyle w:val="ListNo1"/>
      </w:pPr>
      <w:r w:rsidRPr="00E10F0D">
        <w:t xml:space="preserve">that the Tribunal </w:t>
      </w:r>
      <w:r w:rsidR="006438DC">
        <w:t>m</w:t>
      </w:r>
      <w:r w:rsidRPr="00E10F0D">
        <w:t>ember was frightening</w:t>
      </w:r>
      <w:r w:rsidR="00E12774">
        <w:t xml:space="preserve"> and insensitive; and,</w:t>
      </w:r>
    </w:p>
    <w:p w:rsidR="00E10F0D" w:rsidRPr="00E10F0D" w:rsidRDefault="00E10F0D" w:rsidP="006B0D22">
      <w:pPr>
        <w:pStyle w:val="ListNo1"/>
      </w:pPr>
      <w:r w:rsidRPr="00E10F0D">
        <w:t xml:space="preserve">that the Tribunal member expressed surprise, </w:t>
      </w:r>
      <w:r w:rsidR="00E12774">
        <w:t xml:space="preserve">including by having “bulging eyes” when the appellant gave evidence of the nature of his relationship with a girlfriend in Lebanon and </w:t>
      </w:r>
      <w:r w:rsidRPr="00E10F0D">
        <w:t xml:space="preserve">when the appellant told the Tribunal </w:t>
      </w:r>
      <w:r w:rsidR="006438DC">
        <w:t>m</w:t>
      </w:r>
      <w:r w:rsidRPr="00E10F0D">
        <w:t>ember that he had been supporting himsel</w:t>
      </w:r>
      <w:r w:rsidR="006B0D22">
        <w:t>f on Centrelink benefits</w:t>
      </w:r>
      <w:r w:rsidR="00E12774">
        <w:t>.</w:t>
      </w:r>
    </w:p>
    <w:p w:rsidR="006438DC" w:rsidRPr="006438DC" w:rsidRDefault="00E10F0D" w:rsidP="00D17164">
      <w:pPr>
        <w:pStyle w:val="ParaNumbering"/>
      </w:pPr>
      <w:r w:rsidRPr="00E10F0D">
        <w:rPr>
          <w:rFonts w:eastAsia="Times New Roman"/>
          <w:szCs w:val="24"/>
        </w:rPr>
        <w:t>The primary judge consid</w:t>
      </w:r>
      <w:r w:rsidR="006438DC">
        <w:rPr>
          <w:rFonts w:eastAsia="Times New Roman"/>
          <w:szCs w:val="24"/>
        </w:rPr>
        <w:t xml:space="preserve">ered each of those allegations.  He </w:t>
      </w:r>
      <w:r w:rsidRPr="00E10F0D">
        <w:rPr>
          <w:rFonts w:eastAsia="Times New Roman"/>
          <w:szCs w:val="24"/>
        </w:rPr>
        <w:t>did so after receiving further</w:t>
      </w:r>
      <w:r w:rsidR="00D17164">
        <w:rPr>
          <w:rFonts w:eastAsia="Times New Roman"/>
          <w:szCs w:val="24"/>
        </w:rPr>
        <w:t xml:space="preserve"> submissions from the parties</w:t>
      </w:r>
      <w:r w:rsidR="0062763E">
        <w:rPr>
          <w:rFonts w:eastAsia="Times New Roman"/>
          <w:szCs w:val="24"/>
        </w:rPr>
        <w:t>—</w:t>
      </w:r>
      <w:r w:rsidRPr="00D17164">
        <w:rPr>
          <w:rFonts w:eastAsia="Times New Roman"/>
          <w:szCs w:val="24"/>
        </w:rPr>
        <w:t xml:space="preserve">that is, written submissions received after the hearing before the primary judge.  The primary judge’s reasons </w:t>
      </w:r>
      <w:r w:rsidR="006438DC">
        <w:rPr>
          <w:rFonts w:eastAsia="Times New Roman"/>
          <w:szCs w:val="24"/>
        </w:rPr>
        <w:t>record</w:t>
      </w:r>
      <w:r w:rsidRPr="00D17164">
        <w:rPr>
          <w:rFonts w:eastAsia="Times New Roman"/>
          <w:szCs w:val="24"/>
        </w:rPr>
        <w:t xml:space="preserve"> that </w:t>
      </w:r>
      <w:r w:rsidR="006438DC">
        <w:rPr>
          <w:rFonts w:eastAsia="Times New Roman"/>
          <w:szCs w:val="24"/>
        </w:rPr>
        <w:t>to consider</w:t>
      </w:r>
      <w:r w:rsidRPr="00D17164">
        <w:rPr>
          <w:rFonts w:eastAsia="Times New Roman"/>
          <w:szCs w:val="24"/>
        </w:rPr>
        <w:t xml:space="preserve"> those </w:t>
      </w:r>
      <w:proofErr w:type="gramStart"/>
      <w:r w:rsidRPr="00D17164">
        <w:rPr>
          <w:rFonts w:eastAsia="Times New Roman"/>
          <w:szCs w:val="24"/>
        </w:rPr>
        <w:t>allegations,</w:t>
      </w:r>
      <w:proofErr w:type="gramEnd"/>
      <w:r w:rsidRPr="00D17164">
        <w:rPr>
          <w:rFonts w:eastAsia="Times New Roman"/>
          <w:szCs w:val="24"/>
        </w:rPr>
        <w:t xml:space="preserve"> his Honour </w:t>
      </w:r>
      <w:r w:rsidR="00E12774">
        <w:rPr>
          <w:rFonts w:eastAsia="Times New Roman"/>
          <w:szCs w:val="24"/>
        </w:rPr>
        <w:t>listened</w:t>
      </w:r>
      <w:r w:rsidRPr="00D17164">
        <w:rPr>
          <w:rFonts w:eastAsia="Times New Roman"/>
          <w:szCs w:val="24"/>
        </w:rPr>
        <w:t xml:space="preserve"> to the entirety of an audio recording of the hearing</w:t>
      </w:r>
      <w:r w:rsidR="006438DC">
        <w:rPr>
          <w:rFonts w:eastAsia="Times New Roman"/>
          <w:szCs w:val="24"/>
        </w:rPr>
        <w:t xml:space="preserve"> before the Tribunal and also had regard to the transcript</w:t>
      </w:r>
      <w:r w:rsidRPr="00D17164">
        <w:rPr>
          <w:rFonts w:eastAsia="Times New Roman"/>
          <w:szCs w:val="24"/>
        </w:rPr>
        <w:t xml:space="preserve">.  Whilst the appellant’s contentions </w:t>
      </w:r>
      <w:r w:rsidR="006438DC">
        <w:rPr>
          <w:rFonts w:eastAsia="Times New Roman"/>
          <w:szCs w:val="24"/>
        </w:rPr>
        <w:t>were</w:t>
      </w:r>
      <w:r w:rsidRPr="00D17164">
        <w:rPr>
          <w:rFonts w:eastAsia="Times New Roman"/>
          <w:szCs w:val="24"/>
        </w:rPr>
        <w:t xml:space="preserve"> made in </w:t>
      </w:r>
      <w:r w:rsidR="006438DC">
        <w:rPr>
          <w:rFonts w:eastAsia="Times New Roman"/>
          <w:szCs w:val="24"/>
        </w:rPr>
        <w:t xml:space="preserve">support of a contention of </w:t>
      </w:r>
      <w:r w:rsidRPr="00D17164">
        <w:rPr>
          <w:rFonts w:eastAsia="Times New Roman"/>
          <w:szCs w:val="24"/>
        </w:rPr>
        <w:t xml:space="preserve">actual bias, the primary judge also considered whether the Tribunal’s decision was affected by a reasonable apprehension of bias.  </w:t>
      </w:r>
    </w:p>
    <w:p w:rsidR="006438DC" w:rsidRPr="006438DC" w:rsidRDefault="00E10F0D" w:rsidP="00D17164">
      <w:pPr>
        <w:pStyle w:val="ParaNumbering"/>
      </w:pPr>
      <w:r w:rsidRPr="00D17164">
        <w:rPr>
          <w:rFonts w:eastAsia="Times New Roman"/>
          <w:szCs w:val="24"/>
        </w:rPr>
        <w:t xml:space="preserve">The primary judge found that none of the allegations raised by the appellant gave rise to any inference of actual or apprehended bias.  Having rejected each of the appellant’s grounds of appeal, the primary judge dismissed the appellant’s application.  </w:t>
      </w:r>
    </w:p>
    <w:p w:rsidR="006438DC" w:rsidRPr="006438DC" w:rsidRDefault="00E10F0D" w:rsidP="00D17164">
      <w:pPr>
        <w:pStyle w:val="ParaNumbering"/>
        <w:rPr>
          <w:sz w:val="22"/>
        </w:rPr>
      </w:pPr>
      <w:r w:rsidRPr="00D17164">
        <w:rPr>
          <w:rFonts w:eastAsia="Times New Roman"/>
          <w:szCs w:val="24"/>
        </w:rPr>
        <w:t>The appellant’s appeal to this Court raises one ground.  That g</w:t>
      </w:r>
      <w:r w:rsidR="006438DC">
        <w:rPr>
          <w:rFonts w:eastAsia="Times New Roman"/>
          <w:szCs w:val="24"/>
        </w:rPr>
        <w:t>round is in the following terms:</w:t>
      </w:r>
      <w:r w:rsidRPr="00D17164">
        <w:rPr>
          <w:rFonts w:eastAsia="Times New Roman"/>
          <w:szCs w:val="24"/>
        </w:rPr>
        <w:t xml:space="preserve">  </w:t>
      </w:r>
    </w:p>
    <w:p w:rsidR="006438DC" w:rsidRPr="006438DC" w:rsidRDefault="006438DC" w:rsidP="006438DC">
      <w:pPr>
        <w:pStyle w:val="Quote1"/>
      </w:pPr>
      <w:r>
        <w:t>I ask the Honourable Court to give me the opportunity to appear before it as I believe that His Honour Judge Smith's judgment is affected by error of law by an apprehension of bias as well as by misunderstanding my fear of harm and the facts presented to the Tribunal.</w:t>
      </w:r>
    </w:p>
    <w:p w:rsidR="00E10F0D" w:rsidRPr="00E10F0D" w:rsidRDefault="00E10F0D" w:rsidP="00D17164">
      <w:pPr>
        <w:pStyle w:val="ParaNumbering"/>
      </w:pPr>
      <w:r w:rsidRPr="00D17164">
        <w:rPr>
          <w:rFonts w:eastAsia="Times New Roman"/>
          <w:szCs w:val="24"/>
        </w:rPr>
        <w:lastRenderedPageBreak/>
        <w:t>That ground of appeal was not particularised.</w:t>
      </w:r>
    </w:p>
    <w:p w:rsidR="006438DC" w:rsidRPr="006438DC" w:rsidRDefault="00E10F0D" w:rsidP="00D42C32">
      <w:pPr>
        <w:pStyle w:val="ParaNumbering"/>
      </w:pPr>
      <w:r w:rsidRPr="00E10F0D">
        <w:rPr>
          <w:rFonts w:eastAsia="Times New Roman"/>
          <w:szCs w:val="24"/>
        </w:rPr>
        <w:t>The appellant appeared before me unrepresented but assisted by an interpreter.  Insofar as the appellant’s ground of appeal was particularised through the submissions made by the appellant, I understand th</w:t>
      </w:r>
      <w:r w:rsidR="006438DC">
        <w:rPr>
          <w:rFonts w:eastAsia="Times New Roman"/>
          <w:szCs w:val="24"/>
        </w:rPr>
        <w:t xml:space="preserve">at particularisation to be this.  </w:t>
      </w:r>
      <w:r w:rsidR="006438DC" w:rsidRPr="006438DC">
        <w:rPr>
          <w:rFonts w:eastAsia="Times New Roman"/>
          <w:i/>
          <w:szCs w:val="24"/>
        </w:rPr>
        <w:t>First</w:t>
      </w:r>
      <w:r w:rsidRPr="00E10F0D">
        <w:rPr>
          <w:rFonts w:eastAsia="Times New Roman"/>
          <w:szCs w:val="24"/>
        </w:rPr>
        <w:t>, that the primary judge ignored the appellant’s</w:t>
      </w:r>
      <w:r w:rsidR="00E12774">
        <w:rPr>
          <w:rFonts w:eastAsia="Times New Roman"/>
          <w:szCs w:val="24"/>
        </w:rPr>
        <w:t xml:space="preserve"> post-</w:t>
      </w:r>
      <w:r w:rsidR="006438DC">
        <w:rPr>
          <w:rFonts w:eastAsia="Times New Roman"/>
          <w:szCs w:val="24"/>
        </w:rPr>
        <w:t>hearing</w:t>
      </w:r>
      <w:r w:rsidRPr="00E10F0D">
        <w:rPr>
          <w:rFonts w:eastAsia="Times New Roman"/>
          <w:szCs w:val="24"/>
        </w:rPr>
        <w:t xml:space="preserve"> submis</w:t>
      </w:r>
      <w:r w:rsidR="006438DC">
        <w:rPr>
          <w:rFonts w:eastAsia="Times New Roman"/>
          <w:szCs w:val="24"/>
        </w:rPr>
        <w:t xml:space="preserve">sions made to the primary judge.  </w:t>
      </w:r>
      <w:r w:rsidR="006438DC" w:rsidRPr="006438DC">
        <w:rPr>
          <w:rFonts w:eastAsia="Times New Roman"/>
          <w:i/>
          <w:szCs w:val="24"/>
        </w:rPr>
        <w:t>Second</w:t>
      </w:r>
      <w:r w:rsidRPr="00E10F0D">
        <w:rPr>
          <w:rFonts w:eastAsia="Times New Roman"/>
          <w:szCs w:val="24"/>
        </w:rPr>
        <w:t xml:space="preserve">, that the primary judge only listened to the audio recording of the Tribunal’s hearing and that without viewing a video of the Tribunal’s hearing the primary judge should not have come to the conclusions that he did.  </w:t>
      </w:r>
    </w:p>
    <w:p w:rsidR="006438DC" w:rsidRDefault="00E10F0D" w:rsidP="00D42C32">
      <w:pPr>
        <w:pStyle w:val="ParaNumbering"/>
      </w:pPr>
      <w:r w:rsidRPr="00E10F0D">
        <w:rPr>
          <w:rFonts w:eastAsia="Times New Roman"/>
          <w:szCs w:val="24"/>
        </w:rPr>
        <w:t>On that basis, as I understand the appellant’s contention, this Court should come to the view that the primary judge was biased, or alternatively, that the primary judge</w:t>
      </w:r>
      <w:r w:rsidR="006438DC">
        <w:rPr>
          <w:rFonts w:eastAsia="Times New Roman"/>
          <w:szCs w:val="24"/>
        </w:rPr>
        <w:t>’</w:t>
      </w:r>
      <w:r w:rsidRPr="00E10F0D">
        <w:rPr>
          <w:rFonts w:eastAsia="Times New Roman"/>
          <w:szCs w:val="24"/>
        </w:rPr>
        <w:t>s judgment is affected by apprehended bias.</w:t>
      </w:r>
      <w:r w:rsidR="00D42C32">
        <w:t xml:space="preserve">  </w:t>
      </w:r>
    </w:p>
    <w:p w:rsidR="006438DC" w:rsidRPr="006438DC" w:rsidRDefault="00E10F0D" w:rsidP="00D42C32">
      <w:pPr>
        <w:pStyle w:val="ParaNumbering"/>
      </w:pPr>
      <w:r w:rsidRPr="00D42C32">
        <w:rPr>
          <w:rFonts w:eastAsia="Times New Roman"/>
          <w:szCs w:val="24"/>
        </w:rPr>
        <w:t>Allegations of bias must be disti</w:t>
      </w:r>
      <w:r w:rsidR="00D42C32">
        <w:rPr>
          <w:rFonts w:eastAsia="Times New Roman"/>
          <w:szCs w:val="24"/>
        </w:rPr>
        <w:t xml:space="preserve">nctly made and clearly proved: </w:t>
      </w:r>
      <w:r w:rsidRPr="00D42C32">
        <w:rPr>
          <w:rFonts w:eastAsia="Times New Roman"/>
          <w:i/>
          <w:szCs w:val="24"/>
        </w:rPr>
        <w:t xml:space="preserve">Minister for Immigration and Multicultural Affairs v </w:t>
      </w:r>
      <w:proofErr w:type="spellStart"/>
      <w:r w:rsidRPr="00D42C32">
        <w:rPr>
          <w:rFonts w:eastAsia="Times New Roman"/>
          <w:i/>
          <w:szCs w:val="24"/>
        </w:rPr>
        <w:t>Jia</w:t>
      </w:r>
      <w:proofErr w:type="spellEnd"/>
      <w:r w:rsidR="00D42C32">
        <w:rPr>
          <w:rFonts w:eastAsia="Times New Roman"/>
          <w:szCs w:val="24"/>
        </w:rPr>
        <w:t xml:space="preserve"> (2001) 20</w:t>
      </w:r>
      <w:r w:rsidRPr="00D42C32">
        <w:rPr>
          <w:rFonts w:eastAsia="Times New Roman"/>
          <w:szCs w:val="24"/>
        </w:rPr>
        <w:t xml:space="preserve">5 CLR 507 at </w:t>
      </w:r>
      <w:r w:rsidR="00D42C32">
        <w:rPr>
          <w:rFonts w:eastAsia="Times New Roman"/>
          <w:szCs w:val="24"/>
        </w:rPr>
        <w:t>[</w:t>
      </w:r>
      <w:r w:rsidRPr="00D42C32">
        <w:rPr>
          <w:rFonts w:eastAsia="Times New Roman"/>
          <w:szCs w:val="24"/>
        </w:rPr>
        <w:t>69</w:t>
      </w:r>
      <w:r w:rsidR="00D42C32">
        <w:rPr>
          <w:rFonts w:eastAsia="Times New Roman"/>
          <w:szCs w:val="24"/>
        </w:rPr>
        <w:t>]</w:t>
      </w:r>
      <w:r w:rsidRPr="00D42C32">
        <w:rPr>
          <w:rFonts w:eastAsia="Times New Roman"/>
          <w:szCs w:val="24"/>
        </w:rPr>
        <w:t xml:space="preserve"> </w:t>
      </w:r>
      <w:r w:rsidR="00D42C32">
        <w:rPr>
          <w:rFonts w:eastAsia="Times New Roman"/>
          <w:szCs w:val="24"/>
        </w:rPr>
        <w:t>(</w:t>
      </w:r>
      <w:r w:rsidRPr="00D42C32">
        <w:rPr>
          <w:rFonts w:eastAsia="Times New Roman"/>
          <w:szCs w:val="24"/>
        </w:rPr>
        <w:t>Gleeson CJ and Gummow J</w:t>
      </w:r>
      <w:r w:rsidR="00D42C32">
        <w:rPr>
          <w:rFonts w:eastAsia="Times New Roman"/>
          <w:szCs w:val="24"/>
        </w:rPr>
        <w:t>)</w:t>
      </w:r>
      <w:r w:rsidRPr="00D42C32">
        <w:rPr>
          <w:rFonts w:eastAsia="Times New Roman"/>
          <w:szCs w:val="24"/>
        </w:rPr>
        <w:t>.  The onus of establishing bias or apprehended bias falls upon t</w:t>
      </w:r>
      <w:r w:rsidR="006438DC">
        <w:rPr>
          <w:rFonts w:eastAsia="Times New Roman"/>
          <w:szCs w:val="24"/>
        </w:rPr>
        <w:t>he person making the allegation</w:t>
      </w:r>
      <w:r w:rsidR="00D42C32">
        <w:rPr>
          <w:rFonts w:eastAsia="Times New Roman"/>
          <w:szCs w:val="24"/>
        </w:rPr>
        <w:t xml:space="preserve">: </w:t>
      </w:r>
      <w:r w:rsidRPr="00D42C32">
        <w:rPr>
          <w:rFonts w:eastAsia="Times New Roman"/>
          <w:bCs/>
          <w:i/>
          <w:szCs w:val="24"/>
        </w:rPr>
        <w:t>VAAD v Minister for Immigration &amp; Multicultural &amp; Indigenous Affairs</w:t>
      </w:r>
      <w:r w:rsidRPr="00D42C32">
        <w:rPr>
          <w:rFonts w:eastAsia="Times New Roman"/>
          <w:bCs/>
          <w:szCs w:val="24"/>
        </w:rPr>
        <w:t xml:space="preserve"> [2005] FCAFC 117 at </w:t>
      </w:r>
      <w:r w:rsidR="00D42C32">
        <w:rPr>
          <w:rFonts w:eastAsia="Times New Roman"/>
          <w:bCs/>
          <w:szCs w:val="24"/>
        </w:rPr>
        <w:t>[</w:t>
      </w:r>
      <w:r w:rsidRPr="00D42C32">
        <w:rPr>
          <w:rFonts w:eastAsia="Times New Roman"/>
          <w:bCs/>
          <w:szCs w:val="24"/>
        </w:rPr>
        <w:t>45</w:t>
      </w:r>
      <w:r w:rsidR="00D42C32">
        <w:rPr>
          <w:rFonts w:eastAsia="Times New Roman"/>
          <w:bCs/>
          <w:szCs w:val="24"/>
        </w:rPr>
        <w:t>]</w:t>
      </w:r>
      <w:r w:rsidRPr="00D42C32">
        <w:rPr>
          <w:rFonts w:eastAsia="Times New Roman"/>
          <w:bCs/>
          <w:szCs w:val="24"/>
        </w:rPr>
        <w:t xml:space="preserve">, </w:t>
      </w:r>
      <w:r w:rsidR="00D42C32">
        <w:rPr>
          <w:rFonts w:eastAsia="Times New Roman"/>
          <w:bCs/>
          <w:szCs w:val="24"/>
        </w:rPr>
        <w:t>(</w:t>
      </w:r>
      <w:r w:rsidRPr="00D42C32">
        <w:rPr>
          <w:rFonts w:eastAsia="Times New Roman"/>
          <w:bCs/>
          <w:szCs w:val="24"/>
        </w:rPr>
        <w:t xml:space="preserve">Hill, </w:t>
      </w:r>
      <w:proofErr w:type="spellStart"/>
      <w:r w:rsidRPr="00D42C32">
        <w:rPr>
          <w:rFonts w:eastAsia="Times New Roman"/>
          <w:bCs/>
          <w:szCs w:val="24"/>
        </w:rPr>
        <w:t>Sundberg</w:t>
      </w:r>
      <w:proofErr w:type="spellEnd"/>
      <w:r w:rsidRPr="00D42C32">
        <w:rPr>
          <w:rFonts w:eastAsia="Times New Roman"/>
          <w:bCs/>
          <w:szCs w:val="24"/>
        </w:rPr>
        <w:t xml:space="preserve"> and Stone JJ</w:t>
      </w:r>
      <w:r w:rsidR="00D42C32">
        <w:rPr>
          <w:rFonts w:eastAsia="Times New Roman"/>
          <w:bCs/>
          <w:szCs w:val="24"/>
        </w:rPr>
        <w:t>)</w:t>
      </w:r>
      <w:r w:rsidR="00E12774">
        <w:rPr>
          <w:rFonts w:eastAsia="Times New Roman"/>
          <w:bCs/>
          <w:szCs w:val="24"/>
        </w:rPr>
        <w:t xml:space="preserve">; </w:t>
      </w:r>
      <w:r w:rsidR="00E12774" w:rsidRPr="00E12774">
        <w:rPr>
          <w:rFonts w:eastAsia="Times New Roman"/>
          <w:bCs/>
          <w:i/>
          <w:szCs w:val="24"/>
        </w:rPr>
        <w:t>AZAEY v Minister for Immigration and Border Protection</w:t>
      </w:r>
      <w:r w:rsidR="00E12774">
        <w:rPr>
          <w:rFonts w:eastAsia="Times New Roman"/>
          <w:bCs/>
          <w:szCs w:val="24"/>
        </w:rPr>
        <w:t xml:space="preserve"> (2015) 238 FCR 341 (North, Besanko and Flick JJ)</w:t>
      </w:r>
      <w:r w:rsidRPr="00D42C32">
        <w:rPr>
          <w:rFonts w:eastAsia="Times New Roman"/>
          <w:bCs/>
          <w:szCs w:val="24"/>
        </w:rPr>
        <w:t xml:space="preserve">.  </w:t>
      </w:r>
    </w:p>
    <w:p w:rsidR="006438DC" w:rsidRPr="006438DC" w:rsidRDefault="00E10F0D" w:rsidP="006438DC">
      <w:pPr>
        <w:pStyle w:val="ParaNumbering"/>
      </w:pPr>
      <w:r w:rsidRPr="00D42C32">
        <w:rPr>
          <w:rFonts w:eastAsia="Times New Roman"/>
          <w:bCs/>
          <w:szCs w:val="24"/>
        </w:rPr>
        <w:t>The proposition that</w:t>
      </w:r>
      <w:r w:rsidR="006438DC">
        <w:rPr>
          <w:rFonts w:eastAsia="Times New Roman"/>
          <w:bCs/>
          <w:szCs w:val="24"/>
        </w:rPr>
        <w:t xml:space="preserve"> </w:t>
      </w:r>
      <w:r w:rsidRPr="00D42C32">
        <w:rPr>
          <w:rFonts w:eastAsia="Times New Roman"/>
          <w:bCs/>
          <w:szCs w:val="24"/>
        </w:rPr>
        <w:t xml:space="preserve">the primary judge was actually </w:t>
      </w:r>
      <w:r w:rsidR="00D42C32">
        <w:rPr>
          <w:rFonts w:eastAsia="Times New Roman"/>
          <w:bCs/>
          <w:szCs w:val="24"/>
        </w:rPr>
        <w:t xml:space="preserve">biased is completely untenable </w:t>
      </w:r>
      <w:r w:rsidR="006438DC">
        <w:rPr>
          <w:rFonts w:eastAsia="Times New Roman"/>
          <w:bCs/>
          <w:szCs w:val="24"/>
        </w:rPr>
        <w:t xml:space="preserve">and I reject it.  </w:t>
      </w:r>
      <w:r w:rsidRPr="006438DC">
        <w:rPr>
          <w:rFonts w:eastAsia="Times New Roman"/>
          <w:bCs/>
          <w:szCs w:val="24"/>
        </w:rPr>
        <w:t xml:space="preserve">Nothing whatsoever has been put before me </w:t>
      </w:r>
      <w:proofErr w:type="gramStart"/>
      <w:r w:rsidRPr="006438DC">
        <w:rPr>
          <w:rFonts w:eastAsia="Times New Roman"/>
          <w:bCs/>
          <w:szCs w:val="24"/>
        </w:rPr>
        <w:t>which</w:t>
      </w:r>
      <w:proofErr w:type="gramEnd"/>
      <w:r w:rsidRPr="006438DC">
        <w:rPr>
          <w:rFonts w:eastAsia="Times New Roman"/>
          <w:bCs/>
          <w:szCs w:val="24"/>
        </w:rPr>
        <w:t xml:space="preserve"> could </w:t>
      </w:r>
      <w:r w:rsidR="00E12774">
        <w:rPr>
          <w:rFonts w:eastAsia="Times New Roman"/>
          <w:bCs/>
          <w:szCs w:val="24"/>
        </w:rPr>
        <w:t xml:space="preserve">support </w:t>
      </w:r>
      <w:r w:rsidRPr="006438DC">
        <w:rPr>
          <w:rFonts w:eastAsia="Times New Roman"/>
          <w:bCs/>
          <w:szCs w:val="24"/>
        </w:rPr>
        <w:t xml:space="preserve">that conclusion.  </w:t>
      </w:r>
    </w:p>
    <w:p w:rsidR="00E10F0D" w:rsidRPr="009F348F" w:rsidRDefault="00E10F0D" w:rsidP="006438DC">
      <w:pPr>
        <w:pStyle w:val="ParaNumbering"/>
      </w:pPr>
      <w:r w:rsidRPr="006438DC">
        <w:rPr>
          <w:rFonts w:eastAsia="Times New Roman"/>
          <w:bCs/>
          <w:szCs w:val="24"/>
        </w:rPr>
        <w:t xml:space="preserve">I then turn to consider apprehended bias.  The test for apprehended bias in relation to curial proceedings is whether a fair minded lay observer might reasonably apprehend that the judge might not bring an impartial mind to the resolution </w:t>
      </w:r>
      <w:r w:rsidR="00D42C32" w:rsidRPr="006438DC">
        <w:rPr>
          <w:rFonts w:eastAsia="Times New Roman"/>
          <w:bCs/>
          <w:szCs w:val="24"/>
        </w:rPr>
        <w:t xml:space="preserve">of the question to be decided: </w:t>
      </w:r>
      <w:r w:rsidR="00D42C32" w:rsidRPr="006438DC">
        <w:rPr>
          <w:rFonts w:eastAsia="Times New Roman"/>
          <w:bCs/>
          <w:i/>
          <w:szCs w:val="24"/>
        </w:rPr>
        <w:t xml:space="preserve">Re Refugee Review Tribunal; </w:t>
      </w:r>
      <w:r w:rsidRPr="006438DC">
        <w:rPr>
          <w:rFonts w:eastAsia="Times New Roman"/>
          <w:bCs/>
          <w:i/>
          <w:szCs w:val="24"/>
        </w:rPr>
        <w:t xml:space="preserve">Ex </w:t>
      </w:r>
      <w:r w:rsidR="00E12774">
        <w:rPr>
          <w:rFonts w:eastAsia="Times New Roman"/>
          <w:bCs/>
          <w:i/>
          <w:szCs w:val="24"/>
        </w:rPr>
        <w:t>p</w:t>
      </w:r>
      <w:r w:rsidRPr="006438DC">
        <w:rPr>
          <w:rFonts w:eastAsia="Times New Roman"/>
          <w:bCs/>
          <w:i/>
          <w:szCs w:val="24"/>
        </w:rPr>
        <w:t>arte H</w:t>
      </w:r>
      <w:r w:rsidRPr="006438DC">
        <w:rPr>
          <w:rFonts w:eastAsia="Times New Roman"/>
          <w:bCs/>
          <w:szCs w:val="24"/>
        </w:rPr>
        <w:t xml:space="preserve"> [2001] </w:t>
      </w:r>
      <w:r w:rsidR="00E12774">
        <w:rPr>
          <w:rFonts w:eastAsia="Times New Roman"/>
          <w:bCs/>
          <w:szCs w:val="24"/>
        </w:rPr>
        <w:t>HCA 28</w:t>
      </w:r>
      <w:r w:rsidRPr="006438DC">
        <w:rPr>
          <w:rFonts w:eastAsia="Times New Roman"/>
          <w:bCs/>
          <w:szCs w:val="24"/>
        </w:rPr>
        <w:t xml:space="preserve"> at </w:t>
      </w:r>
      <w:r w:rsidR="00D42C32" w:rsidRPr="006438DC">
        <w:rPr>
          <w:rFonts w:eastAsia="Times New Roman"/>
          <w:bCs/>
          <w:szCs w:val="24"/>
        </w:rPr>
        <w:t>[</w:t>
      </w:r>
      <w:r w:rsidRPr="006438DC">
        <w:rPr>
          <w:rFonts w:eastAsia="Times New Roman"/>
          <w:bCs/>
          <w:szCs w:val="24"/>
        </w:rPr>
        <w:t>27</w:t>
      </w:r>
      <w:r w:rsidR="00D42C32" w:rsidRPr="006438DC">
        <w:rPr>
          <w:rFonts w:eastAsia="Times New Roman"/>
          <w:bCs/>
          <w:szCs w:val="24"/>
        </w:rPr>
        <w:t>] (</w:t>
      </w:r>
      <w:r w:rsidR="001348E8">
        <w:rPr>
          <w:rFonts w:eastAsia="Times New Roman"/>
          <w:bCs/>
          <w:szCs w:val="24"/>
        </w:rPr>
        <w:t xml:space="preserve">Gleeson CJ, </w:t>
      </w:r>
      <w:proofErr w:type="spellStart"/>
      <w:r w:rsidR="001348E8">
        <w:rPr>
          <w:rFonts w:eastAsia="Times New Roman"/>
          <w:bCs/>
          <w:szCs w:val="24"/>
        </w:rPr>
        <w:t>Gaudron</w:t>
      </w:r>
      <w:proofErr w:type="spellEnd"/>
      <w:r w:rsidR="001348E8">
        <w:rPr>
          <w:rFonts w:eastAsia="Times New Roman"/>
          <w:bCs/>
          <w:szCs w:val="24"/>
        </w:rPr>
        <w:t xml:space="preserve"> and </w:t>
      </w:r>
      <w:proofErr w:type="spellStart"/>
      <w:r w:rsidR="001348E8">
        <w:rPr>
          <w:rFonts w:eastAsia="Times New Roman"/>
          <w:bCs/>
          <w:szCs w:val="24"/>
        </w:rPr>
        <w:t>Gummow</w:t>
      </w:r>
      <w:proofErr w:type="spellEnd"/>
      <w:r w:rsidR="001348E8">
        <w:rPr>
          <w:rFonts w:eastAsia="Times New Roman"/>
          <w:bCs/>
          <w:szCs w:val="24"/>
        </w:rPr>
        <w:t> </w:t>
      </w:r>
      <w:r w:rsidRPr="006438DC">
        <w:rPr>
          <w:rFonts w:eastAsia="Times New Roman"/>
          <w:bCs/>
          <w:szCs w:val="24"/>
        </w:rPr>
        <w:t>JJ</w:t>
      </w:r>
      <w:r w:rsidR="00D42C32" w:rsidRPr="006438DC">
        <w:rPr>
          <w:rFonts w:eastAsia="Times New Roman"/>
          <w:bCs/>
          <w:szCs w:val="24"/>
        </w:rPr>
        <w:t>).</w:t>
      </w:r>
    </w:p>
    <w:p w:rsidR="00E10F0D" w:rsidRPr="009F348F" w:rsidRDefault="001E2A07" w:rsidP="009F348F">
      <w:pPr>
        <w:pStyle w:val="ParaNumbering"/>
      </w:pPr>
      <w:r>
        <w:rPr>
          <w:rFonts w:eastAsia="Times New Roman"/>
          <w:bCs/>
          <w:szCs w:val="24"/>
        </w:rPr>
        <w:t>I will first address</w:t>
      </w:r>
      <w:r w:rsidR="00E10F0D" w:rsidRPr="009F348F">
        <w:rPr>
          <w:rFonts w:eastAsia="Times New Roman"/>
          <w:bCs/>
          <w:szCs w:val="24"/>
        </w:rPr>
        <w:t xml:space="preserve"> the appellant’s contention </w:t>
      </w:r>
      <w:r>
        <w:rPr>
          <w:rFonts w:eastAsia="Times New Roman"/>
          <w:bCs/>
          <w:szCs w:val="24"/>
        </w:rPr>
        <w:t>based on</w:t>
      </w:r>
      <w:r w:rsidR="00E10F0D" w:rsidRPr="009F348F">
        <w:rPr>
          <w:rFonts w:eastAsia="Times New Roman"/>
          <w:bCs/>
          <w:szCs w:val="24"/>
        </w:rPr>
        <w:t xml:space="preserve"> the primary judge </w:t>
      </w:r>
      <w:r>
        <w:rPr>
          <w:rFonts w:eastAsia="Times New Roman"/>
          <w:bCs/>
          <w:szCs w:val="24"/>
        </w:rPr>
        <w:t xml:space="preserve">determining without reference to a video of the hearing, </w:t>
      </w:r>
      <w:proofErr w:type="gramStart"/>
      <w:r>
        <w:rPr>
          <w:rFonts w:eastAsia="Times New Roman"/>
          <w:bCs/>
          <w:szCs w:val="24"/>
        </w:rPr>
        <w:t>the  allegation</w:t>
      </w:r>
      <w:proofErr w:type="gramEnd"/>
      <w:r>
        <w:rPr>
          <w:rFonts w:eastAsia="Times New Roman"/>
          <w:bCs/>
          <w:szCs w:val="24"/>
        </w:rPr>
        <w:t xml:space="preserve"> that the Tribunal was biased</w:t>
      </w:r>
      <w:r w:rsidR="00E10F0D" w:rsidRPr="009F348F">
        <w:rPr>
          <w:rFonts w:eastAsia="Times New Roman"/>
          <w:bCs/>
          <w:szCs w:val="24"/>
        </w:rPr>
        <w:t xml:space="preserve">.  It is apparent from </w:t>
      </w:r>
      <w:r w:rsidR="00D42C32">
        <w:rPr>
          <w:rFonts w:eastAsia="Times New Roman"/>
          <w:bCs/>
          <w:szCs w:val="24"/>
        </w:rPr>
        <w:t>[</w:t>
      </w:r>
      <w:r w:rsidR="00E10F0D" w:rsidRPr="009F348F">
        <w:rPr>
          <w:rFonts w:eastAsia="Times New Roman"/>
          <w:bCs/>
          <w:szCs w:val="24"/>
        </w:rPr>
        <w:t>25</w:t>
      </w:r>
      <w:r w:rsidR="00D42C32">
        <w:rPr>
          <w:rFonts w:eastAsia="Times New Roman"/>
          <w:bCs/>
          <w:szCs w:val="24"/>
        </w:rPr>
        <w:t>]</w:t>
      </w:r>
      <w:r w:rsidR="00E10F0D" w:rsidRPr="009F348F">
        <w:rPr>
          <w:rFonts w:eastAsia="Times New Roman"/>
          <w:bCs/>
          <w:szCs w:val="24"/>
        </w:rPr>
        <w:t xml:space="preserve"> of the primary judge’s reasons for judgment that during the hearing before the primary judge the appellant proffered the audio discs of the Tribunal hearing.  The appellant said that he wanted to rely on the video recording of the Tribunal hearing, but </w:t>
      </w:r>
      <w:r>
        <w:rPr>
          <w:rFonts w:eastAsia="Times New Roman"/>
          <w:bCs/>
          <w:szCs w:val="24"/>
        </w:rPr>
        <w:t xml:space="preserve">that </w:t>
      </w:r>
      <w:r w:rsidR="00E10F0D" w:rsidRPr="009F348F">
        <w:rPr>
          <w:rFonts w:eastAsia="Times New Roman"/>
          <w:bCs/>
          <w:szCs w:val="24"/>
        </w:rPr>
        <w:t xml:space="preserve">he did not have a video recording and was not sure whether there, in fact, was one.  No attempt to tender a video recording was made, and no video recording was received.  The primary </w:t>
      </w:r>
      <w:proofErr w:type="gramStart"/>
      <w:r w:rsidR="00E10F0D" w:rsidRPr="009F348F">
        <w:rPr>
          <w:rFonts w:eastAsia="Times New Roman"/>
          <w:bCs/>
          <w:szCs w:val="24"/>
        </w:rPr>
        <w:t>judge did</w:t>
      </w:r>
      <w:r>
        <w:rPr>
          <w:rFonts w:eastAsia="Times New Roman"/>
          <w:bCs/>
          <w:szCs w:val="24"/>
        </w:rPr>
        <w:t>,</w:t>
      </w:r>
      <w:r w:rsidR="00E10F0D" w:rsidRPr="009F348F">
        <w:rPr>
          <w:rFonts w:eastAsia="Times New Roman"/>
          <w:bCs/>
          <w:szCs w:val="24"/>
        </w:rPr>
        <w:t xml:space="preserve"> </w:t>
      </w:r>
      <w:r w:rsidR="00E10F0D" w:rsidRPr="009F348F">
        <w:rPr>
          <w:rFonts w:eastAsia="Times New Roman"/>
          <w:bCs/>
          <w:szCs w:val="24"/>
        </w:rPr>
        <w:lastRenderedPageBreak/>
        <w:t>by consent</w:t>
      </w:r>
      <w:r>
        <w:rPr>
          <w:rFonts w:eastAsia="Times New Roman"/>
          <w:bCs/>
          <w:szCs w:val="24"/>
        </w:rPr>
        <w:t>,</w:t>
      </w:r>
      <w:r w:rsidR="00E10F0D" w:rsidRPr="009F348F">
        <w:rPr>
          <w:rFonts w:eastAsia="Times New Roman"/>
          <w:bCs/>
          <w:szCs w:val="24"/>
        </w:rPr>
        <w:t xml:space="preserve"> </w:t>
      </w:r>
      <w:r>
        <w:rPr>
          <w:rFonts w:eastAsia="Times New Roman"/>
          <w:bCs/>
          <w:szCs w:val="24"/>
        </w:rPr>
        <w:t>allow</w:t>
      </w:r>
      <w:proofErr w:type="gramEnd"/>
      <w:r w:rsidR="00E10F0D" w:rsidRPr="009F348F">
        <w:rPr>
          <w:rFonts w:eastAsia="Times New Roman"/>
          <w:bCs/>
          <w:szCs w:val="24"/>
        </w:rPr>
        <w:t xml:space="preserve"> the admission of the audio recording of the hearing, and granted to the parties leave to file submissions in respect of that recording</w:t>
      </w:r>
      <w:r w:rsidR="00E12774">
        <w:rPr>
          <w:rFonts w:eastAsia="Times New Roman"/>
          <w:bCs/>
          <w:szCs w:val="24"/>
        </w:rPr>
        <w:t xml:space="preserve">. </w:t>
      </w:r>
      <w:r w:rsidR="00E10F0D" w:rsidRPr="009F348F">
        <w:rPr>
          <w:rFonts w:eastAsia="Times New Roman"/>
          <w:bCs/>
          <w:szCs w:val="24"/>
        </w:rPr>
        <w:t xml:space="preserve"> </w:t>
      </w:r>
      <w:r w:rsidR="00E12774">
        <w:rPr>
          <w:rFonts w:eastAsia="Times New Roman"/>
          <w:bCs/>
          <w:szCs w:val="24"/>
        </w:rPr>
        <w:t>A</w:t>
      </w:r>
      <w:r w:rsidR="00E10F0D" w:rsidRPr="009F348F">
        <w:rPr>
          <w:rFonts w:eastAsia="Times New Roman"/>
          <w:bCs/>
          <w:szCs w:val="24"/>
        </w:rPr>
        <w:t xml:space="preserve">s the primary judge recorded in his reasons at </w:t>
      </w:r>
      <w:r w:rsidR="00D42C32">
        <w:rPr>
          <w:rFonts w:eastAsia="Times New Roman"/>
          <w:bCs/>
          <w:szCs w:val="24"/>
        </w:rPr>
        <w:t>[</w:t>
      </w:r>
      <w:r w:rsidR="00E10F0D" w:rsidRPr="009F348F">
        <w:rPr>
          <w:rFonts w:eastAsia="Times New Roman"/>
          <w:bCs/>
          <w:szCs w:val="24"/>
        </w:rPr>
        <w:t>25</w:t>
      </w:r>
      <w:r w:rsidR="00D42C32">
        <w:rPr>
          <w:rFonts w:eastAsia="Times New Roman"/>
          <w:bCs/>
          <w:szCs w:val="24"/>
        </w:rPr>
        <w:t>]</w:t>
      </w:r>
      <w:r w:rsidR="00E10F0D" w:rsidRPr="009F348F">
        <w:rPr>
          <w:rFonts w:eastAsia="Times New Roman"/>
          <w:bCs/>
          <w:szCs w:val="24"/>
        </w:rPr>
        <w:t xml:space="preserve">, </w:t>
      </w:r>
      <w:r>
        <w:rPr>
          <w:rFonts w:eastAsia="Times New Roman"/>
          <w:bCs/>
          <w:szCs w:val="24"/>
        </w:rPr>
        <w:t>his Honour</w:t>
      </w:r>
      <w:r w:rsidR="00E10F0D" w:rsidRPr="009F348F">
        <w:rPr>
          <w:rFonts w:eastAsia="Times New Roman"/>
          <w:bCs/>
          <w:szCs w:val="24"/>
        </w:rPr>
        <w:t xml:space="preserve"> indicated that he would listen to the audio recording in chambers and make a decision without any further oral hearing.  It is evident from the reasons of the primary judge that that is what then occurred.  The primary judge obviously did not have reference to any video, there being no video produced</w:t>
      </w:r>
      <w:r w:rsidR="00E12774">
        <w:rPr>
          <w:rFonts w:eastAsia="Times New Roman"/>
          <w:bCs/>
          <w:szCs w:val="24"/>
        </w:rPr>
        <w:t>,</w:t>
      </w:r>
      <w:r w:rsidR="00E10F0D" w:rsidRPr="009F348F">
        <w:rPr>
          <w:rFonts w:eastAsia="Times New Roman"/>
          <w:bCs/>
          <w:szCs w:val="24"/>
        </w:rPr>
        <w:t xml:space="preserve"> and</w:t>
      </w:r>
      <w:r>
        <w:rPr>
          <w:rFonts w:eastAsia="Times New Roman"/>
          <w:bCs/>
          <w:szCs w:val="24"/>
        </w:rPr>
        <w:t>,</w:t>
      </w:r>
      <w:r w:rsidR="00E10F0D" w:rsidRPr="009F348F">
        <w:rPr>
          <w:rFonts w:eastAsia="Times New Roman"/>
          <w:bCs/>
          <w:szCs w:val="24"/>
        </w:rPr>
        <w:t xml:space="preserve"> as I am informed today, no video available </w:t>
      </w:r>
      <w:r>
        <w:rPr>
          <w:rFonts w:eastAsia="Times New Roman"/>
          <w:bCs/>
          <w:szCs w:val="24"/>
        </w:rPr>
        <w:t>to be produced</w:t>
      </w:r>
      <w:r w:rsidR="00E10F0D" w:rsidRPr="009F348F">
        <w:rPr>
          <w:rFonts w:eastAsia="Times New Roman"/>
          <w:bCs/>
          <w:szCs w:val="24"/>
        </w:rPr>
        <w:t>.</w:t>
      </w:r>
    </w:p>
    <w:p w:rsidR="00AC52F0" w:rsidRPr="00AC52F0" w:rsidRDefault="00E10F0D" w:rsidP="009F348F">
      <w:pPr>
        <w:pStyle w:val="ParaNumbering"/>
      </w:pPr>
      <w:r w:rsidRPr="009F348F">
        <w:rPr>
          <w:rFonts w:eastAsia="Times New Roman"/>
          <w:bCs/>
          <w:szCs w:val="24"/>
        </w:rPr>
        <w:t xml:space="preserve">The question then is whether a fair minded lay observer might reasonably apprehend that the primary judge might not </w:t>
      </w:r>
      <w:r w:rsidR="001E2A07">
        <w:rPr>
          <w:rFonts w:eastAsia="Times New Roman"/>
          <w:bCs/>
          <w:szCs w:val="24"/>
        </w:rPr>
        <w:t>have brought</w:t>
      </w:r>
      <w:r w:rsidRPr="009F348F">
        <w:rPr>
          <w:rFonts w:eastAsia="Times New Roman"/>
          <w:bCs/>
          <w:szCs w:val="24"/>
        </w:rPr>
        <w:t xml:space="preserve"> an impartial mind to the resolution of the question </w:t>
      </w:r>
      <w:r w:rsidR="001E2A07">
        <w:rPr>
          <w:rFonts w:eastAsia="Times New Roman"/>
          <w:bCs/>
          <w:szCs w:val="24"/>
        </w:rPr>
        <w:t>of whether the Tribunal was biased</w:t>
      </w:r>
      <w:r w:rsidRPr="009F348F">
        <w:rPr>
          <w:rFonts w:eastAsia="Times New Roman"/>
          <w:bCs/>
          <w:szCs w:val="24"/>
        </w:rPr>
        <w:t xml:space="preserve"> becau</w:t>
      </w:r>
      <w:r w:rsidR="001E2A07">
        <w:rPr>
          <w:rFonts w:eastAsia="Times New Roman"/>
          <w:bCs/>
          <w:szCs w:val="24"/>
        </w:rPr>
        <w:t>se the primary judge decided that</w:t>
      </w:r>
      <w:r w:rsidRPr="009F348F">
        <w:rPr>
          <w:rFonts w:eastAsia="Times New Roman"/>
          <w:bCs/>
          <w:szCs w:val="24"/>
        </w:rPr>
        <w:t xml:space="preserve"> question without reference to a video</w:t>
      </w:r>
      <w:r w:rsidR="00E12774">
        <w:rPr>
          <w:rFonts w:eastAsia="Times New Roman"/>
          <w:bCs/>
          <w:szCs w:val="24"/>
        </w:rPr>
        <w:t xml:space="preserve"> that does not exist</w:t>
      </w:r>
      <w:r w:rsidRPr="009F348F">
        <w:rPr>
          <w:rFonts w:eastAsia="Times New Roman"/>
          <w:bCs/>
          <w:szCs w:val="24"/>
        </w:rPr>
        <w:t>.  Merely posing the question makes evident the obvious answer.  In my view, there can be no suggestion that a fair minded lay observer might reasonably apprehend that the primary judge</w:t>
      </w:r>
      <w:r w:rsidR="00E12774">
        <w:rPr>
          <w:rFonts w:eastAsia="Times New Roman"/>
          <w:bCs/>
          <w:szCs w:val="24"/>
        </w:rPr>
        <w:t>,</w:t>
      </w:r>
      <w:r w:rsidRPr="009F348F">
        <w:rPr>
          <w:rFonts w:eastAsia="Times New Roman"/>
          <w:bCs/>
          <w:szCs w:val="24"/>
        </w:rPr>
        <w:t xml:space="preserve"> </w:t>
      </w:r>
      <w:r w:rsidR="00E12774">
        <w:rPr>
          <w:rFonts w:eastAsia="Times New Roman"/>
          <w:bCs/>
          <w:szCs w:val="24"/>
        </w:rPr>
        <w:t>in</w:t>
      </w:r>
      <w:r w:rsidR="00E12774" w:rsidRPr="009F348F">
        <w:rPr>
          <w:rFonts w:eastAsia="Times New Roman"/>
          <w:bCs/>
          <w:szCs w:val="24"/>
        </w:rPr>
        <w:t xml:space="preserve"> making his determination based on the best evidence available to the primary judge at the time,</w:t>
      </w:r>
      <w:r w:rsidR="00E12774">
        <w:rPr>
          <w:rFonts w:eastAsia="Times New Roman"/>
          <w:bCs/>
          <w:szCs w:val="24"/>
        </w:rPr>
        <w:t xml:space="preserve"> </w:t>
      </w:r>
      <w:r w:rsidRPr="009F348F">
        <w:rPr>
          <w:rFonts w:eastAsia="Times New Roman"/>
          <w:bCs/>
          <w:szCs w:val="24"/>
        </w:rPr>
        <w:t xml:space="preserve">might not have brought an impartial mind to the resolution of </w:t>
      </w:r>
      <w:r w:rsidR="00AC52F0">
        <w:rPr>
          <w:rFonts w:eastAsia="Times New Roman"/>
          <w:bCs/>
          <w:szCs w:val="24"/>
        </w:rPr>
        <w:t>the</w:t>
      </w:r>
      <w:r w:rsidRPr="009F348F">
        <w:rPr>
          <w:rFonts w:eastAsia="Times New Roman"/>
          <w:bCs/>
          <w:szCs w:val="24"/>
        </w:rPr>
        <w:t xml:space="preserve"> question then before him.  </w:t>
      </w:r>
    </w:p>
    <w:p w:rsidR="00E10F0D" w:rsidRPr="009F348F" w:rsidRDefault="00E10F0D" w:rsidP="009F348F">
      <w:pPr>
        <w:pStyle w:val="ParaNumbering"/>
      </w:pPr>
      <w:r w:rsidRPr="009F348F">
        <w:rPr>
          <w:rFonts w:eastAsia="Times New Roman"/>
          <w:bCs/>
          <w:szCs w:val="24"/>
        </w:rPr>
        <w:t xml:space="preserve">The second aspect of the appellant’s </w:t>
      </w:r>
      <w:r w:rsidR="00AC52F0">
        <w:rPr>
          <w:rFonts w:eastAsia="Times New Roman"/>
          <w:bCs/>
          <w:szCs w:val="24"/>
        </w:rPr>
        <w:t>contention</w:t>
      </w:r>
      <w:r w:rsidRPr="009F348F">
        <w:rPr>
          <w:rFonts w:eastAsia="Times New Roman"/>
          <w:bCs/>
          <w:szCs w:val="24"/>
        </w:rPr>
        <w:t xml:space="preserve"> is that the prima</w:t>
      </w:r>
      <w:r w:rsidR="001348E8">
        <w:rPr>
          <w:rFonts w:eastAsia="Times New Roman"/>
          <w:bCs/>
          <w:szCs w:val="24"/>
        </w:rPr>
        <w:t>ry judge ignored his post</w:t>
      </w:r>
      <w:r w:rsidR="001348E8">
        <w:rPr>
          <w:rFonts w:eastAsia="Times New Roman"/>
          <w:bCs/>
          <w:szCs w:val="24"/>
        </w:rPr>
        <w:noBreakHyphen/>
      </w:r>
      <w:r w:rsidR="00AC52F0">
        <w:rPr>
          <w:rFonts w:eastAsia="Times New Roman"/>
          <w:bCs/>
          <w:szCs w:val="24"/>
        </w:rPr>
        <w:t xml:space="preserve">hearing submissions.  </w:t>
      </w:r>
      <w:r w:rsidRPr="009F348F">
        <w:rPr>
          <w:rFonts w:eastAsia="Times New Roman"/>
          <w:bCs/>
          <w:szCs w:val="24"/>
        </w:rPr>
        <w:t xml:space="preserve">In support of that contention, the appellant took me to </w:t>
      </w:r>
      <w:r w:rsidR="00866F80">
        <w:rPr>
          <w:rFonts w:eastAsia="Times New Roman"/>
          <w:bCs/>
          <w:szCs w:val="24"/>
        </w:rPr>
        <w:t>[</w:t>
      </w:r>
      <w:r w:rsidRPr="009F348F">
        <w:rPr>
          <w:rFonts w:eastAsia="Times New Roman"/>
          <w:bCs/>
          <w:szCs w:val="24"/>
        </w:rPr>
        <w:t>26</w:t>
      </w:r>
      <w:r w:rsidR="00866F80">
        <w:rPr>
          <w:rFonts w:eastAsia="Times New Roman"/>
          <w:bCs/>
          <w:szCs w:val="24"/>
        </w:rPr>
        <w:t>]</w:t>
      </w:r>
      <w:r w:rsidRPr="009F348F">
        <w:rPr>
          <w:rFonts w:eastAsia="Times New Roman"/>
          <w:bCs/>
          <w:szCs w:val="24"/>
        </w:rPr>
        <w:t xml:space="preserve"> of the reasons for decision of the primary judge.  That paragraph states as follows:</w:t>
      </w:r>
    </w:p>
    <w:p w:rsidR="00866F80" w:rsidRPr="00E10F0D" w:rsidRDefault="00866F80" w:rsidP="009F348F">
      <w:pPr>
        <w:pStyle w:val="Quote1"/>
      </w:pPr>
      <w:r w:rsidRPr="00866F80">
        <w:t>Both the applicant and the Minister filed written submissions. The applicant’s submissions went beyond the leave granted and addressed further grounds of review. To the extent that they did so, I have given them no attention. I have listened to the audio recording of the hearing.</w:t>
      </w:r>
    </w:p>
    <w:p w:rsidR="00E10F0D" w:rsidRDefault="00E10F0D" w:rsidP="009F348F">
      <w:pPr>
        <w:pStyle w:val="ParaNumbering"/>
      </w:pPr>
      <w:r w:rsidRPr="00E10F0D">
        <w:t>It may be that the appellant misunderstands the content of that paragraph.  Clearly, the primary judge is not there saying that the submissions filed were ignored in their entirety.  What the primary judge is saying is that</w:t>
      </w:r>
      <w:r w:rsidR="00AC52F0">
        <w:t>,</w:t>
      </w:r>
      <w:r w:rsidRPr="00E10F0D">
        <w:t xml:space="preserve"> insofar as those submissions went beyond the leave granted, that is</w:t>
      </w:r>
      <w:r w:rsidR="00AC52F0">
        <w:t>,</w:t>
      </w:r>
      <w:r w:rsidRPr="00E10F0D">
        <w:t xml:space="preserve"> the leave granted to the parties to file submissions in r</w:t>
      </w:r>
      <w:r w:rsidR="00AC52F0">
        <w:t>espect of the audio recording, t</w:t>
      </w:r>
      <w:r w:rsidRPr="00E10F0D">
        <w:t xml:space="preserve">hose submissions were not taken into account.  There can be no suggestion that a fair-minded lay observer might reasonably apprehend by reason of the content of </w:t>
      </w:r>
      <w:r w:rsidR="00AE62AD">
        <w:t>[</w:t>
      </w:r>
      <w:r w:rsidRPr="00E10F0D">
        <w:t>26</w:t>
      </w:r>
      <w:r w:rsidR="00AE62AD">
        <w:t>]</w:t>
      </w:r>
      <w:r w:rsidRPr="00E10F0D">
        <w:t xml:space="preserve"> that the primary judge might not </w:t>
      </w:r>
      <w:r w:rsidR="00AC52F0">
        <w:t>have brought</w:t>
      </w:r>
      <w:r w:rsidRPr="00E10F0D">
        <w:t xml:space="preserve"> an impartial mind to the resolution of </w:t>
      </w:r>
      <w:r w:rsidR="00AC52F0">
        <w:t xml:space="preserve">the </w:t>
      </w:r>
      <w:r w:rsidRPr="00E10F0D">
        <w:t>question before him.  It was completely appropriate for the primary judge to not permit the appellant to raise new issues beyond those</w:t>
      </w:r>
      <w:r w:rsidR="002B556B">
        <w:t xml:space="preserve"> issues</w:t>
      </w:r>
      <w:r w:rsidRPr="00E10F0D">
        <w:t xml:space="preserve"> </w:t>
      </w:r>
      <w:r w:rsidR="002D0F82">
        <w:t>the subject of</w:t>
      </w:r>
      <w:r w:rsidRPr="00E10F0D">
        <w:t xml:space="preserve"> the leave granted.  </w:t>
      </w:r>
      <w:r w:rsidR="002B556B">
        <w:t>N</w:t>
      </w:r>
      <w:r w:rsidRPr="00E10F0D">
        <w:t xml:space="preserve">o suggestion of apprehended bias is raised.  </w:t>
      </w:r>
    </w:p>
    <w:p w:rsidR="00E10F0D" w:rsidRPr="009F348F" w:rsidRDefault="00E10F0D" w:rsidP="009F348F">
      <w:pPr>
        <w:pStyle w:val="ParaNumbering"/>
      </w:pPr>
      <w:r w:rsidRPr="009F348F">
        <w:rPr>
          <w:rFonts w:eastAsia="Times New Roman"/>
          <w:szCs w:val="24"/>
        </w:rPr>
        <w:lastRenderedPageBreak/>
        <w:t>Insofar as the appellant contend</w:t>
      </w:r>
      <w:r w:rsidR="002B556B">
        <w:rPr>
          <w:rFonts w:eastAsia="Times New Roman"/>
          <w:szCs w:val="24"/>
        </w:rPr>
        <w:t>ed</w:t>
      </w:r>
      <w:r w:rsidRPr="009F348F">
        <w:rPr>
          <w:rFonts w:eastAsia="Times New Roman"/>
          <w:szCs w:val="24"/>
        </w:rPr>
        <w:t xml:space="preserve"> that his submissions dealing with the audio tape and </w:t>
      </w:r>
      <w:r w:rsidR="002B556B">
        <w:rPr>
          <w:rFonts w:eastAsia="Times New Roman"/>
          <w:szCs w:val="24"/>
        </w:rPr>
        <w:t>its content</w:t>
      </w:r>
      <w:r w:rsidRPr="009F348F">
        <w:rPr>
          <w:rFonts w:eastAsia="Times New Roman"/>
          <w:szCs w:val="24"/>
        </w:rPr>
        <w:t xml:space="preserve"> were ignored, I reject that contention.  The reasons of the primary judge on the question of whether the </w:t>
      </w:r>
      <w:r w:rsidR="00AE62AD">
        <w:rPr>
          <w:rFonts w:eastAsia="Times New Roman"/>
          <w:szCs w:val="24"/>
        </w:rPr>
        <w:t>T</w:t>
      </w:r>
      <w:r w:rsidRPr="009F348F">
        <w:rPr>
          <w:rFonts w:eastAsia="Times New Roman"/>
          <w:szCs w:val="24"/>
        </w:rPr>
        <w:t xml:space="preserve">ribunal </w:t>
      </w:r>
      <w:r w:rsidR="002B556B">
        <w:rPr>
          <w:rFonts w:eastAsia="Times New Roman"/>
          <w:szCs w:val="24"/>
        </w:rPr>
        <w:t>m</w:t>
      </w:r>
      <w:r w:rsidRPr="009F348F">
        <w:rPr>
          <w:rFonts w:eastAsia="Times New Roman"/>
          <w:szCs w:val="24"/>
        </w:rPr>
        <w:t>ember was bias</w:t>
      </w:r>
      <w:r w:rsidR="002B556B">
        <w:rPr>
          <w:rFonts w:eastAsia="Times New Roman"/>
          <w:szCs w:val="24"/>
        </w:rPr>
        <w:t>ed</w:t>
      </w:r>
      <w:r w:rsidRPr="009F348F">
        <w:rPr>
          <w:rFonts w:eastAsia="Times New Roman"/>
          <w:szCs w:val="24"/>
        </w:rPr>
        <w:t xml:space="preserve"> or whether the </w:t>
      </w:r>
      <w:r w:rsidR="00AE62AD">
        <w:rPr>
          <w:rFonts w:eastAsia="Times New Roman"/>
          <w:szCs w:val="24"/>
        </w:rPr>
        <w:t>T</w:t>
      </w:r>
      <w:r w:rsidRPr="009F348F">
        <w:rPr>
          <w:rFonts w:eastAsia="Times New Roman"/>
          <w:szCs w:val="24"/>
        </w:rPr>
        <w:t xml:space="preserve">ribunal’s </w:t>
      </w:r>
      <w:r w:rsidR="002B556B">
        <w:rPr>
          <w:rFonts w:eastAsia="Times New Roman"/>
          <w:szCs w:val="24"/>
        </w:rPr>
        <w:t>decision</w:t>
      </w:r>
      <w:r w:rsidRPr="009F348F">
        <w:rPr>
          <w:rFonts w:eastAsia="Times New Roman"/>
          <w:szCs w:val="24"/>
        </w:rPr>
        <w:t xml:space="preserve"> was affected by apprehended bias are comprehensive.  It is evident from any fair reading of the reasons that the primary judge went to great lengths to consider carefully each of the specific challenges made to the conduct of the hearing which I have outlined above</w:t>
      </w:r>
      <w:r w:rsidR="002B556B">
        <w:rPr>
          <w:rFonts w:eastAsia="Times New Roman"/>
          <w:szCs w:val="24"/>
        </w:rPr>
        <w:t xml:space="preserve"> at [9]</w:t>
      </w:r>
      <w:r w:rsidRPr="009F348F">
        <w:rPr>
          <w:rFonts w:eastAsia="Times New Roman"/>
          <w:szCs w:val="24"/>
        </w:rPr>
        <w:t xml:space="preserve">.  Indeed, the approach taken by the primary judge to that task can only be described as admirable.  The primary judge had regard to both the transcript and the audio recording.  The primary judge carefully identified passages in the audio recording which were the subject of the challenges made by the appellant.  To the extent the primary judge considered that the </w:t>
      </w:r>
      <w:r w:rsidR="002B556B">
        <w:rPr>
          <w:rFonts w:eastAsia="Times New Roman"/>
          <w:szCs w:val="24"/>
        </w:rPr>
        <w:t>T</w:t>
      </w:r>
      <w:r w:rsidRPr="009F348F">
        <w:rPr>
          <w:rFonts w:eastAsia="Times New Roman"/>
          <w:szCs w:val="24"/>
        </w:rPr>
        <w:t xml:space="preserve">ribunal’s conduct required some censure, </w:t>
      </w:r>
      <w:r w:rsidR="002B556B">
        <w:rPr>
          <w:rFonts w:eastAsia="Times New Roman"/>
          <w:szCs w:val="24"/>
        </w:rPr>
        <w:t>that was done</w:t>
      </w:r>
      <w:r w:rsidR="002D0F82">
        <w:rPr>
          <w:rFonts w:eastAsia="Times New Roman"/>
          <w:szCs w:val="24"/>
        </w:rPr>
        <w:t>,</w:t>
      </w:r>
      <w:r w:rsidR="002B556B">
        <w:rPr>
          <w:rFonts w:eastAsia="Times New Roman"/>
          <w:szCs w:val="24"/>
        </w:rPr>
        <w:t xml:space="preserve"> as is apparent from</w:t>
      </w:r>
      <w:r w:rsidRPr="009F348F">
        <w:rPr>
          <w:rFonts w:eastAsia="Times New Roman"/>
          <w:szCs w:val="24"/>
        </w:rPr>
        <w:t xml:space="preserve"> </w:t>
      </w:r>
      <w:r w:rsidR="00AE62AD">
        <w:rPr>
          <w:rFonts w:eastAsia="Times New Roman"/>
          <w:szCs w:val="24"/>
        </w:rPr>
        <w:t>[</w:t>
      </w:r>
      <w:r w:rsidRPr="009F348F">
        <w:rPr>
          <w:rFonts w:eastAsia="Times New Roman"/>
          <w:szCs w:val="24"/>
        </w:rPr>
        <w:t>45</w:t>
      </w:r>
      <w:r w:rsidR="00AE62AD">
        <w:rPr>
          <w:rFonts w:eastAsia="Times New Roman"/>
          <w:szCs w:val="24"/>
        </w:rPr>
        <w:t>]</w:t>
      </w:r>
      <w:r w:rsidRPr="009F348F">
        <w:rPr>
          <w:rFonts w:eastAsia="Times New Roman"/>
          <w:szCs w:val="24"/>
        </w:rPr>
        <w:t xml:space="preserve"> of the primary judge’s reasons for judgment.  </w:t>
      </w:r>
    </w:p>
    <w:p w:rsidR="002B556B" w:rsidRPr="002B556B" w:rsidRDefault="002B556B" w:rsidP="009F348F">
      <w:pPr>
        <w:pStyle w:val="ParaNumbering"/>
      </w:pPr>
      <w:r>
        <w:rPr>
          <w:rFonts w:eastAsia="Times New Roman"/>
          <w:szCs w:val="24"/>
        </w:rPr>
        <w:t xml:space="preserve">In my view </w:t>
      </w:r>
      <w:r w:rsidR="00E10F0D" w:rsidRPr="009F348F">
        <w:rPr>
          <w:rFonts w:eastAsia="Times New Roman"/>
          <w:szCs w:val="24"/>
        </w:rPr>
        <w:t>no tenable proposition can be made that</w:t>
      </w:r>
      <w:r>
        <w:rPr>
          <w:rFonts w:eastAsia="Times New Roman"/>
          <w:szCs w:val="24"/>
        </w:rPr>
        <w:t>,</w:t>
      </w:r>
      <w:r w:rsidR="00E10F0D" w:rsidRPr="009F348F">
        <w:rPr>
          <w:rFonts w:eastAsia="Times New Roman"/>
          <w:szCs w:val="24"/>
        </w:rPr>
        <w:t xml:space="preserve"> in dealing with the </w:t>
      </w:r>
      <w:r>
        <w:rPr>
          <w:rFonts w:eastAsia="Times New Roman"/>
          <w:szCs w:val="24"/>
        </w:rPr>
        <w:t>particulars of bias relied upon</w:t>
      </w:r>
      <w:r w:rsidR="00E10F0D" w:rsidRPr="009F348F">
        <w:rPr>
          <w:rFonts w:eastAsia="Times New Roman"/>
          <w:szCs w:val="24"/>
        </w:rPr>
        <w:t xml:space="preserve"> by the appellant</w:t>
      </w:r>
      <w:r w:rsidR="002D0F82">
        <w:rPr>
          <w:rFonts w:eastAsia="Times New Roman"/>
          <w:szCs w:val="24"/>
        </w:rPr>
        <w:t>,</w:t>
      </w:r>
      <w:r w:rsidR="00E10F0D" w:rsidRPr="009F348F">
        <w:rPr>
          <w:rFonts w:eastAsia="Times New Roman"/>
          <w:szCs w:val="24"/>
        </w:rPr>
        <w:t xml:space="preserve"> the submissions of the appellant were ignored</w:t>
      </w:r>
      <w:r w:rsidR="002D0F82">
        <w:rPr>
          <w:rFonts w:eastAsia="Times New Roman"/>
          <w:szCs w:val="24"/>
        </w:rPr>
        <w:t>,</w:t>
      </w:r>
      <w:r>
        <w:rPr>
          <w:rFonts w:eastAsia="Times New Roman"/>
          <w:szCs w:val="24"/>
        </w:rPr>
        <w:t xml:space="preserve"> or, more pertinently, ignored </w:t>
      </w:r>
      <w:r w:rsidR="00E10F0D" w:rsidRPr="009F348F">
        <w:rPr>
          <w:rFonts w:eastAsia="Times New Roman"/>
          <w:szCs w:val="24"/>
        </w:rPr>
        <w:t xml:space="preserve">in a way which could give rise to a conclusion that a fair-minded lay observer might have reasonably apprehended that the primary judge might not have brought an impartial mind to the resolution of </w:t>
      </w:r>
      <w:r>
        <w:rPr>
          <w:rFonts w:eastAsia="Times New Roman"/>
          <w:szCs w:val="24"/>
        </w:rPr>
        <w:t>the question before him</w:t>
      </w:r>
      <w:r w:rsidR="00E10F0D" w:rsidRPr="009F348F">
        <w:rPr>
          <w:rFonts w:eastAsia="Times New Roman"/>
          <w:szCs w:val="24"/>
        </w:rPr>
        <w:t xml:space="preserve">.  </w:t>
      </w:r>
    </w:p>
    <w:p w:rsidR="00E10F0D" w:rsidRPr="00AE62AD" w:rsidRDefault="00E10F0D" w:rsidP="009F348F">
      <w:pPr>
        <w:pStyle w:val="ParaNumbering"/>
      </w:pPr>
      <w:r w:rsidRPr="009F348F">
        <w:rPr>
          <w:rFonts w:eastAsia="Times New Roman"/>
          <w:szCs w:val="24"/>
        </w:rPr>
        <w:t xml:space="preserve">For those reasons this appeal must be dismissed. </w:t>
      </w:r>
    </w:p>
    <w:p w:rsidR="00AE62AD" w:rsidRDefault="00AE62AD" w:rsidP="00815065">
      <w:pPr>
        <w:pStyle w:val="BodyText"/>
      </w:pPr>
      <w:bookmarkStart w:id="22" w:name="Certification"/>
    </w:p>
    <w:tbl>
      <w:tblPr>
        <w:tblW w:w="0" w:type="auto"/>
        <w:tblLook w:val="04A0" w:firstRow="1" w:lastRow="0" w:firstColumn="1" w:lastColumn="0" w:noHBand="0" w:noVBand="1"/>
      </w:tblPr>
      <w:tblGrid>
        <w:gridCol w:w="3794"/>
      </w:tblGrid>
      <w:tr w:rsidR="00AE62AD" w:rsidRPr="00AE62AD">
        <w:tc>
          <w:tcPr>
            <w:tcW w:w="3794" w:type="dxa"/>
            <w:shd w:val="clear" w:color="auto" w:fill="auto"/>
          </w:tcPr>
          <w:p w:rsidR="00AE62AD" w:rsidRPr="00AE62AD" w:rsidRDefault="00AE62AD" w:rsidP="00D96B36">
            <w:pPr>
              <w:pStyle w:val="Normal1linespace"/>
            </w:pPr>
            <w:r w:rsidRPr="00AE62AD">
              <w:t xml:space="preserve">I certify that the preceding </w:t>
            </w:r>
            <w:bookmarkStart w:id="23" w:name="NumberWord"/>
            <w:r w:rsidR="002B556B">
              <w:t>twenty-</w:t>
            </w:r>
            <w:r w:rsidR="00D96B36">
              <w:t>five</w:t>
            </w:r>
            <w:bookmarkEnd w:id="23"/>
            <w:r w:rsidRPr="00AE62AD">
              <w:t xml:space="preserve"> (</w:t>
            </w:r>
            <w:bookmarkStart w:id="24" w:name="NumberNumeral"/>
            <w:r w:rsidR="002B556B">
              <w:t>2</w:t>
            </w:r>
            <w:r w:rsidR="00D96B36">
              <w:t>5</w:t>
            </w:r>
            <w:bookmarkEnd w:id="24"/>
            <w:r w:rsidRPr="00AE62AD">
              <w:t xml:space="preserve">) numbered </w:t>
            </w:r>
            <w:bookmarkStart w:id="25" w:name="CertPara"/>
            <w:r>
              <w:t>paragraphs are</w:t>
            </w:r>
            <w:bookmarkEnd w:id="25"/>
            <w:r w:rsidRPr="00AE62AD">
              <w:t xml:space="preserve"> a true copy of the Reasons for Judgment herein of the Honourable </w:t>
            </w:r>
            <w:bookmarkStart w:id="26" w:name="Justice"/>
            <w:r>
              <w:t>Justice Bromberg</w:t>
            </w:r>
            <w:bookmarkEnd w:id="26"/>
            <w:r w:rsidRPr="00AE62AD">
              <w:t>.</w:t>
            </w:r>
          </w:p>
        </w:tc>
      </w:tr>
    </w:tbl>
    <w:p w:rsidR="00AE62AD" w:rsidRDefault="00AE62AD" w:rsidP="00815065">
      <w:pPr>
        <w:pStyle w:val="BodyText"/>
      </w:pPr>
    </w:p>
    <w:p w:rsidR="007039B0" w:rsidRDefault="007039B0" w:rsidP="00815065">
      <w:pPr>
        <w:pStyle w:val="BodyText"/>
      </w:pPr>
    </w:p>
    <w:p w:rsidR="00AE62AD" w:rsidRDefault="00AE62AD" w:rsidP="00815065">
      <w:pPr>
        <w:pStyle w:val="BodyText"/>
      </w:pPr>
      <w:r>
        <w:t>Associate:</w:t>
      </w:r>
      <w:r w:rsidR="00F031B8">
        <w:tab/>
      </w:r>
    </w:p>
    <w:p w:rsidR="002B556B" w:rsidRDefault="002B556B" w:rsidP="00815065">
      <w:pPr>
        <w:pStyle w:val="BodyText"/>
      </w:pPr>
      <w:bookmarkStart w:id="27" w:name="_GoBack"/>
      <w:bookmarkEnd w:id="27"/>
    </w:p>
    <w:p w:rsidR="00AE62AD" w:rsidRDefault="00AE62AD" w:rsidP="00815065">
      <w:pPr>
        <w:pStyle w:val="BodyText"/>
        <w:tabs>
          <w:tab w:val="left" w:pos="1134"/>
        </w:tabs>
      </w:pPr>
      <w:r>
        <w:t>Dated:</w:t>
      </w:r>
      <w:r>
        <w:tab/>
      </w:r>
      <w:bookmarkStart w:id="28" w:name="CertifyDated"/>
      <w:r w:rsidR="00D96B36">
        <w:t>21</w:t>
      </w:r>
      <w:r w:rsidR="005B2D06">
        <w:t xml:space="preserve"> </w:t>
      </w:r>
      <w:r>
        <w:t>March 2017</w:t>
      </w:r>
      <w:bookmarkEnd w:id="28"/>
    </w:p>
    <w:p w:rsidR="00AE62AD" w:rsidRDefault="00AE62AD" w:rsidP="00815065">
      <w:pPr>
        <w:pStyle w:val="BodyText"/>
      </w:pPr>
    </w:p>
    <w:bookmarkEnd w:id="22"/>
    <w:p w:rsidR="00484F6D" w:rsidRPr="00AE62AD" w:rsidRDefault="00484F6D" w:rsidP="009F348F">
      <w:pPr>
        <w:pStyle w:val="ParaNumbering"/>
        <w:numPr>
          <w:ilvl w:val="0"/>
          <w:numId w:val="0"/>
        </w:numPr>
        <w:rPr>
          <w:highlight w:val="yellow"/>
        </w:rPr>
      </w:pPr>
    </w:p>
    <w:sectPr w:rsidR="00484F6D" w:rsidRPr="00AE62AD">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21" w:rsidRDefault="006D1621">
      <w:pPr>
        <w:spacing w:line="20" w:lineRule="exact"/>
      </w:pPr>
    </w:p>
    <w:p w:rsidR="006D1621" w:rsidRDefault="006D1621"/>
    <w:p w:rsidR="006D1621" w:rsidRDefault="006D1621"/>
  </w:endnote>
  <w:endnote w:type="continuationSeparator" w:id="0">
    <w:p w:rsidR="006D1621" w:rsidRDefault="006D1621">
      <w:r>
        <w:t xml:space="preserve"> </w:t>
      </w:r>
    </w:p>
    <w:p w:rsidR="006D1621" w:rsidRDefault="006D1621"/>
    <w:p w:rsidR="006D1621" w:rsidRDefault="006D1621"/>
  </w:endnote>
  <w:endnote w:type="continuationNotice" w:id="1">
    <w:p w:rsidR="006D1621" w:rsidRDefault="006D1621">
      <w:r>
        <w:t xml:space="preserve"> </w:t>
      </w:r>
    </w:p>
    <w:p w:rsidR="006D1621" w:rsidRDefault="006D1621"/>
    <w:p w:rsidR="006D1621" w:rsidRDefault="006D1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5B2D06" w:rsidRDefault="00395B24" w:rsidP="005B2D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5B2D06" w:rsidRDefault="002F1E49" w:rsidP="005B2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21" w:rsidRDefault="006D1621"/>
    <w:p w:rsidR="006D1621" w:rsidRDefault="006D1621"/>
    <w:p w:rsidR="006D1621" w:rsidRDefault="006D1621"/>
  </w:footnote>
  <w:footnote w:type="continuationSeparator" w:id="0">
    <w:p w:rsidR="006D1621" w:rsidRDefault="006D1621">
      <w:r>
        <w:continuationSeparator/>
      </w:r>
    </w:p>
    <w:p w:rsidR="006D1621" w:rsidRDefault="006D1621"/>
    <w:p w:rsidR="006D1621" w:rsidRDefault="006D16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7039B0">
      <w:rPr>
        <w:noProof/>
      </w:rPr>
      <w:t>6</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2D567791"/>
    <w:multiLevelType w:val="hybridMultilevel"/>
    <w:tmpl w:val="6F048EFA"/>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0"/>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3"/>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CCC15"/>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Solicitor for the First Respondent"/>
    <w:docVar w:name="FileNumbers" w:val="NSD 1672 of 2016"/>
    <w:docVar w:name="HearingDate" w:val="2 March 2017"/>
    <w:docVar w:name="Initiators" w:val="(and another named in the Schedule)"/>
    <w:docVar w:name="Judgdate" w:val="2 March 2017"/>
    <w:docVar w:name="Judge" w:val="Bromberg "/>
    <w:docVar w:name="Justices" w:val="Justice"/>
    <w:docVar w:name="lstEntryList" w:val="1"/>
    <w:docVar w:name="myEntryList" w:val="Counsel for the Appellant=The appellant appeared in person assisted by an interpreter|Solicitor for the First Respondent=MinterEllison|Counsel for the Second Respondent=The second respondent filed a submitting notice, save as to cos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 |Administrative Appeals Tribunal"/>
    <w:docVar w:name="ResState" w:val="New South Wales"/>
    <w:docVar w:name="SubArea" w:val="[none]"/>
  </w:docVars>
  <w:rsids>
    <w:rsidRoot w:val="00353BDD"/>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348E8"/>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2A07"/>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556B"/>
    <w:rsid w:val="002B6779"/>
    <w:rsid w:val="002B71C0"/>
    <w:rsid w:val="002B7A34"/>
    <w:rsid w:val="002C31AD"/>
    <w:rsid w:val="002C7385"/>
    <w:rsid w:val="002D0F82"/>
    <w:rsid w:val="002D2DBB"/>
    <w:rsid w:val="002D54A6"/>
    <w:rsid w:val="002E6A7A"/>
    <w:rsid w:val="002F1E49"/>
    <w:rsid w:val="002F4E9C"/>
    <w:rsid w:val="0031256C"/>
    <w:rsid w:val="00314D6C"/>
    <w:rsid w:val="00316D2A"/>
    <w:rsid w:val="00322A7C"/>
    <w:rsid w:val="003402D3"/>
    <w:rsid w:val="00343ABC"/>
    <w:rsid w:val="003463FE"/>
    <w:rsid w:val="00353BDD"/>
    <w:rsid w:val="003554B3"/>
    <w:rsid w:val="00356632"/>
    <w:rsid w:val="003845A9"/>
    <w:rsid w:val="00390883"/>
    <w:rsid w:val="003922F8"/>
    <w:rsid w:val="00395B24"/>
    <w:rsid w:val="003A2D38"/>
    <w:rsid w:val="003A7ECC"/>
    <w:rsid w:val="003B2C72"/>
    <w:rsid w:val="003C1333"/>
    <w:rsid w:val="003C20FF"/>
    <w:rsid w:val="003D2650"/>
    <w:rsid w:val="003D3908"/>
    <w:rsid w:val="003D560C"/>
    <w:rsid w:val="003E5874"/>
    <w:rsid w:val="003F193E"/>
    <w:rsid w:val="003F34F1"/>
    <w:rsid w:val="00411AE8"/>
    <w:rsid w:val="00413B74"/>
    <w:rsid w:val="00430F4D"/>
    <w:rsid w:val="00435C5F"/>
    <w:rsid w:val="00441E98"/>
    <w:rsid w:val="004532F7"/>
    <w:rsid w:val="00472027"/>
    <w:rsid w:val="004804CF"/>
    <w:rsid w:val="00484962"/>
    <w:rsid w:val="00484F6D"/>
    <w:rsid w:val="0049338A"/>
    <w:rsid w:val="0049417F"/>
    <w:rsid w:val="004B3EFA"/>
    <w:rsid w:val="004C2A87"/>
    <w:rsid w:val="004C4ED3"/>
    <w:rsid w:val="004D2EA5"/>
    <w:rsid w:val="004D32A6"/>
    <w:rsid w:val="004D53E5"/>
    <w:rsid w:val="004F5AA1"/>
    <w:rsid w:val="00501A12"/>
    <w:rsid w:val="0051346D"/>
    <w:rsid w:val="00513EAE"/>
    <w:rsid w:val="00516806"/>
    <w:rsid w:val="00525A49"/>
    <w:rsid w:val="00535613"/>
    <w:rsid w:val="005359EB"/>
    <w:rsid w:val="0054254A"/>
    <w:rsid w:val="005466B5"/>
    <w:rsid w:val="005629B3"/>
    <w:rsid w:val="00565D47"/>
    <w:rsid w:val="00573AC4"/>
    <w:rsid w:val="005801FC"/>
    <w:rsid w:val="00595016"/>
    <w:rsid w:val="00597AAE"/>
    <w:rsid w:val="005A222C"/>
    <w:rsid w:val="005A4DF8"/>
    <w:rsid w:val="005B1426"/>
    <w:rsid w:val="005B2D06"/>
    <w:rsid w:val="005C0A8E"/>
    <w:rsid w:val="005C1767"/>
    <w:rsid w:val="005C42EF"/>
    <w:rsid w:val="005E02F5"/>
    <w:rsid w:val="005E0510"/>
    <w:rsid w:val="005E176E"/>
    <w:rsid w:val="005E218E"/>
    <w:rsid w:val="005E35A0"/>
    <w:rsid w:val="005F0D1B"/>
    <w:rsid w:val="005F1865"/>
    <w:rsid w:val="005F4BDF"/>
    <w:rsid w:val="006007BD"/>
    <w:rsid w:val="006013C8"/>
    <w:rsid w:val="0060270D"/>
    <w:rsid w:val="00604611"/>
    <w:rsid w:val="00611586"/>
    <w:rsid w:val="00621887"/>
    <w:rsid w:val="00624520"/>
    <w:rsid w:val="0062763E"/>
    <w:rsid w:val="00632BB7"/>
    <w:rsid w:val="00635B36"/>
    <w:rsid w:val="00636871"/>
    <w:rsid w:val="00640F4E"/>
    <w:rsid w:val="006438DC"/>
    <w:rsid w:val="00643DE0"/>
    <w:rsid w:val="00644E85"/>
    <w:rsid w:val="0066063F"/>
    <w:rsid w:val="00662BB0"/>
    <w:rsid w:val="00663878"/>
    <w:rsid w:val="006640E0"/>
    <w:rsid w:val="00667773"/>
    <w:rsid w:val="00670743"/>
    <w:rsid w:val="00690EE2"/>
    <w:rsid w:val="006A0E20"/>
    <w:rsid w:val="006A5695"/>
    <w:rsid w:val="006B0D22"/>
    <w:rsid w:val="006B3904"/>
    <w:rsid w:val="006B5B7D"/>
    <w:rsid w:val="006D0ECF"/>
    <w:rsid w:val="006D1621"/>
    <w:rsid w:val="006D4C92"/>
    <w:rsid w:val="006D4EB6"/>
    <w:rsid w:val="006E35BF"/>
    <w:rsid w:val="006E7850"/>
    <w:rsid w:val="007028D9"/>
    <w:rsid w:val="007039B0"/>
    <w:rsid w:val="00707218"/>
    <w:rsid w:val="00712B1D"/>
    <w:rsid w:val="007325D9"/>
    <w:rsid w:val="007360CA"/>
    <w:rsid w:val="00740F47"/>
    <w:rsid w:val="0078003A"/>
    <w:rsid w:val="00780771"/>
    <w:rsid w:val="007929CF"/>
    <w:rsid w:val="007A6F28"/>
    <w:rsid w:val="007B03C6"/>
    <w:rsid w:val="007B0DB1"/>
    <w:rsid w:val="007B6D8E"/>
    <w:rsid w:val="007C2C3B"/>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66F80"/>
    <w:rsid w:val="008712BB"/>
    <w:rsid w:val="008734D8"/>
    <w:rsid w:val="008A2484"/>
    <w:rsid w:val="008C26D9"/>
    <w:rsid w:val="008C6D50"/>
    <w:rsid w:val="008C7167"/>
    <w:rsid w:val="008C7503"/>
    <w:rsid w:val="008D1617"/>
    <w:rsid w:val="008E6315"/>
    <w:rsid w:val="008F11E0"/>
    <w:rsid w:val="008F2E9B"/>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A5294"/>
    <w:rsid w:val="009B046C"/>
    <w:rsid w:val="009B13FA"/>
    <w:rsid w:val="009B1E2D"/>
    <w:rsid w:val="009C59FB"/>
    <w:rsid w:val="009C6F3B"/>
    <w:rsid w:val="009E4FA6"/>
    <w:rsid w:val="009E7D93"/>
    <w:rsid w:val="009F348F"/>
    <w:rsid w:val="009F5C33"/>
    <w:rsid w:val="00A03EAC"/>
    <w:rsid w:val="00A11CA6"/>
    <w:rsid w:val="00A20C49"/>
    <w:rsid w:val="00A269CA"/>
    <w:rsid w:val="00A359AC"/>
    <w:rsid w:val="00A41413"/>
    <w:rsid w:val="00A45FB1"/>
    <w:rsid w:val="00A46CCC"/>
    <w:rsid w:val="00A51CFE"/>
    <w:rsid w:val="00A76C13"/>
    <w:rsid w:val="00A92E79"/>
    <w:rsid w:val="00A950B6"/>
    <w:rsid w:val="00AB41C1"/>
    <w:rsid w:val="00AC52F0"/>
    <w:rsid w:val="00AD12A8"/>
    <w:rsid w:val="00AE62AD"/>
    <w:rsid w:val="00AF3577"/>
    <w:rsid w:val="00AF35F9"/>
    <w:rsid w:val="00B05C7D"/>
    <w:rsid w:val="00B346C3"/>
    <w:rsid w:val="00B4471C"/>
    <w:rsid w:val="00B451A6"/>
    <w:rsid w:val="00B722DE"/>
    <w:rsid w:val="00B76C44"/>
    <w:rsid w:val="00B83F87"/>
    <w:rsid w:val="00BA2EFA"/>
    <w:rsid w:val="00BA32FC"/>
    <w:rsid w:val="00BA3DBC"/>
    <w:rsid w:val="00BB2DA2"/>
    <w:rsid w:val="00BB56DC"/>
    <w:rsid w:val="00BE183D"/>
    <w:rsid w:val="00BF5D7A"/>
    <w:rsid w:val="00C10A71"/>
    <w:rsid w:val="00C36442"/>
    <w:rsid w:val="00C400CE"/>
    <w:rsid w:val="00C410FD"/>
    <w:rsid w:val="00C539FB"/>
    <w:rsid w:val="00CA246D"/>
    <w:rsid w:val="00CB5636"/>
    <w:rsid w:val="00D04E33"/>
    <w:rsid w:val="00D10F21"/>
    <w:rsid w:val="00D17164"/>
    <w:rsid w:val="00D34040"/>
    <w:rsid w:val="00D34E69"/>
    <w:rsid w:val="00D375EE"/>
    <w:rsid w:val="00D42C32"/>
    <w:rsid w:val="00D62699"/>
    <w:rsid w:val="00D82620"/>
    <w:rsid w:val="00D96B36"/>
    <w:rsid w:val="00D9725F"/>
    <w:rsid w:val="00DA01B1"/>
    <w:rsid w:val="00DA11A2"/>
    <w:rsid w:val="00DA14ED"/>
    <w:rsid w:val="00DB2EF1"/>
    <w:rsid w:val="00DB3DE1"/>
    <w:rsid w:val="00DB5DA0"/>
    <w:rsid w:val="00DB716C"/>
    <w:rsid w:val="00DC5C85"/>
    <w:rsid w:val="00DD4236"/>
    <w:rsid w:val="00DD44F1"/>
    <w:rsid w:val="00DE3067"/>
    <w:rsid w:val="00E027BC"/>
    <w:rsid w:val="00E10F0D"/>
    <w:rsid w:val="00E12774"/>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E7999"/>
    <w:rsid w:val="00EF3113"/>
    <w:rsid w:val="00EF3F84"/>
    <w:rsid w:val="00F031B8"/>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E10F0D"/>
    <w:pPr>
      <w:spacing w:line="240" w:lineRule="auto"/>
      <w:ind w:left="720"/>
      <w:jc w:val="left"/>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E10F0D"/>
    <w:pPr>
      <w:spacing w:line="240" w:lineRule="auto"/>
      <w:ind w:left="720"/>
      <w:jc w:val="left"/>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0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9</Pages>
  <Words>2748</Words>
  <Characters>14254</Characters>
  <Application>Microsoft Office Word</Application>
  <DocSecurity>0</DocSecurity>
  <Lines>323</Lines>
  <Paragraphs>115</Paragraphs>
  <ScaleCrop>false</ScaleCrop>
  <HeadingPairs>
    <vt:vector size="2" baseType="variant">
      <vt:variant>
        <vt:lpstr>Title</vt:lpstr>
      </vt:variant>
      <vt:variant>
        <vt:i4>1</vt:i4>
      </vt:variant>
    </vt:vector>
  </HeadingPairs>
  <TitlesOfParts>
    <vt:vector size="1" baseType="lpstr">
      <vt:lpstr>CCC15 v Minister for Immigration and Border Protection [2017] FCA 201</vt:lpstr>
    </vt:vector>
  </TitlesOfParts>
  <Company>Federal Court of Australia</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CCC15 v Minister for Immigration and Border Protection [2017] FCA 201</dc:title>
  <dc:creator>Elizabeth Sotiriadis</dc:creator>
  <cp:lastModifiedBy>Anna Masters</cp:lastModifiedBy>
  <cp:revision>3</cp:revision>
  <cp:lastPrinted>2017-03-21T03:09:00Z</cp:lastPrinted>
  <dcterms:created xsi:type="dcterms:W3CDTF">2017-03-21T22:43:00Z</dcterms:created>
  <dcterms:modified xsi:type="dcterms:W3CDTF">2017-03-21T22:44:00Z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BROMBERG  J</vt:lpwstr>
  </property>
  <property fmtid="{D5CDD505-2E9C-101B-9397-08002B2CF9AE}" pid="4" name="Judgment_dated" linkTarget="Judgment_dated">
    <vt:lpwstr>2 MARCH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